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56793F"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56793F"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8968B6">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0E4393" w:rsidRPr="00F81B8E">
              <w:rPr>
                <w:rFonts w:ascii="Arial" w:hAnsi="Arial"/>
                <w:sz w:val="32"/>
                <w:lang w:val="en-GB"/>
              </w:rPr>
              <w:t>Dubai, 20-29 November 2012</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56793F"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8968B6" w:rsidP="000E77C5">
            <w:pPr>
              <w:tabs>
                <w:tab w:val="right" w:pos="9639"/>
              </w:tabs>
              <w:spacing w:before="120" w:line="240" w:lineRule="auto"/>
              <w:jc w:val="left"/>
              <w:rPr>
                <w:rFonts w:ascii="Arial" w:hAnsi="Arial"/>
                <w:b/>
                <w:bCs/>
                <w:sz w:val="36"/>
                <w:lang w:val="en-US"/>
              </w:rPr>
            </w:pPr>
            <w:r w:rsidRPr="008968B6">
              <w:rPr>
                <w:rFonts w:ascii="Arial" w:hAnsi="Arial"/>
                <w:b/>
                <w:bCs/>
                <w:sz w:val="36"/>
                <w:lang w:val="en-US"/>
              </w:rPr>
              <w:t xml:space="preserve">Resolution </w:t>
            </w:r>
            <w:r w:rsidR="00E40876">
              <w:rPr>
                <w:rFonts w:ascii="Arial" w:hAnsi="Arial"/>
                <w:b/>
                <w:bCs/>
                <w:sz w:val="36"/>
                <w:lang w:val="en-US"/>
              </w:rPr>
              <w:t>4</w:t>
            </w:r>
            <w:r w:rsidR="000E77C5">
              <w:rPr>
                <w:rFonts w:ascii="Arial" w:hAnsi="Arial"/>
                <w:b/>
                <w:bCs/>
                <w:sz w:val="36"/>
                <w:lang w:val="en-US"/>
              </w:rPr>
              <w:t>5</w:t>
            </w:r>
            <w:r w:rsidRPr="008968B6">
              <w:rPr>
                <w:rFonts w:ascii="Arial" w:hAnsi="Arial"/>
                <w:b/>
                <w:bCs/>
                <w:sz w:val="36"/>
                <w:lang w:val="en-US"/>
              </w:rPr>
              <w:t xml:space="preserve"> – </w:t>
            </w:r>
            <w:r w:rsidR="000E77C5" w:rsidRPr="000E77C5">
              <w:rPr>
                <w:rFonts w:ascii="Arial" w:hAnsi="Arial"/>
                <w:b/>
                <w:bCs/>
                <w:sz w:val="36"/>
                <w:lang w:val="en-US"/>
              </w:rPr>
              <w:t>Effective coordination of standardization work across study groups in the ITU Telecommunication Standardization Sector and the role of the ITU Telecommunication Standardization Advisory Group</w:t>
            </w:r>
          </w:p>
        </w:tc>
      </w:tr>
      <w:bookmarkEnd w:id="6"/>
      <w:tr w:rsidR="008968B6" w:rsidRPr="0056793F"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10"/>
          <w:headerReference w:type="default" r:id="rId11"/>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0E4393" w:rsidRPr="00F81B8E" w:rsidRDefault="000E4393" w:rsidP="000E4393">
      <w:pPr>
        <w:pStyle w:val="Normalaftertitle"/>
        <w:spacing w:line="240" w:lineRule="exact"/>
        <w:rPr>
          <w:sz w:val="20"/>
          <w:lang w:val="en-GB"/>
        </w:rPr>
      </w:pPr>
      <w:r w:rsidRPr="00F81B8E">
        <w:rPr>
          <w:sz w:val="20"/>
          <w:lang w:val="en-GB"/>
        </w:rPr>
        <w:t>The International Telecommunication Union (ITU) is the United Nations specialized agency in the field of tele</w:t>
      </w:r>
      <w:r w:rsidRPr="00F81B8E">
        <w:rPr>
          <w:sz w:val="20"/>
          <w:lang w:val="en-GB"/>
        </w:rPr>
        <w:softHyphen/>
        <w:t>com</w:t>
      </w:r>
      <w:r w:rsidRPr="00F81B8E">
        <w:rPr>
          <w:sz w:val="20"/>
          <w:lang w:val="en-GB"/>
        </w:rPr>
        <w:softHyphen/>
        <w:t>mu</w:t>
      </w:r>
      <w:r w:rsidRPr="00F81B8E">
        <w:rPr>
          <w:sz w:val="20"/>
          <w:lang w:val="en-GB"/>
        </w:rPr>
        <w:softHyphen/>
        <w:t>ni</w:t>
      </w:r>
      <w:r w:rsidRPr="00F81B8E">
        <w:rPr>
          <w:sz w:val="20"/>
          <w:lang w:val="en-GB"/>
        </w:rPr>
        <w:softHyphen/>
        <w:t>ca</w:t>
      </w:r>
      <w:r w:rsidRPr="00F81B8E">
        <w:rPr>
          <w:sz w:val="20"/>
          <w:lang w:val="en-GB"/>
        </w:rPr>
        <w:softHyphen/>
        <w:t>tions.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0E4393" w:rsidRPr="00F81B8E" w:rsidRDefault="000E4393" w:rsidP="000E4393">
      <w:pPr>
        <w:spacing w:line="240" w:lineRule="exact"/>
        <w:rPr>
          <w:sz w:val="20"/>
          <w:lang w:val="en-GB"/>
        </w:rPr>
      </w:pPr>
      <w:r w:rsidRPr="00F81B8E">
        <w:rPr>
          <w:sz w:val="20"/>
          <w:lang w:val="en-GB"/>
        </w:rPr>
        <w:t xml:space="preserve">The </w:t>
      </w:r>
      <w:bookmarkStart w:id="10" w:name="iitexte"/>
      <w:r w:rsidRPr="00F81B8E">
        <w:rPr>
          <w:sz w:val="20"/>
          <w:lang w:val="en-GB"/>
        </w:rPr>
        <w:t>World Telecommunication Standardization Assembly (WTSA), which meets every four years, establishes the topics for study by the ITU</w:t>
      </w:r>
      <w:r w:rsidRPr="00F81B8E">
        <w:rPr>
          <w:sz w:val="20"/>
          <w:lang w:val="en-GB"/>
        </w:rPr>
        <w:noBreakHyphen/>
        <w:t>T study groups which, in turn, produce Recommendations on these topics.</w:t>
      </w:r>
    </w:p>
    <w:p w:rsidR="000E4393" w:rsidRPr="00F81B8E" w:rsidRDefault="000E4393" w:rsidP="000E4393">
      <w:pPr>
        <w:spacing w:line="240" w:lineRule="exact"/>
        <w:rPr>
          <w:sz w:val="20"/>
          <w:lang w:val="en-GB"/>
        </w:rPr>
      </w:pPr>
      <w:r w:rsidRPr="00F81B8E">
        <w:rPr>
          <w:sz w:val="20"/>
          <w:lang w:val="en-GB"/>
        </w:rPr>
        <w:t>The approval of ITU-T Recommendations is covered by the procedure laid down in WTSA Resolution 1</w:t>
      </w:r>
      <w:bookmarkEnd w:id="10"/>
      <w:r w:rsidRPr="00F81B8E">
        <w:rPr>
          <w:sz w:val="20"/>
          <w:lang w:val="en-GB"/>
        </w:rPr>
        <w:t>.</w:t>
      </w:r>
    </w:p>
    <w:p w:rsidR="000E4393" w:rsidRPr="00F81B8E" w:rsidRDefault="000E4393" w:rsidP="000E4393">
      <w:pPr>
        <w:spacing w:line="240" w:lineRule="exact"/>
        <w:rPr>
          <w:sz w:val="20"/>
          <w:lang w:val="en-GB"/>
        </w:rPr>
      </w:pPr>
      <w:r w:rsidRPr="00F81B8E">
        <w:rPr>
          <w:sz w:val="20"/>
          <w:lang w:val="en-GB"/>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Default="000E4393" w:rsidP="000E4393">
      <w:pPr>
        <w:spacing w:line="240" w:lineRule="exact"/>
        <w:jc w:val="center"/>
        <w:rPr>
          <w:sz w:val="20"/>
          <w:lang w:val="en-GB"/>
        </w:rPr>
      </w:pPr>
    </w:p>
    <w:p w:rsidR="00471930" w:rsidRPr="00F81B8E" w:rsidRDefault="00471930"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r w:rsidRPr="00F81B8E">
        <w:rPr>
          <w:sz w:val="20"/>
          <w:lang w:val="en-GB"/>
        </w:rPr>
        <w:sym w:font="Symbol" w:char="F0E3"/>
      </w:r>
      <w:r w:rsidRPr="00F81B8E">
        <w:rPr>
          <w:sz w:val="20"/>
          <w:lang w:val="en-GB"/>
        </w:rPr>
        <w:t xml:space="preserve"> ITU </w:t>
      </w:r>
      <w:bookmarkStart w:id="11" w:name="iiannee"/>
      <w:bookmarkEnd w:id="11"/>
      <w:r w:rsidRPr="00F81B8E">
        <w:rPr>
          <w:sz w:val="20"/>
          <w:lang w:val="en-GB"/>
        </w:rPr>
        <w:t>2013</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Pr="000E4393" w:rsidRDefault="003374BB" w:rsidP="000E77C5">
      <w:pPr>
        <w:pStyle w:val="ResNo"/>
        <w:rPr>
          <w:lang w:val="en-US"/>
        </w:rPr>
      </w:pPr>
      <w:r w:rsidRPr="000E4393">
        <w:rPr>
          <w:lang w:val="en-US"/>
        </w:rPr>
        <w:lastRenderedPageBreak/>
        <w:t xml:space="preserve">resolution </w:t>
      </w:r>
      <w:r w:rsidR="00E40876">
        <w:rPr>
          <w:rStyle w:val="href"/>
          <w:lang w:val="en-US"/>
        </w:rPr>
        <w:t>4</w:t>
      </w:r>
      <w:r w:rsidR="000E77C5">
        <w:rPr>
          <w:rStyle w:val="href"/>
          <w:lang w:val="en-US"/>
        </w:rPr>
        <w:t>5</w:t>
      </w:r>
      <w:r w:rsidR="0056793F">
        <w:rPr>
          <w:rStyle w:val="href"/>
          <w:lang w:val="en-US"/>
        </w:rPr>
        <w:t xml:space="preserve"> </w:t>
      </w:r>
      <w:r w:rsidR="0056793F" w:rsidRPr="00F81B8E">
        <w:rPr>
          <w:lang w:val="en-GB"/>
        </w:rPr>
        <w:t>(</w:t>
      </w:r>
      <w:r w:rsidR="0056793F" w:rsidRPr="00F81B8E">
        <w:rPr>
          <w:caps w:val="0"/>
          <w:lang w:val="en-GB"/>
        </w:rPr>
        <w:t>Rev. Dubai, 2012</w:t>
      </w:r>
      <w:r w:rsidR="0056793F" w:rsidRPr="00F81B8E">
        <w:rPr>
          <w:lang w:val="en-GB"/>
        </w:rPr>
        <w:t>)</w:t>
      </w:r>
      <w:bookmarkStart w:id="12" w:name="_GoBack"/>
      <w:bookmarkEnd w:id="12"/>
    </w:p>
    <w:p w:rsidR="000E77C5" w:rsidRPr="00F81B8E" w:rsidRDefault="000E77C5" w:rsidP="000E77C5">
      <w:pPr>
        <w:pStyle w:val="Restitle"/>
        <w:rPr>
          <w:lang w:val="en-GB"/>
        </w:rPr>
      </w:pPr>
      <w:r w:rsidRPr="00F81B8E">
        <w:rPr>
          <w:lang w:val="en-GB"/>
        </w:rPr>
        <w:t xml:space="preserve">Effective coordination of standardization work across </w:t>
      </w:r>
      <w:r w:rsidRPr="00F81B8E">
        <w:rPr>
          <w:lang w:val="en-GB"/>
        </w:rPr>
        <w:br/>
        <w:t>study groups in the ITU Telecommunication Standardization</w:t>
      </w:r>
      <w:r w:rsidRPr="00F81B8E">
        <w:rPr>
          <w:lang w:val="en-GB"/>
        </w:rPr>
        <w:br/>
        <w:t xml:space="preserve"> Sector and the role of the ITU Telecommunication</w:t>
      </w:r>
      <w:r w:rsidRPr="00F81B8E">
        <w:rPr>
          <w:lang w:val="en-GB"/>
        </w:rPr>
        <w:br/>
        <w:t xml:space="preserve"> Standardization Advisory Group</w:t>
      </w:r>
    </w:p>
    <w:p w:rsidR="000E77C5" w:rsidRPr="00F81B8E" w:rsidRDefault="000E77C5" w:rsidP="000E77C5">
      <w:pPr>
        <w:pStyle w:val="Resref"/>
        <w:rPr>
          <w:lang w:val="en-GB"/>
        </w:rPr>
      </w:pPr>
      <w:r w:rsidRPr="00F81B8E">
        <w:rPr>
          <w:lang w:val="en-GB"/>
        </w:rPr>
        <w:t>(</w:t>
      </w:r>
      <w:r w:rsidRPr="00F81B8E" w:rsidDel="00F12BE4">
        <w:rPr>
          <w:lang w:val="en-GB"/>
        </w:rPr>
        <w:t>Florianópolis</w:t>
      </w:r>
      <w:r w:rsidRPr="00F81B8E">
        <w:rPr>
          <w:lang w:val="en-GB"/>
        </w:rPr>
        <w:t>, 2004; Johannesburg, 2008; Dubai, 2012)</w:t>
      </w:r>
    </w:p>
    <w:p w:rsidR="000E77C5" w:rsidRPr="00F81B8E" w:rsidRDefault="000E77C5" w:rsidP="000E77C5">
      <w:pPr>
        <w:pStyle w:val="Normalaftertitle0"/>
      </w:pPr>
      <w:r w:rsidRPr="00F81B8E">
        <w:t>The World Telecommunication Standardization Assembly (Dubai, 2012),</w:t>
      </w:r>
    </w:p>
    <w:p w:rsidR="000E77C5" w:rsidRPr="00F81B8E" w:rsidRDefault="000E77C5" w:rsidP="000E77C5">
      <w:pPr>
        <w:pStyle w:val="Call"/>
        <w:rPr>
          <w:lang w:val="en-GB"/>
        </w:rPr>
      </w:pPr>
      <w:r w:rsidRPr="00F81B8E">
        <w:rPr>
          <w:lang w:val="en-GB"/>
        </w:rPr>
        <w:t>noting</w:t>
      </w:r>
    </w:p>
    <w:p w:rsidR="000E77C5" w:rsidRPr="00F81B8E" w:rsidRDefault="000E77C5" w:rsidP="000E77C5">
      <w:pPr>
        <w:rPr>
          <w:lang w:val="en-GB"/>
        </w:rPr>
      </w:pPr>
      <w:r w:rsidRPr="00F81B8E">
        <w:rPr>
          <w:i/>
          <w:iCs/>
          <w:lang w:val="en-GB"/>
        </w:rPr>
        <w:t>a)</w:t>
      </w:r>
      <w:r w:rsidRPr="00F81B8E">
        <w:rPr>
          <w:lang w:val="en-GB"/>
        </w:rPr>
        <w:tab/>
        <w:t>that the ITU Telecommunication Standardization Sector (ITU</w:t>
      </w:r>
      <w:r w:rsidRPr="00F81B8E">
        <w:rPr>
          <w:lang w:val="en-GB"/>
        </w:rPr>
        <w:noBreakHyphen/>
        <w:t xml:space="preserve">T) is the pre-eminent global standardization body, comprising administrations, equipment vendors, operators and regulators; </w:t>
      </w:r>
    </w:p>
    <w:p w:rsidR="000E77C5" w:rsidRPr="00F81B8E" w:rsidRDefault="000E77C5" w:rsidP="000E77C5">
      <w:pPr>
        <w:rPr>
          <w:lang w:val="en-GB"/>
        </w:rPr>
      </w:pPr>
      <w:r w:rsidRPr="00F81B8E">
        <w:rPr>
          <w:i/>
          <w:iCs/>
          <w:lang w:val="en-GB"/>
        </w:rPr>
        <w:t>b)</w:t>
      </w:r>
      <w:r w:rsidRPr="00F81B8E">
        <w:rPr>
          <w:lang w:val="en-GB"/>
        </w:rPr>
        <w:tab/>
        <w:t>that, under Article 17 of the ITU Constitution, ITU</w:t>
      </w:r>
      <w:r w:rsidRPr="00F81B8E">
        <w:rPr>
          <w:lang w:val="en-GB"/>
        </w:rPr>
        <w:noBreakHyphen/>
        <w:t>T, bearing in mind the particular concerns of the developing countries</w:t>
      </w:r>
      <w:r w:rsidRPr="00F81B8E">
        <w:rPr>
          <w:rStyle w:val="FootnoteReference"/>
          <w:lang w:val="en-GB"/>
        </w:rPr>
        <w:footnoteReference w:id="1"/>
      </w:r>
      <w:r w:rsidRPr="00F81B8E">
        <w:rPr>
          <w:lang w:val="en-GB"/>
        </w:rPr>
        <w:t xml:space="preserve"> shall fulfil the purposes of the Union by studying technical, operating and tariff questions and adopting Recommendations on them with a view to standardizing telecommunications on a worldwide basis;</w:t>
      </w:r>
    </w:p>
    <w:p w:rsidR="000E77C5" w:rsidRPr="00F81B8E" w:rsidRDefault="000E77C5" w:rsidP="000E77C5">
      <w:pPr>
        <w:rPr>
          <w:lang w:val="en-GB"/>
        </w:rPr>
      </w:pPr>
      <w:r w:rsidRPr="00F81B8E">
        <w:rPr>
          <w:i/>
          <w:iCs/>
          <w:lang w:val="en-GB"/>
        </w:rPr>
        <w:t>c)</w:t>
      </w:r>
      <w:r w:rsidRPr="00F81B8E">
        <w:rPr>
          <w:lang w:val="en-GB"/>
        </w:rPr>
        <w:tab/>
        <w:t xml:space="preserve">that, under Article 13 of the ITU Convention, the World Telecommunication Standardization Assembly (WTSA) is required, </w:t>
      </w:r>
      <w:r w:rsidRPr="00F81B8E">
        <w:rPr>
          <w:i/>
          <w:lang w:val="en-GB"/>
        </w:rPr>
        <w:t>inter alia</w:t>
      </w:r>
      <w:r w:rsidRPr="00F81B8E">
        <w:rPr>
          <w:lang w:val="en-GB"/>
        </w:rPr>
        <w:t>, to approve the programme of work for ITU</w:t>
      </w:r>
      <w:r w:rsidRPr="00F81B8E">
        <w:rPr>
          <w:lang w:val="en-GB"/>
        </w:rPr>
        <w:noBreakHyphen/>
        <w:t>T for each study period and to determine the priority, urgency, estimated financial implications and time-scale for the completion of studies,</w:t>
      </w:r>
    </w:p>
    <w:p w:rsidR="000E77C5" w:rsidRPr="00F81B8E" w:rsidRDefault="000E77C5" w:rsidP="000E77C5">
      <w:pPr>
        <w:pStyle w:val="Call"/>
        <w:rPr>
          <w:lang w:val="en-GB"/>
        </w:rPr>
      </w:pPr>
      <w:r w:rsidRPr="00F81B8E">
        <w:rPr>
          <w:lang w:val="en-GB"/>
        </w:rPr>
        <w:t>considering</w:t>
      </w:r>
    </w:p>
    <w:p w:rsidR="000E77C5" w:rsidRPr="00F81B8E" w:rsidRDefault="000E77C5" w:rsidP="000E77C5">
      <w:pPr>
        <w:rPr>
          <w:lang w:val="en-GB"/>
        </w:rPr>
      </w:pPr>
      <w:r w:rsidRPr="00F81B8E">
        <w:rPr>
          <w:i/>
          <w:iCs/>
          <w:lang w:val="en-GB"/>
        </w:rPr>
        <w:t>a)</w:t>
      </w:r>
      <w:r w:rsidRPr="00F81B8E">
        <w:rPr>
          <w:lang w:val="en-GB"/>
        </w:rPr>
        <w:tab/>
        <w:t>Resolution 122 (Rev. Guadalajara, 2010) of the Plenipotentiary Conference, which resolves that WTSA shall adequately address strategic issues in standardization, and encourages Member States, ITU</w:t>
      </w:r>
      <w:r w:rsidRPr="00F81B8E">
        <w:rPr>
          <w:lang w:val="en-GB"/>
        </w:rPr>
        <w:noBreakHyphen/>
        <w:t xml:space="preserve">T Sector Members and study group chairmen and vice-chairmen to concentrate, </w:t>
      </w:r>
      <w:r w:rsidRPr="00F81B8E">
        <w:rPr>
          <w:i/>
          <w:lang w:val="en-GB"/>
        </w:rPr>
        <w:t>inter alia</w:t>
      </w:r>
      <w:r w:rsidRPr="00F81B8E">
        <w:rPr>
          <w:lang w:val="en-GB"/>
        </w:rPr>
        <w:t xml:space="preserve">, on the identification and analysis of strategic issues in standardization in their preparations for WTSA so as to facilitate the work of the assembly; </w:t>
      </w:r>
    </w:p>
    <w:p w:rsidR="000E77C5" w:rsidRPr="00F81B8E" w:rsidRDefault="000E77C5" w:rsidP="000E77C5">
      <w:pPr>
        <w:rPr>
          <w:lang w:val="en-GB"/>
        </w:rPr>
      </w:pPr>
      <w:r w:rsidRPr="00F81B8E">
        <w:rPr>
          <w:i/>
          <w:iCs/>
          <w:lang w:val="en-GB"/>
        </w:rPr>
        <w:t>b)</w:t>
      </w:r>
      <w:r w:rsidRPr="00F81B8E">
        <w:rPr>
          <w:lang w:val="en-GB"/>
        </w:rPr>
        <w:tab/>
        <w:t>that the interests of developing countries are promoted by ensuring a coordinated approach to standardization where strategic standardization issues are concerned;</w:t>
      </w:r>
    </w:p>
    <w:p w:rsidR="000E77C5" w:rsidRPr="00F81B8E" w:rsidRDefault="000E77C5" w:rsidP="000E77C5">
      <w:pPr>
        <w:rPr>
          <w:lang w:val="en-GB"/>
        </w:rPr>
      </w:pPr>
      <w:r w:rsidRPr="00F81B8E">
        <w:rPr>
          <w:i/>
          <w:iCs/>
          <w:lang w:val="en-GB"/>
        </w:rPr>
        <w:t>c)</w:t>
      </w:r>
      <w:r w:rsidRPr="00F81B8E">
        <w:rPr>
          <w:lang w:val="en-GB"/>
        </w:rPr>
        <w:tab/>
        <w:t>that WTSA has agreed to a new ITU</w:t>
      </w:r>
      <w:r w:rsidRPr="00F81B8E">
        <w:rPr>
          <w:lang w:val="en-GB"/>
        </w:rPr>
        <w:noBreakHyphen/>
        <w:t>T study group structure and improvements to ITU</w:t>
      </w:r>
      <w:r w:rsidRPr="00F81B8E">
        <w:rPr>
          <w:lang w:val="en-GB"/>
        </w:rPr>
        <w:noBreakHyphen/>
        <w:t>T's working methods that will assist ITU</w:t>
      </w:r>
      <w:r w:rsidRPr="00F81B8E">
        <w:rPr>
          <w:lang w:val="en-GB"/>
        </w:rPr>
        <w:noBreakHyphen/>
        <w:t>T in meeting the standardization challenges of the 2013-2016 study period,</w:t>
      </w:r>
    </w:p>
    <w:p w:rsidR="000E77C5" w:rsidRDefault="000E77C5" w:rsidP="000E77C5">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0E77C5" w:rsidRPr="00F81B8E" w:rsidRDefault="000E77C5" w:rsidP="000E77C5">
      <w:pPr>
        <w:pStyle w:val="Call"/>
        <w:rPr>
          <w:lang w:val="en-GB"/>
        </w:rPr>
      </w:pPr>
      <w:r w:rsidRPr="00F81B8E">
        <w:rPr>
          <w:lang w:val="en-GB"/>
        </w:rPr>
        <w:lastRenderedPageBreak/>
        <w:t>recognizing</w:t>
      </w:r>
    </w:p>
    <w:p w:rsidR="000E77C5" w:rsidRPr="00F81B8E" w:rsidRDefault="000E77C5" w:rsidP="000E77C5">
      <w:pPr>
        <w:rPr>
          <w:lang w:val="en-GB"/>
        </w:rPr>
      </w:pPr>
      <w:r w:rsidRPr="00F81B8E">
        <w:rPr>
          <w:i/>
          <w:iCs/>
          <w:lang w:val="en-GB"/>
        </w:rPr>
        <w:t>a)</w:t>
      </w:r>
      <w:r w:rsidRPr="00F81B8E">
        <w:rPr>
          <w:lang w:val="en-GB"/>
        </w:rPr>
        <w:tab/>
        <w:t>that effective coordination between study groups is critical to ITU</w:t>
      </w:r>
      <w:r w:rsidRPr="00F81B8E">
        <w:rPr>
          <w:lang w:val="en-GB"/>
        </w:rPr>
        <w:noBreakHyphen/>
        <w:t>T's ability to meet emerging standardization challenges and the needs of its membership;</w:t>
      </w:r>
    </w:p>
    <w:p w:rsidR="000E77C5" w:rsidRPr="00F81B8E" w:rsidRDefault="000E77C5" w:rsidP="000E77C5">
      <w:pPr>
        <w:rPr>
          <w:lang w:val="en-GB"/>
        </w:rPr>
      </w:pPr>
      <w:r w:rsidRPr="00F81B8E">
        <w:rPr>
          <w:i/>
          <w:iCs/>
          <w:lang w:val="en-GB"/>
        </w:rPr>
        <w:t>b)</w:t>
      </w:r>
      <w:r w:rsidRPr="00F81B8E">
        <w:rPr>
          <w:lang w:val="en-GB"/>
        </w:rPr>
        <w:tab/>
        <w:t>that ITU</w:t>
      </w:r>
      <w:r w:rsidRPr="00F81B8E">
        <w:rPr>
          <w:lang w:val="en-GB"/>
        </w:rPr>
        <w:noBreakHyphen/>
        <w:t>T study groups are responsible for developing Recommendations on technical, operating and tariff questions on the basis of contributions submitted by the membership;</w:t>
      </w:r>
    </w:p>
    <w:p w:rsidR="000E77C5" w:rsidRPr="00F81B8E" w:rsidRDefault="000E77C5" w:rsidP="000E77C5">
      <w:pPr>
        <w:rPr>
          <w:lang w:val="en-GB"/>
        </w:rPr>
      </w:pPr>
      <w:r w:rsidRPr="00F81B8E">
        <w:rPr>
          <w:i/>
          <w:iCs/>
          <w:lang w:val="en-GB"/>
        </w:rPr>
        <w:t>c)</w:t>
      </w:r>
      <w:r w:rsidRPr="00F81B8E">
        <w:rPr>
          <w:lang w:val="en-GB"/>
        </w:rPr>
        <w:tab/>
        <w:t>that the effective coordination of standardization activities would assist in meeting the objectives of Resolutions 122 and 123 (Rev. Guadalajara, 2010) of the Plenipotentiary Conference;</w:t>
      </w:r>
    </w:p>
    <w:p w:rsidR="000E77C5" w:rsidRPr="00F81B8E" w:rsidRDefault="000E77C5" w:rsidP="000E77C5">
      <w:pPr>
        <w:rPr>
          <w:lang w:val="en-GB"/>
        </w:rPr>
      </w:pPr>
      <w:r w:rsidRPr="00F81B8E">
        <w:rPr>
          <w:i/>
          <w:iCs/>
          <w:lang w:val="en-GB"/>
        </w:rPr>
        <w:t>d)</w:t>
      </w:r>
      <w:r w:rsidRPr="00F81B8E">
        <w:rPr>
          <w:lang w:val="en-GB"/>
        </w:rPr>
        <w:tab/>
        <w:t>that operational coordination can be effected by means of joint coordination activities (JCAs), joint rapporteur group meetings, liaison statements between study groups and the study group chairmen's meetings organized by the Director of the Telecommunication Standardization Bureau;</w:t>
      </w:r>
    </w:p>
    <w:p w:rsidR="000E77C5" w:rsidRPr="00F81B8E" w:rsidRDefault="000E77C5" w:rsidP="000E77C5">
      <w:pPr>
        <w:rPr>
          <w:lang w:val="en-GB"/>
        </w:rPr>
      </w:pPr>
      <w:r w:rsidRPr="00F81B8E">
        <w:rPr>
          <w:i/>
          <w:iCs/>
          <w:lang w:val="en-GB"/>
        </w:rPr>
        <w:t>e)</w:t>
      </w:r>
      <w:r w:rsidRPr="00F81B8E">
        <w:rPr>
          <w:lang w:val="en-GB"/>
        </w:rPr>
        <w:tab/>
        <w:t>that effective coordination is facilitated by taking a top-down approach to the coordination of work between study groups, including the identification of linkages between related work items;</w:t>
      </w:r>
    </w:p>
    <w:p w:rsidR="000E77C5" w:rsidRPr="00F81B8E" w:rsidRDefault="000E77C5" w:rsidP="000E77C5">
      <w:pPr>
        <w:rPr>
          <w:lang w:val="en-GB"/>
        </w:rPr>
      </w:pPr>
      <w:r w:rsidRPr="00F81B8E">
        <w:rPr>
          <w:i/>
          <w:iCs/>
          <w:lang w:val="en-GB"/>
        </w:rPr>
        <w:t>f)</w:t>
      </w:r>
      <w:r w:rsidRPr="00F81B8E">
        <w:rPr>
          <w:lang w:val="en-GB"/>
        </w:rPr>
        <w:tab/>
        <w:t>that the Telecommunication Standardization Advisory Group (TSAG) can play an important role in ensuring cross-study group coordination on standardization issues, including the measurement of standardization progress against agreed milestones;</w:t>
      </w:r>
    </w:p>
    <w:p w:rsidR="000E77C5" w:rsidRPr="00F81B8E" w:rsidRDefault="000E77C5" w:rsidP="000E77C5">
      <w:pPr>
        <w:rPr>
          <w:lang w:val="en-GB"/>
        </w:rPr>
      </w:pPr>
      <w:r w:rsidRPr="00F81B8E">
        <w:rPr>
          <w:i/>
          <w:iCs/>
          <w:lang w:val="en-GB"/>
        </w:rPr>
        <w:t>g)</w:t>
      </w:r>
      <w:r w:rsidRPr="00F81B8E">
        <w:rPr>
          <w:lang w:val="en-GB"/>
        </w:rPr>
        <w:tab/>
        <w:t>that it is appropriate for WTSA, as the highest body in ITU</w:t>
      </w:r>
      <w:r w:rsidRPr="00F81B8E">
        <w:rPr>
          <w:lang w:val="en-GB"/>
        </w:rPr>
        <w:noBreakHyphen/>
        <w:t>T, to identify strategic standardization issues for each study period,</w:t>
      </w:r>
    </w:p>
    <w:p w:rsidR="000E77C5" w:rsidRPr="00F81B8E" w:rsidRDefault="000E77C5" w:rsidP="000E77C5">
      <w:pPr>
        <w:pStyle w:val="Call"/>
        <w:rPr>
          <w:lang w:val="en-GB"/>
        </w:rPr>
      </w:pPr>
      <w:r w:rsidRPr="00F81B8E">
        <w:rPr>
          <w:lang w:val="en-GB"/>
        </w:rPr>
        <w:t>bearing in mind</w:t>
      </w:r>
    </w:p>
    <w:p w:rsidR="000E77C5" w:rsidRPr="00F81B8E" w:rsidRDefault="000E77C5" w:rsidP="000E77C5">
      <w:pPr>
        <w:rPr>
          <w:rFonts w:eastAsia="Batang"/>
          <w:lang w:val="en-GB"/>
        </w:rPr>
      </w:pPr>
      <w:r w:rsidRPr="00F81B8E">
        <w:rPr>
          <w:rFonts w:eastAsia="Batang"/>
          <w:lang w:val="en-GB"/>
        </w:rPr>
        <w:t>that the coordination of standardization activities is particularly important for high-priority standardization issues, including, for example:</w:t>
      </w:r>
    </w:p>
    <w:p w:rsidR="000E77C5" w:rsidRPr="00F81B8E" w:rsidDel="0028749A" w:rsidRDefault="000E77C5" w:rsidP="000E77C5">
      <w:pPr>
        <w:tabs>
          <w:tab w:val="left" w:pos="2608"/>
          <w:tab w:val="left" w:pos="3345"/>
        </w:tabs>
        <w:spacing w:before="80"/>
        <w:ind w:left="1134" w:hanging="1134"/>
        <w:rPr>
          <w:rFonts w:eastAsia="Batang"/>
          <w:lang w:val="en-GB"/>
        </w:rPr>
      </w:pPr>
      <w:r w:rsidRPr="00F81B8E" w:rsidDel="0028749A">
        <w:rPr>
          <w:rFonts w:eastAsia="Batang"/>
          <w:i/>
          <w:iCs/>
          <w:lang w:val="en-GB"/>
        </w:rPr>
        <w:t>a)</w:t>
      </w:r>
      <w:r w:rsidRPr="00F81B8E" w:rsidDel="0028749A">
        <w:rPr>
          <w:rFonts w:eastAsia="Batang"/>
          <w:lang w:val="en-GB"/>
        </w:rPr>
        <w:tab/>
        <w:t>next-generation networks (NGN)</w:t>
      </w:r>
      <w:r w:rsidRPr="00F81B8E">
        <w:rPr>
          <w:rFonts w:eastAsia="Malgun Gothic"/>
          <w:lang w:val="en-GB"/>
        </w:rPr>
        <w:t xml:space="preserve"> evolution and future networks</w:t>
      </w:r>
      <w:r w:rsidRPr="00F81B8E" w:rsidDel="0028749A">
        <w:rPr>
          <w:rFonts w:eastAsia="Batang"/>
          <w:lang w:val="en-GB"/>
        </w:rPr>
        <w:t>;</w:t>
      </w:r>
    </w:p>
    <w:p w:rsidR="000E77C5" w:rsidRPr="00F81B8E" w:rsidDel="0028749A" w:rsidRDefault="000E77C5" w:rsidP="000E77C5">
      <w:pPr>
        <w:tabs>
          <w:tab w:val="left" w:pos="2608"/>
          <w:tab w:val="left" w:pos="3345"/>
        </w:tabs>
        <w:spacing w:before="80"/>
        <w:ind w:left="1134" w:hanging="1134"/>
        <w:rPr>
          <w:rFonts w:eastAsia="Batang"/>
          <w:lang w:val="en-GB"/>
        </w:rPr>
      </w:pPr>
      <w:r w:rsidRPr="00F81B8E" w:rsidDel="0028749A">
        <w:rPr>
          <w:rFonts w:eastAsia="Batang"/>
          <w:i/>
          <w:iCs/>
          <w:lang w:val="en-GB"/>
        </w:rPr>
        <w:t>b)</w:t>
      </w:r>
      <w:r w:rsidRPr="00F81B8E" w:rsidDel="0028749A">
        <w:rPr>
          <w:rFonts w:eastAsia="Batang"/>
          <w:lang w:val="en-GB"/>
        </w:rPr>
        <w:tab/>
        <w:t>security (including cybersecurity</w:t>
      </w:r>
      <w:r w:rsidRPr="00F81B8E">
        <w:rPr>
          <w:rFonts w:eastAsia="Batang"/>
          <w:lang w:val="en-GB"/>
        </w:rPr>
        <w:t>)</w:t>
      </w:r>
      <w:r w:rsidRPr="00F81B8E" w:rsidDel="0028749A">
        <w:rPr>
          <w:rFonts w:eastAsia="Batang"/>
          <w:lang w:val="en-GB"/>
        </w:rPr>
        <w:t>;</w:t>
      </w:r>
    </w:p>
    <w:p w:rsidR="000E77C5" w:rsidRPr="00F81B8E" w:rsidDel="0028749A" w:rsidRDefault="000E77C5" w:rsidP="000E77C5">
      <w:pPr>
        <w:tabs>
          <w:tab w:val="left" w:pos="2608"/>
          <w:tab w:val="left" w:pos="3345"/>
        </w:tabs>
        <w:spacing w:before="80"/>
        <w:ind w:left="1134" w:hanging="1134"/>
        <w:rPr>
          <w:rFonts w:eastAsia="Batang"/>
          <w:lang w:val="en-GB"/>
        </w:rPr>
      </w:pPr>
      <w:r w:rsidRPr="00F81B8E" w:rsidDel="0028749A">
        <w:rPr>
          <w:rFonts w:eastAsia="Batang"/>
          <w:i/>
          <w:iCs/>
          <w:lang w:val="en-GB"/>
        </w:rPr>
        <w:t>c)</w:t>
      </w:r>
      <w:r w:rsidRPr="00F81B8E" w:rsidDel="0028749A">
        <w:rPr>
          <w:rFonts w:eastAsia="Batang"/>
          <w:lang w:val="en-GB"/>
        </w:rPr>
        <w:tab/>
      </w:r>
      <w:r w:rsidRPr="00F81B8E">
        <w:rPr>
          <w:rFonts w:eastAsia="Batang"/>
          <w:lang w:val="en-GB"/>
        </w:rPr>
        <w:t>telecommunications for d</w:t>
      </w:r>
      <w:r w:rsidRPr="00F81B8E" w:rsidDel="0028749A">
        <w:rPr>
          <w:rFonts w:eastAsia="Batang"/>
          <w:lang w:val="en-GB"/>
        </w:rPr>
        <w:t xml:space="preserve">isaster </w:t>
      </w:r>
      <w:r w:rsidRPr="00F81B8E">
        <w:rPr>
          <w:rFonts w:eastAsia="Batang"/>
          <w:lang w:val="en-GB"/>
        </w:rPr>
        <w:t>r</w:t>
      </w:r>
      <w:r w:rsidRPr="00F81B8E" w:rsidDel="0028749A">
        <w:rPr>
          <w:rFonts w:eastAsia="Batang"/>
          <w:lang w:val="en-GB"/>
        </w:rPr>
        <w:t xml:space="preserve">elief </w:t>
      </w:r>
      <w:r w:rsidRPr="00F81B8E">
        <w:rPr>
          <w:rFonts w:eastAsia="Batang"/>
          <w:lang w:val="en-GB"/>
        </w:rPr>
        <w:t>systems, including network resilience and recovery</w:t>
      </w:r>
      <w:r w:rsidRPr="00F81B8E" w:rsidDel="0028749A">
        <w:rPr>
          <w:rFonts w:eastAsia="Batang"/>
          <w:lang w:val="en-GB"/>
        </w:rPr>
        <w:t>;</w:t>
      </w:r>
    </w:p>
    <w:p w:rsidR="000E77C5" w:rsidRPr="00F81B8E" w:rsidRDefault="000E77C5" w:rsidP="000E77C5">
      <w:pPr>
        <w:tabs>
          <w:tab w:val="left" w:pos="2608"/>
          <w:tab w:val="left" w:pos="3345"/>
        </w:tabs>
        <w:spacing w:before="80"/>
        <w:ind w:left="1134" w:hanging="1134"/>
        <w:rPr>
          <w:rFonts w:eastAsia="Batang"/>
          <w:lang w:val="en-GB"/>
        </w:rPr>
      </w:pPr>
      <w:r w:rsidRPr="00F81B8E" w:rsidDel="0028749A">
        <w:rPr>
          <w:rFonts w:eastAsia="Batang"/>
          <w:i/>
          <w:iCs/>
          <w:lang w:val="en-GB"/>
        </w:rPr>
        <w:t>d)</w:t>
      </w:r>
      <w:r w:rsidRPr="00F81B8E" w:rsidDel="0028749A">
        <w:rPr>
          <w:rFonts w:eastAsia="Batang"/>
          <w:lang w:val="en-GB"/>
        </w:rPr>
        <w:tab/>
      </w:r>
      <w:r w:rsidRPr="00F81B8E">
        <w:rPr>
          <w:rFonts w:eastAsia="Batang"/>
          <w:lang w:val="en-GB"/>
        </w:rPr>
        <w:t>smart grid and h</w:t>
      </w:r>
      <w:r w:rsidRPr="00F81B8E" w:rsidDel="0028749A">
        <w:rPr>
          <w:rFonts w:eastAsia="Batang"/>
          <w:lang w:val="en-GB"/>
        </w:rPr>
        <w:t xml:space="preserve">ome </w:t>
      </w:r>
      <w:r w:rsidRPr="00F81B8E">
        <w:rPr>
          <w:rFonts w:eastAsia="Batang"/>
          <w:lang w:val="en-GB"/>
        </w:rPr>
        <w:t>n</w:t>
      </w:r>
      <w:r w:rsidRPr="00F81B8E" w:rsidDel="0028749A">
        <w:rPr>
          <w:rFonts w:eastAsia="Batang"/>
          <w:lang w:val="en-GB"/>
        </w:rPr>
        <w:t>etworking</w:t>
      </w:r>
      <w:r w:rsidRPr="00F81B8E">
        <w:rPr>
          <w:rFonts w:eastAsia="Batang"/>
          <w:lang w:val="en-GB"/>
        </w:rPr>
        <w:t>;</w:t>
      </w:r>
    </w:p>
    <w:p w:rsidR="000E77C5" w:rsidRPr="00F81B8E" w:rsidRDefault="000E77C5" w:rsidP="000E77C5">
      <w:pPr>
        <w:tabs>
          <w:tab w:val="left" w:pos="2608"/>
          <w:tab w:val="left" w:pos="3345"/>
        </w:tabs>
        <w:spacing w:before="80"/>
        <w:ind w:left="1134" w:hanging="1134"/>
        <w:rPr>
          <w:rFonts w:eastAsia="Batang"/>
          <w:lang w:val="en-GB"/>
        </w:rPr>
      </w:pPr>
      <w:r w:rsidRPr="00F81B8E">
        <w:rPr>
          <w:rFonts w:eastAsia="Batang"/>
          <w:i/>
          <w:iCs/>
          <w:lang w:val="en-GB"/>
        </w:rPr>
        <w:t>e)</w:t>
      </w:r>
      <w:r w:rsidRPr="00F81B8E">
        <w:rPr>
          <w:rFonts w:eastAsia="Batang"/>
          <w:lang w:val="en-GB"/>
        </w:rPr>
        <w:tab/>
        <w:t>intelligent transport systems (ITS);</w:t>
      </w:r>
    </w:p>
    <w:p w:rsidR="000E77C5" w:rsidRPr="00F81B8E" w:rsidRDefault="000E77C5" w:rsidP="000E77C5">
      <w:pPr>
        <w:tabs>
          <w:tab w:val="left" w:pos="2608"/>
          <w:tab w:val="left" w:pos="3345"/>
        </w:tabs>
        <w:spacing w:before="80"/>
        <w:ind w:left="1134" w:hanging="1134"/>
        <w:rPr>
          <w:rFonts w:eastAsia="Malgun Gothic"/>
          <w:szCs w:val="24"/>
          <w:lang w:val="en-GB" w:eastAsia="ko-KR"/>
        </w:rPr>
      </w:pPr>
      <w:r w:rsidRPr="00F81B8E">
        <w:rPr>
          <w:rFonts w:eastAsia="Malgun Gothic"/>
          <w:i/>
          <w:iCs/>
          <w:szCs w:val="24"/>
          <w:lang w:val="en-GB" w:eastAsia="ko-KR"/>
        </w:rPr>
        <w:t>f)</w:t>
      </w:r>
      <w:r w:rsidRPr="00F81B8E">
        <w:rPr>
          <w:rFonts w:eastAsia="Malgun Gothic"/>
          <w:szCs w:val="24"/>
          <w:lang w:val="en-GB" w:eastAsia="ko-KR"/>
        </w:rPr>
        <w:tab/>
        <w:t>Internet of things (IoT)/machine-to-machine (M2M) communication;</w:t>
      </w:r>
    </w:p>
    <w:p w:rsidR="000E77C5" w:rsidRPr="00F81B8E" w:rsidRDefault="000E77C5" w:rsidP="000E77C5">
      <w:pPr>
        <w:tabs>
          <w:tab w:val="left" w:pos="2608"/>
          <w:tab w:val="left" w:pos="3345"/>
        </w:tabs>
        <w:spacing w:before="80"/>
        <w:ind w:left="1134" w:hanging="1134"/>
        <w:rPr>
          <w:rFonts w:eastAsia="Batang"/>
          <w:lang w:val="en-GB"/>
        </w:rPr>
      </w:pPr>
      <w:r w:rsidRPr="00F81B8E">
        <w:rPr>
          <w:rFonts w:eastAsia="Batang"/>
          <w:i/>
          <w:iCs/>
          <w:lang w:val="en-GB"/>
        </w:rPr>
        <w:t>g)</w:t>
      </w:r>
      <w:r w:rsidRPr="00F81B8E">
        <w:rPr>
          <w:rFonts w:eastAsia="Batang"/>
          <w:lang w:val="en-GB"/>
        </w:rPr>
        <w:tab/>
        <w:t>cloud computing;</w:t>
      </w:r>
    </w:p>
    <w:p w:rsidR="000E77C5" w:rsidRPr="00F81B8E" w:rsidRDefault="000E77C5" w:rsidP="000E77C5">
      <w:pPr>
        <w:tabs>
          <w:tab w:val="left" w:pos="2608"/>
          <w:tab w:val="left" w:pos="3345"/>
        </w:tabs>
        <w:spacing w:before="80"/>
        <w:ind w:left="1134" w:hanging="1134"/>
        <w:rPr>
          <w:rFonts w:eastAsia="Batang"/>
          <w:lang w:val="en-GB"/>
        </w:rPr>
      </w:pPr>
      <w:r w:rsidRPr="00F81B8E">
        <w:rPr>
          <w:rFonts w:eastAsia="Batang"/>
          <w:i/>
          <w:iCs/>
          <w:lang w:val="en-GB"/>
        </w:rPr>
        <w:t>h)</w:t>
      </w:r>
      <w:r w:rsidRPr="00F81B8E">
        <w:rPr>
          <w:rFonts w:eastAsia="Batang"/>
          <w:lang w:val="en-GB"/>
        </w:rPr>
        <w:tab/>
        <w:t>Internet-related issues;</w:t>
      </w:r>
    </w:p>
    <w:p w:rsidR="000E77C5" w:rsidRPr="00F81B8E" w:rsidRDefault="000E77C5" w:rsidP="000E77C5">
      <w:pPr>
        <w:tabs>
          <w:tab w:val="left" w:pos="2608"/>
          <w:tab w:val="left" w:pos="3345"/>
        </w:tabs>
        <w:spacing w:before="80"/>
        <w:ind w:left="1134" w:hanging="1134"/>
        <w:rPr>
          <w:rFonts w:eastAsia="Malgun Gothic"/>
          <w:szCs w:val="24"/>
          <w:lang w:val="en-GB" w:eastAsia="ko-KR"/>
        </w:rPr>
      </w:pPr>
      <w:r w:rsidRPr="00F81B8E">
        <w:rPr>
          <w:rFonts w:eastAsia="Malgun Gothic"/>
          <w:i/>
          <w:iCs/>
          <w:szCs w:val="24"/>
          <w:lang w:val="en-GB" w:eastAsia="ko-KR"/>
        </w:rPr>
        <w:t>i)</w:t>
      </w:r>
      <w:r w:rsidRPr="00F81B8E">
        <w:rPr>
          <w:rFonts w:eastAsia="Malgun Gothic"/>
          <w:szCs w:val="24"/>
          <w:lang w:val="en-GB" w:eastAsia="ko-KR"/>
        </w:rPr>
        <w:tab/>
        <w:t>conformance and interoperability testing,</w:t>
      </w:r>
    </w:p>
    <w:p w:rsidR="000E77C5" w:rsidRPr="00F81B8E" w:rsidRDefault="000E77C5" w:rsidP="000E77C5">
      <w:pPr>
        <w:pStyle w:val="Call"/>
        <w:rPr>
          <w:lang w:val="en-GB"/>
        </w:rPr>
      </w:pPr>
      <w:r w:rsidRPr="00F81B8E">
        <w:rPr>
          <w:lang w:val="en-GB"/>
        </w:rPr>
        <w:t>emphasizing</w:t>
      </w:r>
    </w:p>
    <w:p w:rsidR="000E77C5" w:rsidRPr="00F81B8E" w:rsidRDefault="000E77C5" w:rsidP="000E77C5">
      <w:pPr>
        <w:rPr>
          <w:lang w:val="en-GB"/>
        </w:rPr>
      </w:pPr>
      <w:r w:rsidRPr="00F81B8E">
        <w:rPr>
          <w:lang w:val="en-GB"/>
        </w:rPr>
        <w:t>that coordination should serve to improve the effectiveness of ITU</w:t>
      </w:r>
      <w:r w:rsidRPr="00F81B8E">
        <w:rPr>
          <w:lang w:val="en-GB"/>
        </w:rPr>
        <w:noBreakHyphen/>
        <w:t>T activities and should not limit the authority of each study group to develop Recommendations based on contributions from the membership,</w:t>
      </w:r>
    </w:p>
    <w:p w:rsidR="000E77C5" w:rsidRDefault="000E77C5" w:rsidP="000E77C5">
      <w:pPr>
        <w:tabs>
          <w:tab w:val="clear" w:pos="794"/>
          <w:tab w:val="clear" w:pos="1191"/>
          <w:tab w:val="clear" w:pos="1588"/>
          <w:tab w:val="clear" w:pos="1985"/>
        </w:tabs>
        <w:overflowPunct/>
        <w:autoSpaceDE/>
        <w:autoSpaceDN/>
        <w:adjustRightInd/>
        <w:spacing w:before="0" w:line="240" w:lineRule="auto"/>
        <w:jc w:val="left"/>
        <w:textAlignment w:val="auto"/>
        <w:rPr>
          <w:i/>
          <w:lang w:val="en-GB"/>
        </w:rPr>
      </w:pPr>
      <w:r>
        <w:rPr>
          <w:lang w:val="en-GB"/>
        </w:rPr>
        <w:br w:type="page"/>
      </w:r>
    </w:p>
    <w:p w:rsidR="000E77C5" w:rsidRPr="00F81B8E" w:rsidRDefault="000E77C5" w:rsidP="000E77C5">
      <w:pPr>
        <w:pStyle w:val="Call"/>
        <w:rPr>
          <w:lang w:val="en-GB"/>
        </w:rPr>
      </w:pPr>
      <w:r w:rsidRPr="00F81B8E">
        <w:rPr>
          <w:lang w:val="en-GB"/>
        </w:rPr>
        <w:lastRenderedPageBreak/>
        <w:t>resolves</w:t>
      </w:r>
    </w:p>
    <w:p w:rsidR="000E77C5" w:rsidRPr="00F81B8E" w:rsidRDefault="000E77C5" w:rsidP="000E77C5">
      <w:pPr>
        <w:rPr>
          <w:lang w:val="en-GB"/>
        </w:rPr>
      </w:pPr>
      <w:r w:rsidRPr="00F81B8E">
        <w:rPr>
          <w:lang w:val="en-GB"/>
        </w:rPr>
        <w:t>that the coordination of ITU</w:t>
      </w:r>
      <w:r w:rsidRPr="00F81B8E">
        <w:rPr>
          <w:lang w:val="en-GB"/>
        </w:rPr>
        <w:noBreakHyphen/>
        <w:t>T activities in regard to high-priority standardization issues and work related to more than one study group should ensure:</w:t>
      </w:r>
    </w:p>
    <w:p w:rsidR="000E77C5" w:rsidRPr="00F81B8E" w:rsidRDefault="000E77C5" w:rsidP="000E77C5">
      <w:pPr>
        <w:pStyle w:val="enumlev1"/>
        <w:rPr>
          <w:lang w:val="en-GB"/>
        </w:rPr>
      </w:pPr>
      <w:r w:rsidRPr="00F81B8E">
        <w:rPr>
          <w:lang w:val="en-GB"/>
        </w:rPr>
        <w:t>i)</w:t>
      </w:r>
      <w:r w:rsidRPr="00F81B8E">
        <w:rPr>
          <w:lang w:val="en-GB"/>
        </w:rPr>
        <w:tab/>
        <w:t>the identification of high-level objectives and priorities for ITU</w:t>
      </w:r>
      <w:r w:rsidRPr="00F81B8E">
        <w:rPr>
          <w:lang w:val="en-GB"/>
        </w:rPr>
        <w:noBreakHyphen/>
        <w:t>T studies from a global viewpoint;</w:t>
      </w:r>
    </w:p>
    <w:p w:rsidR="000E77C5" w:rsidRPr="00F81B8E" w:rsidRDefault="000E77C5" w:rsidP="000E77C5">
      <w:pPr>
        <w:pStyle w:val="enumlev1"/>
        <w:rPr>
          <w:lang w:val="en-GB"/>
        </w:rPr>
      </w:pPr>
      <w:r w:rsidRPr="00F81B8E">
        <w:rPr>
          <w:lang w:val="en-GB"/>
        </w:rPr>
        <w:t>ii)</w:t>
      </w:r>
      <w:r w:rsidRPr="00F81B8E">
        <w:rPr>
          <w:lang w:val="en-GB"/>
        </w:rPr>
        <w:tab/>
        <w:t>cooperation between study groups, including the avoidance of duplication of work and the identification of linkages between related work items;</w:t>
      </w:r>
    </w:p>
    <w:p w:rsidR="000E77C5" w:rsidRPr="00F81B8E" w:rsidRDefault="000E77C5" w:rsidP="000E77C5">
      <w:pPr>
        <w:pStyle w:val="enumlev1"/>
        <w:rPr>
          <w:lang w:val="en-GB"/>
        </w:rPr>
      </w:pPr>
      <w:r w:rsidRPr="00F81B8E">
        <w:rPr>
          <w:lang w:val="en-GB"/>
        </w:rPr>
        <w:t>iii)</w:t>
      </w:r>
      <w:r w:rsidRPr="00F81B8E">
        <w:rPr>
          <w:lang w:val="en-GB"/>
        </w:rPr>
        <w:tab/>
        <w:t>the planned coordination of time-frames, deliverables, objectives and milestones for standardization activities;</w:t>
      </w:r>
    </w:p>
    <w:p w:rsidR="000E77C5" w:rsidRPr="00F81B8E" w:rsidRDefault="000E77C5" w:rsidP="000E77C5">
      <w:pPr>
        <w:pStyle w:val="enumlev1"/>
        <w:rPr>
          <w:rFonts w:eastAsia="Batang"/>
          <w:lang w:val="en-GB"/>
        </w:rPr>
      </w:pPr>
      <w:r w:rsidRPr="00F81B8E">
        <w:rPr>
          <w:lang w:val="en-GB"/>
        </w:rPr>
        <w:t>iv)</w:t>
      </w:r>
      <w:r w:rsidRPr="00F81B8E">
        <w:rPr>
          <w:lang w:val="en-GB"/>
        </w:rPr>
        <w:tab/>
      </w:r>
      <w:r w:rsidRPr="00F81B8E">
        <w:rPr>
          <w:rFonts w:eastAsia="Batang"/>
          <w:lang w:val="en-GB"/>
        </w:rPr>
        <w:t>that the interests of developing countries are taken into account</w:t>
      </w:r>
      <w:r w:rsidRPr="00F81B8E">
        <w:rPr>
          <w:rFonts w:eastAsia="Batang"/>
          <w:position w:val="6"/>
          <w:sz w:val="18"/>
          <w:lang w:val="en-GB"/>
        </w:rPr>
        <w:t xml:space="preserve"> </w:t>
      </w:r>
      <w:r w:rsidRPr="00F81B8E">
        <w:rPr>
          <w:rFonts w:eastAsia="Batang"/>
          <w:lang w:val="en-GB"/>
        </w:rPr>
        <w:t>and that their involvement in these activities is encouraged and facilitated;</w:t>
      </w:r>
    </w:p>
    <w:p w:rsidR="000E77C5" w:rsidRPr="00F81B8E" w:rsidRDefault="000E77C5" w:rsidP="000E77C5">
      <w:pPr>
        <w:pStyle w:val="enumlev1"/>
        <w:rPr>
          <w:lang w:val="en-GB"/>
        </w:rPr>
      </w:pPr>
      <w:r w:rsidRPr="00F81B8E">
        <w:rPr>
          <w:lang w:val="en-GB"/>
        </w:rPr>
        <w:t>v)</w:t>
      </w:r>
      <w:r w:rsidRPr="00F81B8E">
        <w:rPr>
          <w:lang w:val="en-GB"/>
        </w:rPr>
        <w:tab/>
        <w:t>cooperation and coordination with the ITU Radiocommunication and Telecommunication Development Sectors and with other, external, standardization bodies,</w:t>
      </w:r>
    </w:p>
    <w:p w:rsidR="000E77C5" w:rsidRPr="00F81B8E" w:rsidRDefault="000E77C5" w:rsidP="000E77C5">
      <w:pPr>
        <w:pStyle w:val="Call"/>
        <w:rPr>
          <w:lang w:val="en-GB"/>
        </w:rPr>
      </w:pPr>
      <w:r w:rsidRPr="00F81B8E">
        <w:rPr>
          <w:lang w:val="en-GB"/>
        </w:rPr>
        <w:t xml:space="preserve">instructs the Telecommunication Standardization Advisory Group </w:t>
      </w:r>
    </w:p>
    <w:p w:rsidR="000E77C5" w:rsidRPr="00F81B8E" w:rsidRDefault="000E77C5" w:rsidP="000E77C5">
      <w:pPr>
        <w:rPr>
          <w:lang w:val="en-GB"/>
        </w:rPr>
      </w:pPr>
      <w:r w:rsidRPr="00F81B8E">
        <w:rPr>
          <w:lang w:val="en-GB"/>
        </w:rPr>
        <w:t>1</w:t>
      </w:r>
      <w:r w:rsidRPr="00F81B8E">
        <w:rPr>
          <w:lang w:val="en-GB"/>
        </w:rPr>
        <w:tab/>
        <w:t xml:space="preserve">to take an active role in ensuring coordination between study groups, particularly on high-priority standardization issues that are being studied in more than one study group, including by inviting coordination groups to hold the necessary meetings to achieve the objectives set for them; </w:t>
      </w:r>
    </w:p>
    <w:p w:rsidR="000E77C5" w:rsidRDefault="000E77C5" w:rsidP="000E77C5">
      <w:pPr>
        <w:rPr>
          <w:lang w:val="en-GB"/>
        </w:rPr>
      </w:pPr>
      <w:r w:rsidRPr="00F81B8E">
        <w:rPr>
          <w:lang w:val="en-GB"/>
        </w:rPr>
        <w:t>2</w:t>
      </w:r>
      <w:r w:rsidRPr="00F81B8E">
        <w:rPr>
          <w:lang w:val="en-GB"/>
        </w:rPr>
        <w:tab/>
        <w:t>to take into account, and implement as necessary, advice given to TSAG by other groups established in the interests of effective coordination on high-priority and joint standardization topics.</w:t>
      </w:r>
    </w:p>
    <w:p w:rsidR="000E77C5" w:rsidRDefault="000E77C5" w:rsidP="000E77C5">
      <w:pPr>
        <w:rPr>
          <w:lang w:val="en-GB"/>
        </w:rPr>
      </w:pPr>
    </w:p>
    <w:p w:rsidR="000E77C5" w:rsidRDefault="000E77C5" w:rsidP="000E77C5">
      <w:pPr>
        <w:rPr>
          <w:lang w:val="en-GB"/>
        </w:rPr>
      </w:pPr>
    </w:p>
    <w:p w:rsidR="000E77C5" w:rsidRDefault="000E77C5" w:rsidP="000E77C5">
      <w:pPr>
        <w:rPr>
          <w:lang w:val="en-GB"/>
        </w:rPr>
      </w:pPr>
    </w:p>
    <w:p w:rsidR="000E77C5" w:rsidRDefault="000E77C5" w:rsidP="000E77C5">
      <w:pPr>
        <w:rPr>
          <w:lang w:val="en-GB"/>
        </w:rPr>
      </w:pPr>
    </w:p>
    <w:p w:rsidR="000E77C5" w:rsidRDefault="000E77C5" w:rsidP="000E77C5">
      <w:pPr>
        <w:rPr>
          <w:lang w:val="en-GB"/>
        </w:rPr>
      </w:pPr>
    </w:p>
    <w:p w:rsidR="000E77C5" w:rsidRDefault="000E77C5" w:rsidP="000E77C5">
      <w:pPr>
        <w:rPr>
          <w:lang w:val="en-GB"/>
        </w:rPr>
      </w:pPr>
    </w:p>
    <w:p w:rsidR="000E77C5" w:rsidRDefault="000E77C5" w:rsidP="000E77C5">
      <w:pPr>
        <w:rPr>
          <w:lang w:val="en-GB"/>
        </w:rPr>
      </w:pPr>
    </w:p>
    <w:p w:rsidR="000E77C5" w:rsidRDefault="000E77C5" w:rsidP="000E77C5">
      <w:pPr>
        <w:rPr>
          <w:lang w:val="en-GB"/>
        </w:rPr>
      </w:pPr>
    </w:p>
    <w:p w:rsidR="000E77C5" w:rsidRDefault="000E77C5" w:rsidP="000E77C5">
      <w:pPr>
        <w:rPr>
          <w:lang w:val="en-GB"/>
        </w:rPr>
      </w:pPr>
    </w:p>
    <w:p w:rsidR="000E77C5" w:rsidRDefault="000E77C5" w:rsidP="000E77C5">
      <w:pPr>
        <w:rPr>
          <w:lang w:val="en-GB"/>
        </w:rPr>
      </w:pPr>
    </w:p>
    <w:p w:rsidR="000E77C5" w:rsidRDefault="000E77C5" w:rsidP="000E77C5">
      <w:pPr>
        <w:rPr>
          <w:lang w:val="en-GB"/>
        </w:rPr>
      </w:pPr>
    </w:p>
    <w:p w:rsidR="000E77C5" w:rsidRDefault="000E77C5" w:rsidP="000E77C5">
      <w:pPr>
        <w:rPr>
          <w:lang w:val="en-GB"/>
        </w:rPr>
      </w:pPr>
    </w:p>
    <w:p w:rsidR="000E77C5" w:rsidRDefault="000E77C5" w:rsidP="000E77C5">
      <w:pPr>
        <w:rPr>
          <w:lang w:val="en-GB"/>
        </w:rPr>
      </w:pPr>
    </w:p>
    <w:p w:rsidR="000E77C5" w:rsidRDefault="000E77C5" w:rsidP="000E77C5">
      <w:pPr>
        <w:rPr>
          <w:lang w:val="en-GB"/>
        </w:rPr>
      </w:pPr>
    </w:p>
    <w:p w:rsidR="000E77C5" w:rsidRDefault="000E77C5" w:rsidP="000E77C5">
      <w:pPr>
        <w:rPr>
          <w:lang w:val="en-GB"/>
        </w:rPr>
      </w:pPr>
    </w:p>
    <w:sectPr w:rsidR="000E77C5" w:rsidSect="00FC6F33">
      <w:headerReference w:type="even" r:id="rId14"/>
      <w:footerReference w:type="even" r:id="rId15"/>
      <w:footerReference w:type="default" r:id="rId16"/>
      <w:footnotePr>
        <w:pos w:val="beneathText"/>
        <w:numRestart w:val="eachSect"/>
      </w:footnotePr>
      <w:type w:val="oddPage"/>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E4" w:rsidRPr="00FC6F33" w:rsidRDefault="00FC6F33"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605DF4">
      <w:rPr>
        <w:noProof/>
      </w:rPr>
      <w:t>2</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605DF4">
      <w:rPr>
        <w:b w:val="0"/>
        <w:noProof/>
        <w:lang w:val="en-US"/>
      </w:rPr>
      <w:t>1</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Pr="00B73379" w:rsidRDefault="00C72AF4" w:rsidP="00C72AF4">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56793F">
      <w:rPr>
        <w:b w:val="0"/>
        <w:bCs/>
        <w:noProof/>
        <w:lang w:val="en-US"/>
      </w:rPr>
      <w:t>2</w:t>
    </w:r>
    <w:r w:rsidRPr="00B73379">
      <w:rPr>
        <w:b w:val="0"/>
        <w:bCs/>
      </w:rPr>
      <w:fldChar w:fldCharType="end"/>
    </w:r>
    <w:r>
      <w:rPr>
        <w:lang w:val="en-US"/>
      </w:rPr>
      <w:tab/>
      <w:t xml:space="preserve">WTSA-12 – Resolution </w:t>
    </w:r>
    <w:r>
      <w:fldChar w:fldCharType="begin"/>
    </w:r>
    <w:r>
      <w:rPr>
        <w:lang w:val="en-US"/>
      </w:rPr>
      <w:instrText>styleref href</w:instrText>
    </w:r>
    <w:r>
      <w:fldChar w:fldCharType="separate"/>
    </w:r>
    <w:r w:rsidR="0056793F">
      <w:rPr>
        <w:noProof/>
      </w:rPr>
      <w:t>45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DF4" w:rsidRPr="00FC6F33" w:rsidRDefault="00605DF4" w:rsidP="00FC6F33">
    <w:pPr>
      <w:pStyle w:val="FooterQP"/>
      <w:rPr>
        <w:b w:val="0"/>
        <w:lang w:val="en-US"/>
      </w:rPr>
    </w:pPr>
    <w:r>
      <w:tab/>
    </w:r>
    <w:r>
      <w:tab/>
    </w:r>
    <w:r>
      <w:rPr>
        <w:lang w:val="en-US"/>
      </w:rPr>
      <w:t xml:space="preserve">WTSA-12 – Resolution </w:t>
    </w:r>
    <w:r>
      <w:fldChar w:fldCharType="begin"/>
    </w:r>
    <w:r>
      <w:rPr>
        <w:lang w:val="en-US"/>
      </w:rPr>
      <w:instrText>styleref href</w:instrText>
    </w:r>
    <w:r>
      <w:fldChar w:fldCharType="separate"/>
    </w:r>
    <w:r w:rsidR="0056793F">
      <w:rPr>
        <w:noProof/>
      </w:rPr>
      <w:t>45</w:t>
    </w:r>
    <w:r>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56793F">
      <w:rPr>
        <w:b w:val="0"/>
        <w:noProof/>
        <w:lang w:val="en-US"/>
      </w:rPr>
      <w:t>3</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5CD" w:rsidRDefault="008075CD">
      <w:r>
        <w:t>____________________</w:t>
      </w:r>
    </w:p>
  </w:footnote>
  <w:footnote w:type="continuationSeparator" w:id="0">
    <w:p w:rsidR="008075CD" w:rsidRDefault="008075CD">
      <w:r>
        <w:continuationSeparator/>
      </w:r>
    </w:p>
  </w:footnote>
  <w:footnote w:id="1">
    <w:p w:rsidR="000E77C5" w:rsidRPr="00755141" w:rsidRDefault="000E77C5" w:rsidP="000E77C5">
      <w:pPr>
        <w:pStyle w:val="FootnoteText"/>
        <w:rPr>
          <w:lang w:val="en-US"/>
        </w:rPr>
      </w:pPr>
      <w:r>
        <w:rPr>
          <w:rStyle w:val="FootnoteReference"/>
        </w:rPr>
        <w:footnoteRef/>
      </w:r>
      <w:r w:rsidRPr="00755141">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AF4" w:rsidRDefault="00C72AF4">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362C1"/>
    <w:rsid w:val="00066EDE"/>
    <w:rsid w:val="000B071B"/>
    <w:rsid w:val="000B47CD"/>
    <w:rsid w:val="000B5A36"/>
    <w:rsid w:val="000C22AE"/>
    <w:rsid w:val="000D378F"/>
    <w:rsid w:val="000D3CE4"/>
    <w:rsid w:val="000D5219"/>
    <w:rsid w:val="000D6DAE"/>
    <w:rsid w:val="000E4393"/>
    <w:rsid w:val="000E77C5"/>
    <w:rsid w:val="001309FB"/>
    <w:rsid w:val="001A0696"/>
    <w:rsid w:val="001A31C9"/>
    <w:rsid w:val="001B4A76"/>
    <w:rsid w:val="001C5240"/>
    <w:rsid w:val="001C604C"/>
    <w:rsid w:val="002204D5"/>
    <w:rsid w:val="002210D5"/>
    <w:rsid w:val="00227040"/>
    <w:rsid w:val="00246C17"/>
    <w:rsid w:val="0026429C"/>
    <w:rsid w:val="002742C3"/>
    <w:rsid w:val="002C182C"/>
    <w:rsid w:val="002D5607"/>
    <w:rsid w:val="00331B2F"/>
    <w:rsid w:val="00331B48"/>
    <w:rsid w:val="003374BB"/>
    <w:rsid w:val="0038237B"/>
    <w:rsid w:val="003C3FD9"/>
    <w:rsid w:val="003C4586"/>
    <w:rsid w:val="003D116F"/>
    <w:rsid w:val="003D7A8C"/>
    <w:rsid w:val="003F293E"/>
    <w:rsid w:val="003F3EE0"/>
    <w:rsid w:val="004568D2"/>
    <w:rsid w:val="004612A7"/>
    <w:rsid w:val="00462F6A"/>
    <w:rsid w:val="00467305"/>
    <w:rsid w:val="00471930"/>
    <w:rsid w:val="0048772A"/>
    <w:rsid w:val="004947A6"/>
    <w:rsid w:val="004F2E56"/>
    <w:rsid w:val="00501F47"/>
    <w:rsid w:val="00504D1F"/>
    <w:rsid w:val="00524FB2"/>
    <w:rsid w:val="005569CA"/>
    <w:rsid w:val="00562EF2"/>
    <w:rsid w:val="0056793F"/>
    <w:rsid w:val="005722AD"/>
    <w:rsid w:val="00574CFF"/>
    <w:rsid w:val="005D1D45"/>
    <w:rsid w:val="00601999"/>
    <w:rsid w:val="00605DF4"/>
    <w:rsid w:val="00611CD0"/>
    <w:rsid w:val="00631549"/>
    <w:rsid w:val="006425B4"/>
    <w:rsid w:val="00653C1B"/>
    <w:rsid w:val="00665F6E"/>
    <w:rsid w:val="006678D7"/>
    <w:rsid w:val="00693D4F"/>
    <w:rsid w:val="00697D23"/>
    <w:rsid w:val="006B0459"/>
    <w:rsid w:val="006B21A6"/>
    <w:rsid w:val="006B5987"/>
    <w:rsid w:val="006E13C5"/>
    <w:rsid w:val="00707551"/>
    <w:rsid w:val="007116DC"/>
    <w:rsid w:val="0071403C"/>
    <w:rsid w:val="00720F3C"/>
    <w:rsid w:val="0074102F"/>
    <w:rsid w:val="007550BF"/>
    <w:rsid w:val="00780423"/>
    <w:rsid w:val="00783EB8"/>
    <w:rsid w:val="007958DD"/>
    <w:rsid w:val="007E0240"/>
    <w:rsid w:val="008075CD"/>
    <w:rsid w:val="00825222"/>
    <w:rsid w:val="00851E30"/>
    <w:rsid w:val="008968B6"/>
    <w:rsid w:val="008B4CF6"/>
    <w:rsid w:val="008C7FC3"/>
    <w:rsid w:val="008D2DB4"/>
    <w:rsid w:val="008D6D8D"/>
    <w:rsid w:val="009055E3"/>
    <w:rsid w:val="00905B41"/>
    <w:rsid w:val="00914267"/>
    <w:rsid w:val="00916468"/>
    <w:rsid w:val="00916DDD"/>
    <w:rsid w:val="0092650E"/>
    <w:rsid w:val="00931EE1"/>
    <w:rsid w:val="009330E7"/>
    <w:rsid w:val="00934946"/>
    <w:rsid w:val="0095090C"/>
    <w:rsid w:val="00974C0C"/>
    <w:rsid w:val="009755D7"/>
    <w:rsid w:val="00982620"/>
    <w:rsid w:val="00985CBA"/>
    <w:rsid w:val="009B4C66"/>
    <w:rsid w:val="009C2357"/>
    <w:rsid w:val="009D10A5"/>
    <w:rsid w:val="009D26AE"/>
    <w:rsid w:val="009F7009"/>
    <w:rsid w:val="00A01A91"/>
    <w:rsid w:val="00A24E9A"/>
    <w:rsid w:val="00A26B1A"/>
    <w:rsid w:val="00A83D3D"/>
    <w:rsid w:val="00A976AC"/>
    <w:rsid w:val="00AA2D89"/>
    <w:rsid w:val="00AE4C26"/>
    <w:rsid w:val="00B23929"/>
    <w:rsid w:val="00B3059C"/>
    <w:rsid w:val="00B33CAA"/>
    <w:rsid w:val="00B50CB4"/>
    <w:rsid w:val="00B50D4E"/>
    <w:rsid w:val="00B50F17"/>
    <w:rsid w:val="00B56BC0"/>
    <w:rsid w:val="00B67290"/>
    <w:rsid w:val="00B73379"/>
    <w:rsid w:val="00B73B62"/>
    <w:rsid w:val="00B75029"/>
    <w:rsid w:val="00B92804"/>
    <w:rsid w:val="00BB34EA"/>
    <w:rsid w:val="00BE58E6"/>
    <w:rsid w:val="00BF610E"/>
    <w:rsid w:val="00C12E70"/>
    <w:rsid w:val="00C32F69"/>
    <w:rsid w:val="00C42785"/>
    <w:rsid w:val="00C64078"/>
    <w:rsid w:val="00C72AF4"/>
    <w:rsid w:val="00CD10C2"/>
    <w:rsid w:val="00CD3865"/>
    <w:rsid w:val="00CE29CC"/>
    <w:rsid w:val="00CE6C93"/>
    <w:rsid w:val="00CE767E"/>
    <w:rsid w:val="00CF024D"/>
    <w:rsid w:val="00D422A1"/>
    <w:rsid w:val="00D4292A"/>
    <w:rsid w:val="00D457B6"/>
    <w:rsid w:val="00D66950"/>
    <w:rsid w:val="00D8497D"/>
    <w:rsid w:val="00D94D9E"/>
    <w:rsid w:val="00DA7D60"/>
    <w:rsid w:val="00DB2AF8"/>
    <w:rsid w:val="00DB5592"/>
    <w:rsid w:val="00DE48B4"/>
    <w:rsid w:val="00DF31C3"/>
    <w:rsid w:val="00E03ABC"/>
    <w:rsid w:val="00E154E2"/>
    <w:rsid w:val="00E300EC"/>
    <w:rsid w:val="00E40876"/>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67E96"/>
    <w:rsid w:val="00FA70B7"/>
    <w:rsid w:val="00FC6F33"/>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link w:val="Heading1Char"/>
    <w:uiPriority w:val="99"/>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paragraph" w:customStyle="1" w:styleId="Annextitle">
    <w:name w:val="Annex_title"/>
    <w:basedOn w:val="Normal"/>
    <w:next w:val="Normal"/>
    <w:uiPriority w:val="99"/>
    <w:rsid w:val="00FC6F3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b/>
      <w:sz w:val="28"/>
      <w:lang w:val="en-GB"/>
    </w:rPr>
  </w:style>
  <w:style w:type="character" w:customStyle="1" w:styleId="hps">
    <w:name w:val="hps"/>
    <w:rsid w:val="00066EDE"/>
  </w:style>
  <w:style w:type="character" w:customStyle="1" w:styleId="Heading1Char">
    <w:name w:val="Heading 1 Char"/>
    <w:link w:val="Heading1"/>
    <w:uiPriority w:val="99"/>
    <w:locked/>
    <w:rsid w:val="0026429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39</TotalTime>
  <Pages>5</Pages>
  <Words>955</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7061</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36</cp:revision>
  <cp:lastPrinted>2008-12-10T09:03:00Z</cp:lastPrinted>
  <dcterms:created xsi:type="dcterms:W3CDTF">2013-04-17T14:43:00Z</dcterms:created>
  <dcterms:modified xsi:type="dcterms:W3CDTF">2013-04-23T14:06:00Z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