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F42C0E" w:rsidP="00223031">
            <w:pPr>
              <w:pStyle w:val="Note"/>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7216" o:allowincell="f">
                  <v:imagedata r:id="rId8"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EE5183">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1D1F48">
              <w:rPr>
                <w:rFonts w:ascii="Arial" w:hAnsi="Arial" w:cs="Arial"/>
                <w:b/>
                <w:bCs/>
                <w:sz w:val="36"/>
                <w:szCs w:val="36"/>
              </w:rPr>
              <w:t>4</w:t>
            </w:r>
            <w:r w:rsidR="002A35AB">
              <w:rPr>
                <w:rFonts w:ascii="Arial" w:hAnsi="Arial" w:cs="Arial"/>
                <w:b/>
                <w:bCs/>
                <w:sz w:val="36"/>
                <w:szCs w:val="36"/>
              </w:rPr>
              <w:t>4</w:t>
            </w:r>
            <w:r w:rsidR="00AC2B2D" w:rsidRPr="00EE5183">
              <w:rPr>
                <w:rFonts w:asciiTheme="minorBidi" w:hAnsiTheme="minorBidi" w:cstheme="minorBidi"/>
                <w:b/>
                <w:bCs/>
                <w:sz w:val="36"/>
                <w:szCs w:val="36"/>
              </w:rPr>
              <w:t xml:space="preserve"> – </w:t>
            </w:r>
            <w:r w:rsidR="00EE5183" w:rsidRPr="00EE5183">
              <w:rPr>
                <w:rFonts w:asciiTheme="minorBidi" w:hAnsiTheme="minorBidi" w:cstheme="minorBidi"/>
                <w:b/>
                <w:bCs/>
                <w:sz w:val="36"/>
                <w:szCs w:val="36"/>
              </w:rPr>
              <w:t>Reducción de la brecha de normalización entre los países en desarrollo y</w:t>
            </w:r>
            <w:r w:rsidR="00EE5183">
              <w:rPr>
                <w:rFonts w:asciiTheme="minorBidi" w:hAnsiTheme="minorBidi" w:cstheme="minorBidi"/>
                <w:b/>
                <w:bCs/>
                <w:sz w:val="36"/>
                <w:szCs w:val="36"/>
              </w:rPr>
              <w:t> </w:t>
            </w:r>
            <w:r w:rsidR="00EE5183" w:rsidRPr="00EE5183">
              <w:rPr>
                <w:rFonts w:asciiTheme="minorBidi" w:hAnsiTheme="minorBidi" w:cstheme="minorBidi"/>
                <w:b/>
                <w:bCs/>
                <w:sz w:val="36"/>
                <w:szCs w:val="36"/>
              </w:rPr>
              <w:t>desarrollados</w:t>
            </w:r>
          </w:p>
        </w:tc>
      </w:tr>
      <w:bookmarkEnd w:id="3"/>
      <w:tr w:rsidR="008028AE" w:rsidRPr="00F4281C" w:rsidTr="00F431E4">
        <w:trPr>
          <w:cantSplit/>
          <w:trHeight w:hRule="exact" w:val="1418"/>
        </w:trPr>
        <w:tc>
          <w:tcPr>
            <w:tcW w:w="1418" w:type="dxa"/>
          </w:tcPr>
          <w:p w:rsidR="008028AE" w:rsidRPr="001D1F48" w:rsidRDefault="008028AE" w:rsidP="00F431E4">
            <w:pPr>
              <w:tabs>
                <w:tab w:val="right" w:pos="9639"/>
              </w:tabs>
              <w:rPr>
                <w:rFonts w:ascii="Arial" w:hAnsi="Arial"/>
                <w:sz w:val="18"/>
              </w:rPr>
            </w:pPr>
          </w:p>
        </w:tc>
        <w:tc>
          <w:tcPr>
            <w:tcW w:w="8530" w:type="dxa"/>
            <w:gridSpan w:val="4"/>
            <w:vAlign w:val="bottom"/>
          </w:tcPr>
          <w:p w:rsidR="00FD6CCF" w:rsidRPr="001D1F48" w:rsidRDefault="00FD6CCF" w:rsidP="00F431E4">
            <w:pPr>
              <w:tabs>
                <w:tab w:val="right" w:pos="9639"/>
              </w:tabs>
              <w:jc w:val="left"/>
              <w:rPr>
                <w:rFonts w:ascii="Arial" w:hAnsi="Arial"/>
                <w:sz w:val="18"/>
              </w:rPr>
            </w:pPr>
            <w:bookmarkStart w:id="4" w:name="dnum2e"/>
            <w:bookmarkEnd w:id="4"/>
          </w:p>
        </w:tc>
      </w:tr>
    </w:tbl>
    <w:p w:rsidR="00FD6CCF" w:rsidRPr="001D1F48" w:rsidRDefault="00F42C0E" w:rsidP="008028AE">
      <w:pPr>
        <w:tabs>
          <w:tab w:val="right" w:pos="9639"/>
        </w:tabs>
        <w:spacing w:before="240"/>
        <w:jc w:val="right"/>
        <w:rPr>
          <w:noProof/>
          <w:lang w:eastAsia="zh-CN"/>
        </w:rPr>
      </w:pPr>
      <w:bookmarkStart w:id="5" w:name="c2tope"/>
      <w:bookmarkEnd w:id="5"/>
      <w:r>
        <w:rPr>
          <w:noProof/>
        </w:rPr>
        <w:pict>
          <v:shape id="_x0000_s1446" type="#_x0000_t75" alt="sigleITU_large" style="position:absolute;left:0;text-align:left;margin-left:432.3pt;margin-top:1.6pt;width:52.5pt;height:59.5pt;z-index:251658240;visibility:visible;mso-wrap-style:square;mso-position-horizontal-relative:text;mso-position-vertical-relative:text">
            <v:imagedata r:id="rId9" o:title="sigleITU_large"/>
            <w10:wrap type="square"/>
          </v:shape>
        </w:pict>
      </w:r>
    </w:p>
    <w:p w:rsidR="008028AE" w:rsidRPr="001D1F48"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0809E2"/>
    <w:p w:rsidR="00A5430F" w:rsidRDefault="00A5430F" w:rsidP="000809E2">
      <w:pP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0809E2" w:rsidRDefault="000809E2" w:rsidP="00FB6D55">
      <w:pPr>
        <w:spacing w:before="80" w:after="80"/>
        <w:jc w:val="left"/>
        <w:rPr>
          <w:sz w:val="18"/>
        </w:rPr>
      </w:pPr>
    </w:p>
    <w:p w:rsidR="000809E2" w:rsidRDefault="000809E2" w:rsidP="000809E2">
      <w:pPr>
        <w:spacing w:before="0" w:after="80"/>
        <w:jc w:val="left"/>
        <w:rPr>
          <w:sz w:val="18"/>
        </w:rPr>
      </w:pPr>
    </w:p>
    <w:p w:rsidR="000809E2" w:rsidRDefault="000809E2" w:rsidP="000809E2">
      <w:pPr>
        <w:spacing w:before="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2A35AB">
      <w:pPr>
        <w:pStyle w:val="ResNo"/>
        <w:tabs>
          <w:tab w:val="clear" w:pos="794"/>
          <w:tab w:val="clear" w:pos="1191"/>
          <w:tab w:val="clear" w:pos="1588"/>
          <w:tab w:val="clear" w:pos="1985"/>
        </w:tabs>
        <w:spacing w:line="280" w:lineRule="exact"/>
        <w:jc w:val="center"/>
        <w:rPr>
          <w:b w:val="0"/>
          <w:caps/>
        </w:rPr>
      </w:pPr>
      <w:bookmarkStart w:id="9" w:name="irecnos"/>
      <w:bookmarkEnd w:id="9"/>
      <w:r w:rsidRPr="00A922AD">
        <w:rPr>
          <w:b w:val="0"/>
          <w:caps/>
        </w:rPr>
        <w:lastRenderedPageBreak/>
        <w:t xml:space="preserve">RESOLUCIÓN </w:t>
      </w:r>
      <w:r w:rsidR="001D1F48" w:rsidRPr="001D1F48">
        <w:rPr>
          <w:rStyle w:val="href"/>
          <w:b w:val="0"/>
          <w:bCs/>
        </w:rPr>
        <w:t>4</w:t>
      </w:r>
      <w:r w:rsidR="002A35AB">
        <w:rPr>
          <w:rStyle w:val="href"/>
          <w:b w:val="0"/>
          <w:bCs/>
        </w:rPr>
        <w:t>4</w:t>
      </w:r>
      <w:r w:rsidR="00735E06" w:rsidRPr="00735E06">
        <w:t xml:space="preserve"> </w:t>
      </w:r>
      <w:r w:rsidR="00735E06" w:rsidRPr="005D5911">
        <w:rPr>
          <w:b w:val="0"/>
          <w:bCs/>
        </w:rPr>
        <w:t>(Rev. Hammamet, 2016)</w:t>
      </w:r>
    </w:p>
    <w:p w:rsidR="00EE5183" w:rsidRPr="002126A0" w:rsidRDefault="00EE5183" w:rsidP="00EE5183">
      <w:pPr>
        <w:pStyle w:val="Restitle"/>
      </w:pPr>
      <w:r w:rsidRPr="002126A0">
        <w:t>Reducción de la brecha de normalización entre los países</w:t>
      </w:r>
      <w:r>
        <w:br/>
      </w:r>
      <w:r w:rsidRPr="002126A0">
        <w:t>en desarrollo</w:t>
      </w:r>
      <w:r w:rsidRPr="002126A0">
        <w:rPr>
          <w:rStyle w:val="FootnoteReference"/>
          <w:b w:val="0"/>
        </w:rPr>
        <w:footnoteReference w:customMarkFollows="1" w:id="1"/>
        <w:t>1</w:t>
      </w:r>
      <w:r w:rsidRPr="002126A0">
        <w:t xml:space="preserve"> y desarrollados</w:t>
      </w:r>
    </w:p>
    <w:p w:rsidR="00EE5183" w:rsidRDefault="00EE5183" w:rsidP="00EE5183">
      <w:pPr>
        <w:pStyle w:val="Resref"/>
      </w:pPr>
      <w:r w:rsidRPr="002126A0">
        <w:t>(Florianópolis, 2004; Johannesburgo, 2008; Dubái, 2012; Hammamet, 2016)</w:t>
      </w:r>
    </w:p>
    <w:p w:rsidR="00EE5183" w:rsidRPr="00EE5183" w:rsidRDefault="00EE5183" w:rsidP="00EE5183">
      <w:pPr>
        <w:pStyle w:val="Normalaftertitle0"/>
        <w:rPr>
          <w:lang w:val="es-ES_tradnl"/>
        </w:rPr>
      </w:pPr>
      <w:r w:rsidRPr="00EE5183">
        <w:rPr>
          <w:lang w:val="es-ES_tradnl"/>
        </w:rPr>
        <w:t>La Asamblea Mundial de Normalización de las Telecomunicaciones (Hammamet, 2016),</w:t>
      </w:r>
    </w:p>
    <w:p w:rsidR="00EE5183" w:rsidRPr="002126A0" w:rsidRDefault="00EE5183" w:rsidP="00EE5183">
      <w:pPr>
        <w:pStyle w:val="Call"/>
      </w:pPr>
      <w:r w:rsidRPr="002126A0">
        <w:t>considerando</w:t>
      </w:r>
    </w:p>
    <w:p w:rsidR="00EE5183" w:rsidRPr="002126A0" w:rsidRDefault="00EE5183" w:rsidP="00EE5183">
      <w:r w:rsidRPr="002126A0">
        <w:rPr>
          <w:i/>
          <w:iCs/>
        </w:rPr>
        <w:t>a)</w:t>
      </w:r>
      <w:r w:rsidRPr="002126A0">
        <w:tab/>
        <w:t xml:space="preserve">que la </w:t>
      </w:r>
      <w:r w:rsidR="009F3507">
        <w:rPr>
          <w:lang w:eastAsia="ja-JP"/>
        </w:rPr>
        <w:t>Resolución </w:t>
      </w:r>
      <w:r w:rsidRPr="002126A0">
        <w:rPr>
          <w:lang w:eastAsia="ja-JP"/>
        </w:rPr>
        <w:t>123 (Rev. Busán, 2014) de la Conferencia de Plenipotenciarios, relativa a la reducción de la disparidad entre los países en desarrollo y desarrollados en materia de normalización, se encarga al Secretario General y a los Directores de las Oficinas que colaboren estrechamente en el seguimiento y la aplicación de la presente Resolución y de las Resoluciones conexas, y</w:t>
      </w:r>
      <w:r w:rsidRPr="002126A0">
        <w:t xml:space="preserve"> </w:t>
      </w:r>
      <w:r w:rsidRPr="002126A0">
        <w:rPr>
          <w:lang w:eastAsia="ja-JP"/>
        </w:rPr>
        <w:t xml:space="preserve">en la aplicación de iniciativas destinadas a redoblar los esfuerzos por reducir la disparidad entre los países en desarrollo y los desarrollados en materia de normalización, así como en el seguimiento y la aplicación de los párrafos de la parte dispositiva de la </w:t>
      </w:r>
      <w:r w:rsidR="009F3507">
        <w:rPr>
          <w:lang w:eastAsia="ja-JP"/>
        </w:rPr>
        <w:t>Resolución </w:t>
      </w:r>
      <w:r w:rsidRPr="002126A0">
        <w:rPr>
          <w:lang w:eastAsia="ja-JP"/>
        </w:rPr>
        <w:t>123 (Rev.</w:t>
      </w:r>
      <w:r>
        <w:rPr>
          <w:lang w:eastAsia="ja-JP"/>
        </w:rPr>
        <w:t> </w:t>
      </w:r>
      <w:r w:rsidRPr="002126A0">
        <w:rPr>
          <w:lang w:eastAsia="ja-JP"/>
        </w:rPr>
        <w:t>Busán, 2014) en favor de la colaboración a este respecto en el plano regional a través de las oficinas y organizaciones regionales;</w:t>
      </w:r>
    </w:p>
    <w:p w:rsidR="00EE5183" w:rsidRPr="002126A0" w:rsidRDefault="00EE5183" w:rsidP="00EE5183">
      <w:pPr>
        <w:rPr>
          <w:lang w:eastAsia="ja-JP"/>
        </w:rPr>
      </w:pPr>
      <w:r w:rsidRPr="002126A0">
        <w:rPr>
          <w:i/>
          <w:iCs/>
          <w:lang w:eastAsia="ja-JP"/>
        </w:rPr>
        <w:t>b)</w:t>
      </w:r>
      <w:r w:rsidRPr="002126A0">
        <w:rPr>
          <w:lang w:eastAsia="ja-JP"/>
        </w:rPr>
        <w:tab/>
        <w:t xml:space="preserve">que en la </w:t>
      </w:r>
      <w:r w:rsidR="009F3507">
        <w:rPr>
          <w:lang w:eastAsia="ja-JP"/>
        </w:rPr>
        <w:t>Resolución </w:t>
      </w:r>
      <w:r w:rsidRPr="002126A0">
        <w:rPr>
          <w:lang w:eastAsia="ja-JP"/>
        </w:rPr>
        <w:t xml:space="preserve">139 (Rev. Busán, 2014) de la Conferencia de Plenipotenciarios se resuelve que se ha de proseguir aplicando la Resolución 37 (Rev. Dubái, 2014) de la Conferencia Mundial de Desarrollo de las Telecomunicaciones </w:t>
      </w:r>
      <w:r>
        <w:rPr>
          <w:lang w:eastAsia="ja-JP"/>
        </w:rPr>
        <w:t xml:space="preserve">(CMDT) </w:t>
      </w:r>
      <w:r w:rsidRPr="002126A0">
        <w:rPr>
          <w:lang w:eastAsia="ja-JP"/>
        </w:rPr>
        <w:t>sobre la utilización de las telecomunicaciones/tecnologías de la información y la comunicación (TIC) para reducir la brecha digital y crear una sociedad de la información integradora;</w:t>
      </w:r>
    </w:p>
    <w:p w:rsidR="00EE5183" w:rsidRPr="002126A0" w:rsidRDefault="00EE5183" w:rsidP="00EE5183">
      <w:pPr>
        <w:rPr>
          <w:i/>
          <w:iCs/>
        </w:rPr>
      </w:pPr>
      <w:r w:rsidRPr="002126A0">
        <w:rPr>
          <w:i/>
          <w:iCs/>
          <w:lang w:eastAsia="ja-JP"/>
        </w:rPr>
        <w:t>c)</w:t>
      </w:r>
      <w:r w:rsidRPr="002126A0">
        <w:rPr>
          <w:lang w:eastAsia="ja-JP"/>
        </w:rPr>
        <w:tab/>
        <w:t xml:space="preserve">que en la </w:t>
      </w:r>
      <w:r w:rsidR="009F3507">
        <w:rPr>
          <w:lang w:eastAsia="ja-JP"/>
        </w:rPr>
        <w:t>Resolución </w:t>
      </w:r>
      <w:r w:rsidRPr="002126A0">
        <w:rPr>
          <w:lang w:eastAsia="ja-JP"/>
        </w:rPr>
        <w:t>154 (Rev. Busán, 2014) de la Conferencia de Plenipotenciarios se resuelve seguir adoptando todas las medidas necesarias para garantizar la utilización de los seis idiomas oficiales de la Unión en igualdad de condiciones;</w:t>
      </w:r>
    </w:p>
    <w:p w:rsidR="00EE5183" w:rsidRPr="002126A0" w:rsidRDefault="00EE5183" w:rsidP="00EE5183">
      <w:pPr>
        <w:rPr>
          <w:lang w:eastAsia="ja-JP"/>
        </w:rPr>
      </w:pPr>
      <w:r w:rsidRPr="002126A0">
        <w:rPr>
          <w:i/>
          <w:iCs/>
          <w:lang w:eastAsia="ja-JP"/>
        </w:rPr>
        <w:t>d)</w:t>
      </w:r>
      <w:r w:rsidRPr="002126A0">
        <w:rPr>
          <w:lang w:eastAsia="ja-JP"/>
        </w:rPr>
        <w:tab/>
        <w:t xml:space="preserve">que la </w:t>
      </w:r>
      <w:r w:rsidR="009F3507">
        <w:rPr>
          <w:lang w:eastAsia="ja-JP"/>
        </w:rPr>
        <w:t>Resolución </w:t>
      </w:r>
      <w:r w:rsidRPr="002126A0">
        <w:rPr>
          <w:lang w:eastAsia="ja-JP"/>
        </w:rPr>
        <w:t>166 (Rev. Busán, 2014) 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t>
      </w:r>
    </w:p>
    <w:p w:rsidR="00EE5183" w:rsidRPr="002126A0" w:rsidRDefault="00EE5183" w:rsidP="009F3507">
      <w:pPr>
        <w:rPr>
          <w:lang w:eastAsia="ja-JP"/>
        </w:rPr>
      </w:pPr>
      <w:r w:rsidRPr="002126A0">
        <w:rPr>
          <w:i/>
          <w:iCs/>
          <w:lang w:eastAsia="ja-JP"/>
        </w:rPr>
        <w:t>e)</w:t>
      </w:r>
      <w:r w:rsidRPr="002126A0">
        <w:rPr>
          <w:lang w:eastAsia="ja-JP"/>
        </w:rPr>
        <w:tab/>
        <w:t xml:space="preserve">que en la </w:t>
      </w:r>
      <w:r w:rsidR="009F3507">
        <w:rPr>
          <w:lang w:eastAsia="ja-JP"/>
        </w:rPr>
        <w:t>Resolución </w:t>
      </w:r>
      <w:r w:rsidRPr="002126A0">
        <w:rPr>
          <w:lang w:eastAsia="ja-JP"/>
        </w:rPr>
        <w:t>169 (Rev. Busán</w:t>
      </w:r>
      <w:r w:rsidR="009F3507">
        <w:rPr>
          <w:lang w:eastAsia="ja-JP"/>
        </w:rPr>
        <w:t> </w:t>
      </w:r>
      <w:r w:rsidRPr="002126A0">
        <w:rPr>
          <w:lang w:eastAsia="ja-JP"/>
        </w:rPr>
        <w:t>2014) de la Conferencia de Plenipotenciarios se resuelve seguir admitiendo la participación de las instituciones académicas de los países en desarrollo en los trabajos de los tres Sectores de la Unión por 1/32 de la unidad contributiva de los Miembros del Sector;</w:t>
      </w:r>
    </w:p>
    <w:p w:rsidR="00EE5183" w:rsidRPr="002126A0" w:rsidRDefault="00EE5183" w:rsidP="009F3507">
      <w:r w:rsidRPr="002126A0">
        <w:rPr>
          <w:i/>
          <w:iCs/>
        </w:rPr>
        <w:t>f)</w:t>
      </w:r>
      <w:r w:rsidRPr="002126A0">
        <w:tab/>
        <w:t xml:space="preserve">que en la </w:t>
      </w:r>
      <w:r w:rsidR="009F3507">
        <w:t>Resolución </w:t>
      </w:r>
      <w:r w:rsidRPr="002126A0">
        <w:t>191 (Busán,</w:t>
      </w:r>
      <w:r w:rsidR="009F3507">
        <w:t> </w:t>
      </w:r>
      <w:r w:rsidRPr="002126A0">
        <w:t>2014) de la Conferencia de Plenipotenciarios se encarga a los Directores de los tres Sectores garantizar la coordinación entre los Sectores;</w:t>
      </w:r>
    </w:p>
    <w:p w:rsidR="00EE5183" w:rsidRPr="002126A0" w:rsidRDefault="00EE5183" w:rsidP="009F3507">
      <w:r w:rsidRPr="002126A0">
        <w:rPr>
          <w:i/>
          <w:iCs/>
        </w:rPr>
        <w:t>g)</w:t>
      </w:r>
      <w:r w:rsidRPr="002126A0">
        <w:tab/>
        <w:t xml:space="preserve">que en la </w:t>
      </w:r>
      <w:r w:rsidR="009F3507">
        <w:t>Resolución </w:t>
      </w:r>
      <w:r w:rsidRPr="002126A0">
        <w:t>195 (Busán,</w:t>
      </w:r>
      <w:r w:rsidR="009F3507">
        <w:t> </w:t>
      </w:r>
      <w:r w:rsidRPr="002126A0">
        <w:t xml:space="preserve">2014) de la Conferencia de Plenipotenciarios se </w:t>
      </w:r>
      <w:r w:rsidRPr="002126A0">
        <w:rPr>
          <w:lang w:eastAsia="zh-CN"/>
        </w:rPr>
        <w:t>resuelve encargar al Director de la Oficina de Desarrollo de las Telecomunicaciones (BDT), en coordinación con los Directores de las demás Oficinas,</w:t>
      </w:r>
      <w:r w:rsidRPr="002126A0">
        <w:t xml:space="preserve"> </w:t>
      </w:r>
      <w:r w:rsidRPr="002126A0">
        <w:rPr>
          <w:lang w:eastAsia="zh-CN"/>
        </w:rPr>
        <w:t>que facilite conocimientos técnicos relativos a la realización de estudios de viabilidad, la gestión de proyectos y el apoyo para la aplicación del Manifiesto Smart Africa;</w:t>
      </w:r>
    </w:p>
    <w:p w:rsidR="00EE5183" w:rsidRPr="002126A0" w:rsidRDefault="00EE5183" w:rsidP="009F3507">
      <w:pPr>
        <w:rPr>
          <w:lang w:eastAsia="ja-JP"/>
        </w:rPr>
      </w:pPr>
      <w:r w:rsidRPr="002126A0">
        <w:rPr>
          <w:i/>
          <w:iCs/>
        </w:rPr>
        <w:t>h)</w:t>
      </w:r>
      <w:r w:rsidRPr="002126A0">
        <w:tab/>
        <w:t xml:space="preserve">que en la </w:t>
      </w:r>
      <w:r w:rsidR="009F3507">
        <w:t>Resolución </w:t>
      </w:r>
      <w:r w:rsidRPr="002126A0">
        <w:t>197 (Busán,</w:t>
      </w:r>
      <w:r w:rsidR="009F3507">
        <w:t> </w:t>
      </w:r>
      <w:r w:rsidRPr="002126A0">
        <w:t xml:space="preserve">2014) de la Conferencia de Plenipotenciarios se encarga al Secretario General, en consulta y colaboración de los Directores de las tres Oficinas, </w:t>
      </w:r>
      <w:r w:rsidRPr="002126A0">
        <w:rPr>
          <w:lang w:eastAsia="zh-CN"/>
        </w:rPr>
        <w:t>que facilite el intercambio de experiencias e información con todas las organizaciones y entidades pertinentes interesadas en Internet de las cosas (IoT) y los servicios IoT a fin de crear oportunidades de cooperación en pro de la implantación de la IoT,</w:t>
      </w:r>
    </w:p>
    <w:p w:rsidR="00EE5183" w:rsidRPr="002126A0" w:rsidRDefault="009F3507" w:rsidP="00EE5183">
      <w:pPr>
        <w:pStyle w:val="Call"/>
      </w:pPr>
      <w:r>
        <w:br w:type="page"/>
      </w:r>
      <w:r w:rsidR="00EE5183" w:rsidRPr="002126A0">
        <w:lastRenderedPageBreak/>
        <w:t>reconociendo</w:t>
      </w:r>
    </w:p>
    <w:p w:rsidR="00EE5183" w:rsidRPr="002126A0" w:rsidRDefault="00EE5183" w:rsidP="00EE5183">
      <w:pPr>
        <w:rPr>
          <w:lang w:eastAsia="ja-JP"/>
        </w:rPr>
      </w:pPr>
      <w:r w:rsidRPr="002126A0">
        <w:rPr>
          <w:i/>
          <w:iCs/>
        </w:rPr>
        <w:t>a)</w:t>
      </w:r>
      <w:r w:rsidRPr="002126A0">
        <w:tab/>
        <w:t>que las tareas que emprende el Sector de Normalización de las T</w:t>
      </w:r>
      <w:r w:rsidRPr="002126A0">
        <w:rPr>
          <w:lang w:eastAsia="ja-JP"/>
        </w:rPr>
        <w:t>elecomunicaciones de la UIT (UIT</w:t>
      </w:r>
      <w:r w:rsidRPr="002126A0">
        <w:rPr>
          <w:lang w:eastAsia="ja-JP"/>
        </w:rPr>
        <w:noBreakHyphen/>
        <w:t>T) abarcan las recomendaciones, la evaluación de la conformidad y otros asuntos que tienen implicaciones políticas o reglamentarias;</w:t>
      </w:r>
    </w:p>
    <w:p w:rsidR="00EE5183" w:rsidRPr="002126A0" w:rsidRDefault="00EE5183" w:rsidP="00EE5183">
      <w:pPr>
        <w:rPr>
          <w:lang w:eastAsia="ja-JP"/>
        </w:rPr>
      </w:pPr>
      <w:r w:rsidRPr="002126A0">
        <w:rPr>
          <w:i/>
          <w:iCs/>
          <w:lang w:eastAsia="ja-JP"/>
        </w:rPr>
        <w:t>b)</w:t>
      </w:r>
      <w:r w:rsidRPr="002126A0">
        <w:rPr>
          <w:i/>
          <w:iCs/>
          <w:lang w:eastAsia="ja-JP"/>
        </w:rPr>
        <w:tab/>
      </w:r>
      <w:r w:rsidRPr="002126A0">
        <w:rPr>
          <w:lang w:eastAsia="ja-JP"/>
        </w:rPr>
        <w:t>que el desarrollo armonioso y equilibrado de las instalaciones y servicios de telecomunicación a escala mundial es provechoso tanto para los países desarrollados como para los países en desarrollo;</w:t>
      </w:r>
    </w:p>
    <w:p w:rsidR="00EE5183" w:rsidRPr="002126A0" w:rsidRDefault="00EE5183" w:rsidP="00EE5183">
      <w:pPr>
        <w:rPr>
          <w:lang w:eastAsia="ja-JP"/>
        </w:rPr>
      </w:pPr>
      <w:r w:rsidRPr="002126A0">
        <w:rPr>
          <w:i/>
          <w:iCs/>
          <w:lang w:eastAsia="ja-JP"/>
        </w:rPr>
        <w:t>c)</w:t>
      </w:r>
      <w:r w:rsidRPr="002126A0">
        <w:rPr>
          <w:i/>
          <w:iCs/>
          <w:lang w:eastAsia="ja-JP"/>
        </w:rPr>
        <w:tab/>
      </w:r>
      <w:r w:rsidRPr="002126A0">
        <w:rPr>
          <w:lang w:eastAsia="ja-JP"/>
        </w:rPr>
        <w:t>que existe la necesidad de reducir el costo de los equipos y de la implantación de redes e instalaciones, teniendo en cuenta las necesidades y los requisitos de los países en desarrollo;</w:t>
      </w:r>
    </w:p>
    <w:p w:rsidR="00EE5183" w:rsidRPr="002126A0" w:rsidRDefault="00EE5183" w:rsidP="00EE5183">
      <w:pPr>
        <w:rPr>
          <w:lang w:eastAsia="ja-JP"/>
        </w:rPr>
      </w:pPr>
      <w:r w:rsidRPr="002126A0">
        <w:rPr>
          <w:i/>
          <w:iCs/>
          <w:lang w:eastAsia="ja-JP"/>
        </w:rPr>
        <w:t>d)</w:t>
      </w:r>
      <w:r w:rsidRPr="002126A0">
        <w:rPr>
          <w:lang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rsidR="00EE5183" w:rsidRPr="002126A0" w:rsidRDefault="00EE5183" w:rsidP="00EE5183">
      <w:pPr>
        <w:rPr>
          <w:lang w:eastAsia="ja-JP"/>
        </w:rPr>
      </w:pPr>
      <w:r w:rsidRPr="002126A0">
        <w:rPr>
          <w:i/>
          <w:iCs/>
          <w:lang w:eastAsia="ja-JP"/>
        </w:rPr>
        <w:t>e)</w:t>
      </w:r>
      <w:r w:rsidRPr="002126A0">
        <w:rPr>
          <w:lang w:eastAsia="ja-JP"/>
        </w:rPr>
        <w:tab/>
        <w:t xml:space="preserve">que reviste gran importancia para los países en desarrollo aumentar su participación en la creación y amplia utilización de las normas de telecomunicaciones </w:t>
      </w:r>
      <w:r w:rsidRPr="002126A0">
        <w:t>y mejorar su contribución a las Comisiones de Estudio del UIT-T</w:t>
      </w:r>
      <w:r w:rsidRPr="002126A0">
        <w:rPr>
          <w:lang w:eastAsia="ja-JP"/>
        </w:rPr>
        <w:t>;</w:t>
      </w:r>
    </w:p>
    <w:p w:rsidR="00EE5183" w:rsidRPr="002126A0" w:rsidRDefault="00EE5183" w:rsidP="00EE5183">
      <w:pPr>
        <w:rPr>
          <w:lang w:eastAsia="ja-JP"/>
        </w:rPr>
      </w:pPr>
      <w:r w:rsidRPr="002126A0">
        <w:rPr>
          <w:i/>
          <w:iCs/>
        </w:rPr>
        <w:t>f)</w:t>
      </w:r>
      <w:r w:rsidRPr="002126A0">
        <w:tab/>
      </w:r>
      <w:r w:rsidRPr="002126A0">
        <w:rPr>
          <w:lang w:eastAsia="ja-JP"/>
        </w:rPr>
        <w:t>que es necesario mejorar la coordinación a nivel nacional en muchos países en desarrollo en lo que respecta a las actividades de normalización de las TIC de manera que contribuyan a la labor del UIT-T;</w:t>
      </w:r>
    </w:p>
    <w:p w:rsidR="00EE5183" w:rsidRPr="002126A0" w:rsidRDefault="00EE5183" w:rsidP="00EE5183">
      <w:pPr>
        <w:rPr>
          <w:lang w:eastAsia="ja-JP"/>
        </w:rPr>
      </w:pPr>
      <w:r w:rsidRPr="002126A0">
        <w:rPr>
          <w:i/>
          <w:iCs/>
          <w:lang w:eastAsia="ja-JP"/>
        </w:rPr>
        <w:t>g)</w:t>
      </w:r>
      <w:r w:rsidRPr="002126A0">
        <w:rPr>
          <w:i/>
          <w:iCs/>
          <w:lang w:eastAsia="ja-JP"/>
        </w:rPr>
        <w:tab/>
      </w:r>
      <w:r w:rsidRPr="002126A0">
        <w:rPr>
          <w:lang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rsidR="00EE5183" w:rsidRPr="002126A0" w:rsidRDefault="00EE5183" w:rsidP="00EE5183">
      <w:pPr>
        <w:rPr>
          <w:lang w:eastAsia="ja-JP"/>
        </w:rPr>
      </w:pPr>
      <w:r w:rsidRPr="002126A0">
        <w:rPr>
          <w:i/>
          <w:iCs/>
        </w:rPr>
        <w:t>h)</w:t>
      </w:r>
      <w:r w:rsidRPr="002126A0">
        <w:tab/>
      </w:r>
      <w:r w:rsidRPr="002126A0">
        <w:rPr>
          <w:lang w:eastAsia="ja-JP"/>
        </w:rPr>
        <w:t xml:space="preserve">que en la </w:t>
      </w:r>
      <w:r w:rsidR="009F3507">
        <w:rPr>
          <w:lang w:eastAsia="ja-JP"/>
        </w:rPr>
        <w:t>Resolución </w:t>
      </w:r>
      <w:r w:rsidRPr="002126A0">
        <w:rPr>
          <w:lang w:eastAsia="ja-JP"/>
        </w:rPr>
        <w:t>71 (Rev. Busán, 2014) de la Conferencia de Plenipotenciarios, Plan Estratégico de la Unión para 2016-2019, se enumeran los objetivos y metas estratégicas de la Unión, entre los que se cuenta el garantizar infraestructuras de conferencias, reuniones, documentación, infraestructuras de publicaciones e información eficientes y accesibles, que depende de la organización de conferencias, asambleas, seminarios y talleres (con traducción e interpretación),</w:t>
      </w:r>
    </w:p>
    <w:p w:rsidR="00EE5183" w:rsidRPr="002126A0" w:rsidRDefault="00EE5183" w:rsidP="00EE5183">
      <w:pPr>
        <w:pStyle w:val="Call"/>
      </w:pPr>
      <w:r w:rsidRPr="002126A0">
        <w:t>reconociendo también</w:t>
      </w:r>
    </w:p>
    <w:p w:rsidR="00EE5183" w:rsidRPr="002126A0" w:rsidRDefault="00EE5183" w:rsidP="009F3507">
      <w:pPr>
        <w:rPr>
          <w:lang w:eastAsia="ja-JP"/>
        </w:rPr>
      </w:pPr>
      <w:r w:rsidRPr="002126A0">
        <w:rPr>
          <w:i/>
          <w:iCs/>
          <w:lang w:eastAsia="ja-JP"/>
        </w:rPr>
        <w:t>a)</w:t>
      </w:r>
      <w:r w:rsidRPr="002126A0">
        <w:rPr>
          <w:lang w:eastAsia="ja-JP"/>
        </w:rPr>
        <w:tab/>
        <w:t>que en la Decisión</w:t>
      </w:r>
      <w:r w:rsidR="009F3507">
        <w:rPr>
          <w:lang w:eastAsia="ja-JP"/>
        </w:rPr>
        <w:t> </w:t>
      </w:r>
      <w:r w:rsidRPr="002126A0">
        <w:rPr>
          <w:lang w:eastAsia="ja-JP"/>
        </w:rPr>
        <w:t>12 (Rev. Busán, 2014) de la Conferencia de Plenipotenciarios de 2010 se confirma el acceso en línea gratuito al público en general a las Recomendaciones del</w:t>
      </w:r>
      <w:r w:rsidR="009F3507">
        <w:rPr>
          <w:lang w:eastAsia="ja-JP"/>
        </w:rPr>
        <w:t xml:space="preserve"> </w:t>
      </w:r>
      <w:r w:rsidRPr="002126A0">
        <w:rPr>
          <w:lang w:eastAsia="ja-JP"/>
        </w:rPr>
        <w:t>UIT-T y las Recomendaciones del Sector de Radiocomunicaciones de la UIT (UIT-R), a los Informes del UIT-R, a los textos fundamentales de la Unión (la Constitución, e</w:t>
      </w:r>
      <w:r w:rsidR="009F3507">
        <w:rPr>
          <w:lang w:eastAsia="ja-JP"/>
        </w:rPr>
        <w:t xml:space="preserve">l </w:t>
      </w:r>
      <w:r w:rsidRPr="002126A0">
        <w:rPr>
          <w:lang w:eastAsia="ja-JP"/>
        </w:rPr>
        <w:t>Convenio y el Reglamento General de las conferencias, asambleas y otras reuniones de la Unión), así como a las Actas Finales de las Conferencias de Plenipotenciarios;</w:t>
      </w:r>
    </w:p>
    <w:p w:rsidR="00EE5183" w:rsidRPr="002126A0" w:rsidRDefault="00EE5183" w:rsidP="00EE5183">
      <w:pPr>
        <w:rPr>
          <w:lang w:eastAsia="ja-JP"/>
        </w:rPr>
      </w:pPr>
      <w:r w:rsidRPr="002126A0">
        <w:rPr>
          <w:i/>
          <w:iCs/>
          <w:lang w:eastAsia="ja-JP"/>
        </w:rPr>
        <w:t>b)</w:t>
      </w:r>
      <w:r w:rsidRPr="002126A0">
        <w:rPr>
          <w:lang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rsidR="00EE5183" w:rsidRPr="002126A0" w:rsidRDefault="00EE5183" w:rsidP="00EE5183">
      <w:pPr>
        <w:rPr>
          <w:lang w:eastAsia="ko-KR"/>
        </w:rPr>
      </w:pPr>
      <w:r w:rsidRPr="002126A0">
        <w:rPr>
          <w:i/>
          <w:iCs/>
          <w:lang w:eastAsia="ja-JP"/>
        </w:rPr>
        <w:t>c)</w:t>
      </w:r>
      <w:r w:rsidRPr="002126A0">
        <w:rPr>
          <w:i/>
          <w:iCs/>
          <w:lang w:eastAsia="ja-JP"/>
        </w:rPr>
        <w:tab/>
      </w:r>
      <w:r w:rsidRPr="002126A0">
        <w:t xml:space="preserve">que, en virtud del Plan Estratégico de </w:t>
      </w:r>
      <w:bookmarkStart w:id="10" w:name="_GoBack"/>
      <w:bookmarkEnd w:id="10"/>
      <w:r w:rsidRPr="002126A0">
        <w:t>la Unión para</w:t>
      </w:r>
      <w:r w:rsidRPr="002126A0">
        <w:rPr>
          <w:lang w:eastAsia="ko-KR"/>
        </w:rPr>
        <w:t xml:space="preserve"> 2016-2019, uno de los objetivos</w:t>
      </w:r>
      <w:r w:rsidRPr="002126A0">
        <w:rPr>
          <w:color w:val="000000"/>
        </w:rPr>
        <w:t xml:space="preserve"> </w:t>
      </w:r>
      <w:r w:rsidRPr="002126A0">
        <w:rPr>
          <w:lang w:eastAsia="ko-KR"/>
        </w:rPr>
        <w:t>del UIT-T es "promover la participación activa de los miembros y, en particular, países en desarrollo en la definición y adopción de normas internacionales no discriminatorias/TIC (Recomendaciones del UIT-T) con miras a reducir la disparidad en materia de normalización";</w:t>
      </w:r>
    </w:p>
    <w:p w:rsidR="00EE5183" w:rsidRPr="002126A0" w:rsidRDefault="00EE5183" w:rsidP="00EE5183">
      <w:pPr>
        <w:rPr>
          <w:lang w:eastAsia="ja-JP"/>
        </w:rPr>
      </w:pPr>
      <w:r w:rsidRPr="002126A0">
        <w:rPr>
          <w:i/>
          <w:iCs/>
          <w:lang w:eastAsia="ja-JP"/>
        </w:rPr>
        <w:t>d)</w:t>
      </w:r>
      <w:r w:rsidRPr="002126A0">
        <w:rPr>
          <w:lang w:eastAsia="ja-JP"/>
        </w:rPr>
        <w:tab/>
        <w:t>que se ha de facilitar el servicio de interpretación en algunas reuniones del UIT-T a fin de contribuir a reducir la brecha de normalización y garantizar la máxima implicación de todos los delegados, en particular los de los países en desarrollo;</w:t>
      </w:r>
    </w:p>
    <w:p w:rsidR="00EE5183" w:rsidRPr="002126A0" w:rsidRDefault="00EE5183" w:rsidP="00EE5183">
      <w:pPr>
        <w:rPr>
          <w:lang w:eastAsia="ja-JP"/>
        </w:rPr>
      </w:pPr>
      <w:r w:rsidRPr="002126A0">
        <w:rPr>
          <w:i/>
          <w:iCs/>
          <w:lang w:eastAsia="ja-JP"/>
        </w:rPr>
        <w:t>e)</w:t>
      </w:r>
      <w:r w:rsidRPr="002126A0">
        <w:rPr>
          <w:lang w:eastAsia="ja-JP"/>
        </w:rPr>
        <w:tab/>
        <w:t>que la interpretación es fundamental para que todos los delegados, en particular los de los países en desarrollo, entiendan plenamente y participen en las decisiones de normalización que se toman en las reuniones del UIT-T;</w:t>
      </w:r>
    </w:p>
    <w:p w:rsidR="00EE5183" w:rsidRPr="002126A0" w:rsidRDefault="00EE5183" w:rsidP="00EE5183">
      <w:pPr>
        <w:rPr>
          <w:lang w:eastAsia="ja-JP"/>
        </w:rPr>
      </w:pPr>
      <w:r w:rsidRPr="002126A0">
        <w:rPr>
          <w:i/>
          <w:iCs/>
          <w:lang w:eastAsia="ja-JP"/>
        </w:rPr>
        <w:t>f)</w:t>
      </w:r>
      <w:r w:rsidRPr="002126A0">
        <w:rPr>
          <w:lang w:eastAsia="ja-JP"/>
        </w:rPr>
        <w:tab/>
        <w:t>que el Grupo Asesor de Normalización de las Telecomunicaciones (GANT) desempeña un papel primordial y toma decisiones que inciden en los trabajos de todas las Comisiones de Estudio,</w:t>
      </w:r>
    </w:p>
    <w:p w:rsidR="00EE5183" w:rsidRPr="002126A0" w:rsidRDefault="009F3507" w:rsidP="00EE5183">
      <w:pPr>
        <w:pStyle w:val="Call"/>
      </w:pPr>
      <w:r>
        <w:br w:type="page"/>
      </w:r>
      <w:r w:rsidR="00EE5183" w:rsidRPr="002126A0">
        <w:lastRenderedPageBreak/>
        <w:t>teniendo en cuenta</w:t>
      </w:r>
    </w:p>
    <w:p w:rsidR="00EE5183" w:rsidRPr="002126A0" w:rsidRDefault="00EE5183" w:rsidP="00EE5183">
      <w:r w:rsidRPr="002126A0">
        <w:rPr>
          <w:i/>
          <w:iCs/>
        </w:rPr>
        <w:t>a)</w:t>
      </w:r>
      <w:r w:rsidRPr="002126A0">
        <w:tab/>
      </w:r>
      <w:r w:rsidRPr="002126A0">
        <w:rPr>
          <w:lang w:eastAsia="ja-JP"/>
        </w:rPr>
        <w:t>que si bien la UIT ha logrado importantes progresos en lo que atañe a la definición y la reducción de la brecha de normalización,</w:t>
      </w:r>
      <w:r w:rsidRPr="002126A0">
        <w:t xml:space="preserve"> </w:t>
      </w:r>
      <w:r w:rsidRPr="002126A0">
        <w:rPr>
          <w:lang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Pr="002126A0">
        <w:t>;</w:t>
      </w:r>
    </w:p>
    <w:p w:rsidR="00EE5183" w:rsidRPr="002126A0" w:rsidRDefault="00EE5183" w:rsidP="00EE5183">
      <w:r w:rsidRPr="002126A0">
        <w:rPr>
          <w:i/>
          <w:iCs/>
        </w:rPr>
        <w:t>b)</w:t>
      </w:r>
      <w:r w:rsidRPr="002126A0">
        <w:tab/>
        <w:t>que la participación real de los países en desarrollo, de haberla, se limita por lo general a las etapas de aprobación final y aplicación y no a la preparación de propuestas elaboradas en los diversos grupos de trabajo;</w:t>
      </w:r>
    </w:p>
    <w:p w:rsidR="00EE5183" w:rsidRPr="002126A0" w:rsidRDefault="00EE5183" w:rsidP="00EE5183">
      <w:pPr>
        <w:rPr>
          <w:lang w:eastAsia="ja-JP"/>
        </w:rPr>
      </w:pPr>
      <w:r w:rsidRPr="002126A0">
        <w:rPr>
          <w:i/>
          <w:iCs/>
        </w:rPr>
        <w:t>c)</w:t>
      </w:r>
      <w:r w:rsidRPr="002126A0">
        <w:tab/>
        <w:t>que es necesario mejorar la coordinación a nivel nacional en muchos países en desarrollo en lo que respecta a las actividades de normalización de las TIC de manera que contribuyan a la labor del UIT-T;</w:t>
      </w:r>
    </w:p>
    <w:p w:rsidR="00EE5183" w:rsidRPr="002126A0" w:rsidRDefault="00EE5183" w:rsidP="00EE5183">
      <w:pPr>
        <w:rPr>
          <w:i/>
          <w:iCs/>
          <w:lang w:eastAsia="ja-JP"/>
        </w:rPr>
      </w:pPr>
      <w:r w:rsidRPr="002126A0">
        <w:rPr>
          <w:i/>
          <w:iCs/>
          <w:lang w:eastAsia="ja-JP"/>
        </w:rPr>
        <w:t>d)</w:t>
      </w:r>
      <w:r w:rsidRPr="002126A0">
        <w:rPr>
          <w:i/>
          <w:iCs/>
          <w:lang w:eastAsia="ja-JP"/>
        </w:rPr>
        <w:tab/>
      </w:r>
      <w:r w:rsidRPr="002126A0">
        <w:rPr>
          <w:lang w:eastAsia="ja-JP"/>
        </w:rPr>
        <w:t>que la estructura del presupuesto bienal incluye actualmente 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rsidR="009F3507" w:rsidRDefault="00EE5183" w:rsidP="00EE5183">
      <w:r w:rsidRPr="002126A0">
        <w:rPr>
          <w:i/>
          <w:iCs/>
          <w:lang w:eastAsia="ja-JP"/>
        </w:rPr>
        <w:t>e)</w:t>
      </w:r>
      <w:r w:rsidRPr="002126A0">
        <w:rPr>
          <w:lang w:eastAsia="ja-JP"/>
        </w:rPr>
        <w:tab/>
      </w:r>
      <w:r w:rsidRPr="002126A0">
        <w:t>que los programas de la UIT destinados a fomentar asociaciones, bajo los auspicios del UIT</w:t>
      </w:r>
      <w:r w:rsidRPr="002126A0">
        <w:noBreakHyphen/>
        <w:t>T, continúan reforzando y ampliando la asistencia que la UIT presta a sus Miembros, especialmente a los países en desarrollo;</w:t>
      </w:r>
    </w:p>
    <w:p w:rsidR="00EE5183" w:rsidRPr="002126A0" w:rsidRDefault="00EE5183" w:rsidP="00EE5183">
      <w:pPr>
        <w:rPr>
          <w:i/>
          <w:iCs/>
        </w:rPr>
      </w:pPr>
      <w:r w:rsidRPr="002126A0">
        <w:rPr>
          <w:i/>
          <w:iCs/>
        </w:rPr>
        <w:t>f)</w:t>
      </w:r>
      <w:r w:rsidRPr="002126A0">
        <w:rPr>
          <w:i/>
          <w:iCs/>
        </w:rPr>
        <w:tab/>
      </w:r>
      <w:r w:rsidRPr="002126A0">
        <w:t>la importancia de que los países en desarrollo dispongan de marcos de consulta adecuados para la formulación y el estudio de Cuestiones, la preparación de contribuciones y la capacitación;</w:t>
      </w:r>
    </w:p>
    <w:p w:rsidR="00EE5183" w:rsidRPr="002126A0" w:rsidRDefault="00EE5183" w:rsidP="00EE5183">
      <w:pPr>
        <w:rPr>
          <w:i/>
          <w:iCs/>
        </w:rPr>
      </w:pPr>
      <w:r w:rsidRPr="002126A0">
        <w:rPr>
          <w:i/>
          <w:iCs/>
        </w:rPr>
        <w:t>g)</w:t>
      </w:r>
      <w:r w:rsidRPr="002126A0">
        <w:rPr>
          <w:i/>
          <w:iCs/>
        </w:rPr>
        <w:tab/>
      </w:r>
      <w:r w:rsidRPr="002126A0">
        <w:t>que la estructura y los métodos de trabajo de las Comisiones de Estudio del UIT-T podrían servir para mejorar el nivel de participación de los países en desarrollo en las actividades de normalización;</w:t>
      </w:r>
    </w:p>
    <w:p w:rsidR="00EE5183" w:rsidRPr="002126A0" w:rsidRDefault="00EE5183" w:rsidP="00EE5183">
      <w:r w:rsidRPr="002126A0">
        <w:rPr>
          <w:i/>
          <w:iCs/>
        </w:rPr>
        <w:t>h)</w:t>
      </w:r>
      <w:r w:rsidRPr="002126A0">
        <w:rPr>
          <w:i/>
          <w:iCs/>
        </w:rPr>
        <w:tab/>
      </w:r>
      <w:r w:rsidRPr="002126A0">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rsidR="00EE5183" w:rsidRPr="002126A0" w:rsidRDefault="00EE5183" w:rsidP="00EE5183">
      <w:r w:rsidRPr="002126A0">
        <w:rPr>
          <w:i/>
          <w:iCs/>
        </w:rPr>
        <w:t>i)</w:t>
      </w:r>
      <w:r w:rsidRPr="002126A0">
        <w:tab/>
        <w:t>que la UIT puede seguir mejorando, tanto cualitativa como cuantitativamente, la participación activa de los países en desarrollo en la labor de normalización del UIT-T por medio de los Presidentes y Vicepresidentes del GANT y las Comisiones de Estudio del UIT-T, nombrados teniendo en cuenta la representación regional y a quienes se les puede atribuir responsabilidades específicas;</w:t>
      </w:r>
    </w:p>
    <w:p w:rsidR="00EE5183" w:rsidRPr="002126A0" w:rsidRDefault="00EE5183" w:rsidP="00EE5183">
      <w:r w:rsidRPr="002126A0">
        <w:rPr>
          <w:i/>
          <w:iCs/>
        </w:rPr>
        <w:t>j)</w:t>
      </w:r>
      <w:r w:rsidRPr="002126A0">
        <w:rPr>
          <w:i/>
          <w:iCs/>
        </w:rPr>
        <w:tab/>
      </w:r>
      <w:r w:rsidRPr="002126A0">
        <w:t>que el GANT acordó la creación de 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rsidR="00EE5183" w:rsidRPr="002126A0" w:rsidRDefault="00EE5183" w:rsidP="00EE5183">
      <w:pPr>
        <w:pStyle w:val="Call"/>
      </w:pPr>
      <w:r w:rsidRPr="002126A0">
        <w:t>recordando</w:t>
      </w:r>
    </w:p>
    <w:p w:rsidR="00EE5183" w:rsidRPr="002126A0" w:rsidRDefault="00EE5183" w:rsidP="00EE5183">
      <w:r w:rsidRPr="002126A0">
        <w:rPr>
          <w:i/>
          <w:iCs/>
        </w:rPr>
        <w:t>a)</w:t>
      </w:r>
      <w:r w:rsidRPr="002126A0">
        <w:tab/>
        <w:t xml:space="preserve">que en la </w:t>
      </w:r>
      <w:r w:rsidR="009F3507">
        <w:t>Resolución </w:t>
      </w:r>
      <w:r w:rsidRPr="002126A0">
        <w:t>1353 del Consejo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rsidR="00EE5183" w:rsidRPr="002126A0" w:rsidRDefault="00EE5183" w:rsidP="00EE5183">
      <w:r w:rsidRPr="002126A0">
        <w:rPr>
          <w:i/>
          <w:iCs/>
        </w:rPr>
        <w:t>b)</w:t>
      </w:r>
      <w:r w:rsidRPr="002126A0">
        <w:tab/>
        <w:t>las conclusiones pertinentes del Simposio Mundial de Normalización,</w:t>
      </w:r>
    </w:p>
    <w:p w:rsidR="00EE5183" w:rsidRPr="002126A0" w:rsidRDefault="00EE5183" w:rsidP="00EE5183">
      <w:pPr>
        <w:pStyle w:val="Call"/>
      </w:pPr>
      <w:r w:rsidRPr="002126A0">
        <w:t>resuelve</w:t>
      </w:r>
    </w:p>
    <w:p w:rsidR="00EE5183" w:rsidRPr="002126A0" w:rsidRDefault="00EE5183" w:rsidP="00EE5183">
      <w:pPr>
        <w:rPr>
          <w:lang w:eastAsia="ja-JP"/>
        </w:rPr>
      </w:pPr>
      <w:r w:rsidRPr="002126A0">
        <w:t>1</w:t>
      </w:r>
      <w:r w:rsidRPr="002126A0">
        <w:tab/>
        <w:t xml:space="preserve">que el plan de acción anexo a la presente </w:t>
      </w:r>
      <w:r w:rsidRPr="002126A0">
        <w:rPr>
          <w:lang w:eastAsia="ja-JP"/>
        </w:rPr>
        <w:t>Resolución, cuyo objetivo es reducir la brecha de normalización entre países desarrollados y en desarrollo,</w:t>
      </w:r>
      <w:r w:rsidRPr="002126A0">
        <w:t xml:space="preserve"> se siga aplicando y revisando anualmente para tener en cuenta las necesidades de los países en desarrollo</w:t>
      </w:r>
      <w:r w:rsidRPr="002126A0">
        <w:rPr>
          <w:lang w:eastAsia="ja-JP"/>
        </w:rPr>
        <w:t>;</w:t>
      </w:r>
    </w:p>
    <w:p w:rsidR="00EE5183" w:rsidRPr="002126A0" w:rsidRDefault="00EB2730" w:rsidP="00EE5183">
      <w:pPr>
        <w:rPr>
          <w:lang w:eastAsia="ja-JP"/>
        </w:rPr>
      </w:pPr>
      <w:r>
        <w:rPr>
          <w:lang w:eastAsia="ja-JP"/>
        </w:rPr>
        <w:br w:type="page"/>
      </w:r>
      <w:r w:rsidR="00EE5183" w:rsidRPr="002126A0">
        <w:rPr>
          <w:lang w:eastAsia="ja-JP"/>
        </w:rPr>
        <w:lastRenderedPageBreak/>
        <w:t>2</w:t>
      </w:r>
      <w:r w:rsidR="00EE5183" w:rsidRPr="002126A0">
        <w:rPr>
          <w:lang w:eastAsia="ja-JP"/>
        </w:rPr>
        <w:tab/>
        <w:t>que el UIT-T desarrolle, en colaboración, si procede, con los demás Sectores, en especial el Sector de Desarrollo de las Telecomunicaciones de la UIT (UIT-D), un programa para:</w:t>
      </w:r>
    </w:p>
    <w:p w:rsidR="00EE5183" w:rsidRPr="002126A0" w:rsidRDefault="00EE5183" w:rsidP="00EE5183">
      <w:pPr>
        <w:pStyle w:val="enumlev1"/>
        <w:rPr>
          <w:lang w:eastAsia="ja-JP"/>
        </w:rPr>
      </w:pPr>
      <w:r w:rsidRPr="002126A0">
        <w:rPr>
          <w:lang w:eastAsia="ja-JP"/>
        </w:rPr>
        <w:t>i)</w:t>
      </w:r>
      <w:r w:rsidRPr="002126A0">
        <w:rPr>
          <w:lang w:eastAsia="ja-JP"/>
        </w:rPr>
        <w:tab/>
        <w:t>ayudar a los países en desarrollo a elaborar estrategias y métodos que faciliten el proceso de vinculación de las innovaciones al proceso de normalización;</w:t>
      </w:r>
    </w:p>
    <w:p w:rsidR="00EE5183" w:rsidRPr="002126A0" w:rsidRDefault="00EE5183" w:rsidP="00EE5183">
      <w:pPr>
        <w:pStyle w:val="enumlev1"/>
        <w:rPr>
          <w:lang w:eastAsia="ja-JP"/>
        </w:rPr>
      </w:pPr>
      <w:r w:rsidRPr="002126A0">
        <w:rPr>
          <w:lang w:eastAsia="ja-JP"/>
        </w:rPr>
        <w:t>ii)</w:t>
      </w:r>
      <w:r w:rsidRPr="002126A0">
        <w:rPr>
          <w:lang w:eastAsia="ja-JP"/>
        </w:rPr>
        <w:tab/>
        <w:t>ayudar a los países en desarrollo a dotarse de mecanismos para armonizar sus estrategias nacionales industriales y en materia de innovación a fin de que su influencia en sus ecosistemas socioeconómicos sea lo mayor posible; y</w:t>
      </w:r>
    </w:p>
    <w:p w:rsidR="00EE5183" w:rsidRPr="002126A0" w:rsidRDefault="00EE5183" w:rsidP="00EE5183">
      <w:pPr>
        <w:pStyle w:val="enumlev1"/>
        <w:rPr>
          <w:lang w:eastAsia="ja-JP"/>
        </w:rPr>
      </w:pPr>
      <w:r w:rsidRPr="002126A0">
        <w:t>iii)</w:t>
      </w:r>
      <w:r w:rsidRPr="002126A0">
        <w:tab/>
        <w:t>ayudar a los países en desarrollo a formular estrategias con miras al establecimiento de laboratorios de prueba nacionales e internacionales para tecnologías incipientes;</w:t>
      </w:r>
    </w:p>
    <w:p w:rsidR="00EE5183" w:rsidRPr="002126A0" w:rsidRDefault="00EE5183" w:rsidP="00EE5183">
      <w:r w:rsidRPr="002126A0">
        <w:t>3</w:t>
      </w:r>
      <w:r w:rsidRPr="002126A0">
        <w:tab/>
        <w:t>que, a reserva de la aprobación del Consejo, se ofrezca acceso gratuito en línea a los manuales, directrices y otro material de la UIT que ayuden a comprender y aplicar las Recomendaciones del UIT</w:t>
      </w:r>
      <w:r w:rsidRPr="002126A0">
        <w:noBreakHyphen/>
        <w:t>T, especialmente en el campo de desarrollo de la planificación, la explotación y el mantenimiento de equipos y redes de telecomunicaciones;</w:t>
      </w:r>
    </w:p>
    <w:p w:rsidR="00EE5183" w:rsidRPr="002126A0" w:rsidRDefault="00EE5183" w:rsidP="00EE5183">
      <w:r w:rsidRPr="002126A0">
        <w:t>4</w:t>
      </w:r>
      <w:r w:rsidRPr="002126A0">
        <w:tab/>
        <w:t>ayudar, con sujeción a los recursos disponibles o que se aporten por otra vía, y estudiando cada caso individualmente, a la creación coordinada de Grupos Regionales de las Comisiones de Estudio del UIT-T, y alentar la cooperación y la colaboración entre estos grupos y otras entidades regionales de normalización;</w:t>
      </w:r>
    </w:p>
    <w:p w:rsidR="00EE5183" w:rsidRPr="002126A0" w:rsidRDefault="00EE5183" w:rsidP="00EE5183">
      <w:r w:rsidRPr="002126A0">
        <w:t>5</w:t>
      </w:r>
      <w:r w:rsidRPr="002126A0">
        <w:tab/>
        <w:t>que se mantenga en el presupuesto anual de la Unión una partida de gastos separada para las actividades relativas a la reducción de la brecha de normalización y, además, se sigan alentando las contribuciones voluntarias;</w:t>
      </w:r>
    </w:p>
    <w:p w:rsidR="00EE5183" w:rsidRPr="002126A0" w:rsidRDefault="00EE5183" w:rsidP="00EE5183">
      <w:r w:rsidRPr="002126A0">
        <w:t>6</w:t>
      </w:r>
      <w:r w:rsidRPr="002126A0">
        <w:tab/>
        <w:t>que, a petición de los participantes, se facilite el servicio de interpretación en todas las reuniones plenarias de las Comisiones de Estudio y de los Grupos de Trabajo, así como en todas las reuniones del GANT,</w:t>
      </w:r>
    </w:p>
    <w:p w:rsidR="00EE5183" w:rsidRPr="002126A0" w:rsidRDefault="00EE5183" w:rsidP="00EE5183">
      <w:pPr>
        <w:pStyle w:val="Call"/>
      </w:pPr>
      <w:r w:rsidRPr="002126A0">
        <w:t>resuelve además que las Oficinas Regionales de la UIT</w:t>
      </w:r>
    </w:p>
    <w:p w:rsidR="00EE5183" w:rsidRPr="002126A0" w:rsidRDefault="00EE5183" w:rsidP="009F3507">
      <w:r w:rsidRPr="002126A0">
        <w:t>1</w:t>
      </w:r>
      <w:r w:rsidRPr="002126A0">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2126A0">
        <w:noBreakHyphen/>
        <w:t>T de nuevos Miembros del Sector, Asociados e instituciones académicas de países en desarrollo, y presten la asistencia necesaria a los Grupos Regionales de las Comisiones de Estudio del UIT</w:t>
      </w:r>
      <w:r w:rsidR="009F3507">
        <w:noBreakHyphen/>
      </w:r>
      <w:r w:rsidRPr="002126A0">
        <w:t>T;</w:t>
      </w:r>
    </w:p>
    <w:p w:rsidR="00EE5183" w:rsidRPr="002126A0" w:rsidRDefault="00EE5183" w:rsidP="00EE5183">
      <w:r w:rsidRPr="002126A0">
        <w:t>2</w:t>
      </w:r>
      <w:r w:rsidRPr="002126A0">
        <w:tab/>
        <w:t>presten asistencia a los Vicepresidentes, con sujeción al presupuesto de cada Oficina, a los que se haya asignado, entre otras, las siguientes responsabilidades:</w:t>
      </w:r>
    </w:p>
    <w:p w:rsidR="00EE5183" w:rsidRPr="002126A0" w:rsidRDefault="00EE5183" w:rsidP="00EE5183">
      <w:pPr>
        <w:pStyle w:val="enumlev1"/>
      </w:pPr>
      <w:r w:rsidRPr="002126A0">
        <w:t>i)</w:t>
      </w:r>
      <w:r w:rsidRPr="002126A0">
        <w:tab/>
        <w:t>colaborar estrechamente con los miembros de la UIT en la región a fin de movilizarlos a participar en las actividades de normalización de la UIT para que contribuyan a reducir la brecha de normalización;</w:t>
      </w:r>
    </w:p>
    <w:p w:rsidR="00EE5183" w:rsidRPr="002126A0" w:rsidRDefault="00EE5183" w:rsidP="00EE5183">
      <w:pPr>
        <w:pStyle w:val="enumlev1"/>
      </w:pPr>
      <w:r w:rsidRPr="002126A0">
        <w:t>ii)</w:t>
      </w:r>
      <w:r w:rsidRPr="002126A0">
        <w:tab/>
        <w:t>elaborar informes sobre movilización y participación para el órgano de la UIT dedicado a esa región;</w:t>
      </w:r>
    </w:p>
    <w:p w:rsidR="00EE5183" w:rsidRPr="002126A0" w:rsidRDefault="00EE5183" w:rsidP="00EE5183">
      <w:pPr>
        <w:pStyle w:val="enumlev1"/>
      </w:pPr>
      <w:r w:rsidRPr="002126A0">
        <w:t>iii)</w:t>
      </w:r>
      <w:r w:rsidRPr="002126A0">
        <w:tab/>
        <w:t>preparar un programa de movilización para las regiones que representen y presentarlo a la primera reunión del GANT o de una Comisión de Estudio y transmitir un informe al GANT;</w:t>
      </w:r>
    </w:p>
    <w:p w:rsidR="00EE5183" w:rsidRPr="002126A0" w:rsidRDefault="00EE5183" w:rsidP="00EE5183">
      <w:pPr>
        <w:pStyle w:val="enumlev1"/>
      </w:pPr>
      <w:r w:rsidRPr="002126A0">
        <w:t>iv)</w:t>
      </w:r>
      <w:r w:rsidRPr="002126A0">
        <w:tab/>
        <w:t>informar a los Miembros de la UIT sobre programas e iniciativas del UIT-D que puedan ayudar a reducir la brecha de normalización;</w:t>
      </w:r>
    </w:p>
    <w:p w:rsidR="00EE5183" w:rsidRPr="002126A0" w:rsidRDefault="00EE5183" w:rsidP="00EE5183">
      <w:r w:rsidRPr="002126A0">
        <w:t>3</w:t>
      </w:r>
      <w:r w:rsidRPr="002126A0">
        <w:tab/>
        <w:t>organicen y coordinen las actividades de los Grupos Regionales de las Comisiones de Estudio del UIT-T,</w:t>
      </w:r>
    </w:p>
    <w:p w:rsidR="00EE5183" w:rsidRPr="002126A0" w:rsidRDefault="00EE5183" w:rsidP="00EE5183">
      <w:pPr>
        <w:pStyle w:val="Call"/>
        <w:rPr>
          <w:lang w:eastAsia="ja-JP"/>
        </w:rPr>
      </w:pPr>
      <w:r w:rsidRPr="002126A0">
        <w:rPr>
          <w:lang w:eastAsia="ja-JP"/>
        </w:rPr>
        <w:t>invita al Consejo</w:t>
      </w:r>
    </w:p>
    <w:p w:rsidR="00EE5183" w:rsidRPr="002126A0" w:rsidRDefault="00EE5183" w:rsidP="00EB2730">
      <w:pPr>
        <w:rPr>
          <w:lang w:eastAsia="ja-JP"/>
        </w:rPr>
      </w:pPr>
      <w:r w:rsidRPr="002126A0">
        <w:rPr>
          <w:lang w:eastAsia="ja-JP"/>
        </w:rPr>
        <w:t xml:space="preserve">a que, habida cuenta de los </w:t>
      </w:r>
      <w:r w:rsidRPr="002126A0">
        <w:rPr>
          <w:i/>
          <w:iCs/>
          <w:lang w:eastAsia="ja-JP"/>
        </w:rPr>
        <w:t xml:space="preserve">resuelve </w:t>
      </w:r>
      <w:r w:rsidRPr="002126A0">
        <w:rPr>
          <w:lang w:eastAsia="ja-JP"/>
        </w:rPr>
        <w:t xml:space="preserve">anteriores, en particular el </w:t>
      </w:r>
      <w:r w:rsidRPr="002126A0">
        <w:rPr>
          <w:i/>
          <w:iCs/>
          <w:lang w:eastAsia="ja-JP"/>
        </w:rPr>
        <w:t>resuelve</w:t>
      </w:r>
      <w:r w:rsidR="00EB2730">
        <w:rPr>
          <w:lang w:eastAsia="ja-JP"/>
        </w:rPr>
        <w:t> </w:t>
      </w:r>
      <w:r w:rsidRPr="002126A0">
        <w:rPr>
          <w:lang w:eastAsia="ja-JP"/>
        </w:rPr>
        <w:t>6, aumente los créditos presupuestarios del UIT-T para becas, interpretación y traducción de documentos para reuniones d</w:t>
      </w:r>
      <w:r w:rsidR="00EB2730">
        <w:rPr>
          <w:lang w:eastAsia="ja-JP"/>
        </w:rPr>
        <w:t xml:space="preserve">el </w:t>
      </w:r>
      <w:r w:rsidRPr="002126A0">
        <w:rPr>
          <w:lang w:eastAsia="ja-JP"/>
        </w:rPr>
        <w:t>GANT, de las Comisiones de Estudio del UIT-T y de los Grupos Regionales de las Comisiones de Estudio del UIT</w:t>
      </w:r>
      <w:r w:rsidR="009F3507">
        <w:rPr>
          <w:lang w:eastAsia="ja-JP"/>
        </w:rPr>
        <w:noBreakHyphen/>
      </w:r>
      <w:r w:rsidRPr="002126A0">
        <w:rPr>
          <w:lang w:eastAsia="ja-JP"/>
        </w:rPr>
        <w:t>T,</w:t>
      </w:r>
    </w:p>
    <w:p w:rsidR="00EE5183" w:rsidRDefault="00EE5183" w:rsidP="00EE5183">
      <w:pPr>
        <w:pStyle w:val="Call"/>
      </w:pPr>
      <w:r w:rsidRPr="002126A0">
        <w:rPr>
          <w:lang w:eastAsia="ja-JP"/>
        </w:rPr>
        <w:lastRenderedPageBreak/>
        <w:t xml:space="preserve">encarga al Director de la </w:t>
      </w:r>
      <w:r w:rsidRPr="002126A0">
        <w:t xml:space="preserve">Oficina de Normalización de las Telecomunicaciones, en colaboración con los Directores de la Oficina de Radiocomunicaciones </w:t>
      </w:r>
      <w:r>
        <w:t xml:space="preserve">y de la </w:t>
      </w:r>
      <w:r w:rsidRPr="002126A0">
        <w:t>Oficina de Desar</w:t>
      </w:r>
      <w:r>
        <w:t>rollo de las Telecomunicaciones</w:t>
      </w:r>
    </w:p>
    <w:p w:rsidR="00EE5183" w:rsidRPr="002126A0" w:rsidRDefault="00EE5183" w:rsidP="00EE5183">
      <w:r w:rsidRPr="00DD7912">
        <w:t>con sujeción a los recursos disponibles,</w:t>
      </w:r>
    </w:p>
    <w:p w:rsidR="00EE5183" w:rsidRPr="002126A0" w:rsidRDefault="00EE5183" w:rsidP="00EE5183">
      <w:pPr>
        <w:rPr>
          <w:lang w:eastAsia="ja-JP"/>
        </w:rPr>
      </w:pPr>
      <w:r w:rsidRPr="002126A0">
        <w:t>1</w:t>
      </w:r>
      <w:r w:rsidRPr="002126A0">
        <w:tab/>
        <w:t xml:space="preserve">que siga aplicando los objetivos del plan de acción anexo a la presente </w:t>
      </w:r>
      <w:r w:rsidRPr="002126A0">
        <w:rPr>
          <w:lang w:eastAsia="ja-JP"/>
        </w:rPr>
        <w:t>Resolución;</w:t>
      </w:r>
    </w:p>
    <w:p w:rsidR="00EE5183" w:rsidRPr="002126A0" w:rsidRDefault="00EE5183" w:rsidP="00EE5183">
      <w:r w:rsidRPr="002126A0">
        <w:t>2</w:t>
      </w:r>
      <w:r w:rsidRPr="002126A0">
        <w:tab/>
      </w:r>
      <w:r w:rsidRPr="002126A0">
        <w:rPr>
          <w:lang w:eastAsia="ja-JP"/>
        </w:rPr>
        <w:t>que aliente la constitución de asociaciones bajo los auspicios del UIT-T como uno de los mecanismos para financiar y alcanzar los objetivos del plan de acción anexo a la presente Resolución</w:t>
      </w:r>
      <w:r w:rsidRPr="002126A0">
        <w:t>;</w:t>
      </w:r>
    </w:p>
    <w:p w:rsidR="00EE5183" w:rsidRPr="002126A0" w:rsidRDefault="00EE5183" w:rsidP="00EE5183">
      <w:pPr>
        <w:rPr>
          <w:lang w:eastAsia="ja-JP"/>
        </w:rPr>
      </w:pPr>
      <w:r w:rsidRPr="002126A0">
        <w:t>3</w:t>
      </w:r>
      <w:r w:rsidRPr="002126A0">
        <w:tab/>
        <w:t>que estudie la posibilidad de celebrar, cuando sea posible, talleres en paralelo a las reuniones de los Grupos Regionales del UIT-T, en coordinación y colaboración con el Director de la BDT;</w:t>
      </w:r>
    </w:p>
    <w:p w:rsidR="00EE5183" w:rsidRPr="002126A0" w:rsidRDefault="00EE5183" w:rsidP="00EE5183">
      <w:pPr>
        <w:rPr>
          <w:lang w:eastAsia="ja-JP"/>
        </w:rPr>
      </w:pPr>
      <w:r w:rsidRPr="002126A0">
        <w:rPr>
          <w:lang w:eastAsia="ja-JP"/>
        </w:rPr>
        <w:t>4</w:t>
      </w:r>
      <w:r w:rsidRPr="002126A0">
        <w:rPr>
          <w:lang w:eastAsia="ja-JP"/>
        </w:rPr>
        <w:tab/>
        <w:t>que preste asistencia a los países en desarrollo en sus estudios, especialmente los relativos a sus cuestiones prioritarias, y en la preparación y aplicación de Recomendaciones del UIT</w:t>
      </w:r>
      <w:r w:rsidRPr="002126A0">
        <w:rPr>
          <w:lang w:eastAsia="ja-JP"/>
        </w:rPr>
        <w:noBreakHyphen/>
        <w:t>T;</w:t>
      </w:r>
    </w:p>
    <w:p w:rsidR="00EE5183" w:rsidRPr="002126A0" w:rsidRDefault="00EE5183" w:rsidP="00EE5183">
      <w:pPr>
        <w:rPr>
          <w:lang w:eastAsia="ja-JP"/>
        </w:rPr>
      </w:pPr>
      <w:r w:rsidRPr="002126A0">
        <w:rPr>
          <w:lang w:eastAsia="ja-JP"/>
        </w:rPr>
        <w:t>5</w:t>
      </w:r>
      <w:r w:rsidRPr="002126A0">
        <w:rPr>
          <w:lang w:eastAsia="ja-JP"/>
        </w:rPr>
        <w:tab/>
        <w:t>que prosiga con las actividades del grupo de aplicación establecido en el seno de la TSB para organizar, movilizar recursos, coordinar esfuerzos y supervisar los trabajos relacionados con la presente Resolución y su plan de acción;</w:t>
      </w:r>
    </w:p>
    <w:p w:rsidR="00EE5183" w:rsidRPr="002126A0" w:rsidRDefault="00EE5183" w:rsidP="00EE5183">
      <w:r w:rsidRPr="002126A0">
        <w:t>6</w:t>
      </w:r>
      <w:r w:rsidRPr="002126A0">
        <w:tab/>
        <w:t>que realice los estudios necesarios sobre el papel de la gestión de la innovación y de los programas de fomento de la innovación en la reducción de la brecha de normalización entre los países en desarrollo y los desarrollados;</w:t>
      </w:r>
    </w:p>
    <w:p w:rsidR="00EE5183" w:rsidRPr="002126A0" w:rsidRDefault="00EE5183" w:rsidP="00EE5183">
      <w:r w:rsidRPr="002126A0">
        <w:t>7</w:t>
      </w:r>
      <w:r w:rsidRPr="002126A0">
        <w:tab/>
        <w:t>que en la propuesta de presupuesto de la TSB destinada al Consejo de la UIT incluya fondos para la aplicación de la presente Resolución, habida cuenta de las limitaciones financieras y las actividades presentes y previstas de la BDT;</w:t>
      </w:r>
    </w:p>
    <w:p w:rsidR="00EE5183" w:rsidRPr="002126A0" w:rsidRDefault="00EE5183" w:rsidP="00EE5183">
      <w:pPr>
        <w:rPr>
          <w:lang w:eastAsia="ja-JP"/>
        </w:rPr>
      </w:pPr>
      <w:r w:rsidRPr="002126A0">
        <w:rPr>
          <w:lang w:eastAsia="ja-JP"/>
        </w:rPr>
        <w:t>8</w:t>
      </w:r>
      <w:r w:rsidRPr="002126A0">
        <w:rPr>
          <w:lang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rsidR="00EE5183" w:rsidRPr="002126A0" w:rsidRDefault="00EE5183" w:rsidP="00EE5183">
      <w:pPr>
        <w:rPr>
          <w:lang w:eastAsia="ja-JP"/>
        </w:rPr>
      </w:pPr>
      <w:r w:rsidRPr="002126A0">
        <w:rPr>
          <w:lang w:eastAsia="ja-JP"/>
        </w:rPr>
        <w:t>9</w:t>
      </w:r>
      <w:r w:rsidRPr="002126A0">
        <w:rPr>
          <w:lang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rsidR="00EE5183" w:rsidRPr="002126A0" w:rsidRDefault="00EE5183" w:rsidP="00EE5183">
      <w:pPr>
        <w:rPr>
          <w:lang w:eastAsia="ja-JP"/>
        </w:rPr>
      </w:pPr>
      <w:r w:rsidRPr="002126A0">
        <w:rPr>
          <w:lang w:eastAsia="ja-JP"/>
        </w:rPr>
        <w:t>10</w:t>
      </w:r>
      <w:r w:rsidRPr="002126A0">
        <w:rPr>
          <w:lang w:eastAsia="ja-JP"/>
        </w:rPr>
        <w:tab/>
        <w:t>que aumente la utilización de medios electrónicos, tales como seminarios web o ciberenseñanza para la educación y formación sobre la aplicación de Recomendaciones UIT-T;</w:t>
      </w:r>
    </w:p>
    <w:p w:rsidR="00EE5183" w:rsidRPr="002126A0" w:rsidRDefault="00EE5183" w:rsidP="00EE5183">
      <w:r w:rsidRPr="002126A0">
        <w:t>11</w:t>
      </w:r>
      <w:r w:rsidRPr="002126A0">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rsidR="00EE5183" w:rsidRPr="002126A0" w:rsidRDefault="00EE5183" w:rsidP="00EE5183">
      <w:r w:rsidRPr="002126A0">
        <w:t>12</w:t>
      </w:r>
      <w:r w:rsidRPr="002126A0">
        <w:tab/>
        <w:t>que informe al Consejo de la UIT sobre la eficacia de los Grupos Regionales;</w:t>
      </w:r>
    </w:p>
    <w:p w:rsidR="00EE5183" w:rsidRPr="002126A0" w:rsidRDefault="00EE5183" w:rsidP="00EE5183">
      <w:r w:rsidRPr="002126A0">
        <w:t>13</w:t>
      </w:r>
      <w:r w:rsidRPr="002126A0">
        <w:tab/>
        <w:t>que organice los talleres y seminarios que estime conveniente para divulgar información y mejorar la comprensión de las nuevas Recomendaciones, y directrices para la aplicación de las Recomendaciones, en particular para países en desarrollo;</w:t>
      </w:r>
    </w:p>
    <w:p w:rsidR="00EE5183" w:rsidRPr="002126A0" w:rsidRDefault="00EE5183" w:rsidP="00EE5183">
      <w:r w:rsidRPr="002126A0">
        <w:t>14</w:t>
      </w:r>
      <w:r w:rsidRPr="002126A0">
        <w:tab/>
        <w:t>que ofrezca, siempre que sea posible, la opción de participar a distancia en más talleres, seminarios y foros del UIT-T, fomentando así una mayor participación de los países en desarrollo;</w:t>
      </w:r>
    </w:p>
    <w:p w:rsidR="00EE5183" w:rsidRPr="002126A0" w:rsidRDefault="00EE5183" w:rsidP="00EE5183">
      <w:r w:rsidRPr="002126A0">
        <w:t>15</w:t>
      </w:r>
      <w:r w:rsidRPr="002126A0">
        <w:tab/>
        <w:t>que aproveche las plataformas existentes del UIT-D, tales como la Plataforma Mundial de Innovación, a fin de que los países en desarrollo tengan una mayor participación en los trabajos de normalización del UIT-T;</w:t>
      </w:r>
    </w:p>
    <w:p w:rsidR="00EE5183" w:rsidRPr="002126A0" w:rsidRDefault="00EE5183" w:rsidP="00EE5183">
      <w:r w:rsidRPr="002126A0">
        <w:t>16</w:t>
      </w:r>
      <w:r w:rsidRPr="002126A0">
        <w:tab/>
        <w:t>que estudie</w:t>
      </w:r>
      <w:r w:rsidRPr="002126A0">
        <w:rPr>
          <w:color w:val="000000"/>
        </w:rPr>
        <w:t xml:space="preserve"> </w:t>
      </w:r>
      <w:r w:rsidRPr="002126A0">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2126A0">
        <w:rPr>
          <w:i/>
          <w:iCs/>
        </w:rPr>
        <w:t>supra</w:t>
      </w:r>
      <w:r w:rsidRPr="002126A0">
        <w:t>,</w:t>
      </w:r>
    </w:p>
    <w:p w:rsidR="00EE5183" w:rsidRPr="002126A0" w:rsidRDefault="00EB2730" w:rsidP="00EE5183">
      <w:pPr>
        <w:pStyle w:val="Call"/>
      </w:pPr>
      <w:r>
        <w:br w:type="page"/>
      </w:r>
      <w:r w:rsidR="00EE5183" w:rsidRPr="002126A0">
        <w:lastRenderedPageBreak/>
        <w:t xml:space="preserve">encarga a las Comisiones de Estudio del </w:t>
      </w:r>
      <w:r w:rsidR="00EE5183">
        <w:t>Sector de Normalización de las Telecomunicaciones</w:t>
      </w:r>
      <w:r w:rsidR="00EE5183" w:rsidRPr="002126A0">
        <w:t xml:space="preserve"> y al Grupo Asesor de Normalización de las Telecomunicaciones</w:t>
      </w:r>
    </w:p>
    <w:p w:rsidR="00EE5183" w:rsidRPr="002126A0" w:rsidRDefault="00EE5183" w:rsidP="00EE5183">
      <w:r w:rsidRPr="002126A0">
        <w:t>1</w:t>
      </w:r>
      <w:r w:rsidRPr="002126A0">
        <w:tab/>
        <w:t>que participen activamente en la aplicación de los programas del plan de acción anexo a esta Resolución;</w:t>
      </w:r>
    </w:p>
    <w:p w:rsidR="00EE5183" w:rsidRPr="002126A0" w:rsidRDefault="00EE5183" w:rsidP="00EE5183">
      <w:r w:rsidRPr="002126A0">
        <w:t>2</w:t>
      </w:r>
      <w:r w:rsidRPr="002126A0">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rsidR="00EE5183" w:rsidRPr="002126A0" w:rsidRDefault="00EE5183" w:rsidP="00EE5183">
      <w:pPr>
        <w:rPr>
          <w:lang w:eastAsia="ja-JP"/>
        </w:rPr>
      </w:pPr>
      <w:r w:rsidRPr="002126A0">
        <w:rPr>
          <w:lang w:eastAsia="ja-JP"/>
        </w:rPr>
        <w:t>3</w:t>
      </w:r>
      <w:r w:rsidRPr="002126A0">
        <w:rPr>
          <w:lang w:eastAsia="ja-JP"/>
        </w:rPr>
        <w:tab/>
        <w:t>que coordinen las reuniones conjuntas de los Grupos Regionales de las Comisiones de Estudio del UIT-T,</w:t>
      </w:r>
    </w:p>
    <w:p w:rsidR="00EE5183" w:rsidRPr="002126A0" w:rsidRDefault="00EE5183" w:rsidP="00EE5183">
      <w:pPr>
        <w:pStyle w:val="Call"/>
      </w:pPr>
      <w:r w:rsidRPr="002126A0">
        <w:t>encarga además a las Comisiones de Estudio</w:t>
      </w:r>
    </w:p>
    <w:p w:rsidR="00EE5183" w:rsidRPr="002126A0" w:rsidRDefault="00EE5183" w:rsidP="00EE5183">
      <w:pPr>
        <w:rPr>
          <w:lang w:eastAsia="ja-JP"/>
        </w:rPr>
      </w:pPr>
      <w:r w:rsidRPr="002126A0">
        <w:rPr>
          <w:lang w:eastAsia="ja-JP"/>
        </w:rPr>
        <w:t>1</w:t>
      </w:r>
      <w:r w:rsidRPr="002126A0">
        <w:rPr>
          <w:lang w:eastAsia="ja-JP"/>
        </w:rPr>
        <w:tab/>
      </w:r>
      <w:r w:rsidRPr="002126A0">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rsidR="00EE5183" w:rsidRPr="002126A0" w:rsidRDefault="00EE5183" w:rsidP="00EE5183">
      <w:r w:rsidRPr="002126A0">
        <w:rPr>
          <w:lang w:eastAsia="ja-JP"/>
        </w:rPr>
        <w:t>2</w:t>
      </w:r>
      <w:r w:rsidRPr="002126A0">
        <w:rPr>
          <w:lang w:eastAsia="ja-JP"/>
        </w:rPr>
        <w:tab/>
      </w:r>
      <w:r w:rsidRPr="002126A0">
        <w:t xml:space="preserve">que adopten las medidas apropiadas para que se estudien las cuestiones relacionadas con la normalización que determinen las </w:t>
      </w:r>
      <w:r>
        <w:t>CMDT</w:t>
      </w:r>
      <w:r w:rsidRPr="002126A0">
        <w:t>;</w:t>
      </w:r>
    </w:p>
    <w:p w:rsidR="00EE5183" w:rsidRPr="002126A0" w:rsidRDefault="00EE5183" w:rsidP="00EE5183">
      <w:r w:rsidRPr="002126A0">
        <w:rPr>
          <w:lang w:eastAsia="ja-JP"/>
        </w:rPr>
        <w:t>3</w:t>
      </w:r>
      <w:r w:rsidRPr="002126A0">
        <w:rPr>
          <w:lang w:eastAsia="ja-JP"/>
        </w:rPr>
        <w:tab/>
      </w:r>
      <w:r w:rsidRPr="002126A0">
        <w:t>que sigan entablando relaciones de coordinación con las Comisiones de Estudio del UIT-D, en los casos en que así se estime oportuno, a la hora de preparar Recomendaciones del</w:t>
      </w:r>
      <w:r>
        <w:t> </w:t>
      </w:r>
      <w:r w:rsidRPr="002126A0">
        <w:t>UIT</w:t>
      </w:r>
      <w:r w:rsidRPr="002126A0">
        <w:noBreakHyphen/>
        <w:t>T nuevas o revisadas sobre las necesidades y los requisitos de los países en desarrollo, y de este modo suscitar mayor interés y ampliar la aplicabilidad de las Recomendaciones en dichos países;</w:t>
      </w:r>
    </w:p>
    <w:p w:rsidR="00EE5183" w:rsidRPr="002126A0" w:rsidRDefault="00EE5183" w:rsidP="00EE5183">
      <w:r w:rsidRPr="002126A0">
        <w:t>4</w:t>
      </w:r>
      <w:r w:rsidRPr="002126A0">
        <w:tab/>
        <w:t>que identifiquen las dificultades que afrontan los países en desarrollo para reducir la brecha de normalización entre Estados Miembros,</w:t>
      </w:r>
    </w:p>
    <w:p w:rsidR="00EE5183" w:rsidRPr="002126A0" w:rsidRDefault="00EE5183" w:rsidP="00EE5183">
      <w:pPr>
        <w:pStyle w:val="Call"/>
        <w:rPr>
          <w:lang w:eastAsia="ja-JP"/>
        </w:rPr>
      </w:pPr>
      <w:r w:rsidRPr="002126A0">
        <w:rPr>
          <w:lang w:eastAsia="ja-JP"/>
        </w:rPr>
        <w:t xml:space="preserve">invita al Director de la </w:t>
      </w:r>
      <w:r w:rsidRPr="002126A0">
        <w:t>Oficina de Normalización de las Telecomunicaciones</w:t>
      </w:r>
    </w:p>
    <w:p w:rsidR="00EE5183" w:rsidRPr="002126A0" w:rsidRDefault="00EE5183" w:rsidP="00EE5183">
      <w:pPr>
        <w:rPr>
          <w:lang w:eastAsia="ja-JP"/>
        </w:rPr>
      </w:pPr>
      <w:r w:rsidRPr="002126A0">
        <w:rPr>
          <w:lang w:eastAsia="ja-JP"/>
        </w:rPr>
        <w:t>1</w:t>
      </w:r>
      <w:r w:rsidRPr="002126A0">
        <w:rPr>
          <w:lang w:eastAsia="ja-JP"/>
        </w:rPr>
        <w:tab/>
        <w:t>a que trabaje en estrecha colaboración con los Directores de la BDT y de la Oficina de Radiocomunicaciones (BR) para alentar la constitución de asociaciones bajo los auspicios del UIT</w:t>
      </w:r>
      <w:r w:rsidRPr="002126A0">
        <w:rPr>
          <w:lang w:eastAsia="ja-JP"/>
        </w:rPr>
        <w:noBreakHyphen/>
        <w:t>T como uno de los mecanismos para financiar el plan de acción;</w:t>
      </w:r>
    </w:p>
    <w:p w:rsidR="00EE5183" w:rsidRPr="002126A0" w:rsidRDefault="00EE5183" w:rsidP="00EE5183">
      <w:pPr>
        <w:rPr>
          <w:lang w:eastAsia="ja-JP"/>
        </w:rPr>
      </w:pPr>
      <w:r w:rsidRPr="002126A0">
        <w:rPr>
          <w:lang w:eastAsia="ja-JP"/>
        </w:rPr>
        <w:t>2</w:t>
      </w:r>
      <w:r w:rsidRPr="002126A0">
        <w:rPr>
          <w:lang w:eastAsia="ja-JP"/>
        </w:rPr>
        <w:tab/>
        <w:t>a que estudie la posibilidad de celebrar, cuando sea posible, talleres en paralelo a las reuniones de los Grupos Regionales del UIT-T, en coordinación y colaboración con el Director de la BDT,</w:t>
      </w:r>
    </w:p>
    <w:p w:rsidR="00EE5183" w:rsidRPr="002126A0" w:rsidRDefault="00EE5183" w:rsidP="00EE5183">
      <w:pPr>
        <w:pStyle w:val="Call"/>
        <w:rPr>
          <w:lang w:eastAsia="ja-JP"/>
        </w:rPr>
      </w:pPr>
      <w:r w:rsidRPr="002126A0">
        <w:rPr>
          <w:lang w:eastAsia="ja-JP"/>
        </w:rPr>
        <w:t>invita a las Regiones y a sus Estados Miembros</w:t>
      </w:r>
    </w:p>
    <w:p w:rsidR="00EE5183" w:rsidRPr="002126A0" w:rsidRDefault="00EE5183" w:rsidP="00EB2730">
      <w:pPr>
        <w:rPr>
          <w:lang w:eastAsia="ja-JP"/>
        </w:rPr>
      </w:pPr>
      <w:r w:rsidRPr="002126A0">
        <w:rPr>
          <w:lang w:eastAsia="ja-JP"/>
        </w:rPr>
        <w:t>1</w:t>
      </w:r>
      <w:r w:rsidRPr="002126A0">
        <w:rPr>
          <w:lang w:eastAsia="ja-JP"/>
        </w:rPr>
        <w:tab/>
        <w:t>a proseguir la creación de Grupos Regionales de las Com</w:t>
      </w:r>
      <w:r w:rsidR="00EB2730">
        <w:rPr>
          <w:lang w:eastAsia="ja-JP"/>
        </w:rPr>
        <w:t xml:space="preserve">isiones de Estudio rectoras del </w:t>
      </w:r>
      <w:r w:rsidRPr="002126A0">
        <w:rPr>
          <w:lang w:eastAsia="ja-JP"/>
        </w:rPr>
        <w:t xml:space="preserve">UIT-T en sus regiones respectivas, de acuerdo con el </w:t>
      </w:r>
      <w:r w:rsidRPr="002126A0">
        <w:rPr>
          <w:i/>
          <w:iCs/>
          <w:lang w:eastAsia="ja-JP"/>
        </w:rPr>
        <w:t xml:space="preserve">resuelve </w:t>
      </w:r>
      <w:r w:rsidRPr="002126A0">
        <w:rPr>
          <w:lang w:eastAsia="ja-JP"/>
        </w:rPr>
        <w:t xml:space="preserve">4 de la </w:t>
      </w:r>
      <w:r w:rsidR="00EB2730">
        <w:rPr>
          <w:lang w:eastAsia="ja-JP"/>
        </w:rPr>
        <w:t xml:space="preserve">presente Resolución y la </w:t>
      </w:r>
      <w:r w:rsidR="009F3507">
        <w:rPr>
          <w:lang w:eastAsia="ja-JP"/>
        </w:rPr>
        <w:t>Resolución </w:t>
      </w:r>
      <w:r w:rsidRPr="002126A0">
        <w:rPr>
          <w:lang w:eastAsia="ja-JP"/>
        </w:rPr>
        <w:t>54 (Rev.</w:t>
      </w:r>
      <w:r w:rsidR="00EB2730">
        <w:rPr>
          <w:lang w:eastAsia="ja-JP"/>
        </w:rPr>
        <w:t> </w:t>
      </w:r>
      <w:r w:rsidRPr="002126A0">
        <w:rPr>
          <w:lang w:eastAsia="ja-JP"/>
        </w:rPr>
        <w:t>Hammamet, 2016) de esta Asamblea, y a promover sus reuniones y sus actividades, según lo estime conveniente, en coordinación con la TSB;</w:t>
      </w:r>
    </w:p>
    <w:p w:rsidR="00EE5183" w:rsidRPr="002126A0" w:rsidRDefault="00EE5183" w:rsidP="00EE5183">
      <w:pPr>
        <w:rPr>
          <w:lang w:eastAsia="ja-JP"/>
        </w:rPr>
      </w:pPr>
      <w:r w:rsidRPr="002126A0">
        <w:rPr>
          <w:lang w:eastAsia="ja-JP"/>
        </w:rPr>
        <w:t>2</w:t>
      </w:r>
      <w:r w:rsidRPr="002126A0">
        <w:rPr>
          <w:lang w:eastAsia="ja-JP"/>
        </w:rPr>
        <w:tab/>
        <w:t>a participar activamente en las actividades de los Grupos Regionales del UIT-T y a apoyar a las organizaciones regionales en el establecimiento de marcos regionales para el desarrollo de actividades de normalización;</w:t>
      </w:r>
    </w:p>
    <w:p w:rsidR="00EE5183" w:rsidRPr="002126A0" w:rsidRDefault="00EE5183" w:rsidP="00EE5183">
      <w:pPr>
        <w:rPr>
          <w:lang w:eastAsia="ja-JP"/>
        </w:rPr>
      </w:pPr>
      <w:r w:rsidRPr="002126A0">
        <w:rPr>
          <w:lang w:eastAsia="ja-JP"/>
        </w:rPr>
        <w:t>3</w:t>
      </w:r>
      <w:r w:rsidRPr="002126A0">
        <w:rPr>
          <w:lang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rsidR="00EE5183" w:rsidRPr="002126A0" w:rsidRDefault="00EE5183" w:rsidP="00EE5183">
      <w:r w:rsidRPr="002126A0">
        <w:rPr>
          <w:lang w:eastAsia="ja-JP"/>
        </w:rPr>
        <w:t>4</w:t>
      </w:r>
      <w:r w:rsidRPr="002126A0">
        <w:rPr>
          <w:lang w:eastAsia="ja-JP"/>
        </w:rPr>
        <w:tab/>
      </w:r>
      <w:r w:rsidRPr="002126A0">
        <w:t>a elaborar proyectos de mandato y de métodos de trabajo para los Grupos Regionales que haya de aprobar la Comisión de Estudio rectora;</w:t>
      </w:r>
    </w:p>
    <w:p w:rsidR="00EE5183" w:rsidRPr="002126A0" w:rsidRDefault="00EE5183" w:rsidP="00EE5183">
      <w:r w:rsidRPr="002126A0">
        <w:t>5</w:t>
      </w:r>
      <w:r w:rsidRPr="002126A0">
        <w:tab/>
        <w:t>a compartir información sobre la utilización de Recomendaciones del UIT-T,</w:t>
      </w:r>
    </w:p>
    <w:p w:rsidR="00EE5183" w:rsidRPr="002126A0" w:rsidRDefault="00EE5183" w:rsidP="00EE5183">
      <w:pPr>
        <w:pStyle w:val="Call"/>
      </w:pPr>
      <w:r w:rsidRPr="002126A0">
        <w:t>alienta a los Estados Miembros y a los Miembros del Sector</w:t>
      </w:r>
    </w:p>
    <w:p w:rsidR="00EE5183" w:rsidRPr="002126A0" w:rsidRDefault="00EE5183" w:rsidP="00EE5183">
      <w:r w:rsidRPr="002126A0">
        <w:t>a tener en cuenta los objetivos establecidos en el plan de acción consignado en el Anexo a la presente Resolución a la hora de participar en el UIT</w:t>
      </w:r>
      <w:r w:rsidRPr="002126A0">
        <w:noBreakHyphen/>
        <w:t>T.</w:t>
      </w:r>
    </w:p>
    <w:p w:rsidR="00EE5183" w:rsidRPr="002126A0" w:rsidRDefault="00EB2730" w:rsidP="00EE5183">
      <w:pPr>
        <w:pStyle w:val="AnnexNo"/>
      </w:pPr>
      <w:r>
        <w:br w:type="page"/>
      </w:r>
      <w:r w:rsidR="00EE5183" w:rsidRPr="002126A0">
        <w:lastRenderedPageBreak/>
        <w:t>Anexo</w:t>
      </w:r>
      <w:r w:rsidR="00EE5183" w:rsidRPr="002126A0">
        <w:br/>
        <w:t>(</w:t>
      </w:r>
      <w:r w:rsidR="00EE5183" w:rsidRPr="002126A0">
        <w:rPr>
          <w:caps w:val="0"/>
        </w:rPr>
        <w:t xml:space="preserve">a la Resolución </w:t>
      </w:r>
      <w:r w:rsidR="00EE5183" w:rsidRPr="002126A0">
        <w:t>44</w:t>
      </w:r>
      <w:r w:rsidR="00EE5183" w:rsidRPr="001902C7">
        <w:t xml:space="preserve"> (</w:t>
      </w:r>
      <w:r w:rsidR="00EE5183" w:rsidRPr="001902C7">
        <w:rPr>
          <w:caps w:val="0"/>
        </w:rPr>
        <w:t>Rev. Hammamet, 2016</w:t>
      </w:r>
      <w:r w:rsidR="00EE5183" w:rsidRPr="001902C7">
        <w:t>)</w:t>
      </w:r>
      <w:r w:rsidR="00EE5183" w:rsidRPr="002126A0">
        <w:t>)</w:t>
      </w:r>
    </w:p>
    <w:p w:rsidR="00EE5183" w:rsidRPr="002126A0" w:rsidRDefault="00EE5183" w:rsidP="00EE5183">
      <w:pPr>
        <w:pStyle w:val="Annextitle"/>
      </w:pPr>
      <w:r w:rsidRPr="002126A0">
        <w:t>Plan de acción para la aplicación de la Resolución 123</w:t>
      </w:r>
      <w:r>
        <w:t xml:space="preserve"> </w:t>
      </w:r>
      <w:r w:rsidRPr="002126A0">
        <w:t xml:space="preserve">(Rev. Busán, 2014) </w:t>
      </w:r>
      <w:r>
        <w:br/>
      </w:r>
      <w:r w:rsidRPr="002126A0">
        <w:t>de la Conferencia</w:t>
      </w:r>
      <w:r>
        <w:t xml:space="preserve"> </w:t>
      </w:r>
      <w:r w:rsidRPr="002126A0">
        <w:t>de Plenipotenciarios</w:t>
      </w:r>
    </w:p>
    <w:p w:rsidR="00EE5183" w:rsidRPr="002126A0" w:rsidRDefault="00EE5183" w:rsidP="00EE5183">
      <w:pPr>
        <w:pStyle w:val="Heading1"/>
      </w:pPr>
      <w:bookmarkStart w:id="11" w:name="_Toc348432028"/>
      <w:r w:rsidRPr="002126A0">
        <w:t>I</w:t>
      </w:r>
      <w:r w:rsidRPr="002126A0">
        <w:tab/>
        <w:t>Programa 1: Refuerzo de las capacidades de creación de normas</w:t>
      </w:r>
      <w:bookmarkEnd w:id="11"/>
    </w:p>
    <w:p w:rsidR="00EE5183" w:rsidRPr="002126A0" w:rsidRDefault="00EE5183" w:rsidP="00EE5183">
      <w:pPr>
        <w:pStyle w:val="enumlev1"/>
      </w:pPr>
      <w:r w:rsidRPr="002126A0">
        <w:t>1)</w:t>
      </w:r>
      <w:r w:rsidRPr="002126A0">
        <w:tab/>
        <w:t>Objetivo</w:t>
      </w:r>
    </w:p>
    <w:p w:rsidR="00EE5183" w:rsidRPr="002126A0" w:rsidRDefault="00EE5183" w:rsidP="00EE5183">
      <w:pPr>
        <w:pStyle w:val="enumlev1"/>
      </w:pPr>
      <w:r w:rsidRPr="002126A0">
        <w:t>•</w:t>
      </w:r>
      <w:r w:rsidRPr="002126A0">
        <w:tab/>
        <w:t>Mejorar las capacidades de normalización de los países en desarrollo.</w:t>
      </w:r>
    </w:p>
    <w:p w:rsidR="00EE5183" w:rsidRPr="002126A0" w:rsidRDefault="00EE5183" w:rsidP="00EE5183">
      <w:pPr>
        <w:pStyle w:val="enumlev1"/>
      </w:pPr>
      <w:r w:rsidRPr="002126A0">
        <w:t>2)</w:t>
      </w:r>
      <w:r w:rsidRPr="002126A0">
        <w:tab/>
        <w:t>Actividades</w:t>
      </w:r>
    </w:p>
    <w:p w:rsidR="00EE5183" w:rsidRPr="002126A0" w:rsidRDefault="00EE5183" w:rsidP="00EE5183">
      <w:pPr>
        <w:pStyle w:val="enumlev1"/>
      </w:pPr>
      <w:r w:rsidRPr="002126A0">
        <w:t>•</w:t>
      </w:r>
      <w:r w:rsidRPr="002126A0">
        <w:tab/>
        <w:t>Elaboración de directrices para facilitar la participación de los países en desarrollo en las actividades del UIT</w:t>
      </w:r>
      <w:r w:rsidRPr="002126A0">
        <w:noBreakHyphen/>
        <w:t>T, sobre aspectos tales como los métodos del trabajo del UIT-T, la formulación de proyectos de Cuestiones y la elaboración de propuestas, entre otros.</w:t>
      </w:r>
    </w:p>
    <w:p w:rsidR="00EE5183" w:rsidRPr="002126A0" w:rsidRDefault="00EE5183" w:rsidP="00EE5183">
      <w:pPr>
        <w:pStyle w:val="enumlev1"/>
      </w:pPr>
      <w:r w:rsidRPr="002126A0">
        <w:t>•</w:t>
      </w:r>
      <w:r w:rsidRPr="002126A0">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rsidR="00EE5183" w:rsidRPr="002126A0" w:rsidRDefault="00EE5183" w:rsidP="00EE5183">
      <w:pPr>
        <w:pStyle w:val="enumlev1"/>
      </w:pPr>
      <w:r w:rsidRPr="002126A0">
        <w:t>•</w:t>
      </w:r>
      <w:r w:rsidRPr="002126A0">
        <w:tab/>
        <w:t>Mejora de los procedimientos y herramientas de participación a distancia por medios electrónicos para que los expertos de países en desarrollo puedan participar activamente desde sus propios países en las reuniones del UIT-T (incluidas las del GANT, las Comisiones de Estudio, los Grupos Temáticos, las Actividades Conjuntas de Coordinación y las Iniciativas Mundiales de Normalización, talleres y cursos de formación).</w:t>
      </w:r>
    </w:p>
    <w:p w:rsidR="00EE5183" w:rsidRPr="002126A0" w:rsidRDefault="00EE5183" w:rsidP="00EE5183">
      <w:pPr>
        <w:pStyle w:val="enumlev1"/>
      </w:pPr>
      <w:r w:rsidRPr="002126A0">
        <w:t>•</w:t>
      </w:r>
      <w:r w:rsidRPr="002126A0">
        <w:tab/>
        <w:t>Realización de proyectos de asesoría que ayuden a los países en desarrollo en la elaboración de planes, estrategias, políticas, etc., de normalización. Los resultados deben transformarse además en prácticas idóneas.</w:t>
      </w:r>
    </w:p>
    <w:p w:rsidR="00EE5183" w:rsidRPr="002126A0" w:rsidRDefault="00EE5183" w:rsidP="00EE5183">
      <w:pPr>
        <w:pStyle w:val="enumlev1"/>
      </w:pPr>
      <w:r w:rsidRPr="002126A0">
        <w:t>•</w:t>
      </w:r>
      <w:r w:rsidRPr="002126A0">
        <w:tab/>
        <w:t>Desarrollo de métodos, herramientas e indicadores para medir con precisión los resultados y el nivel de eficacia de los esfuerzos y actividades destinados a reducir la brecha de normalización.</w:t>
      </w:r>
    </w:p>
    <w:p w:rsidR="00EE5183" w:rsidRPr="002126A0" w:rsidRDefault="00EE5183" w:rsidP="00EE5183">
      <w:pPr>
        <w:pStyle w:val="enumlev1"/>
      </w:pPr>
      <w:r w:rsidRPr="002126A0">
        <w:t>•</w:t>
      </w:r>
      <w:r w:rsidRPr="002126A0">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rsidR="00EE5183" w:rsidRPr="002126A0" w:rsidRDefault="00EE5183" w:rsidP="00EE5183">
      <w:pPr>
        <w:pStyle w:val="Heading1"/>
      </w:pPr>
      <w:bookmarkStart w:id="12" w:name="_Toc348432029"/>
      <w:r w:rsidRPr="002126A0">
        <w:t>II</w:t>
      </w:r>
      <w:r w:rsidRPr="002126A0">
        <w:tab/>
        <w:t>Programa 2: Ayuda a los países en desarrollo materia de aplicación de normas</w:t>
      </w:r>
      <w:bookmarkEnd w:id="12"/>
    </w:p>
    <w:p w:rsidR="00EE5183" w:rsidRPr="002126A0" w:rsidRDefault="00EE5183" w:rsidP="00EE5183">
      <w:pPr>
        <w:pStyle w:val="enumlev1"/>
      </w:pPr>
      <w:r w:rsidRPr="002126A0">
        <w:t>1)</w:t>
      </w:r>
      <w:r w:rsidRPr="002126A0">
        <w:tab/>
        <w:t>Objetivo</w:t>
      </w:r>
    </w:p>
    <w:p w:rsidR="00EE5183" w:rsidRPr="002126A0" w:rsidRDefault="00EE5183" w:rsidP="00EE5183">
      <w:pPr>
        <w:pStyle w:val="enumlev1"/>
      </w:pPr>
      <w:r w:rsidRPr="002126A0">
        <w:t>•</w:t>
      </w:r>
      <w:r w:rsidRPr="002126A0">
        <w:tab/>
        <w:t>Ayudar a los países en desarrollo a que:</w:t>
      </w:r>
    </w:p>
    <w:p w:rsidR="00EE5183" w:rsidRPr="002126A0" w:rsidRDefault="00EE5183" w:rsidP="00EE5183">
      <w:pPr>
        <w:pStyle w:val="enumlev2"/>
      </w:pPr>
      <w:r w:rsidRPr="002126A0">
        <w:t>•</w:t>
      </w:r>
      <w:r w:rsidRPr="002126A0">
        <w:tab/>
        <w:t>Comprendan claramente las Recomendaciones del UIT</w:t>
      </w:r>
      <w:r w:rsidRPr="002126A0">
        <w:noBreakHyphen/>
        <w:t>T.</w:t>
      </w:r>
    </w:p>
    <w:p w:rsidR="00EE5183" w:rsidRPr="002126A0" w:rsidRDefault="00EE5183" w:rsidP="00EE5183">
      <w:pPr>
        <w:pStyle w:val="enumlev2"/>
      </w:pPr>
      <w:r w:rsidRPr="002126A0">
        <w:t>•</w:t>
      </w:r>
      <w:r w:rsidRPr="002126A0">
        <w:tab/>
        <w:t>Mejoren su aplicación de las Recomendaciones del UIT</w:t>
      </w:r>
      <w:r w:rsidRPr="002126A0">
        <w:noBreakHyphen/>
        <w:t>T.</w:t>
      </w:r>
    </w:p>
    <w:p w:rsidR="00EE5183" w:rsidRPr="002126A0" w:rsidRDefault="00EE5183" w:rsidP="00EE5183">
      <w:pPr>
        <w:pStyle w:val="enumlev1"/>
      </w:pPr>
      <w:r w:rsidRPr="002126A0">
        <w:t>2)</w:t>
      </w:r>
      <w:r w:rsidRPr="002126A0">
        <w:tab/>
        <w:t>Actividades</w:t>
      </w:r>
    </w:p>
    <w:p w:rsidR="00EE5183" w:rsidRPr="002126A0" w:rsidRDefault="00EE5183" w:rsidP="00EE5183">
      <w:pPr>
        <w:pStyle w:val="enumlev1"/>
      </w:pPr>
      <w:r w:rsidRPr="002126A0">
        <w:t>•</w:t>
      </w:r>
      <w:r w:rsidRPr="002126A0">
        <w:tab/>
        <w:t>Ayudar a los países en desarrollo a:</w:t>
      </w:r>
    </w:p>
    <w:p w:rsidR="00EE5183" w:rsidRPr="002126A0" w:rsidRDefault="00EE5183" w:rsidP="00EE5183">
      <w:pPr>
        <w:pStyle w:val="enumlev2"/>
      </w:pPr>
      <w:r w:rsidRPr="002126A0">
        <w:t>•</w:t>
      </w:r>
      <w:r w:rsidRPr="002126A0">
        <w:tab/>
        <w:t>Establecer una secretaría de normalización que coordine las actividades de normalización y la participación en las Comisiones de Estudio del UIT</w:t>
      </w:r>
      <w:r w:rsidRPr="002126A0">
        <w:noBreakHyphen/>
        <w:t>T.</w:t>
      </w:r>
    </w:p>
    <w:p w:rsidR="00EE5183" w:rsidRPr="002126A0" w:rsidRDefault="00EE5183" w:rsidP="00EE5183">
      <w:pPr>
        <w:pStyle w:val="enumlev2"/>
      </w:pPr>
      <w:r w:rsidRPr="002126A0">
        <w:t>•</w:t>
      </w:r>
      <w:r w:rsidRPr="002126A0">
        <w:tab/>
        <w:t>Determinar si sus normas nacionales en vigor son coherentes y conformes con las Recomendaciones vigentes del UIT</w:t>
      </w:r>
      <w:r w:rsidRPr="002126A0">
        <w:noBreakHyphen/>
        <w:t>T.</w:t>
      </w:r>
    </w:p>
    <w:p w:rsidR="00EE5183" w:rsidRPr="002126A0" w:rsidRDefault="00EB2730" w:rsidP="00EE5183">
      <w:pPr>
        <w:pStyle w:val="enumlev1"/>
      </w:pPr>
      <w:r>
        <w:br w:type="page"/>
      </w:r>
      <w:r w:rsidR="00EE5183" w:rsidRPr="002126A0">
        <w:lastRenderedPageBreak/>
        <w:t>•</w:t>
      </w:r>
      <w:r w:rsidR="00EE5183" w:rsidRPr="002126A0">
        <w:tab/>
        <w:t>Acciones que ha de realizar la TSB en cooperación con la BDT</w:t>
      </w:r>
      <w:r>
        <w:t>:</w:t>
      </w:r>
    </w:p>
    <w:p w:rsidR="00EE5183" w:rsidRPr="002126A0" w:rsidRDefault="00EE5183" w:rsidP="00EE5183">
      <w:pPr>
        <w:pStyle w:val="enumlev2"/>
      </w:pPr>
      <w:r w:rsidRPr="002126A0">
        <w:t>•</w:t>
      </w:r>
      <w:r w:rsidRPr="002126A0">
        <w:tab/>
        <w:t>Elaborar directrices sobre la aplicación de Recomendaciones UIT</w:t>
      </w:r>
      <w:r w:rsidRPr="002126A0">
        <w:noBreakHyphen/>
        <w:t>T, en particular los productos fabricados y la interconexión, poniendo especial énfasis en las Recomendaciones que tienen implicaciones políticas o reglamentarias.</w:t>
      </w:r>
    </w:p>
    <w:p w:rsidR="00EE5183" w:rsidRPr="002126A0" w:rsidRDefault="00EE5183" w:rsidP="00EE5183">
      <w:pPr>
        <w:pStyle w:val="enumlev2"/>
      </w:pPr>
      <w:r w:rsidRPr="002126A0">
        <w:t>•</w:t>
      </w:r>
      <w:r w:rsidRPr="002126A0">
        <w:tab/>
        <w:t>Prestar asesoramiento y asistencia sobre cómo adoptar y utilizar mejor las Recomendaciones UIT-T en las normas nacionales.</w:t>
      </w:r>
    </w:p>
    <w:p w:rsidR="00EE5183" w:rsidRPr="002126A0" w:rsidRDefault="00EE5183" w:rsidP="00EE5183">
      <w:pPr>
        <w:pStyle w:val="enumlev2"/>
      </w:pPr>
      <w:r w:rsidRPr="002126A0">
        <w:t>•</w:t>
      </w:r>
      <w:r w:rsidRPr="002126A0">
        <w:tab/>
        <w:t>Crear y mantener una base de datos actualizada en la que se recoja información sobre las nuevas tecnologías normalizadas, así como productos que sean conformes con las Recomendaciones del UIT</w:t>
      </w:r>
      <w:r w:rsidRPr="002126A0">
        <w:noBreakHyphen/>
        <w:t>T.</w:t>
      </w:r>
    </w:p>
    <w:p w:rsidR="00EE5183" w:rsidRPr="002126A0" w:rsidRDefault="00EE5183" w:rsidP="00EE5183">
      <w:pPr>
        <w:pStyle w:val="enumlev2"/>
      </w:pPr>
      <w:r w:rsidRPr="002126A0">
        <w:t>•</w:t>
      </w:r>
      <w:r w:rsidRPr="002126A0">
        <w:tab/>
        <w:t>Organizar eventos de capacitación que permitan mejorar la aplicación de Recomendaciones específicas y sobre métodos para comprobar que los productos fabricados responden a lo dispuesto en dichas Recomendaciones.</w:t>
      </w:r>
    </w:p>
    <w:p w:rsidR="00EE5183" w:rsidRPr="002126A0" w:rsidRDefault="00EE5183" w:rsidP="00EE5183">
      <w:pPr>
        <w:pStyle w:val="enumlev2"/>
      </w:pPr>
      <w:r w:rsidRPr="002126A0">
        <w:t>•</w:t>
      </w:r>
      <w:r w:rsidRPr="002126A0">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rsidR="00EE5183" w:rsidRPr="002126A0" w:rsidRDefault="00EE5183" w:rsidP="00EE5183">
      <w:pPr>
        <w:pStyle w:val="enumlev2"/>
      </w:pPr>
      <w:r w:rsidRPr="002126A0">
        <w:t>•</w:t>
      </w:r>
      <w:r w:rsidRPr="002126A0">
        <w:tab/>
        <w:t>Ayudar a los países en desarrollo a formular estrategias con miras al establecimiento de laboratorios de prueba nacionales e internacionales para tecnologías incipientes.</w:t>
      </w:r>
    </w:p>
    <w:p w:rsidR="00EE5183" w:rsidRPr="002126A0" w:rsidRDefault="00EE5183" w:rsidP="00EE5183">
      <w:pPr>
        <w:pStyle w:val="Heading1"/>
      </w:pPr>
      <w:bookmarkStart w:id="13" w:name="_Toc348432030"/>
      <w:r w:rsidRPr="002126A0">
        <w:t>III</w:t>
      </w:r>
      <w:r w:rsidRPr="002126A0">
        <w:tab/>
        <w:t>Programa 3: Creación de capacidad de recursos humanos</w:t>
      </w:r>
      <w:bookmarkEnd w:id="13"/>
    </w:p>
    <w:p w:rsidR="00EE5183" w:rsidRPr="002126A0" w:rsidRDefault="00EE5183" w:rsidP="00EE5183">
      <w:pPr>
        <w:pStyle w:val="enumlev1"/>
      </w:pPr>
      <w:r w:rsidRPr="002126A0">
        <w:t>1)</w:t>
      </w:r>
      <w:r w:rsidRPr="002126A0">
        <w:tab/>
        <w:t>Objetivo</w:t>
      </w:r>
    </w:p>
    <w:p w:rsidR="00EE5183" w:rsidRPr="002126A0" w:rsidRDefault="00EE5183" w:rsidP="00EE5183">
      <w:pPr>
        <w:pStyle w:val="enumlev1"/>
      </w:pPr>
      <w:r w:rsidRPr="002126A0">
        <w:t>•</w:t>
      </w:r>
      <w:r w:rsidRPr="002126A0">
        <w:tab/>
        <w:t>Aumentar las capacidades de recursos humanos de los países en desarrollo en las actividades del UIT-T y de normalización a escala nacional.</w:t>
      </w:r>
    </w:p>
    <w:p w:rsidR="00EE5183" w:rsidRPr="002126A0" w:rsidRDefault="00EE5183" w:rsidP="00EE5183">
      <w:pPr>
        <w:pStyle w:val="enumlev1"/>
      </w:pPr>
      <w:r w:rsidRPr="002126A0">
        <w:t>2)</w:t>
      </w:r>
      <w:r w:rsidRPr="002126A0">
        <w:tab/>
        <w:t>Actividades</w:t>
      </w:r>
    </w:p>
    <w:p w:rsidR="00EE5183" w:rsidRPr="002126A0" w:rsidRDefault="00EE5183" w:rsidP="00EE5183">
      <w:pPr>
        <w:pStyle w:val="enumlev1"/>
      </w:pPr>
      <w:r w:rsidRPr="002126A0">
        <w:t>•</w:t>
      </w:r>
      <w:r w:rsidRPr="002126A0">
        <w:tab/>
        <w:t>Promover la organización de eventos, seminarios, talleres y reuniones de Comisión de Estudios a escala regional y mundial para fomentar las capacidades en materia de normalización y el avance de las telecomunicaciones/TIC en los países en desarrollo.</w:t>
      </w:r>
    </w:p>
    <w:p w:rsidR="00EE5183" w:rsidRPr="002126A0" w:rsidRDefault="00EE5183" w:rsidP="00EE5183">
      <w:pPr>
        <w:pStyle w:val="enumlev1"/>
      </w:pPr>
      <w:r w:rsidRPr="002126A0">
        <w:t>•</w:t>
      </w:r>
      <w:r w:rsidRPr="002126A0">
        <w:tab/>
        <w:t>En estrecha colaboración con la BDT y la BR, impartir cursos de capacitación sobre normalización en los países en desarrollo.</w:t>
      </w:r>
    </w:p>
    <w:p w:rsidR="00EE5183" w:rsidRPr="002126A0" w:rsidRDefault="00EE5183" w:rsidP="00EE5183">
      <w:pPr>
        <w:pStyle w:val="enumlev1"/>
      </w:pPr>
      <w:r w:rsidRPr="002126A0">
        <w:t>•</w:t>
      </w:r>
      <w:r w:rsidRPr="002126A0">
        <w:tab/>
        <w:t>Ofrecer a los países en desarrollo más oportunidades de prácticas, cesión de personal, empleo de corta duración, etc. en la UIT.</w:t>
      </w:r>
    </w:p>
    <w:p w:rsidR="00EE5183" w:rsidRPr="002126A0" w:rsidRDefault="00EE5183" w:rsidP="00EE5183">
      <w:pPr>
        <w:pStyle w:val="enumlev1"/>
      </w:pPr>
      <w:r w:rsidRPr="002126A0">
        <w:t>•</w:t>
      </w:r>
      <w:r w:rsidRPr="002126A0">
        <w:tab/>
        <w:t>Fomentar la elección de un mayor número de candidatos de los países en desarrollo para los puestos de Presidente y Vicepresidente de las Comisiones de Estudio del UIT</w:t>
      </w:r>
      <w:r w:rsidRPr="002126A0">
        <w:noBreakHyphen/>
        <w:t>T.</w:t>
      </w:r>
    </w:p>
    <w:p w:rsidR="00EE5183" w:rsidRPr="002126A0" w:rsidRDefault="00EE5183" w:rsidP="00EE5183">
      <w:pPr>
        <w:pStyle w:val="enumlev1"/>
      </w:pPr>
      <w:r w:rsidRPr="002126A0">
        <w:t>•</w:t>
      </w:r>
      <w:r w:rsidRPr="002126A0">
        <w:tab/>
        <w:t>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interfuncionamiento.</w:t>
      </w:r>
    </w:p>
    <w:p w:rsidR="00EE5183" w:rsidRPr="002126A0" w:rsidRDefault="00EE5183" w:rsidP="00EE5183">
      <w:pPr>
        <w:pStyle w:val="enumlev1"/>
      </w:pPr>
      <w:r w:rsidRPr="002126A0">
        <w:t>•</w:t>
      </w:r>
      <w:r w:rsidRPr="002126A0">
        <w:tab/>
        <w:t>Organizar talleres exhaustivos sobre una mejor comprensión y la aplicación de las Recomendaciones del UIT-T.</w:t>
      </w:r>
    </w:p>
    <w:p w:rsidR="00EE5183" w:rsidRPr="002126A0" w:rsidRDefault="00EE5183" w:rsidP="00EE5183">
      <w:pPr>
        <w:pStyle w:val="enumlev1"/>
      </w:pPr>
      <w:r w:rsidRPr="002126A0">
        <w:t>•</w:t>
      </w:r>
      <w:r w:rsidRPr="002126A0">
        <w:tab/>
        <w:t>Facilitar a los países en desarrollo las orientaciones y el material necesarios para ayudarlos a preparar e impartir en sus universidades cursos sobre normalización a nivel de licenciatura y de posgrado.</w:t>
      </w:r>
    </w:p>
    <w:p w:rsidR="00EE5183" w:rsidRPr="002126A0" w:rsidRDefault="00EE5183" w:rsidP="00EE5183">
      <w:pPr>
        <w:pStyle w:val="enumlev1"/>
      </w:pPr>
      <w:r w:rsidRPr="002126A0">
        <w:t>•</w:t>
      </w:r>
      <w:r w:rsidRPr="002126A0">
        <w:tab/>
        <w:t>Ofrecer, en la medida de lo posible, a través de la TSB, un número mayor de becas para asistir a las reuniones del UIT-T a los países en desarrollo que cumplan las condiciones necesarias.</w:t>
      </w:r>
    </w:p>
    <w:p w:rsidR="00EE5183" w:rsidRPr="002126A0" w:rsidRDefault="00EB2730" w:rsidP="00EE5183">
      <w:pPr>
        <w:pStyle w:val="Heading1"/>
      </w:pPr>
      <w:bookmarkStart w:id="14" w:name="_Toc348432031"/>
      <w:r>
        <w:br w:type="page"/>
      </w:r>
      <w:r w:rsidR="00EE5183" w:rsidRPr="002126A0">
        <w:lastRenderedPageBreak/>
        <w:t>IV</w:t>
      </w:r>
      <w:r w:rsidR="00EE5183" w:rsidRPr="002126A0">
        <w:tab/>
        <w:t>Programa 4: Recaudación de fondos para reducir la brecha de normalización</w:t>
      </w:r>
      <w:bookmarkEnd w:id="14"/>
    </w:p>
    <w:p w:rsidR="00EE5183" w:rsidRPr="002126A0" w:rsidRDefault="00EE5183" w:rsidP="00EE5183">
      <w:pPr>
        <w:pStyle w:val="enumlev1"/>
      </w:pPr>
      <w:r w:rsidRPr="002126A0">
        <w:rPr>
          <w:i/>
          <w:iCs/>
        </w:rPr>
        <w:t>a)</w:t>
      </w:r>
      <w:r w:rsidRPr="002126A0">
        <w:tab/>
        <w:t>Contribuciones al plan de acción en las siguientes formas de asociación y otros medios:</w:t>
      </w:r>
    </w:p>
    <w:p w:rsidR="00EE5183" w:rsidRPr="002126A0" w:rsidRDefault="00EE5183" w:rsidP="00EE5183">
      <w:pPr>
        <w:pStyle w:val="enumlev2"/>
      </w:pPr>
      <w:r w:rsidRPr="002126A0">
        <w:t>•</w:t>
      </w:r>
      <w:r w:rsidRPr="002126A0">
        <w:tab/>
        <w:t>Contribuciones de asociación.</w:t>
      </w:r>
    </w:p>
    <w:p w:rsidR="00EE5183" w:rsidRPr="002126A0" w:rsidRDefault="00EE5183" w:rsidP="00EE5183">
      <w:pPr>
        <w:pStyle w:val="enumlev2"/>
      </w:pPr>
      <w:r w:rsidRPr="002126A0">
        <w:t>•</w:t>
      </w:r>
      <w:r w:rsidRPr="002126A0">
        <w:tab/>
        <w:t>El presupuesto adicional que asigne el UIT</w:t>
      </w:r>
      <w:r w:rsidRPr="002126A0">
        <w:noBreakHyphen/>
        <w:t>T.</w:t>
      </w:r>
    </w:p>
    <w:p w:rsidR="00EE5183" w:rsidRPr="002126A0" w:rsidRDefault="00EE5183" w:rsidP="00EE5183">
      <w:pPr>
        <w:pStyle w:val="enumlev2"/>
      </w:pPr>
      <w:r w:rsidRPr="002126A0">
        <w:t>•</w:t>
      </w:r>
      <w:r w:rsidRPr="002126A0">
        <w:tab/>
        <w:t>Contribuciones voluntarias de países en desarrollo.</w:t>
      </w:r>
    </w:p>
    <w:p w:rsidR="00EE5183" w:rsidRPr="002126A0" w:rsidRDefault="00EE5183" w:rsidP="00EE5183">
      <w:pPr>
        <w:pStyle w:val="enumlev2"/>
      </w:pPr>
      <w:r w:rsidRPr="002126A0">
        <w:t>•</w:t>
      </w:r>
      <w:r w:rsidRPr="002126A0">
        <w:tab/>
        <w:t>Contribuciones voluntarias del sector privado.</w:t>
      </w:r>
    </w:p>
    <w:p w:rsidR="00EE5183" w:rsidRPr="002126A0" w:rsidRDefault="00EE5183" w:rsidP="00EE5183">
      <w:pPr>
        <w:pStyle w:val="enumlev2"/>
      </w:pPr>
      <w:r w:rsidRPr="002126A0">
        <w:t>•</w:t>
      </w:r>
      <w:r w:rsidRPr="002126A0">
        <w:tab/>
        <w:t>Contribuciones voluntarias de terceros.</w:t>
      </w:r>
    </w:p>
    <w:p w:rsidR="00EE5183" w:rsidRPr="002126A0" w:rsidRDefault="00EE5183" w:rsidP="00EE5183">
      <w:pPr>
        <w:pStyle w:val="enumlev1"/>
      </w:pPr>
      <w:r w:rsidRPr="002126A0">
        <w:rPr>
          <w:i/>
          <w:iCs/>
        </w:rPr>
        <w:t>b)</w:t>
      </w:r>
      <w:r w:rsidRPr="002126A0">
        <w:tab/>
        <w:t>Gestión de los fondos recaudados por la TSB:</w:t>
      </w:r>
    </w:p>
    <w:p w:rsidR="00EE5183" w:rsidRPr="002126A0" w:rsidRDefault="00EE5183" w:rsidP="00EE5183">
      <w:pPr>
        <w:pStyle w:val="enumlev2"/>
      </w:pPr>
      <w:r w:rsidRPr="002126A0">
        <w:t>•</w:t>
      </w:r>
      <w:r w:rsidRPr="002126A0">
        <w:tab/>
        <w:t>El Director de la TSB se encargará, en estrecha coordinación con el Director de la BDT, de la gestión de los fondos recaudados conforme a lo anterior, los cuales se utilizarán principalmente para lograr los objetivos de estos programas.</w:t>
      </w:r>
    </w:p>
    <w:p w:rsidR="00EE5183" w:rsidRPr="002126A0" w:rsidRDefault="00EE5183" w:rsidP="00EE5183">
      <w:pPr>
        <w:pStyle w:val="enumlev1"/>
      </w:pPr>
      <w:r w:rsidRPr="002126A0">
        <w:rPr>
          <w:i/>
          <w:iCs/>
        </w:rPr>
        <w:t>c)</w:t>
      </w:r>
      <w:r w:rsidRPr="002126A0">
        <w:tab/>
        <w:t>Principios para la utilización de los fondos:</w:t>
      </w:r>
    </w:p>
    <w:p w:rsidR="00EE5183" w:rsidRPr="002126A0" w:rsidRDefault="00EE5183" w:rsidP="00EE5183">
      <w:pPr>
        <w:pStyle w:val="enumlev2"/>
      </w:pPr>
      <w:r w:rsidRPr="002126A0">
        <w:t>•</w:t>
      </w:r>
      <w:r w:rsidRPr="002126A0">
        <w:tab/>
        <w:t>Los fondos se han de utilizar para actividades relacionadas con la UIT, entre ellas la asistencia y las consultas, la formación de representantes de países en desarrollo en las actividades del UIT-T, así como para los programas de estudio, el examen de la conformidad, los programas de interconexión y compatibilidad, etc., destinados a los países en desarrollo.</w:t>
      </w:r>
    </w:p>
    <w:p w:rsidR="00EE5183" w:rsidRDefault="00EE5183" w:rsidP="00EE5183">
      <w:pPr>
        <w:pStyle w:val="Reasons"/>
      </w:pPr>
    </w:p>
    <w:p w:rsidR="006F5455" w:rsidRDefault="006F5455"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2A35AB" w:rsidRDefault="002A35AB" w:rsidP="00734F4D"/>
    <w:p w:rsidR="00EB2730" w:rsidRDefault="00EB2730" w:rsidP="00734F4D"/>
    <w:sectPr w:rsidR="00EB2730" w:rsidSect="00CB6A32">
      <w:headerReference w:type="even" r:id="rId10"/>
      <w:headerReference w:type="default" r:id="rId11"/>
      <w:footerReference w:type="even" r:id="rId12"/>
      <w:footerReference w:type="default" r:id="rId13"/>
      <w:footerReference w:type="first" r:id="rId14"/>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D8" w:rsidRDefault="007C04D8">
      <w:r>
        <w:separator/>
      </w:r>
    </w:p>
  </w:endnote>
  <w:endnote w:type="continuationSeparator" w:id="0">
    <w:p w:rsidR="007C04D8" w:rsidRDefault="007C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EE47E4">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42C0E">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Resolución</w:t>
    </w:r>
    <w:r w:rsidR="00EE47E4">
      <w:rPr>
        <w:lang w:val="es-ES"/>
      </w:rPr>
      <w:t xml:space="preserve"> </w:t>
    </w:r>
    <w:r w:rsidR="00EE47E4">
      <w:fldChar w:fldCharType="begin"/>
    </w:r>
    <w:r w:rsidR="00EE47E4">
      <w:rPr>
        <w:lang w:val="en-US"/>
      </w:rPr>
      <w:instrText>styleref href</w:instrText>
    </w:r>
    <w:r w:rsidR="00EE47E4">
      <w:fldChar w:fldCharType="separate"/>
    </w:r>
    <w:r w:rsidR="00F42C0E">
      <w:rPr>
        <w:noProof/>
      </w:rPr>
      <w:t>44</w:t>
    </w:r>
    <w:r w:rsidR="00EE47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EE47E4">
    <w:pPr>
      <w:pStyle w:val="FooterQP"/>
      <w:rPr>
        <w:b w:val="0"/>
        <w:lang w:val="en-US"/>
      </w:rPr>
    </w:pPr>
    <w:r>
      <w:tab/>
    </w:r>
    <w:r>
      <w:tab/>
      <w:t>AMNT</w:t>
    </w:r>
    <w:r w:rsidR="00086219">
      <w:rPr>
        <w:lang w:val="en-US"/>
      </w:rPr>
      <w:t>-16</w:t>
    </w:r>
    <w:r>
      <w:rPr>
        <w:lang w:val="en-US"/>
      </w:rPr>
      <w:t xml:space="preserve"> – Resolución</w:t>
    </w:r>
    <w:r w:rsidR="00EE47E4">
      <w:rPr>
        <w:lang w:val="en-US"/>
      </w:rPr>
      <w:t xml:space="preserve"> </w:t>
    </w:r>
    <w:r w:rsidR="00EE47E4">
      <w:fldChar w:fldCharType="begin"/>
    </w:r>
    <w:r w:rsidR="00EE47E4">
      <w:rPr>
        <w:lang w:val="en-US"/>
      </w:rPr>
      <w:instrText>styleref href</w:instrText>
    </w:r>
    <w:r w:rsidR="00EE47E4">
      <w:fldChar w:fldCharType="separate"/>
    </w:r>
    <w:r w:rsidR="00F42C0E">
      <w:rPr>
        <w:noProof/>
      </w:rPr>
      <w:t>44</w:t>
    </w:r>
    <w:r w:rsidR="00EE47E4">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42C0E">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Resolución </w:t>
    </w:r>
    <w:r w:rsidR="00ED006D">
      <w:fldChar w:fldCharType="begin"/>
    </w:r>
    <w:r w:rsidR="00ED006D">
      <w:rPr>
        <w:lang w:val="en-US"/>
      </w:rPr>
      <w:instrText>styleref href</w:instrText>
    </w:r>
    <w:r w:rsidR="00ED006D">
      <w:fldChar w:fldCharType="separate"/>
    </w:r>
    <w:r w:rsidR="00F42C0E">
      <w:rPr>
        <w:noProof/>
      </w:rPr>
      <w:t>44</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734F4D">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D8" w:rsidRDefault="007C04D8">
      <w:r>
        <w:t>____________________</w:t>
      </w:r>
    </w:p>
  </w:footnote>
  <w:footnote w:type="continuationSeparator" w:id="0">
    <w:p w:rsidR="007C04D8" w:rsidRDefault="007C04D8">
      <w:r>
        <w:continuationSeparator/>
      </w:r>
    </w:p>
  </w:footnote>
  <w:footnote w:id="1">
    <w:p w:rsidR="00EE5183" w:rsidRDefault="00EE5183" w:rsidP="00EE5183">
      <w:pPr>
        <w:pStyle w:val="FootnoteText"/>
        <w:rPr>
          <w:lang w:val="es-ES"/>
        </w:rPr>
      </w:pPr>
      <w:r>
        <w:rPr>
          <w:rStyle w:val="FootnoteReference"/>
          <w:lang w:val="es-ES"/>
        </w:rPr>
        <w:t>1</w:t>
      </w:r>
      <w:r>
        <w:rPr>
          <w:lang w:val="es-ES"/>
        </w:rP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1598B"/>
    <w:rsid w:val="00021556"/>
    <w:rsid w:val="00044B4D"/>
    <w:rsid w:val="00065BE4"/>
    <w:rsid w:val="000809E2"/>
    <w:rsid w:val="00082EA6"/>
    <w:rsid w:val="00086219"/>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D1F48"/>
    <w:rsid w:val="001E3C05"/>
    <w:rsid w:val="001E47B2"/>
    <w:rsid w:val="001F5708"/>
    <w:rsid w:val="001F7101"/>
    <w:rsid w:val="0021547F"/>
    <w:rsid w:val="00217CDB"/>
    <w:rsid w:val="00223031"/>
    <w:rsid w:val="00241D6F"/>
    <w:rsid w:val="00245661"/>
    <w:rsid w:val="00256525"/>
    <w:rsid w:val="00256F54"/>
    <w:rsid w:val="0029052C"/>
    <w:rsid w:val="00295585"/>
    <w:rsid w:val="002A35AB"/>
    <w:rsid w:val="00315C1E"/>
    <w:rsid w:val="00316679"/>
    <w:rsid w:val="00324532"/>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34F4D"/>
    <w:rsid w:val="00735E06"/>
    <w:rsid w:val="00743611"/>
    <w:rsid w:val="00744E89"/>
    <w:rsid w:val="0079215F"/>
    <w:rsid w:val="007A0BE3"/>
    <w:rsid w:val="007B0D90"/>
    <w:rsid w:val="007C04D8"/>
    <w:rsid w:val="007C64E7"/>
    <w:rsid w:val="007C7F35"/>
    <w:rsid w:val="008028AE"/>
    <w:rsid w:val="00812CE2"/>
    <w:rsid w:val="008222EF"/>
    <w:rsid w:val="00831A21"/>
    <w:rsid w:val="00841271"/>
    <w:rsid w:val="00855B0A"/>
    <w:rsid w:val="00862C3A"/>
    <w:rsid w:val="00877E7D"/>
    <w:rsid w:val="00885482"/>
    <w:rsid w:val="00892A35"/>
    <w:rsid w:val="008B09EB"/>
    <w:rsid w:val="008B2002"/>
    <w:rsid w:val="008C357D"/>
    <w:rsid w:val="008C6F85"/>
    <w:rsid w:val="008D5D1B"/>
    <w:rsid w:val="008D6B1E"/>
    <w:rsid w:val="008E70B2"/>
    <w:rsid w:val="008F7079"/>
    <w:rsid w:val="00906FCA"/>
    <w:rsid w:val="00917AD8"/>
    <w:rsid w:val="009215A0"/>
    <w:rsid w:val="009242C6"/>
    <w:rsid w:val="00946DF2"/>
    <w:rsid w:val="009560C3"/>
    <w:rsid w:val="00956FFA"/>
    <w:rsid w:val="00996C60"/>
    <w:rsid w:val="009B4B48"/>
    <w:rsid w:val="009C06D6"/>
    <w:rsid w:val="009E4ACC"/>
    <w:rsid w:val="009F3507"/>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C2B2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B6A32"/>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B2730"/>
    <w:rsid w:val="00ED006D"/>
    <w:rsid w:val="00ED48FA"/>
    <w:rsid w:val="00ED6590"/>
    <w:rsid w:val="00EE233D"/>
    <w:rsid w:val="00EE47E4"/>
    <w:rsid w:val="00EE5183"/>
    <w:rsid w:val="00F40D91"/>
    <w:rsid w:val="00F42C0E"/>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s-ES_tradnl"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EE5183"/>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aftertitle0"/>
    <w:rsid w:val="00EE518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rsid w:val="00EE5183"/>
    <w:pPr>
      <w:tabs>
        <w:tab w:val="clear" w:pos="794"/>
        <w:tab w:val="clear" w:pos="1191"/>
        <w:tab w:val="left" w:pos="1134"/>
      </w:tabs>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FF2E-8A73-4028-8FA5-AFE87A8C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QPUBS.dot</Template>
  <TotalTime>20</TotalTime>
  <Pages>11</Pages>
  <Words>4831</Words>
  <Characters>26575</Characters>
  <Application>Microsoft Office Word</Application>
  <DocSecurity>0</DocSecurity>
  <Lines>221</Lines>
  <Paragraphs>62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UIT-T Rec. E.802 (02/2007) Marco y metodología para la determinación y la aplicación de parámetros de calidad de servicio</vt:lpstr>
      <vt:lpstr>I	Programa 1: Refuerzo de las capacidades de creación de normas</vt:lpstr>
      <vt:lpstr>II	Programa 2: Ayuda a los países en desarrollo materia de aplicación de normas</vt:lpstr>
      <vt:lpstr>III	Programa 3: Creación de capacidad de recursos humanos</vt:lpstr>
      <vt:lpstr>IV	Programa 4: Recaudación de fondos para reducir la brecha de normalización</vt:lpstr>
    </vt:vector>
  </TitlesOfParts>
  <Company>ITU</Company>
  <LinksUpToDate>false</LinksUpToDate>
  <CharactersWithSpaces>31344</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Angel Martinez Romera</cp:lastModifiedBy>
  <cp:revision>10</cp:revision>
  <cp:lastPrinted>2016-12-15T15:55:00Z</cp:lastPrinted>
  <dcterms:created xsi:type="dcterms:W3CDTF">2016-12-15T13:57:00Z</dcterms:created>
  <dcterms:modified xsi:type="dcterms:W3CDTF">2016-12-15T15:58:00Z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