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0F40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0F40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4C58F1D" w:rsidR="00EA2A26" w:rsidRPr="0033681A"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D12C45">
              <w:rPr>
                <w:spacing w:val="-6"/>
                <w:sz w:val="44"/>
                <w:szCs w:val="44"/>
                <w:lang w:val="en-GB"/>
              </w:rPr>
              <w:t>40</w:t>
            </w:r>
            <w:r w:rsidR="003F0835">
              <w:rPr>
                <w:spacing w:val="-6"/>
                <w:sz w:val="44"/>
                <w:szCs w:val="44"/>
                <w:lang w:val="en-GB"/>
              </w:rPr>
              <w:t xml:space="preserve"> </w:t>
            </w:r>
            <w:r w:rsidR="00845E8E">
              <w:rPr>
                <w:spacing w:val="-6"/>
                <w:sz w:val="44"/>
                <w:szCs w:val="44"/>
                <w:lang w:val="en-GB"/>
              </w:rPr>
              <w:t xml:space="preserve">– </w:t>
            </w:r>
            <w:bookmarkStart w:id="1" w:name="_Toc104459716"/>
            <w:bookmarkStart w:id="2" w:name="_Toc104476524"/>
            <w:bookmarkStart w:id="3" w:name="_Toc111638417"/>
            <w:r w:rsidR="00D12C45" w:rsidRPr="00D12C45">
              <w:rPr>
                <w:spacing w:val="-6"/>
                <w:sz w:val="44"/>
                <w:szCs w:val="44"/>
                <w:lang w:val="en-GB"/>
              </w:rPr>
              <w:t>Regulatory and policy aspects of the work of the ITU</w:t>
            </w:r>
            <w:r w:rsidR="00D12C45">
              <w:rPr>
                <w:spacing w:val="-6"/>
                <w:sz w:val="44"/>
                <w:szCs w:val="44"/>
                <w:lang w:val="en-GB"/>
              </w:rPr>
              <w:t xml:space="preserve"> </w:t>
            </w:r>
            <w:r w:rsidR="00D12C45" w:rsidRPr="00D12C45">
              <w:rPr>
                <w:spacing w:val="-6"/>
                <w:sz w:val="44"/>
                <w:szCs w:val="44"/>
                <w:lang w:val="en-GB"/>
              </w:rPr>
              <w:t>Telecommunication Standardization Sector</w:t>
            </w:r>
            <w:bookmarkEnd w:id="1"/>
            <w:bookmarkEnd w:id="2"/>
            <w:bookmarkEnd w:id="3"/>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3447FF4B" w14:textId="47057ACE" w:rsidR="0030496B" w:rsidRDefault="0030496B" w:rsidP="0030496B">
      <w:pPr>
        <w:pStyle w:val="ResNo"/>
        <w:outlineLvl w:val="0"/>
        <w:rPr>
          <w:lang w:val="en-GB"/>
        </w:rPr>
      </w:pPr>
      <w:r w:rsidRPr="0030496B">
        <w:rPr>
          <w:lang w:val="en-GB"/>
        </w:rPr>
        <w:lastRenderedPageBreak/>
        <w:t>RESOLUTION </w:t>
      </w:r>
      <w:r w:rsidR="00D12C45">
        <w:rPr>
          <w:rStyle w:val="href"/>
          <w:lang w:val="en-GB"/>
        </w:rPr>
        <w:t>40</w:t>
      </w:r>
      <w:r w:rsidRPr="0030496B">
        <w:rPr>
          <w:lang w:val="en-GB"/>
        </w:rPr>
        <w:t xml:space="preserve"> (R</w:t>
      </w:r>
      <w:r w:rsidR="00876C82" w:rsidRPr="0030496B">
        <w:rPr>
          <w:caps w:val="0"/>
          <w:lang w:val="en-GB"/>
        </w:rPr>
        <w:t>ev</w:t>
      </w:r>
      <w:r w:rsidRPr="0030496B">
        <w:rPr>
          <w:lang w:val="en-GB"/>
        </w:rPr>
        <w:t>. N</w:t>
      </w:r>
      <w:r w:rsidR="00876C82" w:rsidRPr="0030496B">
        <w:rPr>
          <w:caps w:val="0"/>
          <w:lang w:val="en-GB"/>
        </w:rPr>
        <w:t>ew </w:t>
      </w:r>
      <w:r w:rsidRPr="0030496B">
        <w:rPr>
          <w:lang w:val="en-GB"/>
        </w:rPr>
        <w:t>D</w:t>
      </w:r>
      <w:r w:rsidR="00876C82" w:rsidRPr="0030496B">
        <w:rPr>
          <w:caps w:val="0"/>
          <w:lang w:val="en-GB"/>
        </w:rPr>
        <w:t>elhi</w:t>
      </w:r>
      <w:r w:rsidRPr="0030496B">
        <w:rPr>
          <w:lang w:val="en-GB"/>
        </w:rPr>
        <w:t>, 2024)</w:t>
      </w:r>
    </w:p>
    <w:p w14:paraId="3BBE4B0B" w14:textId="77777777" w:rsidR="00D12C45" w:rsidRPr="00D12C45" w:rsidRDefault="00D12C45" w:rsidP="00D12C45">
      <w:pPr>
        <w:pStyle w:val="Restitle"/>
        <w:outlineLvl w:val="0"/>
        <w:rPr>
          <w:lang w:val="en-GB"/>
        </w:rPr>
      </w:pPr>
      <w:r w:rsidRPr="00D12C45">
        <w:rPr>
          <w:lang w:val="en-GB"/>
        </w:rPr>
        <w:t>Regulatory and policy aspects of the work of the ITU</w:t>
      </w:r>
      <w:r w:rsidRPr="00D12C45">
        <w:rPr>
          <w:lang w:val="en-GB"/>
        </w:rPr>
        <w:br/>
        <w:t>Telecommunication Standardization Sector</w:t>
      </w:r>
    </w:p>
    <w:p w14:paraId="0E51AAE8" w14:textId="77777777" w:rsidR="00D12C45" w:rsidRPr="00D12C45" w:rsidRDefault="00D12C45" w:rsidP="00D12C45">
      <w:pPr>
        <w:pStyle w:val="Resref"/>
        <w:rPr>
          <w:lang w:val="en-GB"/>
        </w:rPr>
      </w:pPr>
      <w:r w:rsidRPr="00D12C45">
        <w:rPr>
          <w:lang w:val="en-GB"/>
        </w:rPr>
        <w:t xml:space="preserve">(Montreal, 2000; </w:t>
      </w:r>
      <w:proofErr w:type="spellStart"/>
      <w:r w:rsidRPr="00D12C45">
        <w:rPr>
          <w:lang w:val="en-GB"/>
        </w:rPr>
        <w:t>Florianópolis</w:t>
      </w:r>
      <w:proofErr w:type="spellEnd"/>
      <w:r w:rsidRPr="00D12C45">
        <w:rPr>
          <w:lang w:val="en-GB"/>
        </w:rPr>
        <w:t xml:space="preserve">, 2004; Johannesburg, 2008; Dubai, 2012; </w:t>
      </w:r>
      <w:r w:rsidRPr="00D12C45">
        <w:rPr>
          <w:lang w:val="en-GB"/>
        </w:rPr>
        <w:br/>
      </w:r>
      <w:proofErr w:type="spellStart"/>
      <w:r w:rsidRPr="00D12C45">
        <w:rPr>
          <w:lang w:val="en-GB"/>
        </w:rPr>
        <w:t>Hammamet</w:t>
      </w:r>
      <w:proofErr w:type="spellEnd"/>
      <w:r w:rsidRPr="00D12C45">
        <w:rPr>
          <w:lang w:val="en-GB"/>
        </w:rPr>
        <w:t>, 2016; Geneva, 2022; New Delhi, 2024)</w:t>
      </w:r>
    </w:p>
    <w:p w14:paraId="6E164BD0" w14:textId="77777777" w:rsidR="00D12C45" w:rsidRPr="00174C13" w:rsidRDefault="00D12C45" w:rsidP="00D12C45">
      <w:pPr>
        <w:pStyle w:val="Normalaftertitle0"/>
      </w:pPr>
      <w:r w:rsidRPr="00174C13">
        <w:t>The World Telecommunication Standardization Assembly (New Delhi, 2024),</w:t>
      </w:r>
    </w:p>
    <w:p w14:paraId="686759FB" w14:textId="77777777" w:rsidR="00D12C45" w:rsidRPr="00D12C45" w:rsidRDefault="00D12C45" w:rsidP="00D12C45">
      <w:pPr>
        <w:pStyle w:val="Call"/>
        <w:rPr>
          <w:lang w:val="en-GB"/>
        </w:rPr>
      </w:pPr>
      <w:r w:rsidRPr="00D12C45">
        <w:rPr>
          <w:lang w:val="en-GB"/>
        </w:rPr>
        <w:t>recognizing</w:t>
      </w:r>
    </w:p>
    <w:p w14:paraId="5FF3CFEB" w14:textId="77777777" w:rsidR="00D12C45" w:rsidRPr="00D12C45" w:rsidRDefault="00D12C45" w:rsidP="00D12C45">
      <w:pPr>
        <w:rPr>
          <w:lang w:val="en-GB"/>
        </w:rPr>
      </w:pPr>
      <w:r w:rsidRPr="00D12C45">
        <w:rPr>
          <w:i/>
          <w:iCs/>
          <w:lang w:val="en-GB"/>
        </w:rPr>
        <w:t>a)</w:t>
      </w:r>
      <w:r w:rsidRPr="00D12C45">
        <w:rPr>
          <w:lang w:val="en-GB"/>
        </w:rPr>
        <w:tab/>
        <w:t xml:space="preserve">the provisions of Nos. 246D to 246H of the ITU </w:t>
      </w:r>
      <w:proofErr w:type="gramStart"/>
      <w:r w:rsidRPr="00D12C45">
        <w:rPr>
          <w:lang w:val="en-GB"/>
        </w:rPr>
        <w:t>Convention;</w:t>
      </w:r>
      <w:proofErr w:type="gramEnd"/>
    </w:p>
    <w:p w14:paraId="277C4D21" w14:textId="77777777" w:rsidR="00D12C45" w:rsidRPr="00D12C45" w:rsidRDefault="00D12C45" w:rsidP="00D12C45">
      <w:pPr>
        <w:rPr>
          <w:lang w:val="en-GB"/>
        </w:rPr>
      </w:pPr>
      <w:r w:rsidRPr="00D12C45">
        <w:rPr>
          <w:i/>
          <w:iCs/>
          <w:lang w:val="en-GB"/>
        </w:rPr>
        <w:t>b)</w:t>
      </w:r>
      <w:r w:rsidRPr="00D12C45">
        <w:rPr>
          <w:lang w:val="en-GB"/>
        </w:rPr>
        <w:tab/>
        <w:t xml:space="preserve">Resolution 20 (Rev. New Delhi, 2024) of this assembly, on the procedures for allocation and management of international telecommunication numbering, naming, addressing and identification (NNAI) </w:t>
      </w:r>
      <w:proofErr w:type="gramStart"/>
      <w:r w:rsidRPr="00D12C45">
        <w:rPr>
          <w:lang w:val="en-GB"/>
        </w:rPr>
        <w:t>resources;</w:t>
      </w:r>
      <w:proofErr w:type="gramEnd"/>
    </w:p>
    <w:p w14:paraId="66A7ADE6" w14:textId="77777777" w:rsidR="00D12C45" w:rsidRPr="00D12C45" w:rsidRDefault="00D12C45" w:rsidP="00D12C45">
      <w:pPr>
        <w:rPr>
          <w:i/>
          <w:iCs/>
          <w:lang w:val="en-GB"/>
        </w:rPr>
      </w:pPr>
      <w:r w:rsidRPr="00D12C45">
        <w:rPr>
          <w:i/>
          <w:iCs/>
          <w:lang w:val="en-GB"/>
        </w:rPr>
        <w:t>c)</w:t>
      </w:r>
      <w:r w:rsidRPr="00D12C45">
        <w:rPr>
          <w:i/>
          <w:iCs/>
          <w:lang w:val="en-GB"/>
        </w:rPr>
        <w:tab/>
      </w:r>
      <w:r w:rsidRPr="00D12C45">
        <w:rPr>
          <w:lang w:val="en-GB"/>
        </w:rPr>
        <w:t>the importance of promoting innovation and creating an enabling environment for the introduction and utilization of new and emerging telecommunications/information and communication technologies through the establishment of international technical standards,</w:t>
      </w:r>
    </w:p>
    <w:p w14:paraId="49C73243" w14:textId="77777777" w:rsidR="00D12C45" w:rsidRPr="00D12C45" w:rsidRDefault="00D12C45" w:rsidP="00D12C45">
      <w:pPr>
        <w:pStyle w:val="Call"/>
        <w:rPr>
          <w:lang w:val="en-GB"/>
        </w:rPr>
      </w:pPr>
      <w:r w:rsidRPr="00D12C45">
        <w:rPr>
          <w:lang w:val="en-GB"/>
        </w:rPr>
        <w:t>considering</w:t>
      </w:r>
    </w:p>
    <w:p w14:paraId="79E008C8" w14:textId="77777777" w:rsidR="00D12C45" w:rsidRPr="00D12C45" w:rsidRDefault="00D12C45" w:rsidP="00D12C45">
      <w:pPr>
        <w:rPr>
          <w:lang w:val="en-GB"/>
        </w:rPr>
      </w:pPr>
      <w:r w:rsidRPr="00D12C45">
        <w:rPr>
          <w:i/>
          <w:iCs/>
          <w:lang w:val="en-GB"/>
        </w:rPr>
        <w:t>a)</w:t>
      </w:r>
      <w:r w:rsidRPr="00D12C45">
        <w:rPr>
          <w:lang w:val="en-GB"/>
        </w:rPr>
        <w:tab/>
        <w:t>that the tasks undertaken in the ITU Telecommunication Standardization Sector (ITU</w:t>
      </w:r>
      <w:r w:rsidRPr="00D12C45">
        <w:rPr>
          <w:lang w:val="en-GB"/>
        </w:rPr>
        <w:noBreakHyphen/>
        <w:t xml:space="preserve">T) cover both technical matters and matters having policy or regulatory </w:t>
      </w:r>
      <w:proofErr w:type="gramStart"/>
      <w:r w:rsidRPr="00D12C45">
        <w:rPr>
          <w:lang w:val="en-GB"/>
        </w:rPr>
        <w:t>implications;</w:t>
      </w:r>
      <w:proofErr w:type="gramEnd"/>
    </w:p>
    <w:p w14:paraId="22BDD5B2" w14:textId="77777777" w:rsidR="00D12C45" w:rsidRPr="00D12C45" w:rsidRDefault="00D12C45" w:rsidP="00D12C45">
      <w:pPr>
        <w:rPr>
          <w:lang w:val="en-GB"/>
        </w:rPr>
      </w:pPr>
      <w:r w:rsidRPr="00D12C45">
        <w:rPr>
          <w:i/>
          <w:iCs/>
          <w:lang w:val="en-GB"/>
        </w:rPr>
        <w:t>b)</w:t>
      </w:r>
      <w:r w:rsidRPr="00D12C45">
        <w:rPr>
          <w:lang w:val="en-GB"/>
        </w:rPr>
        <w:tab/>
        <w:t xml:space="preserve">that rules pertaining to certain aspects of the Sector's work are being framed in terms that will rely upon clear and certain identification of the boundary between technical matters and matters having policy or regulatory </w:t>
      </w:r>
      <w:proofErr w:type="gramStart"/>
      <w:r w:rsidRPr="00D12C45">
        <w:rPr>
          <w:lang w:val="en-GB"/>
        </w:rPr>
        <w:t>implications;</w:t>
      </w:r>
      <w:proofErr w:type="gramEnd"/>
    </w:p>
    <w:p w14:paraId="67BBDD03" w14:textId="77777777" w:rsidR="00D12C45" w:rsidRPr="00D12C45" w:rsidRDefault="00D12C45" w:rsidP="00D12C45">
      <w:pPr>
        <w:rPr>
          <w:lang w:val="en-GB"/>
        </w:rPr>
      </w:pPr>
      <w:r w:rsidRPr="00D12C45">
        <w:rPr>
          <w:i/>
          <w:iCs/>
          <w:lang w:val="en-GB"/>
        </w:rPr>
        <w:t>c)</w:t>
      </w:r>
      <w:r w:rsidRPr="00D12C45">
        <w:rPr>
          <w:lang w:val="en-GB"/>
        </w:rPr>
        <w:tab/>
        <w:t>that administrations are encouraging a larger role for Sector Members in the work of ITU</w:t>
      </w:r>
      <w:r w:rsidRPr="00D12C45">
        <w:rPr>
          <w:lang w:val="en-GB"/>
        </w:rPr>
        <w:noBreakHyphen/>
        <w:t xml:space="preserve">T, in particular on technical </w:t>
      </w:r>
      <w:proofErr w:type="gramStart"/>
      <w:r w:rsidRPr="00D12C45">
        <w:rPr>
          <w:lang w:val="en-GB"/>
        </w:rPr>
        <w:t>matters;</w:t>
      </w:r>
      <w:proofErr w:type="gramEnd"/>
    </w:p>
    <w:p w14:paraId="2D1AA3A4" w14:textId="77777777" w:rsidR="00D12C45" w:rsidRPr="00D12C45" w:rsidRDefault="00D12C45" w:rsidP="00D12C45">
      <w:pPr>
        <w:rPr>
          <w:lang w:val="en-GB"/>
        </w:rPr>
      </w:pPr>
      <w:r w:rsidRPr="00D12C45">
        <w:rPr>
          <w:i/>
          <w:iCs/>
          <w:lang w:val="en-GB"/>
        </w:rPr>
        <w:t>d)</w:t>
      </w:r>
      <w:r w:rsidRPr="00D12C45">
        <w:rPr>
          <w:lang w:val="en-GB"/>
        </w:rPr>
        <w:tab/>
        <w:t>that many matters having policy or regulatory implications may involve technical implementation and therefore need to be considered in appropriate technical study groups,</w:t>
      </w:r>
    </w:p>
    <w:p w14:paraId="7204A577" w14:textId="77777777" w:rsidR="00D12C45" w:rsidRPr="00D12C45" w:rsidRDefault="00D12C45" w:rsidP="00D12C45">
      <w:pPr>
        <w:pStyle w:val="Call"/>
        <w:rPr>
          <w:lang w:val="en-GB"/>
        </w:rPr>
      </w:pPr>
      <w:r w:rsidRPr="00D12C45">
        <w:rPr>
          <w:lang w:val="en-GB"/>
        </w:rPr>
        <w:t>noting</w:t>
      </w:r>
    </w:p>
    <w:p w14:paraId="374CACBC" w14:textId="77777777" w:rsidR="00D12C45" w:rsidRPr="00D12C45" w:rsidRDefault="00D12C45" w:rsidP="00D12C45">
      <w:pPr>
        <w:rPr>
          <w:lang w:val="en-GB"/>
        </w:rPr>
      </w:pPr>
      <w:r w:rsidRPr="00D12C45">
        <w:rPr>
          <w:i/>
          <w:iCs/>
          <w:lang w:val="en-GB"/>
        </w:rPr>
        <w:t>a)</w:t>
      </w:r>
      <w:r w:rsidRPr="00D12C45">
        <w:rPr>
          <w:lang w:val="en-GB"/>
        </w:rPr>
        <w:tab/>
        <w:t>that the ITU Member States have identified significant policy responsibilities in Chapter VI of the ITU Constitution (Articles 33</w:t>
      </w:r>
      <w:r w:rsidRPr="00D12C45">
        <w:rPr>
          <w:lang w:val="en-GB"/>
        </w:rPr>
        <w:noBreakHyphen/>
        <w:t>43) and in Chapter V of the Convention (Articles 36</w:t>
      </w:r>
      <w:r w:rsidRPr="00D12C45">
        <w:rPr>
          <w:lang w:val="en-GB"/>
        </w:rPr>
        <w:noBreakHyphen/>
        <w:t xml:space="preserve">40), and in relevant resolutions of plenipotentiary </w:t>
      </w:r>
      <w:proofErr w:type="gramStart"/>
      <w:r w:rsidRPr="00D12C45">
        <w:rPr>
          <w:lang w:val="en-GB"/>
        </w:rPr>
        <w:t>conferences;</w:t>
      </w:r>
      <w:proofErr w:type="gramEnd"/>
    </w:p>
    <w:p w14:paraId="138B6E5C" w14:textId="77777777" w:rsidR="00D12C45" w:rsidRPr="00D12C45" w:rsidRDefault="00D12C45" w:rsidP="00D12C45">
      <w:pPr>
        <w:rPr>
          <w:lang w:val="en-GB"/>
        </w:rPr>
      </w:pPr>
      <w:r w:rsidRPr="00D12C45">
        <w:rPr>
          <w:i/>
          <w:iCs/>
          <w:lang w:val="en-GB"/>
        </w:rPr>
        <w:t>b)</w:t>
      </w:r>
      <w:r w:rsidRPr="00D12C45">
        <w:rPr>
          <w:lang w:val="en-GB"/>
        </w:rPr>
        <w:tab/>
        <w:t xml:space="preserve">that the International Telecommunication Regulations further describe policy and regulatory obligations incumbent upon Member </w:t>
      </w:r>
      <w:proofErr w:type="gramStart"/>
      <w:r w:rsidRPr="00D12C45">
        <w:rPr>
          <w:lang w:val="en-GB"/>
        </w:rPr>
        <w:t>States;</w:t>
      </w:r>
      <w:proofErr w:type="gramEnd"/>
    </w:p>
    <w:p w14:paraId="3BF15E38" w14:textId="77777777" w:rsidR="00D12C45" w:rsidRPr="00D12C45" w:rsidRDefault="00D12C45" w:rsidP="00D12C45">
      <w:pPr>
        <w:rPr>
          <w:lang w:val="en-GB"/>
        </w:rPr>
      </w:pPr>
      <w:r w:rsidRPr="00D12C45">
        <w:rPr>
          <w:i/>
          <w:iCs/>
          <w:lang w:val="en-GB"/>
        </w:rPr>
        <w:t>c)</w:t>
      </w:r>
      <w:r w:rsidRPr="00D12C45">
        <w:rPr>
          <w:lang w:val="en-GB"/>
        </w:rPr>
        <w:tab/>
        <w:t xml:space="preserve">that No. 191C of the Convention empowers the World Telecommunication Standardization Assembly to assign matters within its competence to the Telecommunication Standardization Advisory Group (TSAG), indicating the action required on those </w:t>
      </w:r>
      <w:proofErr w:type="gramStart"/>
      <w:r w:rsidRPr="00D12C45">
        <w:rPr>
          <w:lang w:val="en-GB"/>
        </w:rPr>
        <w:t>matters;</w:t>
      </w:r>
      <w:proofErr w:type="gramEnd"/>
    </w:p>
    <w:p w14:paraId="35B868C1" w14:textId="77777777" w:rsidR="00D12C45" w:rsidRPr="00D12C45" w:rsidRDefault="00D12C45" w:rsidP="00D12C45">
      <w:pPr>
        <w:rPr>
          <w:lang w:val="en-GB"/>
        </w:rPr>
      </w:pPr>
      <w:r w:rsidRPr="00D12C45">
        <w:rPr>
          <w:i/>
          <w:iCs/>
          <w:lang w:val="en-GB"/>
        </w:rPr>
        <w:t>d)</w:t>
      </w:r>
      <w:r w:rsidRPr="00D12C45">
        <w:rPr>
          <w:i/>
          <w:iCs/>
          <w:lang w:val="en-GB"/>
        </w:rPr>
        <w:tab/>
      </w:r>
      <w:r w:rsidRPr="00D12C45">
        <w:rPr>
          <w:lang w:val="en-GB"/>
        </w:rPr>
        <w:t>the need to increase collaboration among all stakeholders, each within its responsibilities, to address regulatory and policy implications,</w:t>
      </w:r>
    </w:p>
    <w:p w14:paraId="32496A59" w14:textId="77777777" w:rsidR="005E688A" w:rsidRDefault="005E688A" w:rsidP="00D12C45">
      <w:pPr>
        <w:pStyle w:val="Call"/>
        <w:rPr>
          <w:lang w:val="en-GB"/>
        </w:rPr>
      </w:pPr>
      <w:r>
        <w:rPr>
          <w:lang w:val="en-GB"/>
        </w:rPr>
        <w:br w:type="page"/>
      </w:r>
    </w:p>
    <w:p w14:paraId="7E9788DB" w14:textId="103A93EB" w:rsidR="00D12C45" w:rsidRPr="00D12C45" w:rsidRDefault="00D12C45" w:rsidP="00D12C45">
      <w:pPr>
        <w:pStyle w:val="Call"/>
        <w:rPr>
          <w:lang w:val="en-GB"/>
        </w:rPr>
      </w:pPr>
      <w:r w:rsidRPr="00D12C45">
        <w:rPr>
          <w:lang w:val="en-GB"/>
        </w:rPr>
        <w:t>resolves</w:t>
      </w:r>
    </w:p>
    <w:p w14:paraId="166A241C" w14:textId="77777777" w:rsidR="00D12C45" w:rsidRPr="00D12C45" w:rsidRDefault="00D12C45" w:rsidP="00D12C45">
      <w:pPr>
        <w:keepNext/>
        <w:rPr>
          <w:lang w:val="en-GB"/>
        </w:rPr>
      </w:pPr>
      <w:r w:rsidRPr="00D12C45">
        <w:rPr>
          <w:lang w:val="en-GB"/>
        </w:rPr>
        <w:t>that, when determining whether new work items, Questions or ITU</w:t>
      </w:r>
      <w:r w:rsidRPr="00D12C45">
        <w:rPr>
          <w:lang w:val="en-GB"/>
        </w:rPr>
        <w:noBreakHyphen/>
        <w:t>T Recommendations have policy or regulatory implications, ITU</w:t>
      </w:r>
      <w:r w:rsidRPr="00D12C45">
        <w:rPr>
          <w:lang w:val="en-GB"/>
        </w:rPr>
        <w:noBreakHyphen/>
        <w:t xml:space="preserve">T study groups shall consider possible topics mentioned in </w:t>
      </w:r>
      <w:r w:rsidRPr="00D12C45">
        <w:rPr>
          <w:i/>
          <w:iCs/>
          <w:lang w:val="en-GB"/>
        </w:rPr>
        <w:t>noting</w:t>
      </w:r>
      <w:r w:rsidRPr="00D12C45">
        <w:rPr>
          <w:lang w:val="en-GB"/>
        </w:rPr>
        <w:t xml:space="preserve">, </w:t>
      </w:r>
      <w:r w:rsidRPr="00D12C45">
        <w:rPr>
          <w:i/>
          <w:iCs/>
          <w:lang w:val="en-GB"/>
        </w:rPr>
        <w:t>inter alia</w:t>
      </w:r>
      <w:r w:rsidRPr="00D12C45">
        <w:rPr>
          <w:lang w:val="en-GB"/>
        </w:rPr>
        <w:t>:</w:t>
      </w:r>
    </w:p>
    <w:p w14:paraId="00F8050A" w14:textId="77777777" w:rsidR="00D12C45" w:rsidRPr="00D12C45" w:rsidRDefault="00D12C45" w:rsidP="00D12C45">
      <w:pPr>
        <w:pStyle w:val="enumlev1"/>
        <w:rPr>
          <w:lang w:val="en-GB"/>
        </w:rPr>
      </w:pPr>
      <w:r w:rsidRPr="00D12C45">
        <w:rPr>
          <w:lang w:val="en-GB"/>
        </w:rPr>
        <w:t>–</w:t>
      </w:r>
      <w:r w:rsidRPr="00D12C45">
        <w:rPr>
          <w:lang w:val="en-GB"/>
        </w:rPr>
        <w:tab/>
        <w:t xml:space="preserve">the right of the public to </w:t>
      </w:r>
      <w:proofErr w:type="gramStart"/>
      <w:r w:rsidRPr="00D12C45">
        <w:rPr>
          <w:lang w:val="en-GB"/>
        </w:rPr>
        <w:t>correspond;</w:t>
      </w:r>
      <w:proofErr w:type="gramEnd"/>
    </w:p>
    <w:p w14:paraId="45E61352" w14:textId="77777777" w:rsidR="00D12C45" w:rsidRPr="00D12C45" w:rsidRDefault="00D12C45" w:rsidP="00D12C45">
      <w:pPr>
        <w:pStyle w:val="enumlev1"/>
        <w:rPr>
          <w:lang w:val="en-GB"/>
        </w:rPr>
      </w:pPr>
      <w:r w:rsidRPr="00D12C45">
        <w:rPr>
          <w:lang w:val="en-GB"/>
        </w:rPr>
        <w:t>–</w:t>
      </w:r>
      <w:r w:rsidRPr="00D12C45">
        <w:rPr>
          <w:lang w:val="en-GB"/>
        </w:rPr>
        <w:tab/>
        <w:t xml:space="preserve">protection of telecommunication channels and </w:t>
      </w:r>
      <w:proofErr w:type="gramStart"/>
      <w:r w:rsidRPr="00D12C45">
        <w:rPr>
          <w:lang w:val="en-GB"/>
        </w:rPr>
        <w:t>installations;</w:t>
      </w:r>
      <w:proofErr w:type="gramEnd"/>
    </w:p>
    <w:p w14:paraId="267FFD98" w14:textId="77777777" w:rsidR="00D12C45" w:rsidRPr="00D12C45" w:rsidRDefault="00D12C45" w:rsidP="00D12C45">
      <w:pPr>
        <w:pStyle w:val="enumlev1"/>
        <w:rPr>
          <w:lang w:val="en-GB"/>
        </w:rPr>
      </w:pPr>
      <w:r w:rsidRPr="00D12C45">
        <w:rPr>
          <w:lang w:val="en-GB"/>
        </w:rPr>
        <w:t>–</w:t>
      </w:r>
      <w:r w:rsidRPr="00D12C45">
        <w:rPr>
          <w:lang w:val="en-GB"/>
        </w:rPr>
        <w:tab/>
        <w:t xml:space="preserve">NNAI </w:t>
      </w:r>
      <w:proofErr w:type="gramStart"/>
      <w:r w:rsidRPr="00D12C45">
        <w:rPr>
          <w:lang w:val="en-GB"/>
        </w:rPr>
        <w:t>resources;</w:t>
      </w:r>
      <w:proofErr w:type="gramEnd"/>
    </w:p>
    <w:p w14:paraId="17307621" w14:textId="77777777" w:rsidR="00D12C45" w:rsidRPr="00D12C45" w:rsidRDefault="00D12C45" w:rsidP="00D12C45">
      <w:pPr>
        <w:pStyle w:val="enumlev1"/>
        <w:rPr>
          <w:lang w:val="en-GB"/>
        </w:rPr>
      </w:pPr>
      <w:r w:rsidRPr="00D12C45">
        <w:rPr>
          <w:lang w:val="en-GB"/>
        </w:rPr>
        <w:t>–</w:t>
      </w:r>
      <w:r w:rsidRPr="00D12C45">
        <w:rPr>
          <w:lang w:val="en-GB"/>
        </w:rPr>
        <w:tab/>
        <w:t xml:space="preserve">secrecy, availability and authenticity of </w:t>
      </w:r>
      <w:proofErr w:type="gramStart"/>
      <w:r w:rsidRPr="00D12C45">
        <w:rPr>
          <w:lang w:val="en-GB"/>
        </w:rPr>
        <w:t>telecommunications;</w:t>
      </w:r>
      <w:proofErr w:type="gramEnd"/>
    </w:p>
    <w:p w14:paraId="39309586" w14:textId="77777777" w:rsidR="00D12C45" w:rsidRPr="00D12C45" w:rsidRDefault="00D12C45" w:rsidP="00D12C45">
      <w:pPr>
        <w:pStyle w:val="enumlev1"/>
        <w:rPr>
          <w:lang w:val="en-GB"/>
        </w:rPr>
      </w:pPr>
      <w:r w:rsidRPr="00D12C45">
        <w:rPr>
          <w:lang w:val="en-GB"/>
        </w:rPr>
        <w:t>–</w:t>
      </w:r>
      <w:r w:rsidRPr="00D12C45">
        <w:rPr>
          <w:lang w:val="en-GB"/>
        </w:rPr>
        <w:tab/>
        <w:t xml:space="preserve">safety of life and safety of </w:t>
      </w:r>
      <w:proofErr w:type="gramStart"/>
      <w:r w:rsidRPr="00D12C45">
        <w:rPr>
          <w:lang w:val="en-GB"/>
        </w:rPr>
        <w:t>environment;</w:t>
      </w:r>
      <w:proofErr w:type="gramEnd"/>
    </w:p>
    <w:p w14:paraId="17E4FEBD" w14:textId="77777777" w:rsidR="00D12C45" w:rsidRPr="00D12C45" w:rsidRDefault="00D12C45" w:rsidP="00D12C45">
      <w:pPr>
        <w:pStyle w:val="enumlev1"/>
        <w:rPr>
          <w:lang w:val="en-GB"/>
        </w:rPr>
      </w:pPr>
      <w:r w:rsidRPr="00D12C45">
        <w:rPr>
          <w:lang w:val="en-GB"/>
        </w:rPr>
        <w:t>–</w:t>
      </w:r>
      <w:r w:rsidRPr="00D12C45">
        <w:rPr>
          <w:lang w:val="en-GB"/>
        </w:rPr>
        <w:tab/>
        <w:t>practices applicable to competitive markets; and</w:t>
      </w:r>
    </w:p>
    <w:p w14:paraId="470D4FF5" w14:textId="77777777" w:rsidR="00D12C45" w:rsidRPr="00D12C45" w:rsidRDefault="00D12C45" w:rsidP="00D12C45">
      <w:pPr>
        <w:pStyle w:val="enumlev1"/>
        <w:rPr>
          <w:lang w:val="en-GB"/>
        </w:rPr>
      </w:pPr>
      <w:r w:rsidRPr="00D12C45">
        <w:rPr>
          <w:lang w:val="en-GB"/>
        </w:rPr>
        <w:t>–</w:t>
      </w:r>
      <w:r w:rsidRPr="00D12C45">
        <w:rPr>
          <w:lang w:val="en-GB"/>
        </w:rPr>
        <w:tab/>
        <w:t>any other relevant matters, including those identified by a decision of Member States, or recommended by TSAG, or Questions or ITU</w:t>
      </w:r>
      <w:r w:rsidRPr="00D12C45">
        <w:rPr>
          <w:lang w:val="en-GB"/>
        </w:rPr>
        <w:noBreakHyphen/>
        <w:t>T Recommendations where there is any doubt about their scope, such as matters related to quality of service/quality of experience and performance requirements,</w:t>
      </w:r>
    </w:p>
    <w:p w14:paraId="64C145CA" w14:textId="77777777" w:rsidR="00D12C45" w:rsidRPr="00D12C45" w:rsidRDefault="00D12C45" w:rsidP="00D12C45">
      <w:pPr>
        <w:pStyle w:val="Call"/>
        <w:rPr>
          <w:lang w:val="en-GB"/>
        </w:rPr>
      </w:pPr>
      <w:r w:rsidRPr="00D12C45">
        <w:rPr>
          <w:lang w:val="en-GB"/>
        </w:rPr>
        <w:t xml:space="preserve">invites Member States </w:t>
      </w:r>
    </w:p>
    <w:p w14:paraId="659F43C7" w14:textId="77777777" w:rsidR="00D12C45" w:rsidRPr="00D12C45" w:rsidRDefault="00D12C45" w:rsidP="00D12C45">
      <w:pPr>
        <w:rPr>
          <w:lang w:val="en-GB"/>
        </w:rPr>
      </w:pPr>
      <w:r w:rsidRPr="00D12C45">
        <w:rPr>
          <w:lang w:val="en-GB"/>
        </w:rPr>
        <w:t>1</w:t>
      </w:r>
      <w:r w:rsidRPr="00D12C45">
        <w:rPr>
          <w:lang w:val="en-GB"/>
        </w:rPr>
        <w:tab/>
        <w:t xml:space="preserve">to contribute actively to the work to be carried out on this </w:t>
      </w:r>
      <w:proofErr w:type="gramStart"/>
      <w:r w:rsidRPr="00D12C45">
        <w:rPr>
          <w:lang w:val="en-GB"/>
        </w:rPr>
        <w:t>matter;</w:t>
      </w:r>
      <w:proofErr w:type="gramEnd"/>
    </w:p>
    <w:p w14:paraId="29F80AA0" w14:textId="77777777" w:rsidR="00D12C45" w:rsidRPr="00D12C45" w:rsidRDefault="00D12C45" w:rsidP="00D12C45">
      <w:pPr>
        <w:rPr>
          <w:lang w:val="en-GB"/>
        </w:rPr>
      </w:pPr>
      <w:r w:rsidRPr="00D12C45">
        <w:rPr>
          <w:lang w:val="en-GB"/>
        </w:rPr>
        <w:t>2</w:t>
      </w:r>
      <w:r w:rsidRPr="00D12C45">
        <w:rPr>
          <w:lang w:val="en-GB"/>
        </w:rPr>
        <w:tab/>
        <w:t>to maintain the ongoing collaboration with Sector Members to ensure a broad range of perspectives and expertise when addressing policy and regulatory implications.</w:t>
      </w:r>
    </w:p>
    <w:p w14:paraId="2BBC7418" w14:textId="77777777" w:rsidR="00D12C45" w:rsidRDefault="00D12C45" w:rsidP="00D12C45">
      <w:pPr>
        <w:rPr>
          <w:lang w:val="en-GB"/>
        </w:rPr>
      </w:pPr>
    </w:p>
    <w:p w14:paraId="3147ADFD" w14:textId="77777777" w:rsidR="005E688A" w:rsidRDefault="005E688A" w:rsidP="00D12C45">
      <w:pPr>
        <w:rPr>
          <w:lang w:val="en-GB"/>
        </w:rPr>
      </w:pPr>
    </w:p>
    <w:p w14:paraId="2B313E4D" w14:textId="77777777" w:rsidR="005E688A" w:rsidRDefault="005E688A" w:rsidP="00D12C45">
      <w:pPr>
        <w:rPr>
          <w:lang w:val="en-GB"/>
        </w:rPr>
      </w:pPr>
    </w:p>
    <w:p w14:paraId="11499A61" w14:textId="77777777" w:rsidR="005E688A" w:rsidRDefault="005E688A" w:rsidP="00D12C45">
      <w:pPr>
        <w:rPr>
          <w:lang w:val="en-GB"/>
        </w:rPr>
      </w:pPr>
    </w:p>
    <w:p w14:paraId="5ED6068A" w14:textId="77777777" w:rsidR="005E688A" w:rsidRDefault="005E688A" w:rsidP="00D12C45">
      <w:pPr>
        <w:rPr>
          <w:lang w:val="en-GB"/>
        </w:rPr>
      </w:pPr>
    </w:p>
    <w:p w14:paraId="792047BA" w14:textId="77777777" w:rsidR="005E688A" w:rsidRDefault="005E688A" w:rsidP="00D12C45">
      <w:pPr>
        <w:rPr>
          <w:lang w:val="en-GB"/>
        </w:rPr>
      </w:pPr>
    </w:p>
    <w:p w14:paraId="7525EF8F" w14:textId="77777777" w:rsidR="005E688A" w:rsidRDefault="005E688A" w:rsidP="00D12C45">
      <w:pPr>
        <w:rPr>
          <w:lang w:val="en-GB"/>
        </w:rPr>
      </w:pPr>
    </w:p>
    <w:p w14:paraId="24AA0EC9" w14:textId="77777777" w:rsidR="005E688A" w:rsidRDefault="005E688A" w:rsidP="00D12C45">
      <w:pPr>
        <w:rPr>
          <w:lang w:val="en-GB"/>
        </w:rPr>
      </w:pPr>
    </w:p>
    <w:p w14:paraId="4441D339" w14:textId="77777777" w:rsidR="005E688A" w:rsidRDefault="005E688A" w:rsidP="00D12C45">
      <w:pPr>
        <w:rPr>
          <w:lang w:val="en-GB"/>
        </w:rPr>
      </w:pPr>
    </w:p>
    <w:p w14:paraId="47357FB8" w14:textId="77777777" w:rsidR="00D12C45" w:rsidRDefault="00D12C45" w:rsidP="00D12C45">
      <w:pPr>
        <w:rPr>
          <w:lang w:val="en-GB"/>
        </w:rPr>
      </w:pPr>
    </w:p>
    <w:p w14:paraId="31C1DDFD" w14:textId="77777777" w:rsidR="00D12C45" w:rsidRDefault="00D12C45" w:rsidP="00D12C45">
      <w:pPr>
        <w:rPr>
          <w:lang w:val="en-GB"/>
        </w:rPr>
      </w:pPr>
    </w:p>
    <w:p w14:paraId="656894D1" w14:textId="77777777" w:rsidR="00D12C45" w:rsidRDefault="00D12C45" w:rsidP="00D12C45">
      <w:pPr>
        <w:rPr>
          <w:lang w:val="en-GB"/>
        </w:rPr>
      </w:pPr>
    </w:p>
    <w:p w14:paraId="01CF0154" w14:textId="77777777" w:rsidR="00D12C45" w:rsidRPr="00D12C45" w:rsidRDefault="00D12C45" w:rsidP="00D12C45">
      <w:pPr>
        <w:rPr>
          <w:lang w:val="en-GB"/>
        </w:rPr>
      </w:pPr>
    </w:p>
    <w:sectPr w:rsidR="00D12C45" w:rsidRPr="00D12C45"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5E66624"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5E688A">
      <w:rPr>
        <w:noProof/>
        <w:lang w:val="en-US"/>
      </w:rPr>
      <w:t>40</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76834FD"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33898">
      <w:rPr>
        <w:noProof/>
        <w:lang w:val="en-US"/>
      </w:rPr>
      <w:t>34</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3CAF3C1"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5E688A">
      <w:rPr>
        <w:noProof/>
        <w:lang w:val="en-US"/>
      </w:rPr>
      <w:t>40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B071B"/>
    <w:rsid w:val="000B47CD"/>
    <w:rsid w:val="000B5A36"/>
    <w:rsid w:val="000C22AE"/>
    <w:rsid w:val="000D1CBD"/>
    <w:rsid w:val="000D378F"/>
    <w:rsid w:val="000D3CE4"/>
    <w:rsid w:val="000D5219"/>
    <w:rsid w:val="000D6DAE"/>
    <w:rsid w:val="000E4393"/>
    <w:rsid w:val="000F406C"/>
    <w:rsid w:val="00117D80"/>
    <w:rsid w:val="001309FB"/>
    <w:rsid w:val="001762A1"/>
    <w:rsid w:val="001A6B2D"/>
    <w:rsid w:val="001B4A76"/>
    <w:rsid w:val="001C5240"/>
    <w:rsid w:val="001C604C"/>
    <w:rsid w:val="001F3813"/>
    <w:rsid w:val="00210A2C"/>
    <w:rsid w:val="002178BA"/>
    <w:rsid w:val="002204D5"/>
    <w:rsid w:val="002210D5"/>
    <w:rsid w:val="00227040"/>
    <w:rsid w:val="00237B40"/>
    <w:rsid w:val="002462EF"/>
    <w:rsid w:val="00246C17"/>
    <w:rsid w:val="002742C3"/>
    <w:rsid w:val="002C182C"/>
    <w:rsid w:val="002D5607"/>
    <w:rsid w:val="002E1B7B"/>
    <w:rsid w:val="002E6A20"/>
    <w:rsid w:val="0030496B"/>
    <w:rsid w:val="0033029C"/>
    <w:rsid w:val="00331B2F"/>
    <w:rsid w:val="00333898"/>
    <w:rsid w:val="003374BB"/>
    <w:rsid w:val="00342F2D"/>
    <w:rsid w:val="0035222D"/>
    <w:rsid w:val="00367A51"/>
    <w:rsid w:val="0038237B"/>
    <w:rsid w:val="003C21D1"/>
    <w:rsid w:val="003C3FD9"/>
    <w:rsid w:val="003D116F"/>
    <w:rsid w:val="003D7A8C"/>
    <w:rsid w:val="003F0835"/>
    <w:rsid w:val="003F1DB8"/>
    <w:rsid w:val="003F293E"/>
    <w:rsid w:val="00447527"/>
    <w:rsid w:val="004568D2"/>
    <w:rsid w:val="004612A7"/>
    <w:rsid w:val="00462F6A"/>
    <w:rsid w:val="00467305"/>
    <w:rsid w:val="0048772A"/>
    <w:rsid w:val="004A58A4"/>
    <w:rsid w:val="004B7CB1"/>
    <w:rsid w:val="004F2E56"/>
    <w:rsid w:val="00501F47"/>
    <w:rsid w:val="00504D1F"/>
    <w:rsid w:val="00510BA8"/>
    <w:rsid w:val="00524FB2"/>
    <w:rsid w:val="0053765D"/>
    <w:rsid w:val="005569CA"/>
    <w:rsid w:val="00562EF2"/>
    <w:rsid w:val="00574CFF"/>
    <w:rsid w:val="005B74B7"/>
    <w:rsid w:val="005D1775"/>
    <w:rsid w:val="005D1D45"/>
    <w:rsid w:val="005E688A"/>
    <w:rsid w:val="00601999"/>
    <w:rsid w:val="00611CD0"/>
    <w:rsid w:val="00631549"/>
    <w:rsid w:val="006425B4"/>
    <w:rsid w:val="006452F7"/>
    <w:rsid w:val="00653C1B"/>
    <w:rsid w:val="00665F6E"/>
    <w:rsid w:val="006678D7"/>
    <w:rsid w:val="00667C83"/>
    <w:rsid w:val="006824D9"/>
    <w:rsid w:val="00684F2B"/>
    <w:rsid w:val="00693D4F"/>
    <w:rsid w:val="00697D23"/>
    <w:rsid w:val="006B0459"/>
    <w:rsid w:val="006B5987"/>
    <w:rsid w:val="006B6BD9"/>
    <w:rsid w:val="006D7F69"/>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05DC"/>
    <w:rsid w:val="00837339"/>
    <w:rsid w:val="00845E8E"/>
    <w:rsid w:val="00851E30"/>
    <w:rsid w:val="00876C82"/>
    <w:rsid w:val="0088751E"/>
    <w:rsid w:val="008968B6"/>
    <w:rsid w:val="008B4CF6"/>
    <w:rsid w:val="008C7FC3"/>
    <w:rsid w:val="008D6223"/>
    <w:rsid w:val="008D6D8D"/>
    <w:rsid w:val="00901958"/>
    <w:rsid w:val="009055E3"/>
    <w:rsid w:val="00905B41"/>
    <w:rsid w:val="00916468"/>
    <w:rsid w:val="0092650E"/>
    <w:rsid w:val="00931C08"/>
    <w:rsid w:val="00931EE1"/>
    <w:rsid w:val="009330E7"/>
    <w:rsid w:val="00934946"/>
    <w:rsid w:val="009423EF"/>
    <w:rsid w:val="0094695A"/>
    <w:rsid w:val="0095090C"/>
    <w:rsid w:val="0095124C"/>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A0DB0"/>
    <w:rsid w:val="00CD10C2"/>
    <w:rsid w:val="00CD3865"/>
    <w:rsid w:val="00CE767E"/>
    <w:rsid w:val="00CF024D"/>
    <w:rsid w:val="00D12C45"/>
    <w:rsid w:val="00D20887"/>
    <w:rsid w:val="00D26ECC"/>
    <w:rsid w:val="00D40F2C"/>
    <w:rsid w:val="00D4292A"/>
    <w:rsid w:val="00D457B6"/>
    <w:rsid w:val="00D50046"/>
    <w:rsid w:val="00D54881"/>
    <w:rsid w:val="00D66950"/>
    <w:rsid w:val="00D76D88"/>
    <w:rsid w:val="00D8497D"/>
    <w:rsid w:val="00D94D9E"/>
    <w:rsid w:val="00DA7D60"/>
    <w:rsid w:val="00DB2AF8"/>
    <w:rsid w:val="00DB5592"/>
    <w:rsid w:val="00DB58AC"/>
    <w:rsid w:val="00DC0E45"/>
    <w:rsid w:val="00DE48B4"/>
    <w:rsid w:val="00E0268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character" w:customStyle="1" w:styleId="TabletextChar">
    <w:name w:val="Table_text Char"/>
    <w:link w:val="Tabletext"/>
    <w:qFormat/>
    <w:locked/>
    <w:rsid w:val="0030496B"/>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TotalTime>
  <Pages>4</Pages>
  <Words>656</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34 – Voluntary contributions</vt:lpstr>
    </vt:vector>
  </TitlesOfParts>
  <Company>ITU</Company>
  <LinksUpToDate>false</LinksUpToDate>
  <CharactersWithSpaces>4830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40 – Regulatory and policy aspects of the work of the ITU Telecommunication Standardization Sector</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2024-11-26T12:24:00Z</cp:lastPrinted>
  <dcterms:created xsi:type="dcterms:W3CDTF">2024-11-26T12:26:00Z</dcterms:created>
  <dcterms:modified xsi:type="dcterms:W3CDTF">2024-11-26T12:28:00Z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