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CD02B9" w:rsidP="00223031">
            <w:pPr>
              <w:pStyle w:val="Note"/>
            </w:pPr>
            <w:r>
              <w:rPr>
                <w:noProof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79.5pt;margin-top:-53.65pt;width:127pt;height:852.65pt;z-index:251657216" o:allowincell="f">
                  <v:imagedata r:id="rId7" o:title=""/>
                </v:shape>
              </w:pict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A922AD" w:rsidP="00D5161F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proofErr w:type="spellStart"/>
            <w:r w:rsidRPr="00A922AD">
              <w:rPr>
                <w:rFonts w:ascii="Arial" w:hAnsi="Arial" w:cs="Arial"/>
                <w:sz w:val="32"/>
                <w:lang w:val="es-ES"/>
              </w:rPr>
              <w:t>Hammamet</w:t>
            </w:r>
            <w:proofErr w:type="spellEnd"/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 xml:space="preserve">5 de octubre </w:t>
            </w:r>
            <w:r w:rsidR="00D5161F">
              <w:rPr>
                <w:rFonts w:ascii="Arial" w:hAnsi="Arial" w:cs="Arial"/>
                <w:sz w:val="32"/>
                <w:lang w:val="es-ES"/>
              </w:rPr>
              <w:t>–</w:t>
            </w:r>
            <w:r>
              <w:rPr>
                <w:rFonts w:ascii="Arial" w:hAnsi="Arial" w:cs="Arial"/>
                <w:sz w:val="32"/>
                <w:lang w:val="es-ES"/>
              </w:rPr>
              <w:t xml:space="preserve"> 3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 w:rsidR="006C62D4">
              <w:rPr>
                <w:rFonts w:ascii="Arial" w:hAnsi="Arial" w:cs="Arial"/>
                <w:sz w:val="32"/>
                <w:lang w:val="es-ES"/>
              </w:rPr>
              <w:t>noviembre de 201</w:t>
            </w:r>
            <w:r>
              <w:rPr>
                <w:rFonts w:ascii="Arial" w:hAnsi="Arial" w:cs="Arial"/>
                <w:sz w:val="32"/>
                <w:lang w:val="es-ES"/>
              </w:rPr>
              <w:t>6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3518D5" w:rsidRDefault="004F1EA7" w:rsidP="001D1F48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F1EA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1D1F48">
              <w:rPr>
                <w:rFonts w:ascii="Arial" w:hAnsi="Arial" w:cs="Arial"/>
                <w:b/>
                <w:bCs/>
                <w:sz w:val="36"/>
                <w:szCs w:val="36"/>
              </w:rPr>
              <w:t>40</w:t>
            </w:r>
            <w:r w:rsidR="00AC2B2D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– </w:t>
            </w:r>
            <w:r w:rsidR="001D1F48" w:rsidRPr="001D1F48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Aspectos reglamentarios de</w:t>
            </w:r>
            <w:r w:rsidR="001D1F48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 </w:t>
            </w:r>
            <w:r w:rsidR="001D1F48" w:rsidRPr="001D1F48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la</w:t>
            </w:r>
            <w:r w:rsidR="001D1F48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 </w:t>
            </w:r>
            <w:r w:rsidR="001D1F48" w:rsidRPr="001D1F48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labor del Sector de Normalización de las</w:t>
            </w:r>
            <w:r w:rsidR="001D1F48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 </w:t>
            </w:r>
            <w:r w:rsidR="001D1F48" w:rsidRPr="001D1F48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Telecomunicaciones de la UIT</w:t>
            </w:r>
          </w:p>
        </w:tc>
      </w:tr>
      <w:bookmarkEnd w:id="3"/>
      <w:tr w:rsidR="008028AE" w:rsidRPr="00F4281C" w:rsidTr="00F431E4">
        <w:trPr>
          <w:cantSplit/>
          <w:trHeight w:hRule="exact" w:val="1418"/>
        </w:trPr>
        <w:tc>
          <w:tcPr>
            <w:tcW w:w="1418" w:type="dxa"/>
          </w:tcPr>
          <w:p w:rsidR="008028AE" w:rsidRPr="001D1F48" w:rsidRDefault="008028AE" w:rsidP="00F431E4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D6CCF" w:rsidRPr="001D1F48" w:rsidRDefault="00FD6CCF" w:rsidP="00F431E4">
            <w:pPr>
              <w:tabs>
                <w:tab w:val="right" w:pos="9639"/>
              </w:tabs>
              <w:jc w:val="left"/>
              <w:rPr>
                <w:rFonts w:ascii="Arial" w:hAnsi="Arial"/>
                <w:sz w:val="18"/>
              </w:rPr>
            </w:pPr>
            <w:bookmarkStart w:id="4" w:name="dnum2e"/>
            <w:bookmarkEnd w:id="4"/>
          </w:p>
        </w:tc>
      </w:tr>
    </w:tbl>
    <w:p w:rsidR="00FD6CCF" w:rsidRPr="001D1F48" w:rsidRDefault="00CD02B9" w:rsidP="008028AE">
      <w:pPr>
        <w:tabs>
          <w:tab w:val="right" w:pos="9639"/>
        </w:tabs>
        <w:spacing w:before="240"/>
        <w:jc w:val="right"/>
        <w:rPr>
          <w:noProof/>
          <w:lang w:eastAsia="zh-CN"/>
        </w:rPr>
      </w:pPr>
      <w:bookmarkStart w:id="5" w:name="c2tope"/>
      <w:bookmarkEnd w:id="5"/>
      <w:r>
        <w:rPr>
          <w:noProof/>
        </w:rPr>
        <w:pict>
          <v:shape id="_x0000_s1446" type="#_x0000_t75" alt="sigleITU_large" style="position:absolute;left:0;text-align:left;margin-left:432.3pt;margin-top:1.6pt;width:52.5pt;height:59.5pt;z-index:251658240;visibility:visible;mso-wrap-style:square;mso-position-horizontal-relative:text;mso-position-vertical-relative:text">
            <v:imagedata r:id="rId8" o:title="sigleITU_large"/>
            <w10:wrap type="square"/>
          </v:shape>
        </w:pict>
      </w:r>
    </w:p>
    <w:p w:rsidR="008028AE" w:rsidRPr="001D1F48" w:rsidRDefault="008028AE" w:rsidP="008028AE">
      <w:pPr>
        <w:tabs>
          <w:tab w:val="right" w:pos="9639"/>
        </w:tabs>
        <w:spacing w:before="240"/>
        <w:jc w:val="right"/>
        <w:rPr>
          <w:sz w:val="20"/>
        </w:rPr>
      </w:pPr>
    </w:p>
    <w:p w:rsidR="008028AE" w:rsidRDefault="008028AE" w:rsidP="006C62D4">
      <w:pPr>
        <w:spacing w:before="480" w:line="240" w:lineRule="exact"/>
        <w:jc w:val="center"/>
        <w:rPr>
          <w:szCs w:val="22"/>
        </w:rPr>
        <w:sectPr w:rsidR="008028AE" w:rsidSect="00A1158B">
          <w:pgSz w:w="11907" w:h="16840" w:code="9"/>
          <w:pgMar w:top="1089" w:right="1089" w:bottom="284" w:left="1089" w:header="284" w:footer="567" w:gutter="0"/>
          <w:paperSrc w:first="15" w:other="15"/>
          <w:pgNumType w:start="1"/>
          <w:cols w:space="720"/>
        </w:sectPr>
      </w:pPr>
      <w:bookmarkStart w:id="6" w:name="c2tops"/>
      <w:bookmarkEnd w:id="6"/>
    </w:p>
    <w:p w:rsidR="006C62D4" w:rsidRPr="00AC4414" w:rsidRDefault="006C62D4" w:rsidP="00812CE2">
      <w:pPr>
        <w:spacing w:before="0" w:line="240" w:lineRule="exact"/>
        <w:jc w:val="center"/>
        <w:rPr>
          <w:szCs w:val="22"/>
        </w:rPr>
      </w:pPr>
      <w:r w:rsidRPr="00AC4414">
        <w:rPr>
          <w:szCs w:val="22"/>
        </w:rPr>
        <w:lastRenderedPageBreak/>
        <w:t>PREFACIO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bookmarkStart w:id="7" w:name="iitexts"/>
      <w:r w:rsidRPr="00D976F2"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 w:rsidRPr="00D976F2">
        <w:rPr>
          <w:sz w:val="20"/>
        </w:rPr>
        <w:noBreakHyphen/>
        <w:t>T, que a su vez producen Recomendaciones sobre dichos temas.</w:t>
      </w:r>
    </w:p>
    <w:p w:rsidR="00D976F2" w:rsidRPr="00D976F2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La aprobación de Recomendaciones por los Miembros del UIT</w:t>
      </w:r>
      <w:r w:rsidRPr="00D976F2">
        <w:rPr>
          <w:sz w:val="20"/>
        </w:rPr>
        <w:noBreakHyphen/>
        <w:t>T es el objeto del procedimiento establecido en la Resolución 1 de la AMNT</w:t>
      </w:r>
      <w:bookmarkEnd w:id="7"/>
      <w:r w:rsidRPr="00D976F2">
        <w:rPr>
          <w:sz w:val="20"/>
        </w:rPr>
        <w:t>.</w:t>
      </w:r>
    </w:p>
    <w:p w:rsidR="006C62D4" w:rsidRPr="00143DCC" w:rsidRDefault="00D976F2" w:rsidP="00D976F2">
      <w:pPr>
        <w:spacing w:line="240" w:lineRule="exact"/>
        <w:rPr>
          <w:sz w:val="20"/>
        </w:rPr>
      </w:pPr>
      <w:r w:rsidRPr="00D976F2">
        <w:rPr>
          <w:sz w:val="20"/>
        </w:rPr>
        <w:t>En ciertos sectores de la tecnología de la información que corresponden a la esfera de competencia del UIT</w:t>
      </w:r>
      <w:r w:rsidRPr="00D976F2"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812CE2" w:rsidRDefault="00812CE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885482" w:rsidRDefault="00885482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8028AE" w:rsidRDefault="00C2286E" w:rsidP="00A922AD">
      <w:pPr>
        <w:jc w:val="center"/>
        <w:rPr>
          <w:sz w:val="20"/>
        </w:rPr>
      </w:pPr>
      <w:r w:rsidRPr="008028AE">
        <w:rPr>
          <w:rFonts w:ascii="Symbol" w:hAnsi="Symbol"/>
          <w:sz w:val="20"/>
        </w:rPr>
        <w:t></w:t>
      </w:r>
      <w:r w:rsidRPr="008028AE">
        <w:rPr>
          <w:sz w:val="20"/>
        </w:rPr>
        <w:t>  UIT  </w:t>
      </w:r>
      <w:bookmarkStart w:id="8" w:name="iiannes"/>
      <w:bookmarkEnd w:id="8"/>
      <w:r w:rsidR="006C62D4" w:rsidRPr="008028AE">
        <w:rPr>
          <w:sz w:val="20"/>
        </w:rPr>
        <w:t>201</w:t>
      </w:r>
      <w:r w:rsidR="00A922AD" w:rsidRPr="008028AE">
        <w:rPr>
          <w:sz w:val="20"/>
        </w:rPr>
        <w:t>6</w:t>
      </w:r>
    </w:p>
    <w:p w:rsidR="00C2286E" w:rsidRPr="008028AE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sz w:val="20"/>
        </w:rPr>
      </w:pPr>
      <w:r w:rsidRPr="008028AE">
        <w:rPr>
          <w:sz w:val="20"/>
        </w:rPr>
        <w:t>Reservados todos los derechos. Ninguna parte de esta publicación puede reproducirse por ningún procedimiento sin previa autoriza</w:t>
      </w:r>
      <w:bookmarkStart w:id="9" w:name="_GoBack"/>
      <w:bookmarkEnd w:id="9"/>
      <w:r w:rsidRPr="008028AE">
        <w:rPr>
          <w:sz w:val="20"/>
        </w:rPr>
        <w:t>ción escrita por parte de la UIT.</w:t>
      </w:r>
    </w:p>
    <w:p w:rsidR="00FB6D55" w:rsidRPr="003518D5" w:rsidRDefault="00FB6D55">
      <w:pPr>
        <w:spacing w:before="80"/>
        <w:jc w:val="left"/>
        <w:rPr>
          <w:i/>
          <w:sz w:val="20"/>
        </w:rPr>
      </w:pPr>
    </w:p>
    <w:p w:rsidR="00FB6D55" w:rsidRPr="003518D5" w:rsidRDefault="00FB6D55">
      <w:pPr>
        <w:sectPr w:rsidR="00FB6D55" w:rsidRPr="003518D5" w:rsidSect="008028AE">
          <w:type w:val="evenPage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6F5455" w:rsidRPr="00A922AD" w:rsidRDefault="006F5455" w:rsidP="001D1F48">
      <w:pPr>
        <w:pStyle w:val="ResNo"/>
        <w:tabs>
          <w:tab w:val="clear" w:pos="794"/>
          <w:tab w:val="clear" w:pos="1191"/>
          <w:tab w:val="clear" w:pos="1588"/>
          <w:tab w:val="clear" w:pos="1985"/>
        </w:tabs>
        <w:spacing w:line="280" w:lineRule="exact"/>
        <w:jc w:val="center"/>
        <w:rPr>
          <w:b w:val="0"/>
          <w:caps/>
        </w:rPr>
      </w:pPr>
      <w:bookmarkStart w:id="10" w:name="irecnos"/>
      <w:bookmarkEnd w:id="10"/>
      <w:r w:rsidRPr="00A922AD">
        <w:rPr>
          <w:b w:val="0"/>
          <w:caps/>
        </w:rPr>
        <w:lastRenderedPageBreak/>
        <w:t xml:space="preserve">RESOLUCIÓN </w:t>
      </w:r>
      <w:r w:rsidR="001D1F48" w:rsidRPr="001D1F48">
        <w:rPr>
          <w:rStyle w:val="href"/>
          <w:b w:val="0"/>
          <w:bCs/>
        </w:rPr>
        <w:t>40</w:t>
      </w:r>
      <w:r w:rsidR="00735E06" w:rsidRPr="00735E06">
        <w:t xml:space="preserve"> </w:t>
      </w:r>
      <w:r w:rsidR="00735E06" w:rsidRPr="005D5911">
        <w:rPr>
          <w:b w:val="0"/>
          <w:bCs/>
        </w:rPr>
        <w:t xml:space="preserve">(Rev. </w:t>
      </w:r>
      <w:proofErr w:type="spellStart"/>
      <w:r w:rsidR="00735E06" w:rsidRPr="005D5911">
        <w:rPr>
          <w:b w:val="0"/>
          <w:bCs/>
        </w:rPr>
        <w:t>Hammamet</w:t>
      </w:r>
      <w:proofErr w:type="spellEnd"/>
      <w:r w:rsidR="00735E06" w:rsidRPr="005D5911">
        <w:rPr>
          <w:b w:val="0"/>
          <w:bCs/>
        </w:rPr>
        <w:t>, 2016)</w:t>
      </w:r>
    </w:p>
    <w:p w:rsidR="001D1F48" w:rsidRPr="002126A0" w:rsidRDefault="001D1F48" w:rsidP="001D1F48">
      <w:pPr>
        <w:pStyle w:val="Restitle"/>
      </w:pPr>
      <w:r w:rsidRPr="002126A0">
        <w:t>Aspectos reglamentarios de la labor del Sector de Normalización</w:t>
      </w:r>
      <w:r w:rsidRPr="002126A0">
        <w:br/>
        <w:t>de las Telecomunicaciones de la UIT</w:t>
      </w:r>
    </w:p>
    <w:p w:rsidR="001D1F48" w:rsidRPr="008E1C19" w:rsidRDefault="001D1F48" w:rsidP="001D1F48">
      <w:pPr>
        <w:pStyle w:val="Resref"/>
        <w:rPr>
          <w:lang w:val="en-US"/>
        </w:rPr>
      </w:pPr>
      <w:r w:rsidRPr="008E1C19">
        <w:rPr>
          <w:lang w:val="en-US"/>
        </w:rPr>
        <w:t xml:space="preserve">(Montreal, 2000; </w:t>
      </w:r>
      <w:proofErr w:type="spellStart"/>
      <w:r w:rsidRPr="008E1C19">
        <w:rPr>
          <w:lang w:val="en-US"/>
        </w:rPr>
        <w:t>Florianópolis</w:t>
      </w:r>
      <w:proofErr w:type="spellEnd"/>
      <w:r w:rsidRPr="008E1C19">
        <w:rPr>
          <w:lang w:val="en-US"/>
        </w:rPr>
        <w:t xml:space="preserve">, 2004; </w:t>
      </w:r>
      <w:proofErr w:type="spellStart"/>
      <w:r w:rsidRPr="008E1C19">
        <w:rPr>
          <w:lang w:val="en-US"/>
        </w:rPr>
        <w:t>Johannesburgo</w:t>
      </w:r>
      <w:proofErr w:type="spellEnd"/>
      <w:r w:rsidRPr="008E1C19">
        <w:rPr>
          <w:lang w:val="en-US"/>
        </w:rPr>
        <w:t xml:space="preserve">, 2008; </w:t>
      </w:r>
      <w:proofErr w:type="spellStart"/>
      <w:r w:rsidRPr="008E1C19">
        <w:rPr>
          <w:lang w:val="en-US"/>
        </w:rPr>
        <w:t>Dubái</w:t>
      </w:r>
      <w:proofErr w:type="spellEnd"/>
      <w:r w:rsidRPr="008E1C19">
        <w:rPr>
          <w:lang w:val="en-US"/>
        </w:rPr>
        <w:t xml:space="preserve">, 2012; </w:t>
      </w:r>
      <w:proofErr w:type="spellStart"/>
      <w:r w:rsidRPr="008E1C19">
        <w:rPr>
          <w:lang w:val="en-US"/>
        </w:rPr>
        <w:t>Hammamet</w:t>
      </w:r>
      <w:proofErr w:type="spellEnd"/>
      <w:r w:rsidRPr="008E1C19">
        <w:rPr>
          <w:lang w:val="en-US"/>
        </w:rPr>
        <w:t>, 2016)</w:t>
      </w:r>
    </w:p>
    <w:p w:rsidR="001D1F48" w:rsidRPr="001D1F48" w:rsidRDefault="001D1F48" w:rsidP="001D1F48">
      <w:pPr>
        <w:pStyle w:val="Normalaftertitle0"/>
        <w:rPr>
          <w:lang w:val="es-ES_tradnl"/>
        </w:rPr>
      </w:pPr>
      <w:r w:rsidRPr="001D1F48">
        <w:rPr>
          <w:lang w:val="es-ES_tradnl"/>
        </w:rPr>
        <w:t>La Asamblea Mundial de Normalización de las Telecomunicaciones (</w:t>
      </w:r>
      <w:proofErr w:type="spellStart"/>
      <w:r w:rsidRPr="001D1F48">
        <w:rPr>
          <w:lang w:val="es-ES_tradnl"/>
        </w:rPr>
        <w:t>Hammamet</w:t>
      </w:r>
      <w:proofErr w:type="spellEnd"/>
      <w:r w:rsidRPr="001D1F48">
        <w:rPr>
          <w:lang w:val="es-ES_tradnl"/>
        </w:rPr>
        <w:t>, 2016),</w:t>
      </w:r>
    </w:p>
    <w:p w:rsidR="001D1F48" w:rsidRPr="002126A0" w:rsidRDefault="001D1F48" w:rsidP="001D1F48">
      <w:pPr>
        <w:pStyle w:val="Call"/>
      </w:pPr>
      <w:r w:rsidRPr="002126A0">
        <w:t>reconociendo</w:t>
      </w:r>
    </w:p>
    <w:p w:rsidR="001D1F48" w:rsidRPr="002126A0" w:rsidRDefault="001D1F48" w:rsidP="001D1F48">
      <w:r w:rsidRPr="002126A0">
        <w:rPr>
          <w:i/>
          <w:iCs/>
        </w:rPr>
        <w:t>a)</w:t>
      </w:r>
      <w:r w:rsidRPr="002126A0">
        <w:rPr>
          <w:i/>
          <w:iCs/>
        </w:rPr>
        <w:tab/>
      </w:r>
      <w:r w:rsidRPr="002126A0">
        <w:t>las disposiciones de los números 246D a 246H del Convenio de la UIT;</w:t>
      </w:r>
    </w:p>
    <w:p w:rsidR="001D1F48" w:rsidRPr="002126A0" w:rsidRDefault="001D1F48" w:rsidP="001D1F48">
      <w:r w:rsidRPr="002126A0">
        <w:rPr>
          <w:i/>
          <w:iCs/>
        </w:rPr>
        <w:t>b)</w:t>
      </w:r>
      <w:r w:rsidRPr="002126A0">
        <w:rPr>
          <w:i/>
          <w:iCs/>
        </w:rPr>
        <w:tab/>
      </w:r>
      <w:r w:rsidRPr="002126A0">
        <w:t xml:space="preserve">la </w:t>
      </w:r>
      <w:r w:rsidR="00E93A5D">
        <w:t>Resolución </w:t>
      </w:r>
      <w:r w:rsidRPr="002126A0">
        <w:t xml:space="preserve">20 (Rev. </w:t>
      </w:r>
      <w:proofErr w:type="spellStart"/>
      <w:r>
        <w:t>Hammamet</w:t>
      </w:r>
      <w:proofErr w:type="spellEnd"/>
      <w:r w:rsidRPr="002126A0">
        <w:t>, 201</w:t>
      </w:r>
      <w:r>
        <w:t>6</w:t>
      </w:r>
      <w:r w:rsidRPr="002126A0">
        <w:t xml:space="preserve">) de la </w:t>
      </w:r>
      <w:r>
        <w:t xml:space="preserve">presente </w:t>
      </w:r>
      <w:r w:rsidRPr="002126A0">
        <w:t>Asamblea relativa a los procedimientos para la atribución y gestión de los recursos de numeración, denominación, direccionamiento e identificación internacionales de telecomunicaciones,</w:t>
      </w:r>
    </w:p>
    <w:p w:rsidR="001D1F48" w:rsidRPr="002126A0" w:rsidRDefault="001D1F48" w:rsidP="001D1F48">
      <w:pPr>
        <w:pStyle w:val="Call"/>
      </w:pPr>
      <w:r w:rsidRPr="002126A0">
        <w:t>considerando</w:t>
      </w:r>
    </w:p>
    <w:p w:rsidR="001D1F48" w:rsidRPr="002126A0" w:rsidRDefault="001D1F48" w:rsidP="001D1F48">
      <w:r w:rsidRPr="002126A0">
        <w:rPr>
          <w:i/>
          <w:iCs/>
        </w:rPr>
        <w:t>a)</w:t>
      </w:r>
      <w:r w:rsidRPr="002126A0">
        <w:tab/>
        <w:t>que las tareas emprendidas en el Sector de Normalización de las Telecomunicaciones de la UIT (UIT</w:t>
      </w:r>
      <w:r w:rsidRPr="002126A0">
        <w:noBreakHyphen/>
        <w:t>T) abarcan tanto asuntos técnicos como cuestiones que tienen implicaciones políticas o reglamentarias;</w:t>
      </w:r>
    </w:p>
    <w:p w:rsidR="001D1F48" w:rsidRPr="002126A0" w:rsidRDefault="001D1F48" w:rsidP="001D1F48">
      <w:r w:rsidRPr="002126A0">
        <w:rPr>
          <w:i/>
          <w:iCs/>
        </w:rPr>
        <w:t>b)</w:t>
      </w:r>
      <w:r w:rsidRPr="002126A0">
        <w:tab/>
        <w:t>que las reglas que rigen determinados aspectos de la labor del UIT-T se están estructurando de manera que se distingan de forma clara y precisa los límites entre los asuntos técnicos y las cuestiones que tienen implicaciones políticas o reglamentarias;</w:t>
      </w:r>
    </w:p>
    <w:p w:rsidR="001D1F48" w:rsidRPr="002126A0" w:rsidRDefault="001D1F48" w:rsidP="001D1F48">
      <w:r w:rsidRPr="002126A0">
        <w:rPr>
          <w:i/>
          <w:iCs/>
        </w:rPr>
        <w:t>c)</w:t>
      </w:r>
      <w:r w:rsidRPr="002126A0">
        <w:tab/>
        <w:t>que las Administraciones fomentan una función más importante de los Miembros del Sector en la labor del UIT-T, en particular en relación con asuntos técnicos;</w:t>
      </w:r>
    </w:p>
    <w:p w:rsidR="001D1F48" w:rsidRPr="002126A0" w:rsidRDefault="001D1F48" w:rsidP="001D1F48">
      <w:r w:rsidRPr="002126A0">
        <w:rPr>
          <w:i/>
          <w:iCs/>
        </w:rPr>
        <w:t>d)</w:t>
      </w:r>
      <w:r w:rsidRPr="002126A0">
        <w:tab/>
        <w:t>que muchos asuntos que tienen implicaciones políticas o reglamentarias pueden implicar una aplicación de carácter técnico y, por consiguiente, se han de examinar en las Comisiones de Estudio técnicas apropiadas,</w:t>
      </w:r>
    </w:p>
    <w:p w:rsidR="001D1F48" w:rsidRPr="002126A0" w:rsidRDefault="001D1F48" w:rsidP="001D1F48">
      <w:pPr>
        <w:pStyle w:val="Call"/>
      </w:pPr>
      <w:r w:rsidRPr="002126A0">
        <w:t>observando</w:t>
      </w:r>
    </w:p>
    <w:p w:rsidR="001D1F48" w:rsidRPr="002126A0" w:rsidRDefault="001D1F48" w:rsidP="00E93A5D">
      <w:r w:rsidRPr="002126A0">
        <w:rPr>
          <w:i/>
          <w:iCs/>
        </w:rPr>
        <w:t>a)</w:t>
      </w:r>
      <w:r w:rsidRPr="002126A0">
        <w:tab/>
        <w:t>que los Estados Miembros de la UIT han definido importantes responsabilidades de carácter político en los artículos</w:t>
      </w:r>
      <w:r w:rsidR="00E93A5D">
        <w:t> </w:t>
      </w:r>
      <w:r w:rsidRPr="002126A0">
        <w:t>33 a 43 del Capítulo VI de la Constitución de la UIT y en los artículos 36 a 40 del Capítulo V del Convenio, así como en Resoluciones pertinentes de las Conferencias de Plenipotenciarios;</w:t>
      </w:r>
    </w:p>
    <w:p w:rsidR="001D1F48" w:rsidRPr="002126A0" w:rsidRDefault="001D1F48" w:rsidP="001D1F48">
      <w:r w:rsidRPr="002126A0">
        <w:rPr>
          <w:i/>
          <w:iCs/>
        </w:rPr>
        <w:t>b)</w:t>
      </w:r>
      <w:r w:rsidRPr="002126A0">
        <w:tab/>
        <w:t>que en el Reglamento de las Telecomunicaciones Internacionales se describen asimismo obligaciones políticas o reglamentarias que incumben a los Estados Miembros;</w:t>
      </w:r>
    </w:p>
    <w:p w:rsidR="001D1F48" w:rsidRPr="002126A0" w:rsidRDefault="001D1F48" w:rsidP="001D1F48">
      <w:r w:rsidRPr="002126A0">
        <w:rPr>
          <w:i/>
          <w:iCs/>
        </w:rPr>
        <w:t>c)</w:t>
      </w:r>
      <w:r w:rsidRPr="002126A0">
        <w:tab/>
        <w:t>que en el número 191C del Convenio se encarga a la</w:t>
      </w:r>
      <w:r w:rsidRPr="005E7AC7">
        <w:t xml:space="preserve"> </w:t>
      </w:r>
      <w:r w:rsidRPr="002126A0">
        <w:t>Asamblea</w:t>
      </w:r>
      <w:r>
        <w:t xml:space="preserve"> Mundial de Normalización de las Telecomunicaciones</w:t>
      </w:r>
      <w:r w:rsidRPr="002126A0">
        <w:t xml:space="preserve"> </w:t>
      </w:r>
      <w:r>
        <w:t>(</w:t>
      </w:r>
      <w:r w:rsidRPr="002126A0">
        <w:t>AMNT</w:t>
      </w:r>
      <w:r>
        <w:t>)</w:t>
      </w:r>
      <w:r w:rsidRPr="002126A0">
        <w:t xml:space="preserve"> que asigne asuntos que correspondan a su ámbito de competencia al Grupo Asesor de Normalización de las Telecomunicaciones (GANT), indicando las medidas requeridas sobre el particular,</w:t>
      </w:r>
    </w:p>
    <w:p w:rsidR="001D1F48" w:rsidRPr="002126A0" w:rsidRDefault="001D1F48" w:rsidP="001D1F48">
      <w:pPr>
        <w:pStyle w:val="Call"/>
      </w:pPr>
      <w:r w:rsidRPr="002126A0">
        <w:t>resuelve</w:t>
      </w:r>
    </w:p>
    <w:p w:rsidR="001D1F48" w:rsidRPr="002126A0" w:rsidRDefault="001D1F48" w:rsidP="001D1F48">
      <w:r w:rsidRPr="002126A0">
        <w:t>1</w:t>
      </w:r>
      <w:r w:rsidRPr="002126A0">
        <w:tab/>
        <w:t>que, al determinar si una Recomendación o una Cuestión tiene implicaciones políticas o reglamentarias, en particular las Recomendaciones o Cuestiones relativas a asuntos de tarificación y contabilidad, las Comisiones de Estudio consideren de un modo más general asuntos como los siguientes:</w:t>
      </w:r>
    </w:p>
    <w:p w:rsidR="001D1F48" w:rsidRPr="002126A0" w:rsidRDefault="001D1F48" w:rsidP="001D1F48">
      <w:pPr>
        <w:pStyle w:val="enumlev1"/>
      </w:pPr>
      <w:r w:rsidRPr="002126A0">
        <w:sym w:font="Symbol" w:char="F02D"/>
      </w:r>
      <w:r w:rsidRPr="002126A0">
        <w:tab/>
        <w:t>el derecho del público a comunicarse;</w:t>
      </w:r>
    </w:p>
    <w:p w:rsidR="001D1F48" w:rsidRPr="002126A0" w:rsidRDefault="001D1F48" w:rsidP="001D1F48">
      <w:pPr>
        <w:pStyle w:val="enumlev1"/>
      </w:pPr>
      <w:r w:rsidRPr="002126A0">
        <w:sym w:font="Symbol" w:char="F02D"/>
      </w:r>
      <w:r w:rsidRPr="002126A0">
        <w:tab/>
        <w:t>la protección de los canales e instalaciones de telecomunicaciones;</w:t>
      </w:r>
    </w:p>
    <w:p w:rsidR="001D1F48" w:rsidRPr="002126A0" w:rsidRDefault="001D1F48" w:rsidP="001D1F48">
      <w:pPr>
        <w:pStyle w:val="enumlev1"/>
      </w:pPr>
      <w:r w:rsidRPr="002126A0">
        <w:sym w:font="Symbol" w:char="F02D"/>
      </w:r>
      <w:r w:rsidRPr="002126A0">
        <w:tab/>
        <w:t>la utilización de los recursos limitados de numeración y direccionamiento;</w:t>
      </w:r>
    </w:p>
    <w:p w:rsidR="001D1F48" w:rsidRPr="002126A0" w:rsidRDefault="001D1F48" w:rsidP="001D1F48">
      <w:pPr>
        <w:pStyle w:val="enumlev1"/>
      </w:pPr>
      <w:r w:rsidRPr="002126A0">
        <w:t>–</w:t>
      </w:r>
      <w:r w:rsidRPr="002126A0">
        <w:tab/>
        <w:t>las denominaciones y la identificación;</w:t>
      </w:r>
    </w:p>
    <w:p w:rsidR="001D1F48" w:rsidRPr="002126A0" w:rsidRDefault="001D1F48" w:rsidP="001D1F48">
      <w:pPr>
        <w:pStyle w:val="enumlev1"/>
      </w:pPr>
      <w:r w:rsidRPr="002126A0">
        <w:sym w:font="Symbol" w:char="F02D"/>
      </w:r>
      <w:r w:rsidRPr="002126A0">
        <w:tab/>
        <w:t>el secreto y la autenticidad de las telecomunicaciones;</w:t>
      </w:r>
    </w:p>
    <w:p w:rsidR="001D1F48" w:rsidRPr="002126A0" w:rsidRDefault="001D1F48" w:rsidP="001D1F48">
      <w:pPr>
        <w:pStyle w:val="enumlev1"/>
      </w:pPr>
      <w:r w:rsidRPr="002126A0">
        <w:sym w:font="Symbol" w:char="F02D"/>
      </w:r>
      <w:r w:rsidRPr="002126A0">
        <w:tab/>
        <w:t>la seguridad de la vida humana;</w:t>
      </w:r>
    </w:p>
    <w:p w:rsidR="001D1F48" w:rsidRPr="002126A0" w:rsidRDefault="001D1F48" w:rsidP="001D1F48">
      <w:pPr>
        <w:pStyle w:val="enumlev1"/>
      </w:pPr>
      <w:r w:rsidRPr="002126A0">
        <w:sym w:font="Symbol" w:char="F02D"/>
      </w:r>
      <w:r w:rsidRPr="002126A0">
        <w:tab/>
        <w:t>las prácticas aplicables a los mercados competitivos;</w:t>
      </w:r>
    </w:p>
    <w:p w:rsidR="001D1F48" w:rsidRPr="002126A0" w:rsidRDefault="00E93A5D" w:rsidP="001D1F48">
      <w:pPr>
        <w:pStyle w:val="enumlev1"/>
      </w:pPr>
      <w:r>
        <w:br w:type="page"/>
      </w:r>
      <w:r w:rsidR="001D1F48" w:rsidRPr="002126A0">
        <w:lastRenderedPageBreak/>
        <w:t>–</w:t>
      </w:r>
      <w:r w:rsidR="001D1F48" w:rsidRPr="002126A0">
        <w:tab/>
        <w:t>la utilización indebida de los recursos de numeración; y</w:t>
      </w:r>
    </w:p>
    <w:p w:rsidR="001D1F48" w:rsidRPr="002126A0" w:rsidRDefault="001D1F48" w:rsidP="001D1F48">
      <w:pPr>
        <w:pStyle w:val="enumlev1"/>
      </w:pPr>
      <w:r w:rsidRPr="002126A0">
        <w:sym w:font="Symbol" w:char="F02D"/>
      </w:r>
      <w:r w:rsidRPr="002126A0">
        <w:tab/>
        <w:t>otros asuntos pertinentes, incluidos los definidos a través de una decisión de los Estados Miembros o recomendados por el GANT, o cuando se planteen dudas respecto al alcance de las Recomendaciones o Cuestiones;</w:t>
      </w:r>
    </w:p>
    <w:p w:rsidR="001D1F48" w:rsidRPr="002126A0" w:rsidRDefault="001D1F48" w:rsidP="001D1F48">
      <w:r w:rsidRPr="002126A0">
        <w:t>2</w:t>
      </w:r>
      <w:r w:rsidRPr="002126A0">
        <w:tab/>
        <w:t>solicitar al GANT que consulte a los Estados Miembros sobre cualquier tema pertinente distinto de los especificados anteriormente;</w:t>
      </w:r>
    </w:p>
    <w:p w:rsidR="001D1F48" w:rsidRPr="002126A0" w:rsidRDefault="001D1F48" w:rsidP="001D1F48">
      <w:r w:rsidRPr="002126A0">
        <w:t>3</w:t>
      </w:r>
      <w:r w:rsidRPr="002126A0">
        <w:tab/>
        <w:t>encargar al GANT que estudie e identifique los aspectos técnicos y operativos relativos a la calidad del servicio/calidad percibida (</w:t>
      </w:r>
      <w:proofErr w:type="spellStart"/>
      <w:r w:rsidRPr="002126A0">
        <w:t>QoS</w:t>
      </w:r>
      <w:proofErr w:type="spellEnd"/>
      <w:r w:rsidRPr="002126A0">
        <w:t>/</w:t>
      </w:r>
      <w:proofErr w:type="spellStart"/>
      <w:r w:rsidRPr="002126A0">
        <w:t>QoE</w:t>
      </w:r>
      <w:proofErr w:type="spellEnd"/>
      <w:r w:rsidRPr="002126A0">
        <w:t>) de las telecomunicaciones/tecnologías de la información y la comunicación que pudieran tener carácter político o reglamentario, teniendo en cuenta los estudios que están llevando a cabo las Comisiones de Estudio pertinentes, e informe al respecto en la próxima AMNT,</w:t>
      </w:r>
    </w:p>
    <w:p w:rsidR="001D1F48" w:rsidRPr="002126A0" w:rsidRDefault="001D1F48" w:rsidP="001D1F48">
      <w:pPr>
        <w:pStyle w:val="Call"/>
      </w:pPr>
      <w:r w:rsidRPr="002126A0">
        <w:t>invita a los Estados Miembros</w:t>
      </w:r>
    </w:p>
    <w:p w:rsidR="001D1F48" w:rsidRPr="002126A0" w:rsidRDefault="001D1F48" w:rsidP="001D1F48">
      <w:r w:rsidRPr="002126A0">
        <w:t>a contribuir activamente a los trabajos que se han de realizar sobre este particular.</w:t>
      </w:r>
    </w:p>
    <w:p w:rsidR="006F5455" w:rsidRDefault="006F5455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Default="00E93A5D" w:rsidP="00734F4D"/>
    <w:p w:rsidR="00E93A5D" w:rsidRPr="006F5DC8" w:rsidRDefault="00E93A5D" w:rsidP="00734F4D"/>
    <w:sectPr w:rsidR="00E93A5D" w:rsidRPr="006F5DC8" w:rsidSect="00E93A5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EB" w:rsidRDefault="008B09EB">
      <w:r>
        <w:separator/>
      </w:r>
    </w:p>
  </w:endnote>
  <w:endnote w:type="continuationSeparator" w:id="0">
    <w:p w:rsidR="008B09EB" w:rsidRDefault="008B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Default="00877E7D" w:rsidP="00EE47E4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CD02B9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</w:t>
    </w:r>
    <w:r w:rsidR="00885482">
      <w:rPr>
        <w:lang w:val="es-ES"/>
      </w:rPr>
      <w:t>6</w:t>
    </w:r>
    <w:r w:rsidRPr="00877E7D">
      <w:rPr>
        <w:lang w:val="es-ES"/>
      </w:rPr>
      <w:t xml:space="preserve"> –</w:t>
    </w:r>
    <w:r>
      <w:rPr>
        <w:lang w:val="es-ES"/>
      </w:rPr>
      <w:t xml:space="preserve"> </w:t>
    </w:r>
    <w:r w:rsidRPr="00877E7D">
      <w:rPr>
        <w:lang w:val="es-ES"/>
      </w:rPr>
      <w:t>Resolución</w:t>
    </w:r>
    <w:r w:rsidR="00EE47E4">
      <w:rPr>
        <w:lang w:val="es-ES"/>
      </w:rPr>
      <w:t xml:space="preserve"> </w:t>
    </w:r>
    <w:r w:rsidR="00EE47E4">
      <w:fldChar w:fldCharType="begin"/>
    </w:r>
    <w:r w:rsidR="00EE47E4">
      <w:rPr>
        <w:lang w:val="en-US"/>
      </w:rPr>
      <w:instrText>styleref href</w:instrText>
    </w:r>
    <w:r w:rsidR="00EE47E4">
      <w:fldChar w:fldCharType="separate"/>
    </w:r>
    <w:r w:rsidR="00CD02B9">
      <w:rPr>
        <w:noProof/>
      </w:rPr>
      <w:t>40</w:t>
    </w:r>
    <w:r w:rsidR="00EE47E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7D" w:rsidRPr="00877E7D" w:rsidRDefault="00877E7D" w:rsidP="009D1BE5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>-1</w:t>
    </w:r>
    <w:r w:rsidR="009D1BE5">
      <w:rPr>
        <w:lang w:val="en-US"/>
      </w:rPr>
      <w:t>6</w:t>
    </w:r>
    <w:r>
      <w:rPr>
        <w:lang w:val="en-US"/>
      </w:rPr>
      <w:t xml:space="preserve"> – </w:t>
    </w:r>
    <w:proofErr w:type="spellStart"/>
    <w:r>
      <w:rPr>
        <w:lang w:val="en-US"/>
      </w:rPr>
      <w:t>Resolución</w:t>
    </w:r>
    <w:proofErr w:type="spellEnd"/>
    <w:r w:rsidR="00EE47E4">
      <w:rPr>
        <w:lang w:val="en-US"/>
      </w:rPr>
      <w:t xml:space="preserve"> </w:t>
    </w:r>
    <w:r w:rsidR="00EE47E4">
      <w:fldChar w:fldCharType="begin"/>
    </w:r>
    <w:r w:rsidR="00EE47E4">
      <w:rPr>
        <w:lang w:val="en-US"/>
      </w:rPr>
      <w:instrText>styleref href</w:instrText>
    </w:r>
    <w:r w:rsidR="00EE47E4">
      <w:fldChar w:fldCharType="separate"/>
    </w:r>
    <w:r w:rsidR="00CD02B9">
      <w:rPr>
        <w:noProof/>
      </w:rPr>
      <w:t>40</w:t>
    </w:r>
    <w:r w:rsidR="00EE47E4"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CD02B9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2AD" w:rsidRPr="00A922AD" w:rsidRDefault="00A922AD" w:rsidP="00ED006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-16 – </w:t>
    </w:r>
    <w:proofErr w:type="spellStart"/>
    <w:r>
      <w:rPr>
        <w:lang w:val="en-US"/>
      </w:rPr>
      <w:t>Resolución</w:t>
    </w:r>
    <w:proofErr w:type="spellEnd"/>
    <w:r>
      <w:rPr>
        <w:lang w:val="en-US"/>
      </w:rPr>
      <w:t xml:space="preserve"> </w:t>
    </w:r>
    <w:r w:rsidR="00ED006D">
      <w:fldChar w:fldCharType="begin"/>
    </w:r>
    <w:r w:rsidR="00ED006D">
      <w:rPr>
        <w:lang w:val="en-US"/>
      </w:rPr>
      <w:instrText>styleref href</w:instrText>
    </w:r>
    <w:r w:rsidR="00ED006D">
      <w:fldChar w:fldCharType="separate"/>
    </w:r>
    <w:r w:rsidR="00CD02B9">
      <w:rPr>
        <w:noProof/>
      </w:rPr>
      <w:t>40</w:t>
    </w:r>
    <w:r w:rsidR="00ED006D"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734F4D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EB" w:rsidRDefault="008B09EB">
      <w:r>
        <w:t>____________________</w:t>
      </w:r>
    </w:p>
  </w:footnote>
  <w:footnote w:type="continuationSeparator" w:id="0">
    <w:p w:rsidR="008B09EB" w:rsidRDefault="008B0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D55"/>
    <w:rsid w:val="00011D16"/>
    <w:rsid w:val="0001598B"/>
    <w:rsid w:val="00021556"/>
    <w:rsid w:val="00044B4D"/>
    <w:rsid w:val="00065BE4"/>
    <w:rsid w:val="00082EA6"/>
    <w:rsid w:val="00096419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D1F48"/>
    <w:rsid w:val="001E3C05"/>
    <w:rsid w:val="001E47B2"/>
    <w:rsid w:val="001F5708"/>
    <w:rsid w:val="001F7101"/>
    <w:rsid w:val="0021547F"/>
    <w:rsid w:val="00217CDB"/>
    <w:rsid w:val="00223031"/>
    <w:rsid w:val="00241D6F"/>
    <w:rsid w:val="00245661"/>
    <w:rsid w:val="00256525"/>
    <w:rsid w:val="00256F54"/>
    <w:rsid w:val="0029052C"/>
    <w:rsid w:val="00295585"/>
    <w:rsid w:val="00315C1E"/>
    <w:rsid w:val="003518D5"/>
    <w:rsid w:val="00372B66"/>
    <w:rsid w:val="00377687"/>
    <w:rsid w:val="003C2D00"/>
    <w:rsid w:val="003E33A8"/>
    <w:rsid w:val="003F0680"/>
    <w:rsid w:val="00400600"/>
    <w:rsid w:val="004442F6"/>
    <w:rsid w:val="00466E41"/>
    <w:rsid w:val="004F1EA7"/>
    <w:rsid w:val="0052251F"/>
    <w:rsid w:val="005330B1"/>
    <w:rsid w:val="005428C5"/>
    <w:rsid w:val="005435AA"/>
    <w:rsid w:val="0055021E"/>
    <w:rsid w:val="0055620B"/>
    <w:rsid w:val="00585ED1"/>
    <w:rsid w:val="005A4F08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F5455"/>
    <w:rsid w:val="007057EE"/>
    <w:rsid w:val="00712378"/>
    <w:rsid w:val="00734F4D"/>
    <w:rsid w:val="00735E06"/>
    <w:rsid w:val="00743611"/>
    <w:rsid w:val="0079215F"/>
    <w:rsid w:val="007A0BE3"/>
    <w:rsid w:val="007B0D90"/>
    <w:rsid w:val="007C64E7"/>
    <w:rsid w:val="007C7F35"/>
    <w:rsid w:val="008028AE"/>
    <w:rsid w:val="00812CE2"/>
    <w:rsid w:val="008222EF"/>
    <w:rsid w:val="00831A21"/>
    <w:rsid w:val="00841271"/>
    <w:rsid w:val="00855B0A"/>
    <w:rsid w:val="00862C3A"/>
    <w:rsid w:val="00877E7D"/>
    <w:rsid w:val="00885482"/>
    <w:rsid w:val="00892A35"/>
    <w:rsid w:val="008B09EB"/>
    <w:rsid w:val="008B2002"/>
    <w:rsid w:val="008C357D"/>
    <w:rsid w:val="008C3F97"/>
    <w:rsid w:val="008C6F85"/>
    <w:rsid w:val="008D5D1B"/>
    <w:rsid w:val="008D6B1E"/>
    <w:rsid w:val="008E70B2"/>
    <w:rsid w:val="008F7079"/>
    <w:rsid w:val="00906FCA"/>
    <w:rsid w:val="00917AD8"/>
    <w:rsid w:val="009215A0"/>
    <w:rsid w:val="009242C6"/>
    <w:rsid w:val="00946DF2"/>
    <w:rsid w:val="009560C3"/>
    <w:rsid w:val="00956FFA"/>
    <w:rsid w:val="009B4B48"/>
    <w:rsid w:val="009C06D6"/>
    <w:rsid w:val="009D1BE5"/>
    <w:rsid w:val="009E4ACC"/>
    <w:rsid w:val="00A048CE"/>
    <w:rsid w:val="00A054FD"/>
    <w:rsid w:val="00A1158B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922AD"/>
    <w:rsid w:val="00AC2B2D"/>
    <w:rsid w:val="00AD62D4"/>
    <w:rsid w:val="00B122C8"/>
    <w:rsid w:val="00B24C2D"/>
    <w:rsid w:val="00B31246"/>
    <w:rsid w:val="00B450BE"/>
    <w:rsid w:val="00B57627"/>
    <w:rsid w:val="00B96F52"/>
    <w:rsid w:val="00BD5BF5"/>
    <w:rsid w:val="00BE0A5C"/>
    <w:rsid w:val="00BE14B0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02B9"/>
    <w:rsid w:val="00CD1B1B"/>
    <w:rsid w:val="00CF15EA"/>
    <w:rsid w:val="00D075E1"/>
    <w:rsid w:val="00D13CDA"/>
    <w:rsid w:val="00D23B4C"/>
    <w:rsid w:val="00D460E6"/>
    <w:rsid w:val="00D5161F"/>
    <w:rsid w:val="00D74EFE"/>
    <w:rsid w:val="00D9465C"/>
    <w:rsid w:val="00D962F2"/>
    <w:rsid w:val="00D976F2"/>
    <w:rsid w:val="00DC4B81"/>
    <w:rsid w:val="00DD71D5"/>
    <w:rsid w:val="00DE02D4"/>
    <w:rsid w:val="00DE4D43"/>
    <w:rsid w:val="00E16169"/>
    <w:rsid w:val="00E26A91"/>
    <w:rsid w:val="00E461D8"/>
    <w:rsid w:val="00E654F0"/>
    <w:rsid w:val="00E72AD0"/>
    <w:rsid w:val="00E93A5D"/>
    <w:rsid w:val="00EA6115"/>
    <w:rsid w:val="00ED006D"/>
    <w:rsid w:val="00ED48FA"/>
    <w:rsid w:val="00ED6590"/>
    <w:rsid w:val="00EE233D"/>
    <w:rsid w:val="00EE47E4"/>
    <w:rsid w:val="00F40D91"/>
    <w:rsid w:val="00F46759"/>
    <w:rsid w:val="00F517A1"/>
    <w:rsid w:val="00F547A9"/>
    <w:rsid w:val="00F56432"/>
    <w:rsid w:val="00F60DEA"/>
    <w:rsid w:val="00F64291"/>
    <w:rsid w:val="00F72501"/>
    <w:rsid w:val="00F816C3"/>
    <w:rsid w:val="00F968E6"/>
    <w:rsid w:val="00FB6D55"/>
    <w:rsid w:val="00FD0876"/>
    <w:rsid w:val="00FD4011"/>
    <w:rsid w:val="00FD6CCF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4553B84-8405-4C30-BD3A-4BFE1A0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s-ES_tradnl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eastAsia="en-US"/>
    </w:rPr>
  </w:style>
  <w:style w:type="paragraph" w:styleId="Heading1">
    <w:name w:val="heading 1"/>
    <w:basedOn w:val="Normal"/>
    <w:next w:val="Normal"/>
    <w:qFormat/>
    <w:rsid w:val="008E70B2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223031"/>
    <w:pPr>
      <w:spacing w:before="80"/>
    </w:pPr>
    <w:rPr>
      <w:sz w:val="20"/>
    </w:r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rsid w:val="00082EA6"/>
    <w:pPr>
      <w:spacing w:before="80"/>
      <w:ind w:left="794" w:hanging="794"/>
    </w:p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3FEF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QPUBS.dot</Template>
  <TotalTime>9</TotalTime>
  <Pages>4</Pages>
  <Words>852</Words>
  <Characters>4687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</vt:lpstr>
    </vt:vector>
  </TitlesOfParts>
  <Company>ITU</Company>
  <LinksUpToDate>false</LinksUpToDate>
  <CharactersWithSpaces>5528</CharactersWithSpaces>
  <SharedDoc>false</SharedDoc>
  <HLinks>
    <vt:vector size="6" baseType="variant"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 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ITU-T</dc:creator>
  <cp:keywords>E.802,E,802</cp:keywords>
  <dc:description>Saved by MRG106308 at 10:22:31 on 06.12.2007</dc:description>
  <cp:lastModifiedBy>Angel Martinez Romera</cp:lastModifiedBy>
  <cp:revision>9</cp:revision>
  <cp:lastPrinted>2016-12-15T15:53:00Z</cp:lastPrinted>
  <dcterms:created xsi:type="dcterms:W3CDTF">2016-12-15T13:46:00Z</dcterms:created>
  <dcterms:modified xsi:type="dcterms:W3CDTF">2016-12-15T15:55:00Z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