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530EA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530EA6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530EA6">
              <w:rPr>
                <w:rFonts w:ascii="Arial" w:hAnsi="Arial" w:cs="Arial"/>
                <w:b/>
                <w:bCs/>
                <w:sz w:val="36"/>
                <w:szCs w:val="36"/>
              </w:rPr>
              <w:t>38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530EA6" w:rsidRPr="00530EA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Coordinación entre los tres Sectores de la UIT para las actividades </w:t>
            </w:r>
            <w:r w:rsidR="00530EA6" w:rsidRPr="00530EA6">
              <w:rPr>
                <w:rFonts w:ascii="Arial" w:hAnsi="Arial" w:cs="Arial"/>
                <w:b/>
                <w:bCs/>
                <w:sz w:val="36"/>
                <w:szCs w:val="36"/>
              </w:rPr>
              <w:br/>
              <w:t>relativas a las Telecomunicaciones Móviles Internacionales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530EA6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2A4E5E">
      <w:bookmarkStart w:id="8" w:name="irecnos"/>
      <w:bookmarkEnd w:id="8"/>
    </w:p>
    <w:p w:rsidR="00530EA6" w:rsidRPr="00530EA6" w:rsidRDefault="00530EA6" w:rsidP="00530EA6">
      <w:pPr>
        <w:pStyle w:val="ResNo"/>
        <w:jc w:val="center"/>
        <w:rPr>
          <w:b w:val="0"/>
        </w:rPr>
      </w:pPr>
      <w:r w:rsidRPr="00530EA6">
        <w:rPr>
          <w:b w:val="0"/>
        </w:rPr>
        <w:t xml:space="preserve">RESOLUCIÓN </w:t>
      </w:r>
      <w:r w:rsidRPr="00530EA6">
        <w:rPr>
          <w:rStyle w:val="href"/>
          <w:b w:val="0"/>
        </w:rPr>
        <w:t>38</w:t>
      </w:r>
      <w:r w:rsidRPr="00530EA6">
        <w:rPr>
          <w:b w:val="0"/>
        </w:rPr>
        <w:t xml:space="preserve"> (</w:t>
      </w:r>
      <w:r w:rsidRPr="00530EA6">
        <w:rPr>
          <w:b w:val="0"/>
          <w:caps/>
        </w:rPr>
        <w:t>Rev</w:t>
      </w:r>
      <w:r w:rsidRPr="00530EA6">
        <w:rPr>
          <w:b w:val="0"/>
        </w:rPr>
        <w:t xml:space="preserve">. </w:t>
      </w:r>
      <w:r w:rsidRPr="00530EA6">
        <w:rPr>
          <w:b w:val="0"/>
          <w:caps/>
        </w:rPr>
        <w:t>Dubai</w:t>
      </w:r>
      <w:r w:rsidRPr="00530EA6">
        <w:rPr>
          <w:b w:val="0"/>
        </w:rPr>
        <w:t>, 2012)</w:t>
      </w:r>
    </w:p>
    <w:p w:rsidR="00530EA6" w:rsidRPr="00867277" w:rsidRDefault="00530EA6" w:rsidP="00530EA6">
      <w:pPr>
        <w:pStyle w:val="Restitle"/>
      </w:pPr>
      <w:r w:rsidRPr="00867277">
        <w:t xml:space="preserve">Coordinación entre los tres Sectores de la UIT para las actividades </w:t>
      </w:r>
      <w:r w:rsidRPr="00867277">
        <w:br/>
        <w:t>relativas a las Telecomunicaciones Móviles Internacionales</w:t>
      </w:r>
    </w:p>
    <w:p w:rsidR="00530EA6" w:rsidRPr="00867277" w:rsidRDefault="00530EA6" w:rsidP="00530EA6">
      <w:pPr>
        <w:pStyle w:val="Resref"/>
        <w:rPr>
          <w:i w:val="0"/>
          <w:iCs/>
        </w:rPr>
      </w:pPr>
      <w:r w:rsidRPr="00867277">
        <w:rPr>
          <w:iCs/>
        </w:rPr>
        <w:t>(Montreal, 2000; Florianópolis, 2004; Johannesburgo, 2008; Dubai, 2012)</w:t>
      </w:r>
    </w:p>
    <w:p w:rsidR="00530EA6" w:rsidRPr="00867277" w:rsidRDefault="00530EA6" w:rsidP="00530EA6">
      <w:pPr>
        <w:pStyle w:val="Normalaftertitle0"/>
        <w:rPr>
          <w:lang w:val="es-ES_tradnl"/>
        </w:rPr>
      </w:pPr>
      <w:r w:rsidRPr="00867277">
        <w:rPr>
          <w:lang w:val="es-ES_tradnl"/>
        </w:rPr>
        <w:t>La Asamblea Mundial de Normalización de las Telecomunicaciones (Dubai, 2012),</w:t>
      </w:r>
    </w:p>
    <w:p w:rsidR="00530EA6" w:rsidRPr="00867277" w:rsidRDefault="00530EA6" w:rsidP="00530EA6">
      <w:pPr>
        <w:pStyle w:val="Call"/>
      </w:pPr>
      <w:r w:rsidRPr="00867277">
        <w:t>considerando</w:t>
      </w:r>
    </w:p>
    <w:p w:rsidR="00530EA6" w:rsidRPr="00867277" w:rsidRDefault="00530EA6" w:rsidP="00530EA6">
      <w:r w:rsidRPr="00867277">
        <w:rPr>
          <w:i/>
          <w:iCs/>
        </w:rPr>
        <w:t>a)</w:t>
      </w:r>
      <w:r w:rsidRPr="00867277">
        <w:tab/>
        <w:t>que el Sector de Normalización de las Telecomunicaciones de la UIT (UIT</w:t>
      </w:r>
      <w:r w:rsidRPr="00867277">
        <w:noBreakHyphen/>
        <w:t>T) prosigue activamente sus estudios sobre movilidad y aspectos generales de red de las telecomunicaciones móviles internacionales (IMT);</w:t>
      </w:r>
    </w:p>
    <w:p w:rsidR="00530EA6" w:rsidRPr="00867277" w:rsidRDefault="00530EA6" w:rsidP="00530EA6">
      <w:r w:rsidRPr="00867277">
        <w:rPr>
          <w:i/>
          <w:iCs/>
        </w:rPr>
        <w:t>b)</w:t>
      </w:r>
      <w:r w:rsidRPr="00867277">
        <w:tab/>
        <w:t>que la Comisión de Estudio 5 del Sector de Radiocomunicaciones de la UIT (UIT</w:t>
      </w:r>
      <w:r w:rsidRPr="00867277">
        <w:noBreakHyphen/>
        <w:t>R) asume en dicho Sector la responsabilidad en relación con el desarrollo de las IMT;</w:t>
      </w:r>
    </w:p>
    <w:p w:rsidR="00530EA6" w:rsidRPr="00867277" w:rsidRDefault="00530EA6" w:rsidP="00530EA6">
      <w:r w:rsidRPr="00867277">
        <w:rPr>
          <w:i/>
          <w:iCs/>
        </w:rPr>
        <w:t>c)</w:t>
      </w:r>
      <w:r w:rsidRPr="00867277">
        <w:rPr>
          <w:i/>
          <w:iCs/>
        </w:rPr>
        <w:tab/>
      </w:r>
      <w:r w:rsidRPr="00867277">
        <w:t>que la primera sesión de la Reunión Preparatoria de la Conferencia para la CMR-15 (RPC15-1) estableció el Grupo Mixto de Tareas Especiales (GMTE) 4-5-6-7 responsable de la elaboración del proyecto de texto de la RPC con arreglo a los puntos 1.1 y 1.2 del orden del día de la CMR-15 relativos a la identificación del espectro para los sistemas basados en las IMT;</w:t>
      </w:r>
    </w:p>
    <w:p w:rsidR="00530EA6" w:rsidRPr="00867277" w:rsidRDefault="00530EA6" w:rsidP="00530EA6">
      <w:r w:rsidRPr="00867277">
        <w:rPr>
          <w:i/>
          <w:iCs/>
        </w:rPr>
        <w:t>d)</w:t>
      </w:r>
      <w:r w:rsidRPr="00867277">
        <w:tab/>
        <w:t>que las Comisiones de Estudio del UIT</w:t>
      </w:r>
      <w:r w:rsidRPr="00867277">
        <w:noBreakHyphen/>
        <w:t>T involucradas en la normalización de las IMT y la Comisión de Estudio 5 del UIT</w:t>
      </w:r>
      <w:r w:rsidRPr="00867277">
        <w:noBreakHyphen/>
        <w:t>R han tenido y siguen teniendo una coordinación informal eficaz a través de actividades de coordinación relativas a la elaboración de Recomendaciones sobre las IMT en ambos Sectores;</w:t>
      </w:r>
    </w:p>
    <w:p w:rsidR="00530EA6" w:rsidRPr="00867277" w:rsidRDefault="00530EA6" w:rsidP="00530EA6">
      <w:r w:rsidRPr="00867277">
        <w:rPr>
          <w:i/>
          <w:iCs/>
        </w:rPr>
        <w:t>e)</w:t>
      </w:r>
      <w:r w:rsidRPr="00867277">
        <w:tab/>
        <w:t>que la Asamblea de Radiocomunicaciones (AR), mediante la Resolución 50-2 (Ginebra, 2012) del UIT-R sobre, Funciones del Sector de Radiocomunicaciones con respecto al desarrollo de las IMT, invita al UIT-T a diseñar un plan complementario para todas las actividades relativas a las IMT y a coordinarlo con el UIT-R para garantizar el pleno alineamiento y armonización de los programas de trabajo del UIT-T y el UIT-R;</w:t>
      </w:r>
    </w:p>
    <w:p w:rsidR="00530EA6" w:rsidRPr="00867277" w:rsidRDefault="00530EA6" w:rsidP="00530EA6">
      <w:r w:rsidRPr="00867277">
        <w:rPr>
          <w:i/>
          <w:iCs/>
        </w:rPr>
        <w:t>f)</w:t>
      </w:r>
      <w:r w:rsidRPr="00867277">
        <w:tab/>
        <w:t>que la Resolución UIT-R 17-4 (Ginebra, 2012) de la AR solicita al Secretario General que, en coordinación con los Directores de las Oficinas de Radiocomunicaciones (BR), de Normalización de las Telecomunicaciones (TSB) y de Desarrollo de las Telecomunicaciones (BDT), siga fomentando la adopción de medidas adecuadas de forma que todos los países, en especial los países en desarrollo</w:t>
      </w:r>
      <w:r w:rsidRPr="00867277">
        <w:rPr>
          <w:rStyle w:val="FootnoteReference"/>
        </w:rPr>
        <w:footnoteReference w:customMarkFollows="1" w:id="1"/>
        <w:t>1</w:t>
      </w:r>
      <w:r w:rsidRPr="00867277">
        <w:t>, puedan planificar de manera más adecuada la integración ordenada de los sistemas IMT en sus actuales redes públicas;</w:t>
      </w:r>
    </w:p>
    <w:p w:rsidR="00530EA6" w:rsidRPr="00867277" w:rsidRDefault="00530EA6" w:rsidP="00530EA6">
      <w:pPr>
        <w:rPr>
          <w:i/>
          <w:iCs/>
        </w:rPr>
      </w:pPr>
      <w:r w:rsidRPr="00867277">
        <w:rPr>
          <w:i/>
          <w:iCs/>
        </w:rPr>
        <w:t>g)</w:t>
      </w:r>
      <w:r w:rsidRPr="00867277">
        <w:rPr>
          <w:i/>
          <w:iCs/>
        </w:rPr>
        <w:tab/>
      </w:r>
      <w:r w:rsidRPr="00867277">
        <w:t>que el desarrollo de un plan para cada Sector a fin de gestionar y avanzar de manera independiente sus trabajos sobre las IMT en un marco complementario es una manera eficaz de realizar progresos en ambos Sectores y que dicho concepto de plan facilita la comunicación sobre temas relativos a las IMT con organizaciones externas a la UIT;</w:t>
      </w:r>
    </w:p>
    <w:p w:rsidR="00530EA6" w:rsidRPr="00867277" w:rsidRDefault="00530EA6" w:rsidP="00530EA6">
      <w:r w:rsidRPr="00867277">
        <w:rPr>
          <w:i/>
          <w:iCs/>
        </w:rPr>
        <w:t>h)</w:t>
      </w:r>
      <w:r w:rsidRPr="00867277">
        <w:rPr>
          <w:i/>
          <w:iCs/>
        </w:rPr>
        <w:tab/>
      </w:r>
      <w:r w:rsidRPr="00867277">
        <w:t>que la Resolución 43 (Rev. Hyderabad, 2010) de la Conferencia Mundial de Desarrollo de las Telecomunicaciones (CMDT) decidió incluir, con carácter prioritario, el apoyo a la implantación de las IMT en los países en desarrollo;</w:t>
      </w:r>
    </w:p>
    <w:p w:rsidR="00530EA6" w:rsidRPr="00867277" w:rsidRDefault="00530EA6" w:rsidP="00530EA6">
      <w:r w:rsidRPr="00867277">
        <w:rPr>
          <w:i/>
          <w:iCs/>
        </w:rPr>
        <w:t>i)</w:t>
      </w:r>
      <w:r w:rsidRPr="00867277">
        <w:tab/>
        <w:t>que la Comisión de Estudio 2 del Sector de Desarrollo de las Telecomunicaciones de la UIT (UIT</w:t>
      </w:r>
      <w:r w:rsidRPr="00867277">
        <w:noBreakHyphen/>
        <w:t>D) se encuentra realizando actividades en estrecha coordinación con el UIT</w:t>
      </w:r>
      <w:r w:rsidRPr="00867277">
        <w:noBreakHyphen/>
        <w:t>T y el UIT</w:t>
      </w:r>
      <w:r w:rsidRPr="00867277">
        <w:noBreakHyphen/>
        <w:t>R, para identificar los factores que influyen en el desarrollo eficaz de la banda ancha, incluidas las IMT, en los países en desarrollo;</w:t>
      </w:r>
    </w:p>
    <w:p w:rsidR="00530EA6" w:rsidRPr="00867277" w:rsidRDefault="00530EA6" w:rsidP="00530EA6">
      <w:r w:rsidRPr="00867277">
        <w:rPr>
          <w:i/>
          <w:iCs/>
        </w:rPr>
        <w:t>j)</w:t>
      </w:r>
      <w:r w:rsidRPr="00867277">
        <w:rPr>
          <w:i/>
          <w:iCs/>
        </w:rPr>
        <w:tab/>
      </w:r>
      <w:r w:rsidRPr="00867277">
        <w:t>que la implantación de las redes IMT es fundamental para desarrollar los planes de banda ancha que han iniciado un número importante de países,</w:t>
      </w:r>
    </w:p>
    <w:p w:rsidR="00530EA6" w:rsidRPr="00867277" w:rsidRDefault="00530EA6" w:rsidP="00530EA6">
      <w:pPr>
        <w:pStyle w:val="Call"/>
      </w:pPr>
      <w:r w:rsidRPr="00867277">
        <w:lastRenderedPageBreak/>
        <w:t>observando</w:t>
      </w:r>
    </w:p>
    <w:p w:rsidR="00530EA6" w:rsidRPr="00867277" w:rsidRDefault="00530EA6" w:rsidP="00530EA6">
      <w:r w:rsidRPr="00867277">
        <w:rPr>
          <w:i/>
          <w:iCs/>
        </w:rPr>
        <w:t>a)</w:t>
      </w:r>
      <w:r w:rsidRPr="00867277">
        <w:tab/>
        <w:t>la Resolución 18 (Rev. Dubai, 2012) de esta Asamblea sobre principios y procedimientos para la asignación de los trabajos y la coordinación entre el UIT</w:t>
      </w:r>
      <w:r w:rsidRPr="00867277">
        <w:noBreakHyphen/>
        <w:t>R y el UIT</w:t>
      </w:r>
      <w:r w:rsidRPr="00867277">
        <w:noBreakHyphen/>
        <w:t>T;</w:t>
      </w:r>
    </w:p>
    <w:p w:rsidR="00530EA6" w:rsidRPr="00867277" w:rsidRDefault="00530EA6" w:rsidP="00530EA6">
      <w:r w:rsidRPr="00867277">
        <w:rPr>
          <w:i/>
          <w:iCs/>
        </w:rPr>
        <w:t>b)</w:t>
      </w:r>
      <w:r w:rsidRPr="00867277">
        <w:tab/>
        <w:t>la Resolución 59 (Hyderabad, 2010) de la CMDT sobre el fortalecimiento de la coordinación y la cooperación entre los tres Sectores de la UIT en asuntos de interés mutuo;</w:t>
      </w:r>
    </w:p>
    <w:p w:rsidR="00530EA6" w:rsidRPr="00867277" w:rsidRDefault="00530EA6" w:rsidP="00530EA6">
      <w:r w:rsidRPr="00867277">
        <w:rPr>
          <w:i/>
          <w:iCs/>
        </w:rPr>
        <w:t>c)</w:t>
      </w:r>
      <w:r w:rsidRPr="00867277">
        <w:tab/>
        <w:t>la Recomendación UIT</w:t>
      </w:r>
      <w:r w:rsidRPr="00867277">
        <w:noBreakHyphen/>
        <w:t xml:space="preserve">T A.4 sobre el proceso de comunicación entre el Sector de Normalización de las Telecomunicaciones </w:t>
      </w:r>
      <w:r>
        <w:t xml:space="preserve">de la UIT </w:t>
      </w:r>
      <w:r w:rsidRPr="00867277">
        <w:t>y foros y consorcios;</w:t>
      </w:r>
    </w:p>
    <w:p w:rsidR="00530EA6" w:rsidRPr="00D011F7" w:rsidRDefault="00530EA6" w:rsidP="00530EA6">
      <w:r w:rsidRPr="00867277">
        <w:rPr>
          <w:i/>
          <w:iCs/>
        </w:rPr>
        <w:t>d)</w:t>
      </w:r>
      <w:r w:rsidRPr="00867277">
        <w:tab/>
        <w:t>la Recomendación UIT</w:t>
      </w:r>
      <w:r w:rsidRPr="00867277">
        <w:noBreakHyphen/>
        <w:t xml:space="preserve">T A.5 sobre procedimientos genéricos para la inclusión de referencias a documentos de otras organizaciones en las Recomendaciones del </w:t>
      </w:r>
      <w:r w:rsidRPr="00D011F7">
        <w:t>Sector de Normalización de l</w:t>
      </w:r>
      <w:r>
        <w:t>as Telecomunicaciones de la UIT</w:t>
      </w:r>
      <w:r w:rsidRPr="00D011F7">
        <w:t>;</w:t>
      </w:r>
    </w:p>
    <w:p w:rsidR="00530EA6" w:rsidRPr="00867277" w:rsidRDefault="00530EA6" w:rsidP="00530EA6">
      <w:r w:rsidRPr="00867277">
        <w:rPr>
          <w:i/>
          <w:iCs/>
        </w:rPr>
        <w:t>e)</w:t>
      </w:r>
      <w:r w:rsidRPr="00867277">
        <w:tab/>
        <w:t>la Recomendación UIT</w:t>
      </w:r>
      <w:r w:rsidRPr="00867277">
        <w:noBreakHyphen/>
        <w:t>T A.6 sobre cooperación e intercambio de información entre el Sector de Normalización de las Telecomunicaciones (UIT</w:t>
      </w:r>
      <w:r w:rsidRPr="00867277">
        <w:noBreakHyphen/>
        <w:t>T) y las organizaciones de normalización nacionales y regionales;</w:t>
      </w:r>
    </w:p>
    <w:p w:rsidR="00530EA6" w:rsidRPr="00867277" w:rsidRDefault="00530EA6" w:rsidP="00530EA6">
      <w:r w:rsidRPr="00867277">
        <w:rPr>
          <w:i/>
          <w:iCs/>
        </w:rPr>
        <w:t>f)</w:t>
      </w:r>
      <w:r w:rsidRPr="00867277">
        <w:tab/>
        <w:t>las Resoluciones UIT</w:t>
      </w:r>
      <w:r w:rsidRPr="00867277">
        <w:noBreakHyphen/>
        <w:t>R 47</w:t>
      </w:r>
      <w:r w:rsidRPr="00867277">
        <w:noBreakHyphen/>
        <w:t>2, 50</w:t>
      </w:r>
      <w:r w:rsidRPr="00867277">
        <w:noBreakHyphen/>
        <w:t>2, 56-1 y 57-1 sobre los cometidos del UIT-R con respecto al desarrollo de las IMT,</w:t>
      </w:r>
    </w:p>
    <w:p w:rsidR="00530EA6" w:rsidRPr="00867277" w:rsidRDefault="00530EA6" w:rsidP="00530EA6">
      <w:pPr>
        <w:pStyle w:val="Call"/>
      </w:pPr>
      <w:r w:rsidRPr="00867277">
        <w:t>resuelve</w:t>
      </w:r>
    </w:p>
    <w:p w:rsidR="00530EA6" w:rsidRPr="00867277" w:rsidRDefault="00530EA6" w:rsidP="00530EA6">
      <w:r w:rsidRPr="00867277">
        <w:t>1</w:t>
      </w:r>
      <w:r w:rsidRPr="00867277">
        <w:tab/>
        <w:t>que el UIT</w:t>
      </w:r>
      <w:r w:rsidRPr="00867277">
        <w:noBreakHyphen/>
        <w:t>T mantenga una hoja de ruta para todas sus actividades de normalización relativas a las IMT;</w:t>
      </w:r>
    </w:p>
    <w:p w:rsidR="00530EA6" w:rsidRPr="00867277" w:rsidRDefault="00530EA6" w:rsidP="00530EA6">
      <w:r w:rsidRPr="00867277">
        <w:t>2</w:t>
      </w:r>
      <w:r w:rsidRPr="00867277">
        <w:tab/>
        <w:t>que prosiga la eficaz coordinación actualmente establecida entre el UIT</w:t>
      </w:r>
      <w:r w:rsidRPr="00867277">
        <w:noBreakHyphen/>
        <w:t>T, el UIT</w:t>
      </w:r>
      <w:r w:rsidRPr="00867277">
        <w:noBreakHyphen/>
        <w:t>R y el UIT</w:t>
      </w:r>
      <w:r w:rsidRPr="00867277">
        <w:noBreakHyphen/>
        <w:t>D para las actividades relativas a las IMT, con el fin de asegurar plenamente el paralelismo y la armonización de los programas de trabajo, incluidas las hojas de ruta de los tres Sectores,</w:t>
      </w:r>
    </w:p>
    <w:p w:rsidR="00530EA6" w:rsidRPr="00867277" w:rsidRDefault="00530EA6" w:rsidP="00530EA6">
      <w:pPr>
        <w:pStyle w:val="Call"/>
      </w:pPr>
      <w:r w:rsidRPr="00867277">
        <w:t>encarga al Director de la Oficina de Normalización de las Telecomunicaciones</w:t>
      </w:r>
    </w:p>
    <w:p w:rsidR="00530EA6" w:rsidRPr="00867277" w:rsidRDefault="00530EA6" w:rsidP="00530EA6">
      <w:r w:rsidRPr="00867277">
        <w:t>que señale a la atención de los Directores de la BR y la BDT la presente Resolución,</w:t>
      </w:r>
    </w:p>
    <w:p w:rsidR="00530EA6" w:rsidRPr="00867277" w:rsidRDefault="00530EA6" w:rsidP="00530EA6">
      <w:pPr>
        <w:pStyle w:val="Call"/>
      </w:pPr>
      <w:r w:rsidRPr="00867277">
        <w:t>alienta a los Directores de las tres Oficinas</w:t>
      </w:r>
    </w:p>
    <w:p w:rsidR="00530EA6" w:rsidRPr="00867277" w:rsidRDefault="00530EA6" w:rsidP="00530EA6">
      <w:r w:rsidRPr="00867277">
        <w:t>a que estudien nuevas posibilidades de mejorar la eficiencia de los trabajos de la UIT en relación con las IMT.</w:t>
      </w:r>
    </w:p>
    <w:p w:rsidR="00530EA6" w:rsidRDefault="00530EA6" w:rsidP="00530EA6"/>
    <w:p w:rsidR="00530EA6" w:rsidRDefault="00530EA6" w:rsidP="00530EA6"/>
    <w:p w:rsidR="00530EA6" w:rsidRDefault="00530EA6" w:rsidP="00530EA6"/>
    <w:p w:rsidR="00530EA6" w:rsidRDefault="00530EA6" w:rsidP="00530EA6"/>
    <w:p w:rsidR="00530EA6" w:rsidRDefault="00530EA6" w:rsidP="00530EA6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Pr="006F5DC8" w:rsidRDefault="00427DF1" w:rsidP="00427DF1"/>
    <w:p w:rsidR="00427DF1" w:rsidRPr="006F5DC8" w:rsidRDefault="00427DF1" w:rsidP="00427DF1">
      <w:pPr>
        <w:pStyle w:val="Reasons"/>
        <w:rPr>
          <w:lang w:val="es-ES_tradnl"/>
        </w:rPr>
      </w:pPr>
    </w:p>
    <w:p w:rsidR="006C62D4" w:rsidRPr="00C87C51" w:rsidRDefault="006C62D4" w:rsidP="00C87C51">
      <w:pPr>
        <w:spacing w:before="160" w:line="280" w:lineRule="exact"/>
      </w:pPr>
    </w:p>
    <w:sectPr w:rsidR="006C62D4" w:rsidRPr="00C87C51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92" w:rsidRDefault="00F34F92">
      <w:r>
        <w:separator/>
      </w:r>
    </w:p>
  </w:endnote>
  <w:endnote w:type="continuationSeparator" w:id="0">
    <w:p w:rsidR="00F34F92" w:rsidRDefault="00F3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530EA6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427DF1">
      <w:rPr>
        <w:lang w:val="en-US"/>
      </w:rPr>
      <w:t>3</w:t>
    </w:r>
    <w:r w:rsidR="00530EA6">
      <w:rPr>
        <w:lang w:val="en-US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427DF1">
      <w:rPr>
        <w:lang w:val="en-US"/>
      </w:rPr>
      <w:t>3</w:t>
    </w:r>
    <w:r w:rsidR="00530EA6">
      <w:rPr>
        <w:lang w:val="en-US"/>
      </w:rPr>
      <w:t>8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530EA6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92" w:rsidRDefault="00F34F92">
      <w:r>
        <w:t>____________________</w:t>
      </w:r>
    </w:p>
  </w:footnote>
  <w:footnote w:type="continuationSeparator" w:id="0">
    <w:p w:rsidR="00F34F92" w:rsidRDefault="00F34F92">
      <w:r>
        <w:continuationSeparator/>
      </w:r>
    </w:p>
  </w:footnote>
  <w:footnote w:id="1">
    <w:p w:rsidR="00530EA6" w:rsidRPr="00867277" w:rsidRDefault="00530EA6" w:rsidP="00530EA6">
      <w:pPr>
        <w:pStyle w:val="FootnoteText"/>
      </w:pPr>
      <w:r w:rsidRPr="00867277">
        <w:rPr>
          <w:rStyle w:val="FootnoteReference"/>
        </w:rPr>
        <w:t>1</w:t>
      </w:r>
      <w:r w:rsidRPr="00867277">
        <w:t xml:space="preserve"> </w:t>
      </w:r>
      <w:r w:rsidRPr="00867277">
        <w:tab/>
        <w:t>Este término comprende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F1EA7"/>
    <w:rsid w:val="0052251F"/>
    <w:rsid w:val="00530EA6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34F92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BE161-53B0-48D1-89F3-44E0DC08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2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2013-04-25T13:54:00Z</dcterms:created>
  <dcterms:modified xsi:type="dcterms:W3CDTF">2013-04-25T13:54:00Z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