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Layout w:type="fixed"/>
        <w:tblLook w:val="000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A26A49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1905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6C62D4" w:rsidP="006C62D4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6C62D4">
              <w:rPr>
                <w:rFonts w:ascii="Arial" w:hAnsi="Arial" w:cs="Arial"/>
                <w:sz w:val="32"/>
                <w:lang w:val="es-ES"/>
              </w:rPr>
              <w:t>Dubai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>0</w:t>
            </w:r>
            <w:r w:rsidRPr="006C62D4">
              <w:rPr>
                <w:rFonts w:ascii="Arial" w:hAnsi="Arial" w:cs="Arial"/>
                <w:sz w:val="32"/>
                <w:lang w:val="es-ES"/>
              </w:rPr>
              <w:t>-29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>
              <w:rPr>
                <w:rFonts w:ascii="Arial" w:hAnsi="Arial" w:cs="Arial"/>
                <w:sz w:val="32"/>
                <w:lang w:val="es-ES"/>
              </w:rPr>
              <w:t>noviembre de 2012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A26A49" w:rsidRDefault="004F1EA7" w:rsidP="00A26A49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A26A4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A26A49" w:rsidRPr="00A26A49">
              <w:rPr>
                <w:rFonts w:ascii="Arial" w:hAnsi="Arial" w:cs="Arial"/>
                <w:b/>
                <w:bCs/>
                <w:sz w:val="36"/>
                <w:szCs w:val="36"/>
              </w:rPr>
              <w:t>34</w:t>
            </w:r>
            <w:r w:rsidRPr="00A26A49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r w:rsidR="00A26A49" w:rsidRPr="00A26A49">
              <w:rPr>
                <w:rFonts w:ascii="Arial" w:hAnsi="Arial" w:cs="Arial"/>
                <w:b/>
                <w:sz w:val="36"/>
                <w:szCs w:val="36"/>
              </w:rPr>
              <w:t>Contribuciones voluntarias</w:t>
            </w:r>
          </w:p>
        </w:tc>
      </w:tr>
      <w:bookmarkEnd w:id="3"/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B6D55" w:rsidRPr="003518D5" w:rsidRDefault="00FB6D55" w:rsidP="004F1EA7">
            <w:pPr>
              <w:tabs>
                <w:tab w:val="right" w:pos="9639"/>
              </w:tabs>
              <w:spacing w:before="60" w:after="240"/>
              <w:jc w:val="left"/>
              <w:rPr>
                <w:rFonts w:ascii="Arial" w:hAnsi="Arial" w:cs="Arial"/>
                <w:sz w:val="32"/>
              </w:rPr>
            </w:pPr>
            <w:bookmarkStart w:id="4" w:name="dnum2s"/>
            <w:bookmarkEnd w:id="4"/>
          </w:p>
        </w:tc>
      </w:tr>
    </w:tbl>
    <w:p w:rsidR="00FB6D55" w:rsidRPr="003518D5" w:rsidRDefault="00A26A49">
      <w:pPr>
        <w:spacing w:before="240"/>
        <w:jc w:val="right"/>
      </w:pPr>
      <w:r>
        <w:rPr>
          <w:noProof/>
          <w:lang w:val="en-US"/>
        </w:rPr>
        <w:drawing>
          <wp:inline distT="0" distB="0" distL="0" distR="0">
            <wp:extent cx="668020" cy="747395"/>
            <wp:effectExtent l="19050" t="0" r="0" b="0"/>
            <wp:docPr id="1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D4" w:rsidRPr="00AC4414" w:rsidRDefault="00FB6D55" w:rsidP="006C62D4">
      <w:pPr>
        <w:spacing w:before="480" w:line="240" w:lineRule="exact"/>
        <w:jc w:val="center"/>
        <w:rPr>
          <w:szCs w:val="22"/>
        </w:rPr>
      </w:pPr>
      <w:r w:rsidRPr="003518D5">
        <w:rPr>
          <w:sz w:val="20"/>
        </w:rPr>
        <w:br w:type="page"/>
      </w:r>
      <w:bookmarkStart w:id="5" w:name="c2tops"/>
      <w:bookmarkEnd w:id="5"/>
      <w:r w:rsidR="006C62D4" w:rsidRPr="00AC4414">
        <w:rPr>
          <w:szCs w:val="22"/>
        </w:rPr>
        <w:lastRenderedPageBreak/>
        <w:t>PREFACIO</w:t>
      </w:r>
    </w:p>
    <w:p w:rsidR="006C62D4" w:rsidRDefault="006C62D4" w:rsidP="006C62D4">
      <w:pPr>
        <w:pStyle w:val="Normalaftertitle"/>
        <w:spacing w:line="240" w:lineRule="exact"/>
        <w:rPr>
          <w:sz w:val="20"/>
        </w:rPr>
      </w:pPr>
      <w:r>
        <w:rPr>
          <w:sz w:val="20"/>
        </w:rPr>
        <w:t>La UIT (Unión Internacional de Telecomunicaciones) es el organismo especializado de las Naciones Unidas en el campo de las telecomunicaciones. El UIT-T (Sector de Normalización de las Telecomunicaciones de la UIT)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6C62D4" w:rsidRDefault="006C62D4" w:rsidP="006C62D4">
      <w:pPr>
        <w:spacing w:line="240" w:lineRule="exact"/>
        <w:rPr>
          <w:sz w:val="20"/>
        </w:rPr>
      </w:pPr>
      <w:bookmarkStart w:id="6" w:name="iitexts"/>
      <w:r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>
        <w:rPr>
          <w:sz w:val="20"/>
        </w:rPr>
        <w:noBreakHyphen/>
        <w:t>T, que a su vez producen Recomendaciones sobre dichos temas.</w:t>
      </w:r>
    </w:p>
    <w:p w:rsidR="006C62D4" w:rsidRDefault="006C62D4" w:rsidP="006C62D4">
      <w:pPr>
        <w:spacing w:line="240" w:lineRule="exact"/>
        <w:rPr>
          <w:sz w:val="20"/>
        </w:rPr>
      </w:pPr>
      <w:r>
        <w:rPr>
          <w:sz w:val="20"/>
        </w:rPr>
        <w:t>La aprobación de Recomendaciones por los Miembros del UIT</w:t>
      </w:r>
      <w:r>
        <w:rPr>
          <w:sz w:val="20"/>
        </w:rPr>
        <w:noBreakHyphen/>
        <w:t>T es el objeto del procedimiento establecido en la Resolución 1 de la AMNT</w:t>
      </w:r>
      <w:bookmarkEnd w:id="6"/>
      <w:r>
        <w:rPr>
          <w:sz w:val="20"/>
        </w:rPr>
        <w:t>.</w:t>
      </w:r>
    </w:p>
    <w:p w:rsidR="006C62D4" w:rsidRPr="00143DCC" w:rsidRDefault="006C62D4" w:rsidP="006C62D4">
      <w:pPr>
        <w:spacing w:line="240" w:lineRule="exact"/>
        <w:rPr>
          <w:sz w:val="20"/>
        </w:rPr>
      </w:pPr>
      <w:r>
        <w:rPr>
          <w:sz w:val="20"/>
        </w:rPr>
        <w:t>En ciertos sectores de la tecnología de la información que corresponden a la esfera de competencia del UIT</w:t>
      </w:r>
      <w:r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3518D5" w:rsidRDefault="00C2286E" w:rsidP="00C2286E">
      <w:pPr>
        <w:jc w:val="center"/>
      </w:pPr>
      <w:r w:rsidRPr="003518D5">
        <w:rPr>
          <w:rFonts w:ascii="Symbol" w:hAnsi="Symbol"/>
        </w:rPr>
        <w:t></w:t>
      </w:r>
      <w:r w:rsidRPr="003518D5">
        <w:t>  UIT  </w:t>
      </w:r>
      <w:bookmarkStart w:id="7" w:name="iiannes"/>
      <w:bookmarkEnd w:id="7"/>
      <w:r w:rsidR="006C62D4">
        <w:t>2013</w:t>
      </w:r>
    </w:p>
    <w:p w:rsidR="00C2286E" w:rsidRPr="003518D5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3518D5"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ectPr w:rsidR="00FB6D55" w:rsidRPr="003518D5" w:rsidSect="00862C3A">
          <w:pgSz w:w="11907" w:h="16840" w:code="9"/>
          <w:pgMar w:top="1077" w:right="1077" w:bottom="284" w:left="1077" w:header="284" w:footer="567" w:gutter="0"/>
          <w:paperSrc w:first="15" w:other="15"/>
          <w:pgNumType w:start="1"/>
          <w:cols w:space="720"/>
        </w:sectPr>
      </w:pPr>
    </w:p>
    <w:p w:rsidR="002A4E5E" w:rsidRDefault="002A4E5E" w:rsidP="002A4E5E">
      <w:bookmarkStart w:id="8" w:name="irecnos"/>
      <w:bookmarkEnd w:id="8"/>
    </w:p>
    <w:p w:rsidR="00A26A49" w:rsidRPr="00A26A49" w:rsidRDefault="00A26A49" w:rsidP="00A26A49">
      <w:pPr>
        <w:pStyle w:val="ResNo"/>
        <w:jc w:val="center"/>
        <w:rPr>
          <w:b w:val="0"/>
        </w:rPr>
      </w:pPr>
      <w:r w:rsidRPr="00A26A49">
        <w:rPr>
          <w:b w:val="0"/>
        </w:rPr>
        <w:t xml:space="preserve">RESOLUCIÓN </w:t>
      </w:r>
      <w:r w:rsidRPr="00A26A49">
        <w:rPr>
          <w:rStyle w:val="href"/>
          <w:b w:val="0"/>
        </w:rPr>
        <w:t>34</w:t>
      </w:r>
      <w:r w:rsidRPr="00A26A49">
        <w:rPr>
          <w:b w:val="0"/>
        </w:rPr>
        <w:t xml:space="preserve"> (</w:t>
      </w:r>
      <w:r w:rsidRPr="00A26A49">
        <w:rPr>
          <w:b w:val="0"/>
          <w:caps/>
        </w:rPr>
        <w:t>Rev</w:t>
      </w:r>
      <w:r w:rsidRPr="00A26A49">
        <w:rPr>
          <w:b w:val="0"/>
        </w:rPr>
        <w:t xml:space="preserve">. </w:t>
      </w:r>
      <w:r w:rsidRPr="00A26A49">
        <w:rPr>
          <w:b w:val="0"/>
          <w:caps/>
        </w:rPr>
        <w:t>Dubai</w:t>
      </w:r>
      <w:r w:rsidRPr="00A26A49">
        <w:rPr>
          <w:b w:val="0"/>
        </w:rPr>
        <w:t>, 2012)</w:t>
      </w:r>
    </w:p>
    <w:p w:rsidR="00A26A49" w:rsidRPr="002C3790" w:rsidRDefault="00A26A49" w:rsidP="00A26A49">
      <w:pPr>
        <w:pStyle w:val="Restitle"/>
      </w:pPr>
      <w:r w:rsidRPr="002C3790">
        <w:t>Contribuciones voluntarias</w:t>
      </w:r>
    </w:p>
    <w:p w:rsidR="00A26A49" w:rsidRPr="002C3790" w:rsidRDefault="00A26A49" w:rsidP="00A26A49">
      <w:pPr>
        <w:pStyle w:val="Resref"/>
        <w:rPr>
          <w:i w:val="0"/>
          <w:iCs/>
        </w:rPr>
      </w:pPr>
      <w:r w:rsidRPr="002C3790">
        <w:rPr>
          <w:iCs/>
        </w:rPr>
        <w:t>(Montreal, 2000; Florianópolis, 2004; Johannesburgo, 2008; Dubai, 2012)</w:t>
      </w:r>
    </w:p>
    <w:p w:rsidR="00A26A49" w:rsidRPr="002C3790" w:rsidRDefault="00A26A49" w:rsidP="00A26A49">
      <w:pPr>
        <w:pStyle w:val="Normalaftertitle0"/>
        <w:rPr>
          <w:lang w:val="es-ES_tradnl"/>
        </w:rPr>
      </w:pPr>
      <w:r w:rsidRPr="002C3790">
        <w:rPr>
          <w:lang w:val="es-ES_tradnl"/>
        </w:rPr>
        <w:t>La Asamblea Mundial de Normalización de las Telecomunicaciones (Dubai, 2012),</w:t>
      </w:r>
    </w:p>
    <w:p w:rsidR="00A26A49" w:rsidRPr="002C3790" w:rsidRDefault="00A26A49" w:rsidP="00A26A49">
      <w:pPr>
        <w:pStyle w:val="Call"/>
      </w:pPr>
      <w:r w:rsidRPr="002C3790">
        <w:t>considerando</w:t>
      </w:r>
    </w:p>
    <w:p w:rsidR="00A26A49" w:rsidRPr="002C3790" w:rsidRDefault="00A26A49" w:rsidP="00A26A49">
      <w:r w:rsidRPr="002C3790">
        <w:rPr>
          <w:i/>
          <w:iCs/>
        </w:rPr>
        <w:t>a)</w:t>
      </w:r>
      <w:r w:rsidRPr="002C3790">
        <w:tab/>
        <w:t>la Resolución 71 (Rev. Guadalajara, 2010) de la Conferencia de Plenipotenciarios sobre el Plan Estratégico de la Unión para 2012-2015, en la que establecen ambiciosas metas estratégicas para las actividades del Sector de Normalización de las Telecomunicaciones de la UIT (UIT</w:t>
      </w:r>
      <w:r w:rsidRPr="002C3790">
        <w:noBreakHyphen/>
        <w:t>T);</w:t>
      </w:r>
    </w:p>
    <w:p w:rsidR="00A26A49" w:rsidRPr="002C3790" w:rsidRDefault="00A26A49" w:rsidP="00A26A49">
      <w:r w:rsidRPr="002C3790">
        <w:rPr>
          <w:i/>
          <w:iCs/>
        </w:rPr>
        <w:t>b)</w:t>
      </w:r>
      <w:r w:rsidRPr="002C3790">
        <w:tab/>
        <w:t>la Resolución 123 (Rev. Guadalajara, 2010) de la Conferencia de Plenipotenciarios, que invita a los Estados Miembros y a los Miembros de Sector a aportar contribuciones voluntarias al fondo destinado a reducir la disparidad en materia de normalización;</w:t>
      </w:r>
    </w:p>
    <w:p w:rsidR="00A26A49" w:rsidRPr="002C3790" w:rsidRDefault="00A26A49" w:rsidP="00A26A49">
      <w:r w:rsidRPr="002C3790">
        <w:rPr>
          <w:i/>
          <w:iCs/>
        </w:rPr>
        <w:t>c)</w:t>
      </w:r>
      <w:r w:rsidRPr="002C3790">
        <w:tab/>
        <w:t>la Decisión 5 (Rev. Guadalajara, 2010) y sus anexos de la Conferencia de Plenipotenciarios, que limita los gastos de la Unión para el periodo 2012-2015;</w:t>
      </w:r>
    </w:p>
    <w:p w:rsidR="00A26A49" w:rsidRPr="002C3790" w:rsidRDefault="00A26A49" w:rsidP="00A26A49">
      <w:r w:rsidRPr="002C3790">
        <w:rPr>
          <w:i/>
          <w:iCs/>
        </w:rPr>
        <w:t>d)</w:t>
      </w:r>
      <w:r w:rsidRPr="002C3790">
        <w:tab/>
        <w:t>La Resolución 44 (Rev. Dubai, 2012) de esta Asamblea sobre la reducción de la disparidad entre los países en desarrollo</w:t>
      </w:r>
      <w:r w:rsidRPr="002C3790">
        <w:rPr>
          <w:rStyle w:val="FootnoteReference"/>
        </w:rPr>
        <w:footnoteReference w:customMarkFollows="1" w:id="1"/>
        <w:t>1</w:t>
      </w:r>
      <w:r w:rsidRPr="002C3790">
        <w:t xml:space="preserve"> y desarrollados en materia de normalización, que describe las fuentes de las que pueden recaudarse fondos para disminuir la citada disparidad en materia de normalización,</w:t>
      </w:r>
    </w:p>
    <w:p w:rsidR="00A26A49" w:rsidRPr="000D6C66" w:rsidRDefault="00A26A49" w:rsidP="00A26A49">
      <w:pPr>
        <w:pStyle w:val="Call"/>
      </w:pPr>
      <w:r w:rsidRPr="000D6C66">
        <w:t>recordando</w:t>
      </w:r>
    </w:p>
    <w:p w:rsidR="00A26A49" w:rsidRPr="002C3790" w:rsidRDefault="00A26A49" w:rsidP="00A26A49">
      <w:r w:rsidRPr="002C3790">
        <w:rPr>
          <w:i/>
          <w:iCs/>
        </w:rPr>
        <w:t>a)</w:t>
      </w:r>
      <w:r w:rsidRPr="002C3790">
        <w:tab/>
        <w:t>que la Constitución, el Convenio y el Reglamento Financiero de la UIT estipulan que el Secretario General podrá aceptar contribuciones voluntarias en efectivo o en especie además de las contribuciones ordinarias de los Estados Miembros, los Miembros de Sector y los Asociados;</w:t>
      </w:r>
    </w:p>
    <w:p w:rsidR="00A26A49" w:rsidRPr="002C3790" w:rsidRDefault="00A26A49" w:rsidP="00A26A49">
      <w:r w:rsidRPr="002C3790">
        <w:rPr>
          <w:i/>
          <w:iCs/>
        </w:rPr>
        <w:t>b)</w:t>
      </w:r>
      <w:r w:rsidRPr="002C3790">
        <w:tab/>
        <w:t>que los gastos imputados a contribuciones voluntarias están fuera de los límites de los gastos fijados por las Conferencias de Plenipotenciarios de la UIT;</w:t>
      </w:r>
    </w:p>
    <w:p w:rsidR="00A26A49" w:rsidRPr="002C3790" w:rsidRDefault="00A26A49" w:rsidP="00A26A49">
      <w:r w:rsidRPr="002C3790">
        <w:rPr>
          <w:i/>
          <w:iCs/>
        </w:rPr>
        <w:t>c)</w:t>
      </w:r>
      <w:r w:rsidRPr="002C3790">
        <w:tab/>
        <w:t>que las importantes contribuciones voluntarias que se han hecho al UIT</w:t>
      </w:r>
      <w:r w:rsidRPr="002C3790">
        <w:noBreakHyphen/>
        <w:t>T en el pasado han permitido que el Sector consiguiera adelantos significativos en su labor,</w:t>
      </w:r>
    </w:p>
    <w:p w:rsidR="00A26A49" w:rsidRPr="002C3790" w:rsidRDefault="00A26A49" w:rsidP="00A26A49">
      <w:pPr>
        <w:pStyle w:val="Call"/>
      </w:pPr>
      <w:r w:rsidRPr="002C3790">
        <w:t>considerando además</w:t>
      </w:r>
    </w:p>
    <w:p w:rsidR="00A26A49" w:rsidRPr="002C3790" w:rsidRDefault="00A26A49" w:rsidP="00A26A49">
      <w:r w:rsidRPr="002C3790">
        <w:t>que las contribuciones voluntarias son un instrumento útil, rápido y eficiente para financiar las actividades adicionales del Sector,</w:t>
      </w:r>
    </w:p>
    <w:p w:rsidR="00A26A49" w:rsidRPr="002C3790" w:rsidRDefault="00A26A49" w:rsidP="00A26A49">
      <w:pPr>
        <w:pStyle w:val="Call"/>
      </w:pPr>
      <w:r w:rsidRPr="002C3790">
        <w:t>resuelve</w:t>
      </w:r>
    </w:p>
    <w:p w:rsidR="00A26A49" w:rsidRPr="002C3790" w:rsidRDefault="00A26A49" w:rsidP="00A26A49">
      <w:r w:rsidRPr="002C3790">
        <w:t>1</w:t>
      </w:r>
      <w:r w:rsidRPr="002C3790">
        <w:tab/>
        <w:t>alentar la financiación a través de contribuciones voluntarias, de proyectos específicos, grupos temáticos u otras iniciativas nuevas, incluida cualquier iniciativa que ayude a lograr los objetivos de la Resolución 44 (Rev. Dubai, 2012) de esta Asamblea sobre reducción de la disparidad en materia de normalización;</w:t>
      </w:r>
    </w:p>
    <w:p w:rsidR="00A26A49" w:rsidRPr="002C3790" w:rsidRDefault="00A26A49" w:rsidP="00A26A49">
      <w:r w:rsidRPr="002C3790">
        <w:t>2</w:t>
      </w:r>
      <w:r w:rsidRPr="002C3790">
        <w:tab/>
        <w:t>invitar a los Miembros de Sector y a los Asociados a financiar voluntariamente la participación de los países en desarrollo, y en particular la participación a distancia utilizando métodos de trabajo electrónicos en las reuniones y talleres organizados por el UIT-T;</w:t>
      </w:r>
    </w:p>
    <w:p w:rsidR="00A26A49" w:rsidRPr="002C3790" w:rsidRDefault="00A26A49" w:rsidP="00A26A49">
      <w:r w:rsidRPr="002C3790">
        <w:t>3</w:t>
      </w:r>
      <w:r w:rsidRPr="002C3790">
        <w:tab/>
        <w:t>invitar a los Estados Miembros, a los Miembros de Sector y a los Asociados de los países desarrollados y en desarrollo a presentar al Director de la Oficina de Normalización de las Telecomunicaciones (TSB) proyectos y otras iniciativas de interés para el UIT</w:t>
      </w:r>
      <w:r w:rsidRPr="002C3790">
        <w:noBreakHyphen/>
        <w:t>T para su financiación a través de contribuciones voluntarias.</w:t>
      </w:r>
    </w:p>
    <w:sectPr w:rsidR="00A26A49" w:rsidRPr="002C3790" w:rsidSect="00DB1EE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BB3" w:rsidRDefault="00C81BB3">
      <w:r>
        <w:separator/>
      </w:r>
    </w:p>
  </w:endnote>
  <w:endnote w:type="continuationSeparator" w:id="0">
    <w:p w:rsidR="00C81BB3" w:rsidRDefault="00C81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Default="00877E7D" w:rsidP="00877E7D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A26A49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-12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427DF1">
      <w:rPr>
        <w:lang w:val="en-US"/>
      </w:rPr>
      <w:t>31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Resolución </w:t>
    </w:r>
    <w:r w:rsidR="00427DF1">
      <w:rPr>
        <w:lang w:val="en-US"/>
      </w:rPr>
      <w:t>3</w:t>
    </w:r>
    <w:r w:rsidR="00A26A49">
      <w:rPr>
        <w:lang w:val="en-US"/>
      </w:rPr>
      <w:t>4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A26A49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BB3" w:rsidRDefault="00C81BB3">
      <w:r>
        <w:t>____________________</w:t>
      </w:r>
    </w:p>
  </w:footnote>
  <w:footnote w:type="continuationSeparator" w:id="0">
    <w:p w:rsidR="00C81BB3" w:rsidRDefault="00C81BB3">
      <w:r>
        <w:continuationSeparator/>
      </w:r>
    </w:p>
  </w:footnote>
  <w:footnote w:id="1">
    <w:p w:rsidR="00A26A49" w:rsidRDefault="00A26A49" w:rsidP="00A26A49">
      <w:pPr>
        <w:pStyle w:val="FootnoteText"/>
        <w:rPr>
          <w:lang w:val="es-ES"/>
        </w:rPr>
      </w:pPr>
      <w:r>
        <w:rPr>
          <w:rStyle w:val="FootnoteReference"/>
          <w:lang w:val="es-ES"/>
        </w:rPr>
        <w:t>1</w:t>
      </w:r>
      <w:r>
        <w:rPr>
          <w:lang w:val="es-ES"/>
        </w:rPr>
        <w:tab/>
        <w:t>Este término incluye a los países menos adelantados, los pequeños Estados insulares en desarrollo, países en desarrollo sin litoral y los países con economías en transición.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attachedTemplate r:id="rId1"/>
  <w:stylePaneFormatFilter w:val="3F01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6D55"/>
    <w:rsid w:val="000040EB"/>
    <w:rsid w:val="00011D16"/>
    <w:rsid w:val="00021556"/>
    <w:rsid w:val="00044B4D"/>
    <w:rsid w:val="00065BE4"/>
    <w:rsid w:val="00082EA6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2260"/>
    <w:rsid w:val="0021547F"/>
    <w:rsid w:val="00217CDB"/>
    <w:rsid w:val="00241D6F"/>
    <w:rsid w:val="00245661"/>
    <w:rsid w:val="00256525"/>
    <w:rsid w:val="00256F54"/>
    <w:rsid w:val="0029052C"/>
    <w:rsid w:val="00295585"/>
    <w:rsid w:val="002A4E5E"/>
    <w:rsid w:val="00315C1E"/>
    <w:rsid w:val="003518D5"/>
    <w:rsid w:val="00372B66"/>
    <w:rsid w:val="00377687"/>
    <w:rsid w:val="003C2D00"/>
    <w:rsid w:val="003E33A8"/>
    <w:rsid w:val="003F0680"/>
    <w:rsid w:val="00400600"/>
    <w:rsid w:val="00427DF1"/>
    <w:rsid w:val="004442F6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E43AB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222EF"/>
    <w:rsid w:val="00831A21"/>
    <w:rsid w:val="00841271"/>
    <w:rsid w:val="00862C3A"/>
    <w:rsid w:val="00877E7D"/>
    <w:rsid w:val="00892A35"/>
    <w:rsid w:val="00896AAF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6E12"/>
    <w:rsid w:val="00A23640"/>
    <w:rsid w:val="00A26A49"/>
    <w:rsid w:val="00A300F8"/>
    <w:rsid w:val="00A31A3C"/>
    <w:rsid w:val="00A428C4"/>
    <w:rsid w:val="00A5029E"/>
    <w:rsid w:val="00A5430F"/>
    <w:rsid w:val="00A64176"/>
    <w:rsid w:val="00A762C1"/>
    <w:rsid w:val="00A7749A"/>
    <w:rsid w:val="00AD62D4"/>
    <w:rsid w:val="00AE5D2B"/>
    <w:rsid w:val="00B122C8"/>
    <w:rsid w:val="00B24C2D"/>
    <w:rsid w:val="00B31246"/>
    <w:rsid w:val="00B450BE"/>
    <w:rsid w:val="00B57627"/>
    <w:rsid w:val="00B61661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81BB3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74EFE"/>
    <w:rsid w:val="00D9465C"/>
    <w:rsid w:val="00D962F2"/>
    <w:rsid w:val="00DB1EE7"/>
    <w:rsid w:val="00DC4B81"/>
    <w:rsid w:val="00DD71D5"/>
    <w:rsid w:val="00E16169"/>
    <w:rsid w:val="00E26A91"/>
    <w:rsid w:val="00E654F0"/>
    <w:rsid w:val="00E72AD0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  <w:rPr>
      <w:rFonts w:ascii="CG Times" w:hAnsi="CG Times"/>
      <w:sz w:val="24"/>
    </w:r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semiHidden/>
    <w:rsid w:val="00082EA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082EA6"/>
    <w:pPr>
      <w:spacing w:before="80"/>
    </w:p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  <w:rPr>
      <w:rFonts w:ascii="CG Times" w:hAnsi="CG Times"/>
      <w:sz w:val="24"/>
    </w:r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  <w:sz w:val="24"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  <w:rPr>
      <w:rFonts w:ascii="CG Times" w:hAnsi="CG Times"/>
      <w:sz w:val="24"/>
    </w:r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CG Times" w:hAnsi="CG Times"/>
      <w:b/>
    </w:rPr>
  </w:style>
  <w:style w:type="paragraph" w:customStyle="1" w:styleId="Headingb">
    <w:name w:val="Heading_b"/>
    <w:basedOn w:val="Normal"/>
    <w:next w:val="Normal"/>
    <w:qFormat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CG Times" w:hAnsi="CG Times"/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AnnexNo">
    <w:name w:val="Annex_No"/>
    <w:basedOn w:val="Normal"/>
    <w:next w:val="Normal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Reasons">
    <w:name w:val="Reasons"/>
    <w:basedOn w:val="Normal"/>
    <w:qFormat/>
    <w:rsid w:val="00427DF1"/>
    <w:pPr>
      <w:tabs>
        <w:tab w:val="clear" w:pos="794"/>
        <w:tab w:val="clear" w:pos="1191"/>
        <w:tab w:val="left" w:pos="1134"/>
      </w:tabs>
      <w:jc w:val="left"/>
    </w:pPr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C9A74-DAE1-4F28-A80F-E30B594B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QPUBS</Template>
  <TotalTime>2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 </vt:lpstr>
    </vt:vector>
  </TitlesOfParts>
  <Company>ITU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 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Brian</cp:lastModifiedBy>
  <cp:revision>2</cp:revision>
  <cp:lastPrinted>2007-10-18T07:42:00Z</cp:lastPrinted>
  <dcterms:created xsi:type="dcterms:W3CDTF">2013-04-25T13:50:00Z</dcterms:created>
  <dcterms:modified xsi:type="dcterms:W3CDTF">2013-04-25T13:50:00Z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