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090" cy="10803890"/>
                          </a:xfrm>
                          <a:prstGeom prst="rect">
                            <a:avLst/>
                          </a:prstGeom>
                          <a:noFill/>
                          <a:ln>
                            <a:noFill/>
                          </a:ln>
                        </pic:spPr>
                      </pic:pic>
                    </a:graphicData>
                  </a:graphic>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4E489E" w:rsidRPr="00EB6BEB" w:rsidRDefault="00311F37" w:rsidP="00311F37">
            <w:pPr>
              <w:tabs>
                <w:tab w:val="right" w:pos="9639"/>
              </w:tabs>
              <w:jc w:val="left"/>
              <w:rPr>
                <w:rFonts w:ascii="Arial" w:hAnsi="Arial" w:cs="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r w:rsidRPr="00EB6BEB">
              <w:rPr>
                <w:rFonts w:ascii="Arial" w:hAnsi="Arial"/>
                <w:sz w:val="32"/>
                <w:lang w:val="fr-CH"/>
              </w:rPr>
              <w:br/>
            </w:r>
            <w:r w:rsidR="00EB6BEB" w:rsidRPr="00EB6BEB">
              <w:rPr>
                <w:rFonts w:ascii="Arial" w:hAnsi="Arial"/>
                <w:sz w:val="32"/>
                <w:lang w:val="fr-CH"/>
              </w:rPr>
              <w:t>Dubaï, 20-29 novembre 2012</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E82ED0">
            <w:pPr>
              <w:tabs>
                <w:tab w:val="right" w:pos="9639"/>
              </w:tabs>
              <w:jc w:val="left"/>
              <w:rPr>
                <w:rFonts w:ascii="Arial" w:hAnsi="Arial"/>
                <w:b/>
                <w:bCs/>
                <w:sz w:val="36"/>
                <w:lang w:val="fr-CH"/>
              </w:rPr>
            </w:pPr>
            <w:r>
              <w:rPr>
                <w:rFonts w:ascii="Arial" w:hAnsi="Arial"/>
                <w:b/>
                <w:bCs/>
                <w:sz w:val="36"/>
                <w:lang w:val="fr-CH"/>
              </w:rPr>
              <w:t xml:space="preserve">Résolution </w:t>
            </w:r>
            <w:r w:rsidR="00E82ED0">
              <w:rPr>
                <w:rFonts w:ascii="Arial" w:hAnsi="Arial"/>
                <w:b/>
                <w:bCs/>
                <w:sz w:val="36"/>
                <w:lang w:val="fr-CH"/>
              </w:rPr>
              <w:t>34</w:t>
            </w:r>
            <w:r>
              <w:rPr>
                <w:rFonts w:ascii="Arial" w:hAnsi="Arial"/>
                <w:b/>
                <w:bCs/>
                <w:sz w:val="36"/>
                <w:lang w:val="fr-CH"/>
              </w:rPr>
              <w:t xml:space="preserve"> – </w:t>
            </w:r>
            <w:r w:rsidR="00E82ED0" w:rsidRPr="003C1D1A">
              <w:rPr>
                <w:rFonts w:ascii="Arial" w:hAnsi="Arial" w:cs="Arial"/>
                <w:b/>
                <w:sz w:val="36"/>
                <w:szCs w:val="36"/>
                <w:lang w:val="fr-CH"/>
              </w:rPr>
              <w:t>Contributions volontaires</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rPr>
        <w:drawing>
          <wp:inline distT="0" distB="0" distL="0" distR="0">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rPr>
          <w:sz w:val="22"/>
        </w:rPr>
        <w:sectPr w:rsidR="00A8419C" w:rsidSect="00F51075">
          <w:headerReference w:type="even" r:id="rId10"/>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rPr>
          <w:sz w:val="22"/>
        </w:rPr>
      </w:pPr>
      <w:r>
        <w:rPr>
          <w:sz w:val="22"/>
        </w:rPr>
        <w:lastRenderedPageBreak/>
        <w:t>AVANT-PROPOS</w:t>
      </w:r>
    </w:p>
    <w:p w:rsidR="00EB6BEB" w:rsidRDefault="00EB6BEB" w:rsidP="00EB6BEB">
      <w:pPr>
        <w:pStyle w:val="Normalaftertitle"/>
        <w:spacing w:line="240" w:lineRule="exact"/>
        <w:rPr>
          <w:sz w:val="20"/>
        </w:rPr>
      </w:pPr>
      <w:bookmarkStart w:id="7" w:name="iitextf"/>
      <w:r w:rsidRPr="004325AC">
        <w:rPr>
          <w:sz w:val="20"/>
        </w:rPr>
        <w:t>L'Union internationale des télécommunications (UIT) est une institution spécialisée des Nations Unies dans le domaine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4325AC">
        <w:rPr>
          <w:sz w:val="20"/>
        </w:rPr>
        <w:softHyphen/>
        <w:t>com</w:t>
      </w:r>
      <w:r w:rsidRPr="004325AC">
        <w:rPr>
          <w:sz w:val="20"/>
        </w:rPr>
        <w:softHyphen/>
        <w:t>mu</w:t>
      </w:r>
      <w:r w:rsidRPr="004325AC">
        <w:rPr>
          <w:sz w:val="20"/>
        </w:rPr>
        <w:softHyphen/>
        <w:t>ni</w:t>
      </w:r>
      <w:r w:rsidRPr="004325AC">
        <w:rPr>
          <w:sz w:val="20"/>
        </w:rPr>
        <w:softHyphen/>
        <w:t>ca</w:t>
      </w:r>
      <w:r w:rsidRPr="004325AC">
        <w:rPr>
          <w:sz w:val="20"/>
        </w:rPr>
        <w:softHyphen/>
        <w:t>tions à l'échelle mondiale.</w:t>
      </w:r>
    </w:p>
    <w:p w:rsidR="00EB6BEB" w:rsidRDefault="00EB6BEB" w:rsidP="00EB6BEB">
      <w:pPr>
        <w:spacing w:line="240" w:lineRule="exact"/>
        <w:rPr>
          <w:sz w:val="20"/>
        </w:rPr>
      </w:pPr>
      <w:r w:rsidRPr="004325AC">
        <w:rPr>
          <w:sz w:val="20"/>
        </w:rPr>
        <w:t>L'Assemblée mondiale de normalisation des télécommunications (AMNT), qui se réunit tous les quatre ans, détermine les thèmes d'étude à traiter par les Commissions d'études de l'UIT</w:t>
      </w:r>
      <w:r w:rsidRPr="004325AC">
        <w:rPr>
          <w:sz w:val="20"/>
        </w:rPr>
        <w:noBreakHyphen/>
        <w:t>T, lesquelles élaborent en retour des Recommandations sur ces thèmes.</w:t>
      </w:r>
    </w:p>
    <w:p w:rsidR="00EB6BEB" w:rsidRPr="00E83AC8" w:rsidRDefault="00EB6BEB" w:rsidP="00EB6BEB">
      <w:pPr>
        <w:spacing w:line="240" w:lineRule="exact"/>
        <w:rPr>
          <w:sz w:val="20"/>
          <w:lang w:val="fr-CH"/>
        </w:rPr>
      </w:pPr>
      <w:r w:rsidRPr="004325AC">
        <w:rPr>
          <w:sz w:val="20"/>
        </w:rPr>
        <w:t>L'approbation des Recommandations par les Membres de l'UIT</w:t>
      </w:r>
      <w:r w:rsidRPr="004325AC">
        <w:rPr>
          <w:sz w:val="20"/>
        </w:rPr>
        <w:noBreakHyphen/>
        <w:t>T s'effectue selon la procédure définie dans la Résolution 1 de l'AMNT.</w:t>
      </w:r>
    </w:p>
    <w:p w:rsidR="004E489E" w:rsidRDefault="00EB6BEB" w:rsidP="00EB6BEB">
      <w:pPr>
        <w:rPr>
          <w:sz w:val="22"/>
        </w:rPr>
      </w:pPr>
      <w:r w:rsidRPr="004325AC">
        <w:rPr>
          <w:sz w:val="20"/>
        </w:rPr>
        <w:t>Dans certains secteurs des technologies de l'information qui correspondent à la sphère de compétence de l'UIT-T, les normes nécessaires se préparent en collaboration avec l'ISO et la CEI</w:t>
      </w:r>
      <w:r>
        <w:rPr>
          <w:sz w:val="20"/>
        </w:rPr>
        <w:t>.</w:t>
      </w:r>
    </w:p>
    <w:bookmarkEnd w:id="7"/>
    <w:p w:rsidR="004E489E" w:rsidRDefault="004E489E">
      <w:pPr>
        <w:jc w:val="center"/>
        <w:rPr>
          <w:sz w:val="22"/>
        </w:rPr>
      </w:pPr>
    </w:p>
    <w:p w:rsidR="004E489E" w:rsidRDefault="004E489E">
      <w:pPr>
        <w:jc w:val="center"/>
        <w:rPr>
          <w:sz w:val="22"/>
        </w:rPr>
      </w:pPr>
    </w:p>
    <w:p w:rsidR="004E489E" w:rsidRDefault="004E489E">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311F37" w:rsidRDefault="00311F37">
      <w:pPr>
        <w:jc w:val="center"/>
        <w:rPr>
          <w:sz w:val="22"/>
        </w:rPr>
      </w:pPr>
    </w:p>
    <w:p w:rsidR="00927BFB" w:rsidRDefault="00927BFB">
      <w:pPr>
        <w:jc w:val="center"/>
        <w:rPr>
          <w:sz w:val="22"/>
        </w:rPr>
      </w:pPr>
    </w:p>
    <w:p w:rsidR="00927BFB" w:rsidRDefault="00927BFB">
      <w:pPr>
        <w:jc w:val="center"/>
        <w:rPr>
          <w:sz w:val="22"/>
        </w:rPr>
      </w:pPr>
    </w:p>
    <w:p w:rsidR="004E489E" w:rsidRDefault="004E489E" w:rsidP="00EB6BEB">
      <w:pPr>
        <w:jc w:val="center"/>
        <w:rPr>
          <w:sz w:val="22"/>
        </w:rPr>
      </w:pPr>
      <w:r>
        <w:rPr>
          <w:rFonts w:ascii="Symbol" w:hAnsi="Symbol"/>
          <w:sz w:val="22"/>
        </w:rPr>
        <w:t></w:t>
      </w:r>
      <w:r>
        <w:rPr>
          <w:sz w:val="22"/>
        </w:rPr>
        <w:t>  UIT  </w:t>
      </w:r>
      <w:bookmarkStart w:id="8" w:name="iiannef"/>
      <w:bookmarkEnd w:id="8"/>
      <w:r w:rsidR="001055F6">
        <w:rPr>
          <w:sz w:val="22"/>
        </w:rPr>
        <w:t>20</w:t>
      </w:r>
      <w:r w:rsidR="00EB6BEB">
        <w:rPr>
          <w:sz w:val="22"/>
        </w:rPr>
        <w:t>13</w:t>
      </w:r>
    </w:p>
    <w:p w:rsidR="00AE3ADA" w:rsidRPr="00311F37" w:rsidRDefault="00EB6BEB" w:rsidP="00311F37">
      <w:pPr>
        <w:tabs>
          <w:tab w:val="clear" w:pos="794"/>
          <w:tab w:val="clear" w:pos="1191"/>
          <w:tab w:val="clear" w:pos="1588"/>
          <w:tab w:val="clear" w:pos="1985"/>
        </w:tabs>
        <w:overflowPunct/>
        <w:textAlignment w:val="auto"/>
        <w:rPr>
          <w:sz w:val="22"/>
        </w:rPr>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A8419C">
          <w:headerReference w:type="even" r:id="rId11"/>
          <w:footerReference w:type="default" r:id="rId12"/>
          <w:pgSz w:w="11907" w:h="16834" w:code="9"/>
          <w:pgMar w:top="1089" w:right="1089" w:bottom="1089" w:left="1089" w:header="482" w:footer="482" w:gutter="0"/>
          <w:paperSrc w:first="15" w:other="15"/>
          <w:cols w:space="720"/>
          <w:docGrid w:linePitch="326"/>
        </w:sectPr>
      </w:pPr>
      <w:bookmarkStart w:id="9" w:name="p1rectextf"/>
      <w:bookmarkEnd w:id="9"/>
    </w:p>
    <w:p w:rsidR="00B85D56" w:rsidRPr="00CA354B" w:rsidRDefault="00B85D56" w:rsidP="00B85D56">
      <w:pPr>
        <w:pStyle w:val="enumlev1"/>
        <w:rPr>
          <w:lang w:val="fr-CH" w:eastAsia="it-IT"/>
        </w:rPr>
      </w:pPr>
    </w:p>
    <w:p w:rsidR="00E82ED0" w:rsidRPr="00E82ED0" w:rsidRDefault="00E82ED0" w:rsidP="00E82ED0">
      <w:pPr>
        <w:pStyle w:val="ResNo"/>
        <w:jc w:val="center"/>
        <w:rPr>
          <w:b w:val="0"/>
          <w:lang w:val="fr-CH"/>
        </w:rPr>
      </w:pPr>
      <w:r w:rsidRPr="00E82ED0">
        <w:rPr>
          <w:b w:val="0"/>
          <w:lang w:val="fr-CH"/>
        </w:rPr>
        <w:t xml:space="preserve">RÉSOLUTION </w:t>
      </w:r>
      <w:r w:rsidRPr="00E82ED0">
        <w:rPr>
          <w:rStyle w:val="href"/>
          <w:b w:val="0"/>
          <w:lang w:val="fr-CH"/>
        </w:rPr>
        <w:t>34</w:t>
      </w:r>
      <w:r w:rsidRPr="00E82ED0">
        <w:rPr>
          <w:b w:val="0"/>
          <w:lang w:val="fr-CH"/>
        </w:rPr>
        <w:t xml:space="preserve"> (Rév. Dubaï, 2012)</w:t>
      </w:r>
    </w:p>
    <w:p w:rsidR="00E82ED0" w:rsidRPr="008A200F" w:rsidRDefault="00E82ED0" w:rsidP="00E82ED0">
      <w:pPr>
        <w:pStyle w:val="Restitle"/>
        <w:rPr>
          <w:lang w:val="fr-CH"/>
        </w:rPr>
      </w:pPr>
      <w:r w:rsidRPr="008A200F">
        <w:rPr>
          <w:lang w:val="fr-CH"/>
        </w:rPr>
        <w:t>Contributions volontaires</w:t>
      </w:r>
    </w:p>
    <w:p w:rsidR="00E82ED0" w:rsidRPr="00973B9B" w:rsidRDefault="00E82ED0" w:rsidP="00E82ED0">
      <w:pPr>
        <w:pStyle w:val="Resref"/>
        <w:rPr>
          <w:sz w:val="22"/>
          <w:szCs w:val="22"/>
        </w:rPr>
      </w:pPr>
      <w:r w:rsidRPr="00973B9B">
        <w:rPr>
          <w:sz w:val="22"/>
          <w:szCs w:val="22"/>
        </w:rPr>
        <w:t>(Montréal, 2000; Florianópolis, 2004, Johannesburg, 2008; Dubaï, 2012)</w:t>
      </w:r>
    </w:p>
    <w:p w:rsidR="00E82ED0" w:rsidRPr="00973B9B" w:rsidRDefault="00E82ED0" w:rsidP="00E82ED0">
      <w:pPr>
        <w:pStyle w:val="Normalaftertitle0"/>
        <w:rPr>
          <w:szCs w:val="22"/>
          <w:lang w:val="fr-CH"/>
        </w:rPr>
      </w:pPr>
      <w:r w:rsidRPr="00973B9B">
        <w:rPr>
          <w:szCs w:val="22"/>
          <w:lang w:val="fr-CH"/>
        </w:rPr>
        <w:t>L'Assemblée mondiale de normalisation des télécommunications (Dubaï, 2012),</w:t>
      </w:r>
    </w:p>
    <w:p w:rsidR="00E82ED0" w:rsidRPr="00973B9B" w:rsidRDefault="00E82ED0" w:rsidP="00E82ED0">
      <w:pPr>
        <w:pStyle w:val="Call"/>
        <w:rPr>
          <w:sz w:val="22"/>
          <w:szCs w:val="22"/>
        </w:rPr>
      </w:pPr>
      <w:r w:rsidRPr="00973B9B">
        <w:rPr>
          <w:sz w:val="22"/>
          <w:szCs w:val="22"/>
        </w:rPr>
        <w:t>considérant</w:t>
      </w:r>
    </w:p>
    <w:p w:rsidR="00E82ED0" w:rsidRPr="00973B9B" w:rsidRDefault="00E82ED0" w:rsidP="00E82ED0">
      <w:pPr>
        <w:rPr>
          <w:sz w:val="22"/>
          <w:szCs w:val="22"/>
          <w:lang w:val="fr-CH"/>
        </w:rPr>
      </w:pPr>
      <w:r w:rsidRPr="00973B9B">
        <w:rPr>
          <w:i/>
          <w:iCs/>
          <w:sz w:val="22"/>
          <w:szCs w:val="22"/>
          <w:lang w:val="fr-CH"/>
        </w:rPr>
        <w:t>a)</w:t>
      </w:r>
      <w:r w:rsidRPr="00973B9B">
        <w:rPr>
          <w:sz w:val="22"/>
          <w:szCs w:val="22"/>
          <w:lang w:val="fr-CH"/>
        </w:rPr>
        <w:tab/>
        <w:t>la Résolution 71 (Rév. Guadalajara, 2010) de la Conférence de plénipotentiaires, relative au Plan stratégique de l'Union pour la période 2012-2015, qui fixe des objectifs stratégiques ambitieux dans les activités du Secteur de la normalisation des télécommunications de l'UIT (UIT</w:t>
      </w:r>
      <w:r w:rsidRPr="00973B9B">
        <w:rPr>
          <w:sz w:val="22"/>
          <w:szCs w:val="22"/>
          <w:lang w:val="fr-CH"/>
        </w:rPr>
        <w:noBreakHyphen/>
        <w:t>T);</w:t>
      </w:r>
    </w:p>
    <w:p w:rsidR="00E82ED0" w:rsidRPr="00973B9B" w:rsidRDefault="00E82ED0" w:rsidP="00E82ED0">
      <w:pPr>
        <w:rPr>
          <w:sz w:val="22"/>
          <w:szCs w:val="22"/>
          <w:lang w:val="fr-CH"/>
        </w:rPr>
      </w:pPr>
      <w:r w:rsidRPr="00973B9B">
        <w:rPr>
          <w:i/>
          <w:iCs/>
          <w:sz w:val="22"/>
          <w:szCs w:val="22"/>
          <w:lang w:val="fr-CH"/>
        </w:rPr>
        <w:t>b)</w:t>
      </w:r>
      <w:r w:rsidRPr="00973B9B">
        <w:rPr>
          <w:sz w:val="22"/>
          <w:szCs w:val="22"/>
          <w:lang w:val="fr-CH"/>
        </w:rPr>
        <w:tab/>
        <w:t>la Résolution 123 (Rév. Guadalajara, 2010) de la Conférence de plénipotentiaires, par laquelle les Etats Membres et les Membres des Secteurs sont invités à alimenter par des contributions volontaires le fonds destiné à réduire l'écart en matière de normalisation;</w:t>
      </w:r>
    </w:p>
    <w:p w:rsidR="00E82ED0" w:rsidRPr="00973B9B" w:rsidRDefault="00E82ED0" w:rsidP="00E82ED0">
      <w:pPr>
        <w:rPr>
          <w:sz w:val="22"/>
          <w:szCs w:val="22"/>
          <w:lang w:val="fr-CH"/>
        </w:rPr>
      </w:pPr>
      <w:r w:rsidRPr="00973B9B">
        <w:rPr>
          <w:i/>
          <w:iCs/>
          <w:sz w:val="22"/>
          <w:szCs w:val="22"/>
          <w:lang w:val="fr-CH"/>
        </w:rPr>
        <w:t>c)</w:t>
      </w:r>
      <w:r w:rsidRPr="00973B9B">
        <w:rPr>
          <w:sz w:val="22"/>
          <w:szCs w:val="22"/>
          <w:lang w:val="fr-CH"/>
        </w:rPr>
        <w:tab/>
        <w:t>la Décision 5 (Rév. Guadalajara, 2010) de la Conférence de plénipotentiaires, et ses annexes, limitant les dépenses de l'Union pour la période comprise entre 2012 et 2015;</w:t>
      </w:r>
    </w:p>
    <w:p w:rsidR="00E82ED0" w:rsidRPr="00973B9B" w:rsidRDefault="00E82ED0" w:rsidP="00E82ED0">
      <w:pPr>
        <w:rPr>
          <w:sz w:val="22"/>
          <w:szCs w:val="22"/>
          <w:lang w:val="fr-CH"/>
        </w:rPr>
      </w:pPr>
      <w:r w:rsidRPr="00973B9B">
        <w:rPr>
          <w:i/>
          <w:iCs/>
          <w:sz w:val="22"/>
          <w:szCs w:val="22"/>
          <w:lang w:val="fr-CH"/>
        </w:rPr>
        <w:t>d)</w:t>
      </w:r>
      <w:r w:rsidRPr="00973B9B">
        <w:rPr>
          <w:sz w:val="22"/>
          <w:szCs w:val="22"/>
          <w:lang w:val="fr-CH"/>
        </w:rPr>
        <w:tab/>
        <w:t>la Résolution 44 (Rév. Dubaï, 2012) de la présente Assemblée, sur la réduction de l'écart en matière de normalisation entre pays en développement</w:t>
      </w:r>
      <w:r w:rsidRPr="00973B9B">
        <w:rPr>
          <w:sz w:val="22"/>
          <w:szCs w:val="22"/>
          <w:vertAlign w:val="superscript"/>
          <w:lang w:val="fr-CH"/>
        </w:rPr>
        <w:footnoteReference w:customMarkFollows="1" w:id="1"/>
        <w:t>1</w:t>
      </w:r>
      <w:r w:rsidRPr="00973B9B">
        <w:rPr>
          <w:sz w:val="22"/>
          <w:szCs w:val="22"/>
          <w:lang w:val="fr-CH"/>
        </w:rPr>
        <w:t xml:space="preserve"> et pays développés, qui décrit les sources auprès desquelles des fonds seront mobilisés pour réduire l'écart en matière de normalisation,</w:t>
      </w:r>
    </w:p>
    <w:p w:rsidR="00E82ED0" w:rsidRPr="00973B9B" w:rsidRDefault="00E82ED0" w:rsidP="00E82ED0">
      <w:pPr>
        <w:pStyle w:val="Call"/>
        <w:rPr>
          <w:sz w:val="22"/>
          <w:szCs w:val="22"/>
        </w:rPr>
      </w:pPr>
      <w:r w:rsidRPr="00973B9B">
        <w:rPr>
          <w:sz w:val="22"/>
          <w:szCs w:val="22"/>
        </w:rPr>
        <w:t>rappelant</w:t>
      </w:r>
    </w:p>
    <w:p w:rsidR="00E82ED0" w:rsidRPr="00973B9B" w:rsidRDefault="00E82ED0" w:rsidP="00E82ED0">
      <w:pPr>
        <w:rPr>
          <w:sz w:val="22"/>
          <w:szCs w:val="22"/>
          <w:lang w:val="fr-CH"/>
        </w:rPr>
      </w:pPr>
      <w:r w:rsidRPr="00973B9B">
        <w:rPr>
          <w:i/>
          <w:iCs/>
          <w:sz w:val="22"/>
          <w:szCs w:val="22"/>
          <w:lang w:val="fr-CH"/>
        </w:rPr>
        <w:t>a)</w:t>
      </w:r>
      <w:r w:rsidRPr="00973B9B">
        <w:rPr>
          <w:sz w:val="22"/>
          <w:szCs w:val="22"/>
          <w:lang w:val="fr-CH"/>
        </w:rPr>
        <w:tab/>
        <w:t>que la Constitution, la Convention et le Règlement financier de l'UIT disposent que le Secrétaire général peut accepter des contributions financières volontaires en nature ou en espèces, en plus des contributions ordinaires des Etats Membres, des Membres de Secteur et des Associés;</w:t>
      </w:r>
    </w:p>
    <w:p w:rsidR="00E82ED0" w:rsidRPr="00973B9B" w:rsidRDefault="00E82ED0" w:rsidP="00E82ED0">
      <w:pPr>
        <w:rPr>
          <w:sz w:val="22"/>
          <w:szCs w:val="22"/>
          <w:lang w:val="fr-CH"/>
        </w:rPr>
      </w:pPr>
      <w:r w:rsidRPr="00973B9B">
        <w:rPr>
          <w:i/>
          <w:iCs/>
          <w:sz w:val="22"/>
          <w:szCs w:val="22"/>
          <w:lang w:val="fr-CH"/>
        </w:rPr>
        <w:t>b)</w:t>
      </w:r>
      <w:r w:rsidRPr="00973B9B">
        <w:rPr>
          <w:sz w:val="22"/>
          <w:szCs w:val="22"/>
          <w:lang w:val="fr-CH"/>
        </w:rPr>
        <w:tab/>
        <w:t>que les dépenses financées par des contributions volontaires ne sont pas visées par les limites des dépenses fixées par les conférences de plénipotentiaires de l'UIT;</w:t>
      </w:r>
    </w:p>
    <w:p w:rsidR="00E82ED0" w:rsidRPr="00973B9B" w:rsidRDefault="00E82ED0" w:rsidP="00E82ED0">
      <w:pPr>
        <w:rPr>
          <w:sz w:val="22"/>
          <w:szCs w:val="22"/>
          <w:lang w:val="fr-CH"/>
        </w:rPr>
      </w:pPr>
      <w:r w:rsidRPr="00973B9B">
        <w:rPr>
          <w:i/>
          <w:iCs/>
          <w:sz w:val="22"/>
          <w:szCs w:val="22"/>
          <w:lang w:val="fr-CH"/>
        </w:rPr>
        <w:t>c)</w:t>
      </w:r>
      <w:r w:rsidRPr="00973B9B">
        <w:rPr>
          <w:sz w:val="22"/>
          <w:szCs w:val="22"/>
          <w:lang w:val="fr-CH"/>
        </w:rPr>
        <w:tab/>
        <w:t>que d'importantes contributions volontaires versées à l'UIT-T par le passé ont permis à ce Secteur de progresser sensiblement dans ses travaux,</w:t>
      </w:r>
    </w:p>
    <w:p w:rsidR="00E82ED0" w:rsidRPr="00973B9B" w:rsidRDefault="00E82ED0" w:rsidP="00E82ED0">
      <w:pPr>
        <w:pStyle w:val="Call"/>
        <w:rPr>
          <w:sz w:val="22"/>
          <w:szCs w:val="22"/>
        </w:rPr>
      </w:pPr>
      <w:r w:rsidRPr="00973B9B">
        <w:rPr>
          <w:sz w:val="22"/>
          <w:szCs w:val="22"/>
        </w:rPr>
        <w:t>considérant en outre</w:t>
      </w:r>
    </w:p>
    <w:p w:rsidR="00E82ED0" w:rsidRPr="00973B9B" w:rsidRDefault="00E82ED0" w:rsidP="00E82ED0">
      <w:pPr>
        <w:rPr>
          <w:sz w:val="22"/>
          <w:szCs w:val="22"/>
          <w:lang w:val="fr-CH"/>
        </w:rPr>
      </w:pPr>
      <w:r w:rsidRPr="00973B9B">
        <w:rPr>
          <w:sz w:val="22"/>
          <w:szCs w:val="22"/>
          <w:lang w:val="fr-CH"/>
        </w:rPr>
        <w:t>que les contributions volontaires constituent un moyen utile, rapide et efficace de financement des activités supplémentaires du Secteur,</w:t>
      </w:r>
    </w:p>
    <w:p w:rsidR="00E82ED0" w:rsidRPr="00973B9B" w:rsidRDefault="00E82ED0" w:rsidP="00E82ED0">
      <w:pPr>
        <w:pStyle w:val="Call"/>
        <w:rPr>
          <w:sz w:val="22"/>
          <w:szCs w:val="22"/>
        </w:rPr>
      </w:pPr>
      <w:r w:rsidRPr="00973B9B">
        <w:rPr>
          <w:sz w:val="22"/>
          <w:szCs w:val="22"/>
        </w:rPr>
        <w:t>décide</w:t>
      </w:r>
    </w:p>
    <w:p w:rsidR="00E82ED0" w:rsidRPr="00973B9B" w:rsidRDefault="00E82ED0" w:rsidP="00E82ED0">
      <w:pPr>
        <w:rPr>
          <w:sz w:val="22"/>
          <w:szCs w:val="22"/>
          <w:lang w:val="fr-CH"/>
        </w:rPr>
      </w:pPr>
      <w:r w:rsidRPr="00973B9B">
        <w:rPr>
          <w:sz w:val="22"/>
          <w:szCs w:val="22"/>
          <w:lang w:val="fr-CH"/>
        </w:rPr>
        <w:t>1</w:t>
      </w:r>
      <w:r w:rsidRPr="00973B9B">
        <w:rPr>
          <w:sz w:val="22"/>
          <w:szCs w:val="22"/>
          <w:lang w:val="fr-CH"/>
        </w:rPr>
        <w:tab/>
        <w:t>d'encourager le financement de projets spécifiques, de groupes spécialisés ou d'autres nouvelles initiatives, y compris toutes activités propres à contribuer à la réalisation des objectifs de la Résolution 44 (Rév. Dubaï, 2012) de la présente Assemblée sur la réduction de l'écart en matière de normalisation, par des contributions volontaires;</w:t>
      </w:r>
    </w:p>
    <w:p w:rsidR="00E82ED0" w:rsidRPr="00973B9B" w:rsidRDefault="00E82ED0" w:rsidP="00E82ED0">
      <w:pPr>
        <w:rPr>
          <w:sz w:val="22"/>
          <w:szCs w:val="22"/>
          <w:lang w:val="fr-CH"/>
        </w:rPr>
      </w:pPr>
      <w:r w:rsidRPr="00973B9B">
        <w:rPr>
          <w:sz w:val="22"/>
          <w:szCs w:val="22"/>
          <w:lang w:val="fr-CH"/>
        </w:rPr>
        <w:br w:type="page"/>
      </w:r>
      <w:r w:rsidRPr="00973B9B">
        <w:rPr>
          <w:sz w:val="22"/>
          <w:szCs w:val="22"/>
          <w:lang w:val="fr-CH"/>
        </w:rPr>
        <w:lastRenderedPageBreak/>
        <w:t>2</w:t>
      </w:r>
      <w:r w:rsidRPr="00973B9B">
        <w:rPr>
          <w:sz w:val="22"/>
          <w:szCs w:val="22"/>
          <w:lang w:val="fr-CH"/>
        </w:rPr>
        <w:tab/>
        <w:t>d'inviter les Membres de Secteur et les Associés à financer, à titre volontaire, la participation des pays en développement et, en particulier, la participation à distance aux réunions et ateliers de l'UIT-T au moyen de méthodes de travail électroniques;</w:t>
      </w:r>
    </w:p>
    <w:p w:rsidR="00E82ED0" w:rsidRPr="00973B9B" w:rsidRDefault="00E82ED0" w:rsidP="00E82ED0">
      <w:pPr>
        <w:rPr>
          <w:sz w:val="22"/>
          <w:szCs w:val="22"/>
          <w:lang w:val="fr-CH"/>
        </w:rPr>
      </w:pPr>
      <w:r w:rsidRPr="00973B9B">
        <w:rPr>
          <w:sz w:val="22"/>
          <w:szCs w:val="22"/>
          <w:lang w:val="fr-CH"/>
        </w:rPr>
        <w:t>3</w:t>
      </w:r>
      <w:r w:rsidRPr="00973B9B">
        <w:rPr>
          <w:sz w:val="22"/>
          <w:szCs w:val="22"/>
          <w:lang w:val="fr-CH"/>
        </w:rPr>
        <w:tab/>
        <w:t>d'inviter les Etats Membres, les Membres de Secteur et les Associés, tant des pays développés que des pays en développement, à soumettre au Directeur du Bureau de la normalisation des télécommunications des projets et autres initiatives présentant un intérêt pour l'UIT</w:t>
      </w:r>
      <w:r w:rsidRPr="00973B9B">
        <w:rPr>
          <w:sz w:val="22"/>
          <w:szCs w:val="22"/>
          <w:lang w:val="fr-CH"/>
        </w:rPr>
        <w:noBreakHyphen/>
        <w:t>T et susceptibles d'être financés par des contributions volontaires.</w:t>
      </w:r>
    </w:p>
    <w:p w:rsidR="00E82ED0" w:rsidRDefault="00E82ED0" w:rsidP="00E82ED0">
      <w:pPr>
        <w:rPr>
          <w:lang w:val="fr-CH"/>
        </w:rPr>
      </w:pPr>
    </w:p>
    <w:p w:rsidR="00973B9B" w:rsidRDefault="00973B9B" w:rsidP="00E82ED0">
      <w:pPr>
        <w:rPr>
          <w:lang w:val="fr-CH"/>
        </w:rPr>
      </w:pPr>
    </w:p>
    <w:p w:rsidR="00973B9B" w:rsidRDefault="00973B9B" w:rsidP="00E82ED0">
      <w:pPr>
        <w:rPr>
          <w:lang w:val="fr-CH"/>
        </w:rPr>
      </w:pPr>
    </w:p>
    <w:p w:rsidR="00973B9B" w:rsidRDefault="00973B9B" w:rsidP="00E82ED0">
      <w:pPr>
        <w:rPr>
          <w:lang w:val="fr-CH"/>
        </w:rPr>
      </w:pPr>
    </w:p>
    <w:p w:rsidR="00973B9B" w:rsidRDefault="00973B9B" w:rsidP="00E82ED0">
      <w:pPr>
        <w:rPr>
          <w:lang w:val="fr-CH"/>
        </w:rPr>
      </w:pPr>
    </w:p>
    <w:p w:rsidR="00973B9B" w:rsidRDefault="00973B9B" w:rsidP="00E82ED0">
      <w:pPr>
        <w:rPr>
          <w:lang w:val="fr-CH"/>
        </w:rPr>
      </w:pPr>
    </w:p>
    <w:p w:rsidR="00973B9B" w:rsidRDefault="00973B9B" w:rsidP="00E82ED0">
      <w:pPr>
        <w:rPr>
          <w:lang w:val="fr-CH"/>
        </w:rPr>
      </w:pPr>
    </w:p>
    <w:p w:rsidR="00E82ED0" w:rsidRDefault="00E82ED0" w:rsidP="00E82ED0">
      <w:pPr>
        <w:rPr>
          <w:lang w:val="fr-CH"/>
        </w:rPr>
      </w:pPr>
    </w:p>
    <w:p w:rsidR="00E82ED0" w:rsidRDefault="00E82ED0" w:rsidP="00E82ED0">
      <w:pPr>
        <w:rPr>
          <w:lang w:val="fr-CH"/>
        </w:rPr>
      </w:pPr>
    </w:p>
    <w:p w:rsidR="00E82ED0" w:rsidRDefault="00E82ED0" w:rsidP="00E82ED0">
      <w:pPr>
        <w:rPr>
          <w:lang w:val="fr-CH"/>
        </w:rPr>
      </w:pPr>
    </w:p>
    <w:p w:rsidR="00E82ED0" w:rsidRDefault="00E82ED0" w:rsidP="00E82ED0">
      <w:pPr>
        <w:rPr>
          <w:lang w:val="fr-CH"/>
        </w:rPr>
      </w:pPr>
    </w:p>
    <w:p w:rsidR="00E82ED0" w:rsidRDefault="00E82ED0" w:rsidP="00E82ED0">
      <w:pPr>
        <w:rPr>
          <w:lang w:val="fr-CH"/>
        </w:rPr>
      </w:pPr>
    </w:p>
    <w:p w:rsidR="00E82ED0" w:rsidRDefault="00E82ED0" w:rsidP="00E82ED0">
      <w:pPr>
        <w:rPr>
          <w:lang w:val="fr-CH"/>
        </w:rPr>
      </w:pPr>
    </w:p>
    <w:p w:rsidR="00E82ED0" w:rsidRDefault="00E82ED0" w:rsidP="00E82ED0">
      <w:pPr>
        <w:rPr>
          <w:lang w:val="fr-CH"/>
        </w:rPr>
      </w:pPr>
    </w:p>
    <w:p w:rsidR="00E82ED0" w:rsidRDefault="00E82ED0" w:rsidP="00E82ED0">
      <w:pPr>
        <w:rPr>
          <w:lang w:val="fr-CH"/>
        </w:rPr>
      </w:pPr>
    </w:p>
    <w:p w:rsidR="00311F37" w:rsidRPr="001B4BEB" w:rsidRDefault="00311F37" w:rsidP="00EB6BEB">
      <w:pPr>
        <w:spacing w:before="160" w:line="280" w:lineRule="exact"/>
      </w:pPr>
    </w:p>
    <w:sectPr w:rsidR="00311F37" w:rsidRPr="001B4BEB" w:rsidSect="0060631F">
      <w:headerReference w:type="default" r:id="rId13"/>
      <w:footerReference w:type="even" r:id="rId14"/>
      <w:footerReference w:type="default" r:id="rId15"/>
      <w:footnotePr>
        <w:pos w:val="beneathText"/>
        <w:numRestart w:val="eachSect"/>
      </w:footnotePr>
      <w:pgSz w:w="11907" w:h="16834"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68E" w:rsidRDefault="00D9768E">
      <w:r>
        <w:separator/>
      </w:r>
    </w:p>
  </w:endnote>
  <w:endnote w:type="continuationSeparator" w:id="0">
    <w:p w:rsidR="00D9768E" w:rsidRDefault="00D97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19C" w:rsidRDefault="00A8419C" w:rsidP="00A8419C">
    <w:pPr>
      <w:pStyle w:val="FooterQP"/>
      <w:rPr>
        <w:b w:val="0"/>
        <w:lang w:val="en-US"/>
      </w:rPr>
    </w:pPr>
    <w:r>
      <w:tab/>
    </w:r>
    <w:r>
      <w:tab/>
      <w:t>AMNT</w:t>
    </w:r>
    <w:r>
      <w:rPr>
        <w:lang w:val="en-US"/>
      </w:rPr>
      <w:t>-12 – Résolution 1</w:t>
    </w:r>
    <w:r>
      <w:rPr>
        <w:lang w:val="en-US"/>
      </w:rPr>
      <w:tab/>
    </w:r>
    <w:r w:rsidR="00FA12C6">
      <w:rPr>
        <w:b w:val="0"/>
        <w:lang w:val="en-US"/>
      </w:rPr>
      <w:fldChar w:fldCharType="begin"/>
    </w:r>
    <w:r>
      <w:rPr>
        <w:b w:val="0"/>
        <w:lang w:val="en-US"/>
      </w:rPr>
      <w:instrText xml:space="preserve"> PAGE  \* MERGEFORMAT </w:instrText>
    </w:r>
    <w:r w:rsidR="00FA12C6">
      <w:rPr>
        <w:b w:val="0"/>
        <w:lang w:val="en-US"/>
      </w:rPr>
      <w:fldChar w:fldCharType="separate"/>
    </w:r>
    <w:r w:rsidR="00F51075">
      <w:rPr>
        <w:b w:val="0"/>
        <w:noProof/>
        <w:lang w:val="en-US"/>
      </w:rPr>
      <w:t>3</w:t>
    </w:r>
    <w:r w:rsidR="00FA12C6">
      <w:rPr>
        <w:b w:val="0"/>
        <w:lang w:val="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B155BB" w:rsidRDefault="00FA12C6" w:rsidP="00B155BB">
    <w:pPr>
      <w:pStyle w:val="FooterQP"/>
      <w:tabs>
        <w:tab w:val="clear" w:pos="907"/>
        <w:tab w:val="left" w:pos="851"/>
      </w:tabs>
      <w:rPr>
        <w:lang w:val="fr-CH"/>
      </w:rPr>
    </w:pPr>
    <w:r>
      <w:rPr>
        <w:b w:val="0"/>
      </w:rPr>
      <w:fldChar w:fldCharType="begin"/>
    </w:r>
    <w:r w:rsidR="006D3511" w:rsidRPr="00B155BB">
      <w:rPr>
        <w:b w:val="0"/>
        <w:lang w:val="fr-CH"/>
      </w:rPr>
      <w:instrText xml:space="preserve"> PAGE  \* MERGEFORMAT </w:instrText>
    </w:r>
    <w:r>
      <w:rPr>
        <w:b w:val="0"/>
      </w:rPr>
      <w:fldChar w:fldCharType="separate"/>
    </w:r>
    <w:r w:rsidR="00973B9B">
      <w:rPr>
        <w:b w:val="0"/>
        <w:noProof/>
        <w:lang w:val="fr-CH"/>
      </w:rPr>
      <w:t>2</w:t>
    </w:r>
    <w:r>
      <w:rPr>
        <w:b w:val="0"/>
      </w:rPr>
      <w:fldChar w:fldCharType="end"/>
    </w:r>
    <w:r w:rsidR="006D3511" w:rsidRPr="00B155BB">
      <w:rPr>
        <w:lang w:val="fr-CH"/>
      </w:rPr>
      <w:tab/>
    </w:r>
    <w:r w:rsidR="006D3511">
      <w:rPr>
        <w:lang w:val="fr-CH"/>
      </w:rPr>
      <w:t>AMNT-12</w:t>
    </w:r>
    <w:r w:rsidR="006D3511" w:rsidRPr="00415608">
      <w:rPr>
        <w:lang w:val="fr-CH"/>
      </w:rPr>
      <w:t xml:space="preserve"> – </w:t>
    </w:r>
    <w:r w:rsidR="006D3511">
      <w:rPr>
        <w:lang w:val="fr-CH"/>
      </w:rPr>
      <w:t xml:space="preserve">Résolution </w:t>
    </w:r>
    <w:r w:rsidR="00E82ED0">
      <w:rPr>
        <w:lang w:val="fr-CH"/>
      </w:rPr>
      <w:t>34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415608" w:rsidRDefault="006D3511" w:rsidP="00415608">
    <w:pPr>
      <w:pStyle w:val="FooterQP"/>
      <w:rPr>
        <w:b w:val="0"/>
        <w:lang w:val="fr-CH"/>
      </w:rPr>
    </w:pPr>
    <w:r>
      <w:tab/>
    </w:r>
    <w:r>
      <w:tab/>
    </w:r>
    <w:r>
      <w:rPr>
        <w:lang w:val="fr-CH"/>
      </w:rPr>
      <w:t>AMNT-12</w:t>
    </w:r>
    <w:r w:rsidRPr="00415608">
      <w:rPr>
        <w:lang w:val="fr-CH"/>
      </w:rPr>
      <w:t xml:space="preserve"> – </w:t>
    </w:r>
    <w:r>
      <w:rPr>
        <w:lang w:val="fr-CH"/>
      </w:rPr>
      <w:t xml:space="preserve">Résolution </w:t>
    </w:r>
    <w:r w:rsidR="00E82ED0">
      <w:rPr>
        <w:lang w:val="fr-CH"/>
      </w:rPr>
      <w:t>34</w:t>
    </w:r>
    <w:r w:rsidRPr="00415608">
      <w:rPr>
        <w:lang w:val="fr-CH"/>
      </w:rPr>
      <w:tab/>
    </w:r>
    <w:r w:rsidR="00FA12C6">
      <w:rPr>
        <w:b w:val="0"/>
      </w:rPr>
      <w:fldChar w:fldCharType="begin"/>
    </w:r>
    <w:r w:rsidRPr="00415608">
      <w:rPr>
        <w:b w:val="0"/>
        <w:lang w:val="fr-CH"/>
      </w:rPr>
      <w:instrText xml:space="preserve"> PAGE  \* MERGEFORMAT </w:instrText>
    </w:r>
    <w:r w:rsidR="00FA12C6">
      <w:rPr>
        <w:b w:val="0"/>
      </w:rPr>
      <w:fldChar w:fldCharType="separate"/>
    </w:r>
    <w:r w:rsidR="00973B9B">
      <w:rPr>
        <w:b w:val="0"/>
        <w:noProof/>
        <w:lang w:val="fr-CH"/>
      </w:rPr>
      <w:t>1</w:t>
    </w:r>
    <w:r w:rsidR="00FA12C6">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68E" w:rsidRDefault="00D9768E">
      <w:r>
        <w:t>____________________</w:t>
      </w:r>
    </w:p>
  </w:footnote>
  <w:footnote w:type="continuationSeparator" w:id="0">
    <w:p w:rsidR="00D9768E" w:rsidRDefault="00D9768E">
      <w:r>
        <w:continuationSeparator/>
      </w:r>
    </w:p>
  </w:footnote>
  <w:footnote w:id="1">
    <w:p w:rsidR="00E82ED0" w:rsidRPr="008A200F" w:rsidRDefault="00E82ED0" w:rsidP="00E82ED0">
      <w:pPr>
        <w:pStyle w:val="FootnoteText"/>
        <w:rPr>
          <w:lang w:val="fr-CH"/>
        </w:rPr>
      </w:pPr>
      <w:r w:rsidRPr="008A200F">
        <w:rPr>
          <w:rStyle w:val="FootnoteReference"/>
          <w:szCs w:val="16"/>
          <w:lang w:val="fr-CH"/>
        </w:rPr>
        <w:t>1</w:t>
      </w:r>
      <w:r w:rsidRPr="008A200F">
        <w:rPr>
          <w:lang w:val="fr-CH"/>
        </w:rPr>
        <w:t xml:space="preserve"> </w:t>
      </w:r>
      <w:r w:rsidRPr="008A200F">
        <w:rPr>
          <w:lang w:val="fr-CH"/>
        </w:rPr>
        <w:tab/>
      </w:r>
      <w:r>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075" w:rsidRDefault="00FA12C6">
    <w:pPr>
      <w:pStyle w:val="Header"/>
    </w:pPr>
    <w:r>
      <w:rPr>
        <w:noProof/>
        <w:lang w:val="en-US" w:eastAsia="zh-CN"/>
      </w:rPr>
      <w:pict>
        <v:shapetype id="_x0000_t202" coordsize="21600,21600" o:spt="202" path="m,l,21600r21600,l21600,xe">
          <v:stroke joinstyle="miter"/>
          <v:path gradientshapeok="t" o:connecttype="rect"/>
        </v:shapetype>
        <v:shape id="Text Box 6" o:spid="_x0000_s4099" type="#_x0000_t202" style="position:absolute;left:0;text-align:left;margin-left:-43.2pt;margin-top:29.6pt;width:40.85pt;height:49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A12C6" w:rsidP="00F51075">
                <w:pPr>
                  <w:pStyle w:val="FooterQP"/>
                  <w:rPr>
                    <w:lang w:val="fr-CH"/>
                  </w:rPr>
                </w:pPr>
                <w:r w:rsidRPr="002D6EB1">
                  <w:rPr>
                    <w:b w:val="0"/>
                  </w:rPr>
                  <w:fldChar w:fldCharType="begin"/>
                </w:r>
                <w:r w:rsidR="00F51075"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00F51075" w:rsidRPr="008B3C20">
                  <w:rPr>
                    <w:b w:val="0"/>
                    <w:lang w:val="fr-CH"/>
                  </w:rPr>
                  <w:t xml:space="preserve">           </w:t>
                </w:r>
                <w:r w:rsidR="00F51075" w:rsidRPr="008B3C20">
                  <w:rPr>
                    <w:lang w:val="fr-CH"/>
                  </w:rPr>
                  <w:t xml:space="preserve">AMNT-12 – Actes – Partie </w:t>
                </w:r>
                <w:r w:rsidR="00F51075">
                  <w:rPr>
                    <w:lang w:val="fr-CH"/>
                  </w:rPr>
                  <w:t>1</w:t>
                </w:r>
                <w:r w:rsidR="00F51075" w:rsidRPr="008B3C20">
                  <w:rPr>
                    <w:lang w:val="fr-CH"/>
                  </w:rPr>
                  <w:t xml:space="preserve"> – Résolution</w:t>
                </w:r>
                <w:r w:rsidR="00F51075">
                  <w:rPr>
                    <w:lang w:val="fr-CH"/>
                  </w:rPr>
                  <w:t xml:space="preserve"> 1</w:t>
                </w:r>
                <w:r w:rsidR="00F51075" w:rsidRPr="008B3C20">
                  <w:rPr>
                    <w:lang w:val="fr-CH"/>
                  </w:rPr>
                  <w:t xml:space="preserve">      </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10" w:rsidRDefault="00C42B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A8D" w:rsidRPr="009702EA" w:rsidRDefault="00D9768E" w:rsidP="00970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001"/>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4E489E"/>
    <w:rsid w:val="00016113"/>
    <w:rsid w:val="00022334"/>
    <w:rsid w:val="00025C87"/>
    <w:rsid w:val="00034872"/>
    <w:rsid w:val="000B79FF"/>
    <w:rsid w:val="000C20AB"/>
    <w:rsid w:val="000D3895"/>
    <w:rsid w:val="000D4593"/>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64794"/>
    <w:rsid w:val="00372E35"/>
    <w:rsid w:val="0039710E"/>
    <w:rsid w:val="003A55FD"/>
    <w:rsid w:val="003B42BC"/>
    <w:rsid w:val="003E424C"/>
    <w:rsid w:val="00436471"/>
    <w:rsid w:val="0045738E"/>
    <w:rsid w:val="004A196C"/>
    <w:rsid w:val="004A2271"/>
    <w:rsid w:val="004B2A84"/>
    <w:rsid w:val="004B4ADF"/>
    <w:rsid w:val="004E489E"/>
    <w:rsid w:val="00532E38"/>
    <w:rsid w:val="005363D3"/>
    <w:rsid w:val="00542D7C"/>
    <w:rsid w:val="00555BC4"/>
    <w:rsid w:val="005939B4"/>
    <w:rsid w:val="00594048"/>
    <w:rsid w:val="005C3A2B"/>
    <w:rsid w:val="00605426"/>
    <w:rsid w:val="006559DE"/>
    <w:rsid w:val="00670808"/>
    <w:rsid w:val="006734F6"/>
    <w:rsid w:val="006D34A0"/>
    <w:rsid w:val="006D3511"/>
    <w:rsid w:val="006E0DB1"/>
    <w:rsid w:val="006F6569"/>
    <w:rsid w:val="007175CA"/>
    <w:rsid w:val="00736828"/>
    <w:rsid w:val="0074364C"/>
    <w:rsid w:val="0075696E"/>
    <w:rsid w:val="00762D2E"/>
    <w:rsid w:val="00770007"/>
    <w:rsid w:val="007D6E1F"/>
    <w:rsid w:val="007E0A86"/>
    <w:rsid w:val="0080529A"/>
    <w:rsid w:val="00814657"/>
    <w:rsid w:val="008225FB"/>
    <w:rsid w:val="00832238"/>
    <w:rsid w:val="00840DD3"/>
    <w:rsid w:val="00890C03"/>
    <w:rsid w:val="00895013"/>
    <w:rsid w:val="008968B6"/>
    <w:rsid w:val="008A4C14"/>
    <w:rsid w:val="008B1654"/>
    <w:rsid w:val="008B5637"/>
    <w:rsid w:val="008B7A32"/>
    <w:rsid w:val="009051DF"/>
    <w:rsid w:val="00905B9E"/>
    <w:rsid w:val="00913010"/>
    <w:rsid w:val="00927BFB"/>
    <w:rsid w:val="00935D28"/>
    <w:rsid w:val="00970ECA"/>
    <w:rsid w:val="00973B9B"/>
    <w:rsid w:val="009B173B"/>
    <w:rsid w:val="009B27D0"/>
    <w:rsid w:val="009F107E"/>
    <w:rsid w:val="00A20553"/>
    <w:rsid w:val="00A25654"/>
    <w:rsid w:val="00A45CC4"/>
    <w:rsid w:val="00A81CCC"/>
    <w:rsid w:val="00A8419C"/>
    <w:rsid w:val="00A937E0"/>
    <w:rsid w:val="00AC622B"/>
    <w:rsid w:val="00AC6AA3"/>
    <w:rsid w:val="00AE3ADA"/>
    <w:rsid w:val="00AE7F0A"/>
    <w:rsid w:val="00B62C56"/>
    <w:rsid w:val="00B758AA"/>
    <w:rsid w:val="00B85D56"/>
    <w:rsid w:val="00B9040E"/>
    <w:rsid w:val="00BD71E4"/>
    <w:rsid w:val="00C25EAA"/>
    <w:rsid w:val="00C26282"/>
    <w:rsid w:val="00C31070"/>
    <w:rsid w:val="00C36D4E"/>
    <w:rsid w:val="00C42B10"/>
    <w:rsid w:val="00C50F7A"/>
    <w:rsid w:val="00C97C18"/>
    <w:rsid w:val="00CA4BF1"/>
    <w:rsid w:val="00CA53FC"/>
    <w:rsid w:val="00CB2074"/>
    <w:rsid w:val="00CF559F"/>
    <w:rsid w:val="00D17C6A"/>
    <w:rsid w:val="00D43879"/>
    <w:rsid w:val="00D70EE6"/>
    <w:rsid w:val="00D7733B"/>
    <w:rsid w:val="00D77498"/>
    <w:rsid w:val="00D819A4"/>
    <w:rsid w:val="00D833C9"/>
    <w:rsid w:val="00D84836"/>
    <w:rsid w:val="00D9768E"/>
    <w:rsid w:val="00DD5C3D"/>
    <w:rsid w:val="00DF1309"/>
    <w:rsid w:val="00E143D1"/>
    <w:rsid w:val="00E15C07"/>
    <w:rsid w:val="00E17E4E"/>
    <w:rsid w:val="00E213F4"/>
    <w:rsid w:val="00E60FAB"/>
    <w:rsid w:val="00E64849"/>
    <w:rsid w:val="00E80E40"/>
    <w:rsid w:val="00E82ED0"/>
    <w:rsid w:val="00EB67B3"/>
    <w:rsid w:val="00EB6BEB"/>
    <w:rsid w:val="00EC12B6"/>
    <w:rsid w:val="00EE6B43"/>
    <w:rsid w:val="00F05524"/>
    <w:rsid w:val="00F23C79"/>
    <w:rsid w:val="00F37CBC"/>
    <w:rsid w:val="00F51075"/>
    <w:rsid w:val="00F60B83"/>
    <w:rsid w:val="00FA12C6"/>
    <w:rsid w:val="00FA7344"/>
    <w:rsid w:val="00FD1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link w:val="ResNoChar"/>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styleId="BalloonText">
    <w:name w:val="Balloon Text"/>
    <w:basedOn w:val="Normal"/>
    <w:link w:val="BalloonTextChar"/>
    <w:rsid w:val="00364794"/>
    <w:pPr>
      <w:spacing w:before="0"/>
    </w:pPr>
    <w:rPr>
      <w:rFonts w:ascii="Tahoma" w:hAnsi="Tahoma" w:cs="Tahoma"/>
      <w:sz w:val="16"/>
      <w:szCs w:val="16"/>
    </w:rPr>
  </w:style>
  <w:style w:type="character" w:customStyle="1" w:styleId="BalloonTextChar">
    <w:name w:val="Balloon Text Char"/>
    <w:basedOn w:val="DefaultParagraphFont"/>
    <w:link w:val="BalloonText"/>
    <w:rsid w:val="00364794"/>
    <w:rPr>
      <w:rFonts w:ascii="Tahoma" w:hAnsi="Tahoma" w:cs="Tahoma"/>
      <w:sz w:val="16"/>
      <w:szCs w:val="16"/>
      <w:lang w:val="fr-FR" w:eastAsia="en-US"/>
    </w:rPr>
  </w:style>
  <w:style w:type="character" w:customStyle="1" w:styleId="HeaderChar">
    <w:name w:val="Header Char"/>
    <w:aliases w:val="h Char,Header/Footer Char"/>
    <w:basedOn w:val="DefaultParagraphFont"/>
    <w:link w:val="Header"/>
    <w:rsid w:val="00B85D56"/>
    <w:rPr>
      <w:rFonts w:ascii="Times New Roman" w:hAnsi="Times New Roman"/>
      <w:sz w:val="18"/>
      <w:lang w:val="fr-FR" w:eastAsia="en-US"/>
    </w:rPr>
  </w:style>
  <w:style w:type="character" w:customStyle="1" w:styleId="ResNoChar">
    <w:name w:val="Res_No Char"/>
    <w:link w:val="ResNo"/>
    <w:rsid w:val="00B85D56"/>
    <w:rPr>
      <w:rFonts w:ascii="Times New Roman" w:hAnsi="Times New Roman"/>
      <w:b/>
      <w:sz w:val="28"/>
      <w:lang w:val="fr-FR" w:eastAsia="en-US"/>
    </w:rPr>
  </w:style>
  <w:style w:type="character" w:customStyle="1" w:styleId="href">
    <w:name w:val="href"/>
    <w:basedOn w:val="DefaultParagraphFont"/>
    <w:rsid w:val="00E82E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BBC"/>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fr-FR" w:eastAsia="en-US"/>
    </w:rPr>
  </w:style>
  <w:style w:type="paragraph" w:styleId="Heading1">
    <w:name w:val="heading 1"/>
    <w:basedOn w:val="Normal"/>
    <w:next w:val="Normal"/>
    <w:qFormat/>
    <w:rsid w:val="00123BBC"/>
    <w:pPr>
      <w:keepNext/>
      <w:keepLines/>
      <w:spacing w:before="360"/>
      <w:ind w:left="794" w:hanging="794"/>
      <w:jc w:val="left"/>
      <w:outlineLvl w:val="0"/>
    </w:pPr>
    <w:rPr>
      <w:b/>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semiHidden/>
    <w:rsid w:val="00123BBC"/>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rsid w:val="00123BBC"/>
    <w:pPr>
      <w:keepLines/>
      <w:tabs>
        <w:tab w:val="left" w:pos="255"/>
      </w:tabs>
      <w:ind w:left="255" w:hanging="255"/>
    </w:pPr>
  </w:style>
  <w:style w:type="paragraph" w:customStyle="1" w:styleId="Note">
    <w:name w:val="Note"/>
    <w:basedOn w:val="Normal"/>
    <w:link w:val="NoteChar"/>
    <w:rsid w:val="00123BBC"/>
    <w:pPr>
      <w:spacing w:before="80"/>
    </w:pPr>
    <w:rPr>
      <w:sz w:val="22"/>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uiPriority w:val="99"/>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locked/>
    <w:rsid w:val="00311F37"/>
    <w:rPr>
      <w:rFonts w:cs="Times New Roman"/>
      <w:sz w:val="22"/>
      <w:lang w:val="fr-FR" w:eastAsia="en-US" w:bidi="ar-SA"/>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sz w:val="22"/>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EB6BEB"/>
    <w:rPr>
      <w:rFonts w:ascii="Times New Roman" w:hAnsi="Times New Roman"/>
      <w:sz w:val="22"/>
      <w:lang w:val="fr-FR" w:eastAsia="en-US"/>
    </w:rPr>
  </w:style>
  <w:style w:type="paragraph" w:customStyle="1" w:styleId="FigureNo">
    <w:name w:val="Figure_No"/>
    <w:basedOn w:val="Normal"/>
    <w:next w:val="Figuretitle"/>
    <w:rsid w:val="00EB6BEB"/>
    <w:pPr>
      <w:keepNext/>
      <w:keepLines/>
      <w:spacing w:before="480" w:after="120"/>
      <w:jc w:val="center"/>
    </w:pPr>
    <w:rPr>
      <w:caps/>
      <w:sz w:val="22"/>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sz w:val="22"/>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D8893-A248-48D3-BE74-E9E0EF98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Template>
  <TotalTime>3</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4528</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Commission d'études 2 de l'UIT-T</dc:creator>
  <cp:keywords>E.802,E,802</cp:keywords>
  <dc:description>Saved by MS-106344 at 14:06:18 on 06.12.2007</dc:description>
  <cp:lastModifiedBy>Brian</cp:lastModifiedBy>
  <cp:revision>3</cp:revision>
  <cp:lastPrinted>2007-12-06T12:04:00Z</cp:lastPrinted>
  <dcterms:created xsi:type="dcterms:W3CDTF">2013-04-26T08:10:00Z</dcterms:created>
  <dcterms:modified xsi:type="dcterms:W3CDTF">2013-04-26T10:01:00Z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