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5D2BFA">
              <w:rPr>
                <w:rFonts w:ascii="Arial" w:eastAsia="SimHei" w:hAnsi="Arial" w:cs="Arial"/>
                <w:spacing w:val="255"/>
                <w:sz w:val="28"/>
                <w:szCs w:val="28"/>
                <w:fitText w:val="8222" w:id="344731648"/>
                <w:lang w:eastAsia="zh-CN"/>
              </w:rPr>
              <w:t>国</w:t>
            </w:r>
            <w:r w:rsidRPr="005D2BFA">
              <w:rPr>
                <w:rFonts w:ascii="Arial" w:eastAsia="SimHei" w:hAnsi="Arial" w:cs="Arial"/>
                <w:spacing w:val="255"/>
                <w:sz w:val="28"/>
                <w:szCs w:val="28"/>
                <w:fitText w:val="8222" w:id="344731648"/>
                <w:lang w:val="en-US" w:eastAsia="zh-CN"/>
              </w:rPr>
              <w:t xml:space="preserve">   </w:t>
            </w:r>
            <w:r w:rsidRPr="005D2BFA">
              <w:rPr>
                <w:rFonts w:ascii="Arial" w:eastAsia="SimHei" w:hAnsi="Arial" w:cs="Arial"/>
                <w:spacing w:val="255"/>
                <w:sz w:val="28"/>
                <w:szCs w:val="28"/>
                <w:fitText w:val="8222" w:id="344731648"/>
                <w:lang w:eastAsia="zh-CN"/>
              </w:rPr>
              <w:t>际</w:t>
            </w:r>
            <w:r w:rsidRPr="005D2BFA">
              <w:rPr>
                <w:rFonts w:ascii="Arial" w:eastAsia="SimHei" w:hAnsi="Arial" w:cs="Arial"/>
                <w:spacing w:val="255"/>
                <w:sz w:val="28"/>
                <w:szCs w:val="28"/>
                <w:fitText w:val="8222" w:id="344731648"/>
                <w:lang w:val="en-US" w:eastAsia="zh-CN"/>
              </w:rPr>
              <w:t xml:space="preserve">   </w:t>
            </w:r>
            <w:r w:rsidRPr="005D2BFA">
              <w:rPr>
                <w:rFonts w:ascii="Arial" w:eastAsia="SimHei" w:hAnsi="Arial" w:cs="Arial"/>
                <w:spacing w:val="255"/>
                <w:sz w:val="28"/>
                <w:szCs w:val="28"/>
                <w:fitText w:val="8222" w:id="344731648"/>
                <w:lang w:eastAsia="zh-CN"/>
              </w:rPr>
              <w:t>电</w:t>
            </w:r>
            <w:r w:rsidRPr="005D2BFA">
              <w:rPr>
                <w:rFonts w:ascii="Arial" w:eastAsia="SimHei" w:hAnsi="Arial" w:cs="Arial"/>
                <w:spacing w:val="255"/>
                <w:sz w:val="28"/>
                <w:szCs w:val="28"/>
                <w:fitText w:val="8222" w:id="344731648"/>
                <w:lang w:val="en-US" w:eastAsia="zh-CN"/>
              </w:rPr>
              <w:t xml:space="preserve">   </w:t>
            </w:r>
            <w:r w:rsidRPr="005D2BFA">
              <w:rPr>
                <w:rFonts w:ascii="Arial" w:eastAsia="SimHei" w:hAnsi="Arial" w:cs="Arial"/>
                <w:spacing w:val="255"/>
                <w:sz w:val="28"/>
                <w:szCs w:val="28"/>
                <w:fitText w:val="8222" w:id="344731648"/>
                <w:lang w:eastAsia="zh-CN"/>
              </w:rPr>
              <w:t>信</w:t>
            </w:r>
            <w:r w:rsidRPr="005D2BFA">
              <w:rPr>
                <w:rFonts w:ascii="Arial" w:eastAsia="SimHei" w:hAnsi="Arial" w:cs="Arial"/>
                <w:spacing w:val="255"/>
                <w:sz w:val="28"/>
                <w:szCs w:val="28"/>
                <w:fitText w:val="8222" w:id="344731648"/>
                <w:lang w:val="en-US" w:eastAsia="zh-CN"/>
              </w:rPr>
              <w:t xml:space="preserve">   </w:t>
            </w:r>
            <w:r w:rsidRPr="005D2BFA">
              <w:rPr>
                <w:rFonts w:ascii="Arial" w:eastAsia="SimHei" w:hAnsi="Arial" w:cs="Arial"/>
                <w:spacing w:val="255"/>
                <w:sz w:val="28"/>
                <w:szCs w:val="28"/>
                <w:fitText w:val="8222" w:id="344731648"/>
                <w:lang w:eastAsia="zh-CN"/>
              </w:rPr>
              <w:t>联</w:t>
            </w:r>
            <w:r w:rsidRPr="005D2BFA">
              <w:rPr>
                <w:rFonts w:ascii="Arial" w:eastAsia="SimHei" w:hAnsi="Arial" w:cs="Arial"/>
                <w:spacing w:val="255"/>
                <w:sz w:val="28"/>
                <w:szCs w:val="28"/>
                <w:fitText w:val="8222" w:id="344731648"/>
                <w:lang w:val="en-US" w:eastAsia="zh-CN"/>
              </w:rPr>
              <w:t xml:space="preserve">   </w:t>
            </w:r>
            <w:r w:rsidRPr="005D2BFA">
              <w:rPr>
                <w:rFonts w:ascii="Arial" w:eastAsia="SimHei" w:hAnsi="Arial" w:cs="Arial"/>
                <w:spacing w:val="19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542C2D" w:rsidRDefault="00394646" w:rsidP="00F9447F">
            <w:pPr>
              <w:tabs>
                <w:tab w:val="right" w:pos="9639"/>
              </w:tabs>
              <w:jc w:val="left"/>
              <w:rPr>
                <w:rFonts w:ascii="Arial" w:hAnsi="Arial" w:cs="Arial"/>
                <w:sz w:val="28"/>
                <w:szCs w:val="28"/>
                <w:lang w:val="en-US" w:eastAsia="zh-CN"/>
              </w:rPr>
            </w:pPr>
            <w:r w:rsidRPr="009F2F95">
              <w:rPr>
                <w:rFonts w:hint="eastAsia"/>
                <w:b/>
                <w:sz w:val="28"/>
                <w:szCs w:val="28"/>
                <w:lang w:eastAsia="zh-CN"/>
              </w:rPr>
              <w:t>迪拜，</w:t>
            </w:r>
            <w:r w:rsidRPr="009F2F95">
              <w:rPr>
                <w:rFonts w:hint="eastAsia"/>
                <w:sz w:val="28"/>
                <w:szCs w:val="28"/>
                <w:lang w:eastAsia="zh-CN"/>
              </w:rPr>
              <w:t>2012</w:t>
            </w:r>
            <w:r w:rsidRPr="009F2F95">
              <w:rPr>
                <w:rFonts w:hint="eastAsia"/>
                <w:b/>
                <w:sz w:val="28"/>
                <w:szCs w:val="28"/>
                <w:lang w:eastAsia="zh-CN"/>
              </w:rPr>
              <w:t>年</w:t>
            </w:r>
            <w:r w:rsidRPr="009F2F95">
              <w:rPr>
                <w:rFonts w:hint="eastAsia"/>
                <w:sz w:val="28"/>
                <w:szCs w:val="28"/>
                <w:lang w:eastAsia="zh-CN"/>
              </w:rPr>
              <w:t>11</w:t>
            </w:r>
            <w:r w:rsidRPr="009F2F95">
              <w:rPr>
                <w:rFonts w:hint="eastAsia"/>
                <w:b/>
                <w:sz w:val="28"/>
                <w:szCs w:val="28"/>
                <w:lang w:eastAsia="zh-CN"/>
              </w:rPr>
              <w:t>月</w:t>
            </w:r>
            <w:r w:rsidRPr="009F2F95">
              <w:rPr>
                <w:sz w:val="28"/>
                <w:szCs w:val="28"/>
                <w:lang w:eastAsia="zh-CN"/>
              </w:rPr>
              <w:t>20-29</w:t>
            </w:r>
            <w:r w:rsidRPr="009F2F95">
              <w:rPr>
                <w:rFonts w:hint="eastAsia"/>
                <w:b/>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394646" w:rsidP="005324CC">
            <w:pPr>
              <w:tabs>
                <w:tab w:val="right" w:pos="9639"/>
              </w:tabs>
              <w:jc w:val="left"/>
              <w:rPr>
                <w:rFonts w:ascii="Arial" w:hAnsi="Arial"/>
                <w:b/>
                <w:bCs/>
                <w:sz w:val="36"/>
                <w:lang w:val="en-US" w:eastAsia="zh-CN"/>
              </w:rPr>
            </w:pPr>
            <w:bookmarkStart w:id="1" w:name="OLE_LINK6"/>
            <w:r>
              <w:rPr>
                <w:rFonts w:ascii="Arial" w:eastAsia="SimHei" w:hAnsi="Arial" w:cs="Arial" w:hint="eastAsia"/>
                <w:b/>
                <w:bCs/>
                <w:sz w:val="36"/>
                <w:szCs w:val="28"/>
                <w:lang w:eastAsia="zh-CN"/>
              </w:rPr>
              <w:t>第</w:t>
            </w:r>
            <w:r w:rsidR="00D215AA">
              <w:rPr>
                <w:rFonts w:ascii="Arial" w:eastAsia="SimHei" w:hAnsi="Arial" w:cs="Arial" w:hint="eastAsia"/>
                <w:b/>
                <w:bCs/>
                <w:sz w:val="36"/>
                <w:szCs w:val="28"/>
                <w:lang w:eastAsia="zh-CN"/>
              </w:rPr>
              <w:t xml:space="preserve"> </w:t>
            </w:r>
            <w:r w:rsidR="005324CC">
              <w:rPr>
                <w:rFonts w:ascii="Arial" w:eastAsia="SimHei" w:hAnsi="Arial" w:cs="Arial"/>
                <w:b/>
                <w:bCs/>
                <w:sz w:val="36"/>
                <w:szCs w:val="28"/>
                <w:lang w:eastAsia="zh-CN"/>
              </w:rPr>
              <w:t>33</w:t>
            </w:r>
            <w:r>
              <w:rPr>
                <w:rFonts w:ascii="Arial" w:eastAsia="SimHei" w:hAnsi="Arial" w:cs="Arial" w:hint="eastAsia"/>
                <w:b/>
                <w:bCs/>
                <w:sz w:val="36"/>
                <w:szCs w:val="28"/>
                <w:lang w:eastAsia="zh-CN"/>
              </w:rPr>
              <w:t xml:space="preserve"> </w:t>
            </w:r>
            <w:r>
              <w:rPr>
                <w:rFonts w:ascii="Arial" w:eastAsia="SimHei" w:hAnsi="Arial" w:cs="Arial" w:hint="eastAsia"/>
                <w:b/>
                <w:bCs/>
                <w:sz w:val="36"/>
                <w:szCs w:val="28"/>
                <w:lang w:eastAsia="zh-CN"/>
              </w:rPr>
              <w:t>号决议</w:t>
            </w:r>
            <w:r>
              <w:rPr>
                <w:rFonts w:ascii="Arial" w:eastAsia="SimHei" w:hAnsi="Arial" w:cs="Arial"/>
                <w:b/>
                <w:bCs/>
                <w:sz w:val="36"/>
                <w:szCs w:val="28"/>
                <w:lang w:val="en-US" w:eastAsia="zh-CN"/>
              </w:rPr>
              <w:t xml:space="preserve"> </w:t>
            </w:r>
            <w:r w:rsidRPr="00542C2D">
              <w:rPr>
                <w:rFonts w:ascii="Arial" w:eastAsia="SimHei" w:hAnsi="Arial" w:cs="Arial"/>
                <w:b/>
                <w:bCs/>
                <w:sz w:val="36"/>
                <w:szCs w:val="28"/>
                <w:lang w:val="en-US" w:eastAsia="zh-CN"/>
              </w:rPr>
              <w:t>–</w:t>
            </w:r>
            <w:r w:rsidR="005324CC">
              <w:rPr>
                <w:rFonts w:ascii="Arial" w:eastAsia="SimHei" w:hAnsi="Arial" w:cs="Arial"/>
                <w:b/>
                <w:bCs/>
                <w:sz w:val="36"/>
                <w:szCs w:val="28"/>
                <w:lang w:val="en-US" w:eastAsia="zh-CN"/>
              </w:rPr>
              <w:t xml:space="preserve"> </w:t>
            </w:r>
            <w:r w:rsidR="005324CC" w:rsidRPr="005324CC">
              <w:rPr>
                <w:rFonts w:ascii="Arial" w:eastAsia="SimHei" w:hAnsi="Arial" w:cs="Arial" w:hint="eastAsia"/>
                <w:b/>
                <w:bCs/>
                <w:sz w:val="36"/>
                <w:szCs w:val="28"/>
                <w:lang w:val="en-US" w:eastAsia="zh-CN"/>
              </w:rPr>
              <w:t>国际电信标准化部门战略活动的</w:t>
            </w:r>
            <w:r w:rsidR="005324CC">
              <w:rPr>
                <w:rFonts w:ascii="Arial" w:eastAsia="SimHei" w:hAnsi="Arial" w:cs="Arial"/>
                <w:b/>
                <w:bCs/>
                <w:sz w:val="36"/>
                <w:szCs w:val="28"/>
                <w:lang w:val="en-US" w:eastAsia="zh-CN"/>
              </w:rPr>
              <w:br/>
            </w:r>
            <w:r w:rsidR="005324CC" w:rsidRPr="005324CC">
              <w:rPr>
                <w:rFonts w:ascii="Arial" w:eastAsia="SimHei" w:hAnsi="Arial" w:cs="Arial" w:hint="eastAsia"/>
                <w:b/>
                <w:bCs/>
                <w:sz w:val="36"/>
                <w:szCs w:val="28"/>
                <w:lang w:val="en-US" w:eastAsia="zh-CN"/>
              </w:rPr>
              <w:t>指导原则</w:t>
            </w:r>
            <w:bookmarkEnd w:id="1"/>
          </w:p>
        </w:tc>
      </w:tr>
      <w:tr w:rsidR="00394646" w:rsidTr="00F9447F">
        <w:trPr>
          <w:cantSplit/>
          <w:trHeight w:hRule="exact" w:val="1418"/>
        </w:trPr>
        <w:tc>
          <w:tcPr>
            <w:tcW w:w="1418" w:type="dxa"/>
          </w:tcPr>
          <w:p w:rsidR="00394646" w:rsidRDefault="00394646" w:rsidP="00E87B69">
            <w:pPr>
              <w:tabs>
                <w:tab w:val="right" w:pos="9639"/>
              </w:tabs>
              <w:spacing w:before="0"/>
              <w:rPr>
                <w:rFonts w:ascii="Arial" w:hAnsi="Arial"/>
                <w:sz w:val="18"/>
                <w:lang w:val="en-US" w:eastAsia="zh-CN"/>
              </w:rPr>
            </w:pPr>
          </w:p>
        </w:tc>
        <w:tc>
          <w:tcPr>
            <w:tcW w:w="8530" w:type="dxa"/>
            <w:gridSpan w:val="4"/>
            <w:vAlign w:val="bottom"/>
          </w:tcPr>
          <w:p w:rsidR="00394646" w:rsidRDefault="00394646" w:rsidP="00E87B69">
            <w:pPr>
              <w:tabs>
                <w:tab w:val="right" w:pos="9639"/>
              </w:tabs>
              <w:spacing w:before="0"/>
              <w:jc w:val="right"/>
              <w:rPr>
                <w:noProof/>
                <w:lang w:val="en-US" w:eastAsia="zh-CN"/>
              </w:rPr>
            </w:pPr>
          </w:p>
          <w:p w:rsidR="00394646" w:rsidRPr="003F5F87" w:rsidRDefault="00394646" w:rsidP="00E87B69">
            <w:pPr>
              <w:tabs>
                <w:tab w:val="right" w:pos="9639"/>
              </w:tabs>
              <w:spacing w:before="0"/>
              <w:jc w:val="left"/>
              <w:rPr>
                <w:rFonts w:ascii="Arial" w:hAnsi="Arial" w:cs="Arial"/>
                <w:sz w:val="32"/>
                <w:lang w:val="en-US" w:eastAsia="zh-CN"/>
              </w:rPr>
            </w:pPr>
          </w:p>
        </w:tc>
      </w:tr>
    </w:tbl>
    <w:p w:rsidR="00E87B69" w:rsidRDefault="00E87B69" w:rsidP="00E87B69">
      <w:pPr>
        <w:tabs>
          <w:tab w:val="right" w:pos="9639"/>
        </w:tabs>
        <w:spacing w:before="0"/>
        <w:jc w:val="right"/>
        <w:rPr>
          <w:rFonts w:ascii="Arial" w:hAnsi="Arial"/>
          <w:sz w:val="18"/>
          <w:lang w:val="en-US" w:eastAsia="zh-CN"/>
        </w:rPr>
        <w:sectPr w:rsidR="00E87B69" w:rsidSect="00394646">
          <w:footerReference w:type="default" r:id="rId14"/>
          <w:type w:val="oddPage"/>
          <w:pgSz w:w="11907" w:h="16834" w:code="9"/>
          <w:pgMar w:top="1089" w:right="1089" w:bottom="284" w:left="1089" w:header="567" w:footer="284" w:gutter="0"/>
          <w:pgNumType w:fmt="lowerRoman"/>
          <w:cols w:space="720"/>
        </w:sectPr>
      </w:pPr>
      <w:r>
        <w:rPr>
          <w:noProof/>
          <w:lang w:val="en-US" w:eastAsia="zh-CN"/>
        </w:rPr>
        <w:drawing>
          <wp:inline distT="0" distB="0" distL="0" distR="0" wp14:anchorId="3A572CDA" wp14:editId="3D6087DB">
            <wp:extent cx="668655" cy="75057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p>
    <w:p w:rsidR="002A7FC1" w:rsidRPr="00E601A0" w:rsidRDefault="002A7FC1" w:rsidP="002A7FC1">
      <w:pPr>
        <w:pStyle w:val="PartNo"/>
        <w:rPr>
          <w:szCs w:val="28"/>
          <w:lang w:eastAsia="zh-CN"/>
        </w:rPr>
      </w:pPr>
      <w:bookmarkStart w:id="2" w:name="c2tope"/>
      <w:bookmarkEnd w:id="2"/>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2A7FC1" w:rsidRDefault="004E3B08" w:rsidP="00BA3D1A">
      <w:pPr>
        <w:pStyle w:val="ResNo"/>
        <w:rPr>
          <w:rStyle w:val="href"/>
          <w:lang w:val="fr-FR"/>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C32E27" w:rsidRDefault="00C32E27">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4E3B08" w:rsidRDefault="004E3B08">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Default="002A7FC1">
      <w:pPr>
        <w:tabs>
          <w:tab w:val="clear" w:pos="1134"/>
          <w:tab w:val="clear" w:pos="1871"/>
          <w:tab w:val="clear" w:pos="2268"/>
        </w:tabs>
        <w:overflowPunct/>
        <w:autoSpaceDE/>
        <w:autoSpaceDN/>
        <w:adjustRightInd/>
        <w:spacing w:before="0"/>
        <w:jc w:val="left"/>
        <w:textAlignment w:val="auto"/>
        <w:rPr>
          <w:rFonts w:ascii="Times New Roman Bold" w:hAnsi="Times New Roman Bold"/>
          <w:b/>
          <w:sz w:val="28"/>
          <w:lang w:eastAsia="zh-CN"/>
        </w:rPr>
      </w:pPr>
    </w:p>
    <w:p w:rsidR="002A7FC1" w:rsidRPr="00066C2F" w:rsidRDefault="002A7FC1" w:rsidP="002A7FC1">
      <w:pPr>
        <w:spacing w:line="240" w:lineRule="exact"/>
        <w:jc w:val="center"/>
        <w:rPr>
          <w:sz w:val="22"/>
          <w:szCs w:val="22"/>
          <w:lang w:val="en-US" w:eastAsia="zh-CN"/>
        </w:rPr>
      </w:pPr>
      <w:r w:rsidRPr="00066C2F">
        <w:rPr>
          <w:sz w:val="22"/>
          <w:szCs w:val="22"/>
          <w:lang w:val="en-US"/>
        </w:rPr>
        <w:sym w:font="Symbol" w:char="F0E3"/>
      </w:r>
      <w:r w:rsidRPr="00066C2F">
        <w:rPr>
          <w:sz w:val="22"/>
          <w:szCs w:val="22"/>
          <w:lang w:val="en-US" w:eastAsia="zh-CN"/>
        </w:rPr>
        <w:t xml:space="preserve"> ITU </w:t>
      </w:r>
      <w:r>
        <w:rPr>
          <w:sz w:val="22"/>
          <w:szCs w:val="22"/>
          <w:lang w:val="en-US" w:eastAsia="zh-CN"/>
        </w:rPr>
        <w:t>2013</w:t>
      </w:r>
      <w:r w:rsidRPr="00066C2F">
        <w:rPr>
          <w:rFonts w:hint="eastAsia"/>
          <w:sz w:val="22"/>
          <w:szCs w:val="22"/>
          <w:lang w:val="en-US" w:eastAsia="zh-CN"/>
        </w:rPr>
        <w:t>年</w:t>
      </w:r>
    </w:p>
    <w:p w:rsidR="004E3B08" w:rsidRPr="00381876" w:rsidRDefault="002A7FC1" w:rsidP="002A7FC1">
      <w:pPr>
        <w:spacing w:line="240" w:lineRule="exact"/>
        <w:rPr>
          <w:sz w:val="20"/>
          <w:lang w:eastAsia="zh-CN"/>
        </w:rPr>
      </w:pPr>
      <w:r w:rsidRPr="00840E1F">
        <w:rPr>
          <w:rFonts w:hint="eastAsia"/>
          <w:color w:val="000000"/>
          <w:spacing w:val="-4"/>
          <w:sz w:val="22"/>
          <w:szCs w:val="22"/>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6"/>
          <w:headerReference w:type="first" r:id="rId17"/>
          <w:type w:val="oddPage"/>
          <w:pgSz w:w="11907" w:h="16834" w:code="9"/>
          <w:pgMar w:top="1418" w:right="1134" w:bottom="1418" w:left="1134" w:header="720" w:footer="720" w:gutter="0"/>
          <w:pgNumType w:start="1"/>
          <w:cols w:space="720"/>
          <w:titlePg/>
          <w:docGrid w:linePitch="326"/>
        </w:sectPr>
      </w:pPr>
    </w:p>
    <w:p w:rsidR="00E413F2" w:rsidRPr="00E04A5F" w:rsidRDefault="00E413F2" w:rsidP="005324CC">
      <w:pPr>
        <w:pStyle w:val="ResNo"/>
        <w:spacing w:before="240"/>
        <w:rPr>
          <w:lang w:eastAsia="zh-CN"/>
        </w:rPr>
      </w:pPr>
      <w:bookmarkStart w:id="3" w:name="_Toc219521709"/>
      <w:bookmarkStart w:id="4" w:name="_Toc348252443"/>
      <w:r w:rsidRPr="0038451B">
        <w:rPr>
          <w:rStyle w:val="href"/>
          <w:rFonts w:hint="eastAsia"/>
        </w:rPr>
        <w:lastRenderedPageBreak/>
        <w:t>第</w:t>
      </w:r>
      <w:r w:rsidRPr="0038451B">
        <w:rPr>
          <w:rStyle w:val="href"/>
          <w:rFonts w:hint="eastAsia"/>
        </w:rPr>
        <w:t>33</w:t>
      </w:r>
      <w:r w:rsidRPr="0038451B">
        <w:rPr>
          <w:rStyle w:val="href"/>
          <w:rFonts w:hint="eastAsia"/>
        </w:rPr>
        <w:t>号决议</w:t>
      </w:r>
      <w:bookmarkEnd w:id="3"/>
      <w:r>
        <w:rPr>
          <w:rFonts w:hint="eastAsia"/>
          <w:lang w:eastAsia="zh-CN"/>
        </w:rPr>
        <w:t>（</w:t>
      </w:r>
      <w:r>
        <w:rPr>
          <w:lang w:eastAsia="zh-CN"/>
        </w:rPr>
        <w:t>2012</w:t>
      </w:r>
      <w:r>
        <w:rPr>
          <w:rFonts w:hint="eastAsia"/>
          <w:lang w:eastAsia="zh-CN"/>
        </w:rPr>
        <w:t>年，迪拜，修订版）</w:t>
      </w:r>
      <w:bookmarkEnd w:id="4"/>
    </w:p>
    <w:p w:rsidR="00E413F2" w:rsidRPr="00E04A5F" w:rsidRDefault="00E413F2" w:rsidP="005324CC">
      <w:pPr>
        <w:pStyle w:val="Restitle"/>
        <w:spacing w:before="240"/>
        <w:rPr>
          <w:lang w:eastAsia="zh-CN"/>
        </w:rPr>
      </w:pPr>
      <w:bookmarkStart w:id="5" w:name="_Toc219521710"/>
      <w:bookmarkStart w:id="6" w:name="_Toc348252444"/>
      <w:r>
        <w:rPr>
          <w:rFonts w:hint="eastAsia"/>
          <w:lang w:eastAsia="zh-CN"/>
        </w:rPr>
        <w:t>国际电信标准化部门</w:t>
      </w:r>
      <w:r w:rsidRPr="00E04A5F">
        <w:rPr>
          <w:rFonts w:hint="eastAsia"/>
          <w:lang w:eastAsia="zh-CN"/>
        </w:rPr>
        <w:t>战略活动</w:t>
      </w:r>
      <w:bookmarkStart w:id="7" w:name="_GoBack"/>
      <w:bookmarkEnd w:id="7"/>
      <w:r w:rsidRPr="00E04A5F">
        <w:rPr>
          <w:rFonts w:hint="eastAsia"/>
          <w:lang w:eastAsia="zh-CN"/>
        </w:rPr>
        <w:t>的指导原则</w:t>
      </w:r>
      <w:bookmarkEnd w:id="5"/>
      <w:bookmarkEnd w:id="6"/>
    </w:p>
    <w:p w:rsidR="00E413F2" w:rsidRPr="00725447" w:rsidRDefault="00E413F2" w:rsidP="00E413F2">
      <w:pPr>
        <w:pStyle w:val="Resref"/>
        <w:rPr>
          <w:iCs/>
          <w:lang w:eastAsia="zh-CN"/>
        </w:rPr>
      </w:pPr>
      <w:r w:rsidRPr="00725447">
        <w:rPr>
          <w:rFonts w:hint="eastAsia"/>
          <w:iCs/>
          <w:lang w:eastAsia="zh-CN"/>
        </w:rPr>
        <w:t>（</w:t>
      </w:r>
      <w:r w:rsidRPr="00725447">
        <w:rPr>
          <w:iCs/>
          <w:lang w:eastAsia="zh-CN"/>
        </w:rPr>
        <w:t>2000</w:t>
      </w:r>
      <w:r w:rsidRPr="00725447">
        <w:rPr>
          <w:rFonts w:hint="eastAsia"/>
          <w:iCs/>
          <w:lang w:eastAsia="zh-CN"/>
        </w:rPr>
        <w:t>年，蒙特利尔；</w:t>
      </w:r>
      <w:r w:rsidRPr="00725447">
        <w:rPr>
          <w:iCs/>
          <w:lang w:eastAsia="zh-CN"/>
        </w:rPr>
        <w:t>2004</w:t>
      </w:r>
      <w:r w:rsidRPr="00725447">
        <w:rPr>
          <w:rFonts w:hint="eastAsia"/>
          <w:iCs/>
          <w:lang w:eastAsia="zh-CN"/>
        </w:rPr>
        <w:t>年，弗洛里亚诺波利斯；</w:t>
      </w:r>
      <w:r>
        <w:rPr>
          <w:iCs/>
          <w:lang w:eastAsia="zh-CN"/>
        </w:rPr>
        <w:br/>
      </w:r>
      <w:r w:rsidRPr="00725447">
        <w:rPr>
          <w:rFonts w:hint="eastAsia"/>
          <w:iCs/>
          <w:lang w:eastAsia="zh-CN"/>
        </w:rPr>
        <w:t>2008</w:t>
      </w:r>
      <w:r w:rsidRPr="00725447">
        <w:rPr>
          <w:rFonts w:hint="eastAsia"/>
          <w:iCs/>
          <w:lang w:eastAsia="zh-CN"/>
        </w:rPr>
        <w:t>年，约翰内斯堡</w:t>
      </w:r>
      <w:r>
        <w:rPr>
          <w:rFonts w:hint="eastAsia"/>
          <w:iCs/>
          <w:lang w:eastAsia="zh-CN"/>
        </w:rPr>
        <w:t>；</w:t>
      </w:r>
      <w:r>
        <w:rPr>
          <w:rFonts w:hint="eastAsia"/>
          <w:iCs/>
          <w:lang w:eastAsia="zh-CN"/>
        </w:rPr>
        <w:t>2012</w:t>
      </w:r>
      <w:r>
        <w:rPr>
          <w:rFonts w:hint="eastAsia"/>
          <w:iCs/>
          <w:lang w:eastAsia="zh-CN"/>
        </w:rPr>
        <w:t>年，迪拜</w:t>
      </w:r>
      <w:r w:rsidRPr="00725447">
        <w:rPr>
          <w:rFonts w:hint="eastAsia"/>
          <w:iCs/>
          <w:lang w:eastAsia="zh-CN"/>
        </w:rPr>
        <w:t>）</w:t>
      </w:r>
    </w:p>
    <w:p w:rsidR="00E413F2" w:rsidRPr="00E04A5F" w:rsidRDefault="00E413F2" w:rsidP="00E413F2">
      <w:pPr>
        <w:pStyle w:val="Normalaftertitle"/>
        <w:rPr>
          <w:lang w:eastAsia="zh-CN"/>
        </w:rPr>
      </w:pPr>
      <w:r w:rsidRPr="00E04A5F">
        <w:rPr>
          <w:rFonts w:hint="eastAsia"/>
          <w:lang w:eastAsia="zh-CN"/>
        </w:rPr>
        <w:t>世界电信标准化全会（</w:t>
      </w:r>
      <w:r>
        <w:rPr>
          <w:rFonts w:hint="eastAsia"/>
          <w:lang w:eastAsia="zh-CN"/>
        </w:rPr>
        <w:t>2012</w:t>
      </w:r>
      <w:r>
        <w:rPr>
          <w:rFonts w:hint="eastAsia"/>
          <w:lang w:eastAsia="zh-CN"/>
        </w:rPr>
        <w:t>年，迪拜</w:t>
      </w:r>
      <w:r w:rsidRPr="00E04A5F">
        <w:rPr>
          <w:rFonts w:hint="eastAsia"/>
          <w:lang w:eastAsia="zh-CN"/>
        </w:rPr>
        <w:t>），</w:t>
      </w:r>
    </w:p>
    <w:p w:rsidR="00E413F2" w:rsidRPr="00E04A5F" w:rsidRDefault="00E413F2" w:rsidP="00E413F2">
      <w:pPr>
        <w:pStyle w:val="Call"/>
        <w:rPr>
          <w:lang w:eastAsia="zh-CN"/>
        </w:rPr>
      </w:pPr>
      <w:r w:rsidRPr="00E04A5F">
        <w:rPr>
          <w:rFonts w:hint="eastAsia"/>
          <w:lang w:eastAsia="zh-CN"/>
        </w:rPr>
        <w:t>注意到</w:t>
      </w:r>
    </w:p>
    <w:p w:rsidR="00E413F2" w:rsidRDefault="00E413F2" w:rsidP="00E413F2">
      <w:pPr>
        <w:rPr>
          <w:lang w:eastAsia="zh-CN"/>
        </w:rPr>
      </w:pPr>
      <w:r w:rsidRPr="00CC4E40">
        <w:rPr>
          <w:i/>
          <w:iCs/>
          <w:lang w:eastAsia="zh-CN"/>
        </w:rPr>
        <w:t>a)</w:t>
      </w:r>
      <w:r w:rsidRPr="00E04A5F">
        <w:rPr>
          <w:rFonts w:hint="eastAsia"/>
          <w:lang w:eastAsia="zh-CN"/>
        </w:rPr>
        <w:tab/>
      </w:r>
      <w:r w:rsidRPr="00E04A5F">
        <w:rPr>
          <w:rFonts w:hint="eastAsia"/>
          <w:lang w:eastAsia="zh-CN"/>
        </w:rPr>
        <w:t>根据国际电联《公约》第</w:t>
      </w:r>
      <w:r w:rsidRPr="00E04A5F">
        <w:rPr>
          <w:lang w:eastAsia="zh-CN"/>
        </w:rPr>
        <w:t>197C</w:t>
      </w:r>
      <w:r w:rsidRPr="00E04A5F">
        <w:rPr>
          <w:rFonts w:hint="eastAsia"/>
          <w:lang w:eastAsia="zh-CN"/>
        </w:rPr>
        <w:t>款的规定，电信标准化顾问组（</w:t>
      </w:r>
      <w:r w:rsidRPr="00E04A5F">
        <w:rPr>
          <w:lang w:eastAsia="zh-CN"/>
        </w:rPr>
        <w:t>TSAG</w:t>
      </w:r>
      <w:r w:rsidRPr="00E04A5F">
        <w:rPr>
          <w:rFonts w:hint="eastAsia"/>
          <w:lang w:eastAsia="zh-CN"/>
        </w:rPr>
        <w:t>）的职责应特别包括审议国际电联电信标准化部门（</w:t>
      </w:r>
      <w:r w:rsidRPr="00E04A5F">
        <w:rPr>
          <w:lang w:eastAsia="zh-CN"/>
        </w:rPr>
        <w:t>ITU-T</w:t>
      </w:r>
      <w:r w:rsidRPr="00E04A5F">
        <w:rPr>
          <w:rFonts w:hint="eastAsia"/>
          <w:lang w:eastAsia="zh-CN"/>
        </w:rPr>
        <w:t>）活动的战略和重点；</w:t>
      </w:r>
    </w:p>
    <w:p w:rsidR="00E413F2" w:rsidRDefault="00E413F2" w:rsidP="00E413F2">
      <w:pPr>
        <w:rPr>
          <w:lang w:eastAsia="zh-CN"/>
        </w:rPr>
      </w:pPr>
      <w:r w:rsidRPr="00CC4E40">
        <w:rPr>
          <w:i/>
          <w:iCs/>
          <w:lang w:eastAsia="zh-CN"/>
        </w:rPr>
        <w:t>b)</w:t>
      </w:r>
      <w:r w:rsidRPr="00E04A5F">
        <w:rPr>
          <w:rFonts w:hint="eastAsia"/>
          <w:lang w:eastAsia="zh-CN"/>
        </w:rPr>
        <w:tab/>
      </w:r>
      <w:r w:rsidRPr="00E04A5F">
        <w:rPr>
          <w:rFonts w:hint="eastAsia"/>
          <w:lang w:eastAsia="zh-CN"/>
        </w:rPr>
        <w:t>根据全权代表大会关于战略问题的第</w:t>
      </w:r>
      <w:r w:rsidRPr="00E04A5F">
        <w:rPr>
          <w:lang w:eastAsia="zh-CN"/>
        </w:rPr>
        <w:t>71</w:t>
      </w:r>
      <w:r w:rsidRPr="00E04A5F">
        <w:rPr>
          <w:rFonts w:hint="eastAsia"/>
          <w:lang w:eastAsia="zh-CN"/>
        </w:rPr>
        <w:t>和</w:t>
      </w:r>
      <w:r w:rsidRPr="00E04A5F">
        <w:rPr>
          <w:lang w:eastAsia="zh-CN"/>
        </w:rPr>
        <w:t>72</w:t>
      </w:r>
      <w:r w:rsidRPr="00E04A5F">
        <w:rPr>
          <w:rFonts w:hint="eastAsia"/>
          <w:lang w:eastAsia="zh-CN"/>
        </w:rPr>
        <w:t>号决议（</w:t>
      </w:r>
      <w:r>
        <w:rPr>
          <w:rFonts w:hint="eastAsia"/>
          <w:lang w:eastAsia="zh-CN"/>
        </w:rPr>
        <w:t>2010</w:t>
      </w:r>
      <w:r>
        <w:rPr>
          <w:rFonts w:hint="eastAsia"/>
          <w:lang w:eastAsia="zh-CN"/>
        </w:rPr>
        <w:t>年，瓜达拉哈拉，修订版</w:t>
      </w:r>
      <w:r w:rsidRPr="00E04A5F">
        <w:rPr>
          <w:rFonts w:hint="eastAsia"/>
          <w:lang w:eastAsia="zh-CN"/>
        </w:rPr>
        <w:t>），</w:t>
      </w:r>
      <w:r w:rsidRPr="00E04A5F">
        <w:rPr>
          <w:lang w:eastAsia="zh-CN"/>
        </w:rPr>
        <w:t>TSAG</w:t>
      </w:r>
      <w:r>
        <w:rPr>
          <w:rFonts w:hint="eastAsia"/>
          <w:lang w:eastAsia="zh-CN"/>
        </w:rPr>
        <w:t>将针对</w:t>
      </w:r>
      <w:r w:rsidRPr="00E04A5F">
        <w:rPr>
          <w:rFonts w:hint="eastAsia"/>
          <w:lang w:eastAsia="zh-CN"/>
        </w:rPr>
        <w:t>部门的战略规划和目标、战略及重点提出建议，包括根据电信环境的变化调整规划的建议，</w:t>
      </w:r>
    </w:p>
    <w:p w:rsidR="00E413F2" w:rsidRPr="00E04A5F" w:rsidRDefault="00E413F2" w:rsidP="00E413F2">
      <w:pPr>
        <w:pStyle w:val="Call"/>
        <w:rPr>
          <w:lang w:eastAsia="zh-CN"/>
        </w:rPr>
      </w:pPr>
      <w:r w:rsidRPr="00E04A5F">
        <w:rPr>
          <w:rFonts w:hint="eastAsia"/>
          <w:lang w:eastAsia="zh-CN"/>
        </w:rPr>
        <w:t>认识到</w:t>
      </w:r>
    </w:p>
    <w:p w:rsidR="00E413F2" w:rsidRPr="00E04A5F" w:rsidRDefault="00E413F2" w:rsidP="00E413F2">
      <w:pPr>
        <w:ind w:firstLineChars="200" w:firstLine="480"/>
        <w:rPr>
          <w:lang w:eastAsia="zh-CN"/>
        </w:rPr>
      </w:pPr>
      <w:r w:rsidRPr="00E04A5F">
        <w:rPr>
          <w:rFonts w:hint="eastAsia"/>
          <w:lang w:eastAsia="zh-CN"/>
        </w:rPr>
        <w:t>国际电联，特别是</w:t>
      </w:r>
      <w:r w:rsidRPr="00E04A5F">
        <w:rPr>
          <w:lang w:eastAsia="zh-CN"/>
        </w:rPr>
        <w:t>ITU-T</w:t>
      </w:r>
      <w:r w:rsidRPr="00E04A5F">
        <w:rPr>
          <w:rFonts w:hint="eastAsia"/>
          <w:lang w:eastAsia="zh-CN"/>
        </w:rPr>
        <w:t>所面临的挑战是，维持其积极有效的国际论坛的地位，以便成员国、部门成员和部门准成员一道工作，鼓励全球电信的发展，促进电信和信息业务的普遍接入，以便为世界各地的人们提供参与并受益于全球信息社会和经济的机会，</w:t>
      </w:r>
    </w:p>
    <w:p w:rsidR="00E413F2" w:rsidRPr="00E04A5F" w:rsidRDefault="00E413F2" w:rsidP="00E413F2">
      <w:pPr>
        <w:pStyle w:val="Call"/>
        <w:rPr>
          <w:lang w:eastAsia="zh-CN"/>
        </w:rPr>
      </w:pPr>
      <w:r w:rsidRPr="00E04A5F">
        <w:rPr>
          <w:rFonts w:hint="eastAsia"/>
          <w:lang w:eastAsia="zh-CN"/>
        </w:rPr>
        <w:t>考虑到</w:t>
      </w:r>
    </w:p>
    <w:p w:rsidR="00E413F2" w:rsidRPr="00E04A5F" w:rsidRDefault="00E413F2" w:rsidP="00E413F2">
      <w:pPr>
        <w:ind w:firstLineChars="200" w:firstLine="480"/>
        <w:rPr>
          <w:lang w:eastAsia="zh-CN"/>
        </w:rPr>
      </w:pPr>
      <w:r w:rsidRPr="00E04A5F">
        <w:rPr>
          <w:rFonts w:hint="eastAsia"/>
          <w:lang w:eastAsia="zh-CN"/>
        </w:rPr>
        <w:t>信息社会世界高峰会议（</w:t>
      </w:r>
      <w:r w:rsidRPr="00E04A5F">
        <w:rPr>
          <w:rFonts w:hint="eastAsia"/>
          <w:lang w:eastAsia="zh-CN"/>
        </w:rPr>
        <w:t>WSIS</w:t>
      </w:r>
      <w:r w:rsidRPr="00E04A5F">
        <w:rPr>
          <w:rFonts w:hint="eastAsia"/>
          <w:lang w:eastAsia="zh-CN"/>
        </w:rPr>
        <w:t>）有关</w:t>
      </w:r>
      <w:r w:rsidRPr="00E04A5F">
        <w:rPr>
          <w:lang w:eastAsia="zh-CN"/>
        </w:rPr>
        <w:t>ITU-T</w:t>
      </w:r>
      <w:r w:rsidRPr="00E04A5F">
        <w:rPr>
          <w:rFonts w:hint="eastAsia"/>
          <w:lang w:eastAsia="zh-CN"/>
        </w:rPr>
        <w:t>的相关输出文件，尤其是</w:t>
      </w:r>
      <w:r w:rsidRPr="00E04A5F">
        <w:rPr>
          <w:rFonts w:hint="eastAsia"/>
          <w:lang w:eastAsia="zh-CN"/>
        </w:rPr>
        <w:t>WSIS</w:t>
      </w:r>
      <w:r w:rsidRPr="00E04A5F">
        <w:rPr>
          <w:rFonts w:hint="eastAsia"/>
          <w:lang w:eastAsia="zh-CN"/>
        </w:rPr>
        <w:t>《日内瓦原则宣言》第</w:t>
      </w:r>
      <w:r w:rsidRPr="00E04A5F">
        <w:rPr>
          <w:rFonts w:hint="eastAsia"/>
          <w:lang w:eastAsia="zh-CN"/>
        </w:rPr>
        <w:t>44</w:t>
      </w:r>
      <w:r w:rsidRPr="00E04A5F">
        <w:rPr>
          <w:rFonts w:hint="eastAsia"/>
          <w:lang w:eastAsia="zh-CN"/>
        </w:rPr>
        <w:t>段，认识到“标准化是信息社会的基石之一”，</w:t>
      </w:r>
    </w:p>
    <w:p w:rsidR="00E413F2" w:rsidRPr="00E04A5F" w:rsidRDefault="00E413F2" w:rsidP="00E413F2">
      <w:pPr>
        <w:pStyle w:val="Call"/>
        <w:rPr>
          <w:lang w:eastAsia="zh-CN"/>
        </w:rPr>
      </w:pPr>
      <w:r w:rsidRPr="00E04A5F">
        <w:rPr>
          <w:rFonts w:hint="eastAsia"/>
          <w:lang w:eastAsia="zh-CN"/>
        </w:rPr>
        <w:t>做出决议，请成员国和部门成员</w:t>
      </w:r>
    </w:p>
    <w:p w:rsidR="00E413F2" w:rsidRPr="00E04A5F" w:rsidRDefault="00E413F2" w:rsidP="00E413F2">
      <w:pPr>
        <w:ind w:firstLineChars="200" w:firstLine="480"/>
        <w:rPr>
          <w:lang w:eastAsia="zh-CN"/>
        </w:rPr>
      </w:pPr>
      <w:r w:rsidRPr="00E04A5F">
        <w:rPr>
          <w:rFonts w:hint="eastAsia"/>
          <w:lang w:eastAsia="zh-CN"/>
        </w:rPr>
        <w:t>继续就</w:t>
      </w:r>
      <w:r w:rsidRPr="00E04A5F">
        <w:rPr>
          <w:lang w:eastAsia="zh-CN"/>
        </w:rPr>
        <w:t>ITU-T</w:t>
      </w:r>
      <w:r w:rsidRPr="00E04A5F">
        <w:rPr>
          <w:rFonts w:hint="eastAsia"/>
          <w:lang w:eastAsia="zh-CN"/>
        </w:rPr>
        <w:t>的战略规划和重点向</w:t>
      </w:r>
      <w:r w:rsidRPr="00E04A5F">
        <w:rPr>
          <w:rFonts w:hint="eastAsia"/>
          <w:lang w:eastAsia="zh-CN"/>
        </w:rPr>
        <w:t>T</w:t>
      </w:r>
      <w:r w:rsidRPr="00E04A5F">
        <w:rPr>
          <w:lang w:eastAsia="zh-CN"/>
        </w:rPr>
        <w:t>SAG</w:t>
      </w:r>
      <w:r w:rsidRPr="00E04A5F">
        <w:rPr>
          <w:rFonts w:hint="eastAsia"/>
          <w:lang w:eastAsia="zh-CN"/>
        </w:rPr>
        <w:t>的战略规划工作提出精辟意见，</w:t>
      </w:r>
    </w:p>
    <w:p w:rsidR="00E413F2" w:rsidRPr="00E04A5F" w:rsidRDefault="00E413F2" w:rsidP="00E413F2">
      <w:pPr>
        <w:pStyle w:val="Call"/>
        <w:rPr>
          <w:lang w:eastAsia="zh-CN"/>
        </w:rPr>
      </w:pPr>
      <w:r w:rsidRPr="00E04A5F">
        <w:rPr>
          <w:rFonts w:hint="eastAsia"/>
          <w:lang w:eastAsia="zh-CN"/>
        </w:rPr>
        <w:t>责成电信标准化顾问组</w:t>
      </w:r>
    </w:p>
    <w:p w:rsidR="00E413F2" w:rsidRPr="00E04A5F" w:rsidRDefault="00E413F2" w:rsidP="00E413F2">
      <w:pPr>
        <w:rPr>
          <w:lang w:eastAsia="zh-CN"/>
        </w:rPr>
      </w:pPr>
      <w:r w:rsidRPr="00E04A5F">
        <w:rPr>
          <w:lang w:eastAsia="zh-CN"/>
        </w:rPr>
        <w:t>1</w:t>
      </w:r>
      <w:r w:rsidRPr="00E04A5F">
        <w:rPr>
          <w:rFonts w:hint="eastAsia"/>
          <w:lang w:eastAsia="zh-CN"/>
        </w:rPr>
        <w:tab/>
      </w:r>
      <w:r w:rsidRPr="00E04A5F">
        <w:rPr>
          <w:rFonts w:hint="eastAsia"/>
          <w:lang w:eastAsia="zh-CN"/>
        </w:rPr>
        <w:t>根据第</w:t>
      </w:r>
      <w:r w:rsidRPr="00E04A5F">
        <w:rPr>
          <w:lang w:eastAsia="zh-CN"/>
        </w:rPr>
        <w:t>71</w:t>
      </w:r>
      <w:r w:rsidRPr="00E04A5F">
        <w:rPr>
          <w:rFonts w:hint="eastAsia"/>
          <w:lang w:eastAsia="zh-CN"/>
        </w:rPr>
        <w:t>号决议（</w:t>
      </w:r>
      <w:r>
        <w:rPr>
          <w:rFonts w:hint="eastAsia"/>
          <w:lang w:eastAsia="zh-CN"/>
        </w:rPr>
        <w:t>2010</w:t>
      </w:r>
      <w:r>
        <w:rPr>
          <w:rFonts w:hint="eastAsia"/>
          <w:lang w:eastAsia="zh-CN"/>
        </w:rPr>
        <w:t>年，瓜达拉哈拉，修订版</w:t>
      </w:r>
      <w:r w:rsidRPr="00E04A5F">
        <w:rPr>
          <w:rFonts w:hint="eastAsia"/>
          <w:lang w:eastAsia="zh-CN"/>
        </w:rPr>
        <w:t>）通过的</w:t>
      </w:r>
      <w:r>
        <w:rPr>
          <w:rFonts w:hint="eastAsia"/>
          <w:lang w:eastAsia="zh-CN"/>
        </w:rPr>
        <w:t>现行</w:t>
      </w:r>
      <w:r w:rsidRPr="00E04A5F">
        <w:rPr>
          <w:rFonts w:hint="eastAsia"/>
          <w:lang w:eastAsia="zh-CN"/>
        </w:rPr>
        <w:t>战略规划以及电信环境的演变情况，在本研究期内监督本部门的工作，包括：</w:t>
      </w:r>
    </w:p>
    <w:p w:rsidR="00E413F2" w:rsidRPr="00E04A5F" w:rsidRDefault="00E413F2" w:rsidP="00E413F2">
      <w:pPr>
        <w:pStyle w:val="enumlev10"/>
        <w:rPr>
          <w:lang w:eastAsia="zh-CN"/>
        </w:rPr>
      </w:pPr>
      <w:r>
        <w:rPr>
          <w:lang w:eastAsia="zh-CN"/>
        </w:rPr>
        <w:t>•</w:t>
      </w:r>
      <w:r w:rsidRPr="00E04A5F">
        <w:rPr>
          <w:lang w:eastAsia="zh-CN"/>
        </w:rPr>
        <w:tab/>
      </w:r>
      <w:r w:rsidRPr="00E04A5F">
        <w:rPr>
          <w:rFonts w:hint="eastAsia"/>
          <w:lang w:eastAsia="zh-CN"/>
        </w:rPr>
        <w:t>在本研究期中确定适当的优先项目，以便根据部门目标衡量本部门的业绩，从而实现这些目标；</w:t>
      </w:r>
    </w:p>
    <w:p w:rsidR="00E413F2" w:rsidRPr="00E04A5F" w:rsidRDefault="00E413F2" w:rsidP="00E413F2">
      <w:pPr>
        <w:pStyle w:val="enumlev10"/>
        <w:rPr>
          <w:lang w:eastAsia="zh-CN"/>
        </w:rPr>
      </w:pPr>
      <w:r>
        <w:rPr>
          <w:lang w:eastAsia="zh-CN"/>
        </w:rPr>
        <w:t>•</w:t>
      </w:r>
      <w:r w:rsidRPr="00E04A5F">
        <w:rPr>
          <w:lang w:eastAsia="zh-CN"/>
        </w:rPr>
        <w:tab/>
      </w:r>
      <w:r w:rsidRPr="00E04A5F">
        <w:rPr>
          <w:rFonts w:hint="eastAsia"/>
          <w:lang w:eastAsia="zh-CN"/>
        </w:rPr>
        <w:t>从各研究组主席和其他负责实体获得有关落实这些优先项目成果的定期报告；</w:t>
      </w:r>
    </w:p>
    <w:p w:rsidR="00F825E5" w:rsidRDefault="00F825E5">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rsidR="00E413F2" w:rsidRPr="00E04A5F" w:rsidRDefault="00E413F2" w:rsidP="00E413F2">
      <w:pPr>
        <w:pStyle w:val="enumlev10"/>
        <w:rPr>
          <w:lang w:eastAsia="zh-CN"/>
        </w:rPr>
      </w:pPr>
      <w:r>
        <w:rPr>
          <w:lang w:eastAsia="zh-CN"/>
        </w:rPr>
        <w:lastRenderedPageBreak/>
        <w:t>•</w:t>
      </w:r>
      <w:r w:rsidRPr="00E04A5F">
        <w:rPr>
          <w:lang w:eastAsia="zh-CN"/>
        </w:rPr>
        <w:tab/>
      </w:r>
      <w:r w:rsidRPr="00E04A5F">
        <w:rPr>
          <w:rFonts w:hint="eastAsia"/>
          <w:lang w:eastAsia="zh-CN"/>
        </w:rPr>
        <w:t>采取适当的行动，以确保能够根据电信环境的变化或预期活动未实现目标的情况对工作重点和战略目标进行修正；</w:t>
      </w:r>
    </w:p>
    <w:p w:rsidR="00E413F2" w:rsidRPr="00E04A5F" w:rsidRDefault="00E413F2" w:rsidP="00E413F2">
      <w:pPr>
        <w:pStyle w:val="enumlev10"/>
        <w:rPr>
          <w:lang w:eastAsia="zh-CN"/>
        </w:rPr>
      </w:pPr>
      <w:r>
        <w:rPr>
          <w:lang w:eastAsia="zh-CN"/>
        </w:rPr>
        <w:t>•</w:t>
      </w:r>
      <w:r w:rsidRPr="00E04A5F">
        <w:rPr>
          <w:lang w:eastAsia="zh-CN"/>
        </w:rPr>
        <w:tab/>
      </w:r>
      <w:r w:rsidRPr="00E04A5F">
        <w:rPr>
          <w:rFonts w:hint="eastAsia"/>
          <w:lang w:eastAsia="zh-CN"/>
        </w:rPr>
        <w:t>评估目前规划的持续适用性和可用性，并根据需要提出必要的修改意见，</w:t>
      </w:r>
    </w:p>
    <w:p w:rsidR="00E413F2" w:rsidRPr="00E04A5F" w:rsidRDefault="00E413F2" w:rsidP="00E413F2">
      <w:pPr>
        <w:rPr>
          <w:lang w:eastAsia="zh-CN"/>
        </w:rPr>
      </w:pPr>
      <w:r w:rsidRPr="00E04A5F">
        <w:rPr>
          <w:lang w:eastAsia="zh-CN"/>
        </w:rPr>
        <w:t>2</w:t>
      </w:r>
      <w:r w:rsidRPr="00E04A5F">
        <w:rPr>
          <w:rFonts w:hint="eastAsia"/>
          <w:lang w:eastAsia="zh-CN"/>
        </w:rPr>
        <w:tab/>
      </w:r>
      <w:r w:rsidRPr="00E04A5F">
        <w:rPr>
          <w:rFonts w:hint="eastAsia"/>
          <w:lang w:eastAsia="zh-CN"/>
        </w:rPr>
        <w:t>起草建议，以帮助制定下一研究期的国际电联战略规划草案，其中充分反映</w:t>
      </w:r>
      <w:r>
        <w:rPr>
          <w:rFonts w:hint="eastAsia"/>
          <w:lang w:eastAsia="zh-CN"/>
        </w:rPr>
        <w:t>出</w:t>
      </w:r>
      <w:r w:rsidRPr="00E04A5F">
        <w:rPr>
          <w:rFonts w:hint="eastAsia"/>
          <w:lang w:eastAsia="zh-CN"/>
        </w:rPr>
        <w:t>：</w:t>
      </w:r>
    </w:p>
    <w:p w:rsidR="00E413F2" w:rsidRPr="00E04A5F" w:rsidRDefault="00E413F2" w:rsidP="00E413F2">
      <w:pPr>
        <w:pStyle w:val="enumlev10"/>
        <w:rPr>
          <w:lang w:eastAsia="zh-CN"/>
        </w:rPr>
      </w:pPr>
      <w:r>
        <w:rPr>
          <w:lang w:eastAsia="zh-CN"/>
        </w:rPr>
        <w:t>•</w:t>
      </w:r>
      <w:r w:rsidRPr="00E04A5F">
        <w:rPr>
          <w:lang w:eastAsia="zh-CN"/>
        </w:rPr>
        <w:tab/>
      </w:r>
      <w:r w:rsidRPr="00E04A5F">
        <w:rPr>
          <w:rFonts w:hint="eastAsia"/>
          <w:lang w:eastAsia="zh-CN"/>
        </w:rPr>
        <w:t>目前的战略规划中继续适用的主要目标；</w:t>
      </w:r>
    </w:p>
    <w:p w:rsidR="00E413F2" w:rsidRDefault="00E413F2" w:rsidP="00E413F2">
      <w:pPr>
        <w:pStyle w:val="enumlev10"/>
        <w:rPr>
          <w:lang w:eastAsia="zh-CN"/>
        </w:rPr>
      </w:pPr>
      <w:r>
        <w:rPr>
          <w:lang w:eastAsia="zh-CN"/>
        </w:rPr>
        <w:t>•</w:t>
      </w:r>
      <w:r w:rsidRPr="00E04A5F">
        <w:rPr>
          <w:lang w:eastAsia="zh-CN"/>
        </w:rPr>
        <w:tab/>
      </w:r>
      <w:r w:rsidRPr="00E04A5F">
        <w:rPr>
          <w:rFonts w:hint="eastAsia"/>
          <w:lang w:eastAsia="zh-CN"/>
        </w:rPr>
        <w:t>新技术和融合的技术，其重要成果以及迅速、可靠地制定适用的全球标准的必要性；</w:t>
      </w:r>
    </w:p>
    <w:p w:rsidR="00E413F2" w:rsidRPr="00E04A5F" w:rsidRDefault="00E413F2" w:rsidP="00E413F2">
      <w:pPr>
        <w:pStyle w:val="enumlev10"/>
        <w:rPr>
          <w:lang w:eastAsia="zh-CN"/>
        </w:rPr>
      </w:pPr>
      <w:r>
        <w:rPr>
          <w:lang w:eastAsia="zh-CN"/>
        </w:rPr>
        <w:t>•</w:t>
      </w:r>
      <w:r w:rsidRPr="00E04A5F">
        <w:rPr>
          <w:lang w:eastAsia="zh-CN"/>
        </w:rPr>
        <w:tab/>
      </w:r>
      <w:r w:rsidRPr="00E04A5F">
        <w:rPr>
          <w:rFonts w:hint="eastAsia"/>
          <w:lang w:eastAsia="zh-CN"/>
        </w:rPr>
        <w:t>电信环境中正在发生的变化和新的变化；</w:t>
      </w:r>
    </w:p>
    <w:p w:rsidR="00E413F2" w:rsidRPr="00E04A5F" w:rsidRDefault="00E413F2" w:rsidP="00E413F2">
      <w:pPr>
        <w:pStyle w:val="enumlev10"/>
        <w:rPr>
          <w:lang w:eastAsia="zh-CN"/>
        </w:rPr>
      </w:pPr>
      <w:r>
        <w:rPr>
          <w:lang w:eastAsia="zh-CN"/>
        </w:rPr>
        <w:t>•</w:t>
      </w:r>
      <w:r w:rsidRPr="00E04A5F">
        <w:rPr>
          <w:lang w:eastAsia="zh-CN"/>
        </w:rPr>
        <w:tab/>
      </w:r>
      <w:r w:rsidRPr="00E04A5F">
        <w:rPr>
          <w:rFonts w:hint="eastAsia"/>
          <w:lang w:eastAsia="zh-CN"/>
        </w:rPr>
        <w:t>有必要根据相关</w:t>
      </w:r>
      <w:r w:rsidRPr="00E04A5F">
        <w:rPr>
          <w:lang w:eastAsia="zh-CN"/>
        </w:rPr>
        <w:t>ITU-T</w:t>
      </w:r>
      <w:r w:rsidRPr="00E04A5F">
        <w:rPr>
          <w:rFonts w:hint="eastAsia"/>
          <w:lang w:eastAsia="zh-CN"/>
        </w:rPr>
        <w:t xml:space="preserve"> </w:t>
      </w:r>
      <w:r w:rsidRPr="00E04A5F">
        <w:rPr>
          <w:lang w:eastAsia="zh-CN"/>
        </w:rPr>
        <w:t>A</w:t>
      </w:r>
      <w:r w:rsidRPr="00E04A5F">
        <w:rPr>
          <w:rFonts w:hint="eastAsia"/>
          <w:lang w:eastAsia="zh-CN"/>
        </w:rPr>
        <w:t>系列建议书中已达成一致的指导原则，明确定义并广泛建立与尽可能多的国际性、区域性及其他标准化机构人员的正式关系，并根据全权代表大会第</w:t>
      </w:r>
      <w:r w:rsidRPr="00E04A5F">
        <w:rPr>
          <w:rFonts w:hint="eastAsia"/>
          <w:lang w:eastAsia="zh-CN"/>
        </w:rPr>
        <w:t>122</w:t>
      </w:r>
      <w:r w:rsidRPr="00E04A5F">
        <w:rPr>
          <w:rFonts w:hint="eastAsia"/>
          <w:lang w:eastAsia="zh-CN"/>
        </w:rPr>
        <w:t>号决议（</w:t>
      </w:r>
      <w:r>
        <w:rPr>
          <w:rFonts w:hint="eastAsia"/>
          <w:lang w:eastAsia="zh-CN"/>
        </w:rPr>
        <w:t>2010</w:t>
      </w:r>
      <w:r>
        <w:rPr>
          <w:rFonts w:hint="eastAsia"/>
          <w:lang w:eastAsia="zh-CN"/>
        </w:rPr>
        <w:t>年，瓜达拉哈拉，修订版</w:t>
      </w:r>
      <w:r w:rsidRPr="00E04A5F">
        <w:rPr>
          <w:rFonts w:hint="eastAsia"/>
          <w:lang w:eastAsia="zh-CN"/>
        </w:rPr>
        <w:t>）落实全球标准化专题研讨会（</w:t>
      </w:r>
      <w:r w:rsidRPr="00E04A5F">
        <w:rPr>
          <w:rFonts w:hint="eastAsia"/>
          <w:lang w:eastAsia="zh-CN"/>
        </w:rPr>
        <w:t>GSS</w:t>
      </w:r>
      <w:r w:rsidRPr="00E04A5F">
        <w:rPr>
          <w:rFonts w:hint="eastAsia"/>
          <w:lang w:eastAsia="zh-CN"/>
        </w:rPr>
        <w:t>）的相关结论；</w:t>
      </w:r>
    </w:p>
    <w:p w:rsidR="00E413F2" w:rsidRDefault="00E413F2" w:rsidP="00E413F2">
      <w:pPr>
        <w:pStyle w:val="enumlev10"/>
        <w:rPr>
          <w:lang w:eastAsia="zh-CN"/>
        </w:rPr>
      </w:pPr>
      <w:r>
        <w:rPr>
          <w:lang w:eastAsia="zh-CN"/>
        </w:rPr>
        <w:t>•</w:t>
      </w:r>
      <w:r w:rsidRPr="00E04A5F">
        <w:rPr>
          <w:lang w:eastAsia="zh-CN"/>
        </w:rPr>
        <w:tab/>
        <w:t>ITU-T</w:t>
      </w:r>
      <w:r w:rsidRPr="00E04A5F">
        <w:rPr>
          <w:rFonts w:hint="eastAsia"/>
          <w:lang w:eastAsia="zh-CN"/>
        </w:rPr>
        <w:t>的作用</w:t>
      </w:r>
      <w:r>
        <w:rPr>
          <w:rFonts w:hint="eastAsia"/>
          <w:lang w:eastAsia="zh-CN"/>
        </w:rPr>
        <w:t>需因市场的作用力而日益增强包容性，并需为实现互利而与其它相关实体协调合作，</w:t>
      </w:r>
      <w:r w:rsidRPr="00E04A5F">
        <w:rPr>
          <w:rFonts w:hint="eastAsia"/>
          <w:lang w:eastAsia="zh-CN"/>
        </w:rPr>
        <w:t>以加速有益的国际标准的有效制定；</w:t>
      </w:r>
    </w:p>
    <w:p w:rsidR="00E413F2" w:rsidRDefault="00E413F2" w:rsidP="00E413F2">
      <w:pPr>
        <w:pStyle w:val="enumlev10"/>
        <w:rPr>
          <w:lang w:eastAsia="zh-CN"/>
        </w:rPr>
      </w:pPr>
      <w:r>
        <w:rPr>
          <w:lang w:eastAsia="zh-CN"/>
        </w:rPr>
        <w:t>•</w:t>
      </w:r>
      <w:r w:rsidRPr="00E04A5F">
        <w:rPr>
          <w:lang w:eastAsia="zh-CN"/>
        </w:rPr>
        <w:tab/>
      </w:r>
      <w:r w:rsidRPr="00E04A5F">
        <w:rPr>
          <w:rFonts w:hint="eastAsia"/>
          <w:lang w:eastAsia="zh-CN"/>
        </w:rPr>
        <w:t>落实有关缩小发达国家和发展中国家之间标准化差距的全权代表大会第</w:t>
      </w:r>
      <w:r w:rsidRPr="00E04A5F">
        <w:rPr>
          <w:rFonts w:hint="eastAsia"/>
          <w:lang w:eastAsia="zh-CN"/>
        </w:rPr>
        <w:t>123</w:t>
      </w:r>
      <w:r w:rsidRPr="00E04A5F">
        <w:rPr>
          <w:rFonts w:hint="eastAsia"/>
          <w:lang w:eastAsia="zh-CN"/>
        </w:rPr>
        <w:t>号决议（</w:t>
      </w:r>
      <w:r>
        <w:rPr>
          <w:rFonts w:hint="eastAsia"/>
          <w:lang w:eastAsia="zh-CN"/>
        </w:rPr>
        <w:t>2010</w:t>
      </w:r>
      <w:r>
        <w:rPr>
          <w:rFonts w:hint="eastAsia"/>
          <w:lang w:eastAsia="zh-CN"/>
        </w:rPr>
        <w:t>年，瓜达拉哈拉，修订版</w:t>
      </w:r>
      <w:r w:rsidRPr="00E04A5F">
        <w:rPr>
          <w:rFonts w:hint="eastAsia"/>
          <w:lang w:eastAsia="zh-CN"/>
        </w:rPr>
        <w:t>）。</w:t>
      </w:r>
    </w:p>
    <w:p w:rsidR="00B047CD" w:rsidRDefault="00B047CD" w:rsidP="00E413F2">
      <w:pPr>
        <w:pStyle w:val="enumlev10"/>
        <w:rPr>
          <w:lang w:eastAsia="zh-CN"/>
        </w:rPr>
      </w:pPr>
    </w:p>
    <w:p w:rsidR="00B047CD" w:rsidRDefault="00B047CD" w:rsidP="00E413F2">
      <w:pPr>
        <w:pStyle w:val="enumlev10"/>
        <w:rPr>
          <w:lang w:eastAsia="zh-CN"/>
        </w:rPr>
      </w:pPr>
    </w:p>
    <w:p w:rsidR="00B047CD" w:rsidRDefault="00B047CD" w:rsidP="00E413F2">
      <w:pPr>
        <w:pStyle w:val="enumlev10"/>
        <w:rPr>
          <w:lang w:eastAsia="zh-CN"/>
        </w:rPr>
      </w:pPr>
    </w:p>
    <w:p w:rsidR="00B047CD" w:rsidRDefault="00B047CD" w:rsidP="00E413F2">
      <w:pPr>
        <w:pStyle w:val="enumlev10"/>
        <w:rPr>
          <w:lang w:eastAsia="zh-CN"/>
        </w:rPr>
      </w:pPr>
    </w:p>
    <w:p w:rsidR="00B047CD" w:rsidRDefault="00B047CD" w:rsidP="00E413F2">
      <w:pPr>
        <w:pStyle w:val="enumlev10"/>
        <w:rPr>
          <w:lang w:eastAsia="zh-CN"/>
        </w:rPr>
      </w:pPr>
    </w:p>
    <w:p w:rsidR="00B047CD" w:rsidRDefault="00B047CD" w:rsidP="00E413F2">
      <w:pPr>
        <w:pStyle w:val="enumlev10"/>
        <w:rPr>
          <w:lang w:eastAsia="zh-CN"/>
        </w:rPr>
      </w:pPr>
    </w:p>
    <w:p w:rsidR="00B047CD" w:rsidRDefault="00B047CD" w:rsidP="00E413F2">
      <w:pPr>
        <w:pStyle w:val="enumlev10"/>
        <w:rPr>
          <w:lang w:eastAsia="zh-CN"/>
        </w:rPr>
      </w:pPr>
    </w:p>
    <w:p w:rsidR="00B047CD" w:rsidRDefault="00B047CD" w:rsidP="00E413F2">
      <w:pPr>
        <w:pStyle w:val="enumlev10"/>
        <w:rPr>
          <w:lang w:eastAsia="zh-CN"/>
        </w:rPr>
      </w:pPr>
    </w:p>
    <w:p w:rsidR="00B047CD" w:rsidRPr="004A56AA" w:rsidRDefault="00B047CD" w:rsidP="00E413F2">
      <w:pPr>
        <w:pStyle w:val="enumlev10"/>
        <w:rPr>
          <w:lang w:val="en-US" w:eastAsia="zh-CN"/>
        </w:rPr>
      </w:pPr>
    </w:p>
    <w:sectPr w:rsidR="00B047CD" w:rsidRPr="004A56AA" w:rsidSect="005324CC">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FA" w:rsidRDefault="005D2BFA">
      <w:r>
        <w:separator/>
      </w:r>
    </w:p>
  </w:endnote>
  <w:endnote w:type="continuationSeparator" w:id="0">
    <w:p w:rsidR="005D2BFA" w:rsidRDefault="005D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5324CC">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4175A8">
      <w:rPr>
        <w:rFonts w:hint="eastAsia"/>
        <w:lang w:val="en-US" w:eastAsia="zh-CN"/>
      </w:rPr>
      <w:t>第</w:t>
    </w:r>
    <w:r w:rsidR="004175A8">
      <w:rPr>
        <w:rFonts w:hint="eastAsia"/>
        <w:lang w:val="en-US" w:eastAsia="zh-CN"/>
      </w:rPr>
      <w:t>1</w:t>
    </w:r>
    <w:r w:rsidR="004175A8">
      <w:rPr>
        <w:rFonts w:hint="eastAsia"/>
        <w:lang w:val="en-US" w:eastAsia="zh-CN"/>
      </w:rPr>
      <w:t>部分</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394646">
      <w:rPr>
        <w:lang w:val="en-US" w:eastAsia="zh-CN"/>
      </w:rPr>
      <w:cr/>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AA4B12" w:rsidRDefault="0061564D" w:rsidP="005324CC">
    <w:pPr>
      <w:pStyle w:val="Footer"/>
      <w:rPr>
        <w:lang w:val="en-US" w:eastAsia="zh-CN"/>
      </w:rPr>
    </w:pP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5324CC">
      <w:rPr>
        <w:b w:val="0"/>
        <w:lang w:val="en-US" w:eastAsia="zh-CN"/>
      </w:rPr>
      <w:t>2</w:t>
    </w:r>
    <w:r w:rsidRPr="00AA4B12">
      <w:rPr>
        <w:b w:val="0"/>
        <w:lang w:val="en-US" w:eastAsia="zh-CN"/>
      </w:rPr>
      <w:fldChar w:fldCharType="end"/>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5324CC">
      <w:rPr>
        <w:rFonts w:hint="eastAsia"/>
        <w:lang w:val="en-US" w:eastAsia="zh-CN"/>
      </w:rPr>
      <w:t>第</w:t>
    </w:r>
    <w:r w:rsidR="005324CC">
      <w:rPr>
        <w:rFonts w:hint="eastAsia"/>
        <w:lang w:val="en-US" w:eastAsia="zh-CN"/>
      </w:rPr>
      <w:t>33</w:t>
    </w:r>
    <w:r w:rsidR="005324CC">
      <w:rPr>
        <w:rFonts w:hint="eastAsia"/>
        <w:lang w:val="en-US" w:eastAsia="zh-CN"/>
      </w:rPr>
      <w:t>号决议</w:t>
    </w:r>
    <w:r>
      <w:rPr>
        <w:lang w:val="en-US"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rsidP="005324CC">
    <w:pPr>
      <w:pStyle w:val="Footer"/>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4175A8">
      <w:rPr>
        <w:lang w:eastAsia="zh-CN"/>
      </w:rPr>
      <w:t>WTSA-12</w:t>
    </w:r>
    <w:r>
      <w:rPr>
        <w:lang w:eastAsia="zh-CN"/>
      </w:rPr>
      <w:fldChar w:fldCharType="end"/>
    </w:r>
    <w:r>
      <w:rPr>
        <w:lang w:eastAsia="zh-CN"/>
      </w:rPr>
      <w:t xml:space="preserve"> </w:t>
    </w:r>
    <w:r>
      <w:rPr>
        <w:lang w:val="en-US" w:eastAsia="zh-CN"/>
      </w:rPr>
      <w:t xml:space="preserve">– </w:t>
    </w:r>
    <w:r>
      <w:rPr>
        <w:lang w:val="en-US" w:eastAsia="zh-CN"/>
      </w:rPr>
      <w:fldChar w:fldCharType="begin"/>
    </w:r>
    <w:r>
      <w:rPr>
        <w:lang w:val="en-US" w:eastAsia="zh-CN"/>
      </w:rPr>
      <w:instrText xml:space="preserve"> STYLEREF  href  \* MERGEFORMAT </w:instrText>
    </w:r>
    <w:r>
      <w:rPr>
        <w:lang w:val="en-US" w:eastAsia="zh-CN"/>
      </w:rPr>
      <w:fldChar w:fldCharType="separate"/>
    </w:r>
    <w:r w:rsidR="005324CC">
      <w:rPr>
        <w:rFonts w:hint="eastAsia"/>
        <w:lang w:val="en-US" w:eastAsia="zh-CN"/>
      </w:rPr>
      <w:t>第</w:t>
    </w:r>
    <w:r w:rsidR="005324CC">
      <w:rPr>
        <w:rFonts w:hint="eastAsia"/>
        <w:lang w:val="en-US" w:eastAsia="zh-CN"/>
      </w:rPr>
      <w:t>33</w:t>
    </w:r>
    <w:r w:rsidR="005324CC">
      <w:rPr>
        <w:rFonts w:hint="eastAsia"/>
        <w:lang w:val="en-US" w:eastAsia="zh-CN"/>
      </w:rPr>
      <w:t>号决议</w:t>
    </w:r>
    <w:r>
      <w:rPr>
        <w:lang w:val="en-US" w:eastAsia="zh-CN"/>
      </w:rPr>
      <w:fldChar w:fldCharType="end"/>
    </w:r>
    <w:r>
      <w:rPr>
        <w:rFonts w:hint="eastAsia"/>
        <w:lang w:val="en-US"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5324CC">
      <w:rPr>
        <w:b w:val="0"/>
        <w:lang w:val="en-US" w:eastAsia="zh-CN"/>
      </w:rPr>
      <w:t>1</w:t>
    </w:r>
    <w:r w:rsidRPr="00AA4B12">
      <w:rPr>
        <w:b w:val="0"/>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FA" w:rsidRDefault="005D2BFA">
      <w:r>
        <w:t>____________________</w:t>
      </w:r>
    </w:p>
  </w:footnote>
  <w:footnote w:type="continuationSeparator" w:id="0">
    <w:p w:rsidR="005D2BFA" w:rsidRDefault="005D2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7C"/>
    <w:rsid w:val="000006A3"/>
    <w:rsid w:val="00004A30"/>
    <w:rsid w:val="00004C5D"/>
    <w:rsid w:val="00020EE8"/>
    <w:rsid w:val="00022FC0"/>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1AE6"/>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4D94"/>
    <w:rsid w:val="00195159"/>
    <w:rsid w:val="0019671C"/>
    <w:rsid w:val="001A3AF5"/>
    <w:rsid w:val="001B0BE6"/>
    <w:rsid w:val="001B3751"/>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1D54"/>
    <w:rsid w:val="00253E75"/>
    <w:rsid w:val="00255630"/>
    <w:rsid w:val="00270364"/>
    <w:rsid w:val="00276EAA"/>
    <w:rsid w:val="00285D2D"/>
    <w:rsid w:val="00291F40"/>
    <w:rsid w:val="002A2467"/>
    <w:rsid w:val="002A4C9C"/>
    <w:rsid w:val="002A7FC1"/>
    <w:rsid w:val="002B509B"/>
    <w:rsid w:val="002E2A59"/>
    <w:rsid w:val="002E4E53"/>
    <w:rsid w:val="002E50E1"/>
    <w:rsid w:val="002E59C5"/>
    <w:rsid w:val="002F77D6"/>
    <w:rsid w:val="003041E7"/>
    <w:rsid w:val="00305254"/>
    <w:rsid w:val="00307900"/>
    <w:rsid w:val="00311E74"/>
    <w:rsid w:val="003169D2"/>
    <w:rsid w:val="00317303"/>
    <w:rsid w:val="003216C8"/>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4D4F"/>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6863"/>
    <w:rsid w:val="004175A8"/>
    <w:rsid w:val="00417C1D"/>
    <w:rsid w:val="00424D7B"/>
    <w:rsid w:val="00425817"/>
    <w:rsid w:val="0043286C"/>
    <w:rsid w:val="0043398C"/>
    <w:rsid w:val="00433B48"/>
    <w:rsid w:val="00437869"/>
    <w:rsid w:val="00440681"/>
    <w:rsid w:val="004477C3"/>
    <w:rsid w:val="004614A2"/>
    <w:rsid w:val="004631DA"/>
    <w:rsid w:val="00465756"/>
    <w:rsid w:val="00465A34"/>
    <w:rsid w:val="0046713E"/>
    <w:rsid w:val="00467691"/>
    <w:rsid w:val="00471AAB"/>
    <w:rsid w:val="004966A2"/>
    <w:rsid w:val="004A1BBF"/>
    <w:rsid w:val="004A3899"/>
    <w:rsid w:val="004B23EB"/>
    <w:rsid w:val="004C05E8"/>
    <w:rsid w:val="004C4554"/>
    <w:rsid w:val="004C5A53"/>
    <w:rsid w:val="004D0D1D"/>
    <w:rsid w:val="004D2DEC"/>
    <w:rsid w:val="004E2605"/>
    <w:rsid w:val="004E3B08"/>
    <w:rsid w:val="004E4468"/>
    <w:rsid w:val="004F2BE6"/>
    <w:rsid w:val="00522F5E"/>
    <w:rsid w:val="00524E4B"/>
    <w:rsid w:val="00525B39"/>
    <w:rsid w:val="005278A7"/>
    <w:rsid w:val="00527E8A"/>
    <w:rsid w:val="005324CC"/>
    <w:rsid w:val="0053489F"/>
    <w:rsid w:val="00537387"/>
    <w:rsid w:val="00541F3C"/>
    <w:rsid w:val="00542E85"/>
    <w:rsid w:val="0054632E"/>
    <w:rsid w:val="00553EE8"/>
    <w:rsid w:val="00556F50"/>
    <w:rsid w:val="005622DE"/>
    <w:rsid w:val="00562479"/>
    <w:rsid w:val="0057337B"/>
    <w:rsid w:val="00576849"/>
    <w:rsid w:val="005864EC"/>
    <w:rsid w:val="005A0ACB"/>
    <w:rsid w:val="005A1496"/>
    <w:rsid w:val="005A3FF0"/>
    <w:rsid w:val="005B323B"/>
    <w:rsid w:val="005D2BFA"/>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62E12"/>
    <w:rsid w:val="00667955"/>
    <w:rsid w:val="00670110"/>
    <w:rsid w:val="00670807"/>
    <w:rsid w:val="00673C06"/>
    <w:rsid w:val="00682DBF"/>
    <w:rsid w:val="00691142"/>
    <w:rsid w:val="006912C1"/>
    <w:rsid w:val="00691FD7"/>
    <w:rsid w:val="00694A6D"/>
    <w:rsid w:val="00697021"/>
    <w:rsid w:val="006A22E9"/>
    <w:rsid w:val="006B67CE"/>
    <w:rsid w:val="006C3472"/>
    <w:rsid w:val="006C38ED"/>
    <w:rsid w:val="006C5CE9"/>
    <w:rsid w:val="006D3D54"/>
    <w:rsid w:val="006D58C3"/>
    <w:rsid w:val="006D6414"/>
    <w:rsid w:val="006E6182"/>
    <w:rsid w:val="006F3594"/>
    <w:rsid w:val="006F3C60"/>
    <w:rsid w:val="007127CE"/>
    <w:rsid w:val="00717363"/>
    <w:rsid w:val="00723A28"/>
    <w:rsid w:val="00723AD3"/>
    <w:rsid w:val="00731012"/>
    <w:rsid w:val="00734D57"/>
    <w:rsid w:val="00736415"/>
    <w:rsid w:val="00757153"/>
    <w:rsid w:val="00770D2A"/>
    <w:rsid w:val="00781FAE"/>
    <w:rsid w:val="007864F6"/>
    <w:rsid w:val="00791548"/>
    <w:rsid w:val="007921AD"/>
    <w:rsid w:val="007959D1"/>
    <w:rsid w:val="007B73F5"/>
    <w:rsid w:val="007B7C4B"/>
    <w:rsid w:val="007C09F6"/>
    <w:rsid w:val="007C6A61"/>
    <w:rsid w:val="007C7BFE"/>
    <w:rsid w:val="007D4C5A"/>
    <w:rsid w:val="007F0FC5"/>
    <w:rsid w:val="007F5C36"/>
    <w:rsid w:val="007F79C9"/>
    <w:rsid w:val="0080401E"/>
    <w:rsid w:val="008047DB"/>
    <w:rsid w:val="008129A9"/>
    <w:rsid w:val="008221A4"/>
    <w:rsid w:val="00823F60"/>
    <w:rsid w:val="00824945"/>
    <w:rsid w:val="00824BD6"/>
    <w:rsid w:val="00835CE7"/>
    <w:rsid w:val="0083672D"/>
    <w:rsid w:val="00840E69"/>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127D"/>
    <w:rsid w:val="008B6852"/>
    <w:rsid w:val="008C26FF"/>
    <w:rsid w:val="008D1D14"/>
    <w:rsid w:val="008E1785"/>
    <w:rsid w:val="008E37A6"/>
    <w:rsid w:val="008E5443"/>
    <w:rsid w:val="008E7127"/>
    <w:rsid w:val="008E7C8E"/>
    <w:rsid w:val="008F0C18"/>
    <w:rsid w:val="008F3DEA"/>
    <w:rsid w:val="00903C93"/>
    <w:rsid w:val="00904488"/>
    <w:rsid w:val="00912959"/>
    <w:rsid w:val="0091452E"/>
    <w:rsid w:val="00916548"/>
    <w:rsid w:val="00923A14"/>
    <w:rsid w:val="00932E70"/>
    <w:rsid w:val="00936AEC"/>
    <w:rsid w:val="009373F1"/>
    <w:rsid w:val="009526FB"/>
    <w:rsid w:val="009657F9"/>
    <w:rsid w:val="009706A6"/>
    <w:rsid w:val="009771C5"/>
    <w:rsid w:val="00980E7E"/>
    <w:rsid w:val="0099525B"/>
    <w:rsid w:val="009A6653"/>
    <w:rsid w:val="009C0D16"/>
    <w:rsid w:val="009C72B7"/>
    <w:rsid w:val="009F7627"/>
    <w:rsid w:val="00A0052C"/>
    <w:rsid w:val="00A029BA"/>
    <w:rsid w:val="00A31B14"/>
    <w:rsid w:val="00A323DC"/>
    <w:rsid w:val="00A33F74"/>
    <w:rsid w:val="00A34E21"/>
    <w:rsid w:val="00A36DCC"/>
    <w:rsid w:val="00A403A2"/>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D537E"/>
    <w:rsid w:val="00BE52C8"/>
    <w:rsid w:val="00BF099B"/>
    <w:rsid w:val="00BF4577"/>
    <w:rsid w:val="00BF77D2"/>
    <w:rsid w:val="00BF7F42"/>
    <w:rsid w:val="00C0028A"/>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327"/>
    <w:rsid w:val="00C86613"/>
    <w:rsid w:val="00C87E7F"/>
    <w:rsid w:val="00C91CB5"/>
    <w:rsid w:val="00C929E0"/>
    <w:rsid w:val="00C95171"/>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70F7"/>
    <w:rsid w:val="00D00DA9"/>
    <w:rsid w:val="00D1121F"/>
    <w:rsid w:val="00D13972"/>
    <w:rsid w:val="00D215AA"/>
    <w:rsid w:val="00D248E4"/>
    <w:rsid w:val="00D2513C"/>
    <w:rsid w:val="00D36004"/>
    <w:rsid w:val="00D52A14"/>
    <w:rsid w:val="00D52DD4"/>
    <w:rsid w:val="00D54C6E"/>
    <w:rsid w:val="00D70BDC"/>
    <w:rsid w:val="00D74599"/>
    <w:rsid w:val="00D7587C"/>
    <w:rsid w:val="00D8122E"/>
    <w:rsid w:val="00D83D92"/>
    <w:rsid w:val="00D9101D"/>
    <w:rsid w:val="00D97B7A"/>
    <w:rsid w:val="00DA0469"/>
    <w:rsid w:val="00DA0F7D"/>
    <w:rsid w:val="00DA1447"/>
    <w:rsid w:val="00DA66C0"/>
    <w:rsid w:val="00DA734B"/>
    <w:rsid w:val="00DA7C37"/>
    <w:rsid w:val="00DB5D58"/>
    <w:rsid w:val="00DC64DE"/>
    <w:rsid w:val="00DC71D5"/>
    <w:rsid w:val="00DD13B7"/>
    <w:rsid w:val="00DD529C"/>
    <w:rsid w:val="00DE382D"/>
    <w:rsid w:val="00DE51DD"/>
    <w:rsid w:val="00DF0E75"/>
    <w:rsid w:val="00DF3B0C"/>
    <w:rsid w:val="00E05AB1"/>
    <w:rsid w:val="00E05F8D"/>
    <w:rsid w:val="00E06B49"/>
    <w:rsid w:val="00E14984"/>
    <w:rsid w:val="00E2217D"/>
    <w:rsid w:val="00E22A25"/>
    <w:rsid w:val="00E33111"/>
    <w:rsid w:val="00E413F2"/>
    <w:rsid w:val="00E464C6"/>
    <w:rsid w:val="00E520B9"/>
    <w:rsid w:val="00E54805"/>
    <w:rsid w:val="00E560F1"/>
    <w:rsid w:val="00E63002"/>
    <w:rsid w:val="00E63E9B"/>
    <w:rsid w:val="00E66739"/>
    <w:rsid w:val="00E7027E"/>
    <w:rsid w:val="00E75337"/>
    <w:rsid w:val="00E81D85"/>
    <w:rsid w:val="00E833BE"/>
    <w:rsid w:val="00E8497A"/>
    <w:rsid w:val="00E8567D"/>
    <w:rsid w:val="00E8793F"/>
    <w:rsid w:val="00E87B69"/>
    <w:rsid w:val="00E92319"/>
    <w:rsid w:val="00EA316A"/>
    <w:rsid w:val="00EA5DE4"/>
    <w:rsid w:val="00ED4364"/>
    <w:rsid w:val="00ED58AB"/>
    <w:rsid w:val="00EE067B"/>
    <w:rsid w:val="00EE0CA1"/>
    <w:rsid w:val="00EE6008"/>
    <w:rsid w:val="00F0326D"/>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D4E4C"/>
    <w:rsid w:val="00FE1289"/>
    <w:rsid w:val="00FE5228"/>
    <w:rsid w:val="00FE69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1659E3"/>
    <w:pPr>
      <w:keepNext/>
      <w:keepLines/>
      <w:spacing w:before="480"/>
      <w:ind w:left="1134" w:hanging="1134"/>
      <w:outlineLvl w:val="0"/>
    </w:pPr>
    <w:rPr>
      <w:b/>
      <w:sz w:val="28"/>
    </w:rPr>
  </w:style>
  <w:style w:type="paragraph" w:styleId="Heading2">
    <w:name w:val="heading 2"/>
    <w:basedOn w:val="Heading1"/>
    <w:next w:val="Normal"/>
    <w:link w:val="Heading2Char"/>
    <w:uiPriority w:val="99"/>
    <w:qFormat/>
    <w:rsid w:val="00734D57"/>
    <w:pPr>
      <w:spacing w:before="360"/>
      <w:outlineLvl w:val="1"/>
    </w:pPr>
    <w:rPr>
      <w:sz w:val="26"/>
    </w:rPr>
  </w:style>
  <w:style w:type="paragraph" w:styleId="Heading3">
    <w:name w:val="heading 3"/>
    <w:basedOn w:val="Heading1"/>
    <w:next w:val="Normal"/>
    <w:link w:val="Heading3Char"/>
    <w:uiPriority w:val="99"/>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uiPriority w:val="99"/>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uiPriority w:val="99"/>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uiPriority w:val="99"/>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uiPriority w:val="99"/>
    <w:rsid w:val="00B026CB"/>
    <w:pPr>
      <w:tabs>
        <w:tab w:val="clear" w:pos="1134"/>
        <w:tab w:val="clear" w:pos="1871"/>
        <w:tab w:val="clear" w:pos="2268"/>
        <w:tab w:val="right" w:pos="9781"/>
      </w:tabs>
    </w:pPr>
    <w:rPr>
      <w:b/>
    </w:rPr>
  </w:style>
  <w:style w:type="paragraph" w:styleId="TOC1">
    <w:name w:val="toc 1"/>
    <w:basedOn w:val="Normal"/>
    <w:uiPriority w:val="39"/>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uiPriority w:val="39"/>
    <w:rsid w:val="00B026CB"/>
  </w:style>
  <w:style w:type="paragraph" w:styleId="TOC3">
    <w:name w:val="toc 3"/>
    <w:basedOn w:val="TOC2"/>
    <w:uiPriority w:val="39"/>
    <w:rsid w:val="00B026CB"/>
  </w:style>
  <w:style w:type="paragraph" w:styleId="TOC4">
    <w:name w:val="toc 4"/>
    <w:basedOn w:val="TOC3"/>
    <w:uiPriority w:val="39"/>
    <w:rsid w:val="00B026CB"/>
  </w:style>
  <w:style w:type="paragraph" w:styleId="TOC5">
    <w:name w:val="toc 5"/>
    <w:basedOn w:val="TOC4"/>
    <w:uiPriority w:val="39"/>
    <w:rsid w:val="00B026CB"/>
  </w:style>
  <w:style w:type="paragraph" w:styleId="TOC6">
    <w:name w:val="toc 6"/>
    <w:basedOn w:val="TOC4"/>
    <w:uiPriority w:val="39"/>
    <w:rsid w:val="00B026CB"/>
  </w:style>
  <w:style w:type="paragraph" w:styleId="TOC7">
    <w:name w:val="toc 7"/>
    <w:basedOn w:val="TOC4"/>
    <w:uiPriority w:val="39"/>
    <w:rsid w:val="00B026CB"/>
  </w:style>
  <w:style w:type="paragraph" w:styleId="TOC8">
    <w:name w:val="toc 8"/>
    <w:basedOn w:val="TOC4"/>
    <w:uiPriority w:val="39"/>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uiPriority w:val="99"/>
    <w:rsid w:val="004A3899"/>
    <w:pPr>
      <w:keepNext/>
      <w:spacing w:before="360"/>
    </w:pPr>
    <w:rPr>
      <w:rFonts w:ascii="Times" w:hAnsi="Times"/>
      <w:b/>
    </w:rPr>
  </w:style>
  <w:style w:type="paragraph" w:customStyle="1" w:styleId="Figure">
    <w:name w:val="Figure"/>
    <w:basedOn w:val="Normal"/>
    <w:next w:val="Figuretitle"/>
    <w:uiPriority w:val="99"/>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uiPriority w:val="99"/>
    <w:semiHidden/>
    <w:rsid w:val="00B026CB"/>
    <w:rPr>
      <w:rFonts w:ascii="Tahoma" w:hAnsi="Tahoma" w:cs="Tahoma"/>
      <w:sz w:val="16"/>
      <w:szCs w:val="16"/>
    </w:rPr>
  </w:style>
  <w:style w:type="character" w:customStyle="1" w:styleId="BalloonTextChar">
    <w:name w:val="Balloon Text Char"/>
    <w:basedOn w:val="DefaultParagraphFont"/>
    <w:link w:val="BalloonText"/>
    <w:uiPriority w:val="99"/>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uiPriority w:val="99"/>
    <w:rsid w:val="00BE2E70"/>
    <w:rPr>
      <w:color w:val="0000FF"/>
      <w:u w:val="single"/>
    </w:rPr>
  </w:style>
  <w:style w:type="paragraph" w:customStyle="1" w:styleId="Normalaftertitle0">
    <w:name w:val="Normal_after_title"/>
    <w:basedOn w:val="Normal"/>
    <w:next w:val="Normal"/>
    <w:uiPriority w:val="99"/>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uiPriority w:val="99"/>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uiPriority w:val="99"/>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BF09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WTSA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3.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9EB482-6345-4F65-91B6-55FC302D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PC_WTSA12.dotx</Template>
  <TotalTime>2</TotalTime>
  <Pages>6</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5</cp:revision>
  <cp:lastPrinted>2013-03-27T17:13:00Z</cp:lastPrinted>
  <dcterms:created xsi:type="dcterms:W3CDTF">2013-04-18T08:14:00Z</dcterms:created>
  <dcterms:modified xsi:type="dcterms:W3CDTF">2013-04-18T14:26:00Z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WTSA-12</vt:lpwstr>
  </property>
</Properties>
</file>