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48" w:type="dxa"/>
        <w:tblLayout w:type="fixed"/>
        <w:tblLook w:val="0000"/>
      </w:tblPr>
      <w:tblGrid>
        <w:gridCol w:w="1418"/>
        <w:gridCol w:w="10"/>
        <w:gridCol w:w="2508"/>
        <w:gridCol w:w="2041"/>
        <w:gridCol w:w="3971"/>
      </w:tblGrid>
      <w:tr w:rsidR="00FB6D55" w:rsidRPr="003518D5">
        <w:trPr>
          <w:trHeight w:hRule="exact" w:val="1418"/>
        </w:trPr>
        <w:tc>
          <w:tcPr>
            <w:tcW w:w="1428" w:type="dxa"/>
            <w:gridSpan w:val="2"/>
          </w:tcPr>
          <w:p w:rsidR="00FB6D55" w:rsidRPr="003518D5" w:rsidRDefault="0028710F">
            <w:r>
              <w:rPr>
                <w:noProof/>
                <w:lang w:val="en-US"/>
              </w:rPr>
              <w:drawing>
                <wp:anchor distT="0" distB="0" distL="114300" distR="114300" simplePos="0" relativeHeight="251657728" behindDoc="0" locked="0" layoutInCell="0" allowOverlap="1">
                  <wp:simplePos x="0" y="0"/>
                  <wp:positionH relativeFrom="column">
                    <wp:posOffset>-1009650</wp:posOffset>
                  </wp:positionH>
                  <wp:positionV relativeFrom="paragraph">
                    <wp:posOffset>-681355</wp:posOffset>
                  </wp:positionV>
                  <wp:extent cx="1612900" cy="10828655"/>
                  <wp:effectExtent l="19050" t="0" r="635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0" cy="10828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B6D55" w:rsidRPr="003518D5" w:rsidRDefault="00FB6D55">
            <w:pPr>
              <w:spacing w:before="0"/>
              <w:rPr>
                <w:b/>
                <w:sz w:val="16"/>
              </w:rPr>
            </w:pPr>
          </w:p>
        </w:tc>
        <w:tc>
          <w:tcPr>
            <w:tcW w:w="8520" w:type="dxa"/>
            <w:gridSpan w:val="3"/>
          </w:tcPr>
          <w:p w:rsidR="00FB6D55" w:rsidRPr="003518D5" w:rsidRDefault="00FB6D55">
            <w:pPr>
              <w:spacing w:before="0"/>
            </w:pPr>
          </w:p>
          <w:p w:rsidR="00FB6D55" w:rsidRPr="003518D5" w:rsidRDefault="00FB6D55">
            <w:pPr>
              <w:spacing w:before="284"/>
              <w:rPr>
                <w:rFonts w:ascii="Arial" w:hAnsi="Arial" w:cs="Arial"/>
                <w:b/>
                <w:bCs/>
                <w:spacing w:val="80"/>
                <w:sz w:val="18"/>
              </w:rPr>
            </w:pPr>
            <w:r w:rsidRPr="003518D5">
              <w:rPr>
                <w:rFonts w:ascii="Arial" w:hAnsi="Arial" w:cs="Arial"/>
                <w:b/>
                <w:bCs/>
                <w:color w:val="808080"/>
                <w:spacing w:val="80"/>
              </w:rPr>
              <w:t>Unión Internacional de Telecomunicaciones</w:t>
            </w:r>
          </w:p>
        </w:tc>
      </w:tr>
      <w:tr w:rsidR="00FB6D55" w:rsidRPr="003518D5">
        <w:trPr>
          <w:trHeight w:hRule="exact" w:val="992"/>
        </w:trPr>
        <w:tc>
          <w:tcPr>
            <w:tcW w:w="1428" w:type="dxa"/>
            <w:gridSpan w:val="2"/>
          </w:tcPr>
          <w:p w:rsidR="00FB6D55" w:rsidRPr="003518D5" w:rsidRDefault="00FB6D55">
            <w:pPr>
              <w:spacing w:before="0"/>
            </w:pPr>
          </w:p>
        </w:tc>
        <w:tc>
          <w:tcPr>
            <w:tcW w:w="8520" w:type="dxa"/>
            <w:gridSpan w:val="3"/>
          </w:tcPr>
          <w:p w:rsidR="00FB6D55" w:rsidRPr="003518D5" w:rsidRDefault="00FB6D55"/>
        </w:tc>
      </w:tr>
      <w:tr w:rsidR="00FB6D55" w:rsidRPr="003518D5">
        <w:tblPrEx>
          <w:tblCellMar>
            <w:left w:w="85" w:type="dxa"/>
            <w:right w:w="85" w:type="dxa"/>
          </w:tblCellMar>
        </w:tblPrEx>
        <w:trPr>
          <w:gridBefore w:val="2"/>
          <w:wBefore w:w="1428" w:type="dxa"/>
        </w:trPr>
        <w:tc>
          <w:tcPr>
            <w:tcW w:w="2508" w:type="dxa"/>
          </w:tcPr>
          <w:p w:rsidR="00FB6D55" w:rsidRPr="003518D5" w:rsidRDefault="00FB6D55">
            <w:pPr>
              <w:rPr>
                <w:b/>
                <w:sz w:val="18"/>
              </w:rPr>
            </w:pPr>
            <w:bookmarkStart w:id="0" w:name="dnums" w:colFirst="1" w:colLast="1"/>
            <w:r w:rsidRPr="003518D5">
              <w:rPr>
                <w:rFonts w:ascii="Arial" w:hAnsi="Arial"/>
                <w:b/>
                <w:spacing w:val="40"/>
                <w:sz w:val="72"/>
              </w:rPr>
              <w:t>UIT-T</w:t>
            </w:r>
          </w:p>
        </w:tc>
        <w:tc>
          <w:tcPr>
            <w:tcW w:w="6012" w:type="dxa"/>
            <w:gridSpan w:val="2"/>
          </w:tcPr>
          <w:p w:rsidR="00FB6D55" w:rsidRPr="003518D5" w:rsidRDefault="00FB6D55">
            <w:pPr>
              <w:spacing w:before="240"/>
              <w:jc w:val="right"/>
              <w:rPr>
                <w:rFonts w:ascii="Arial" w:hAnsi="Arial" w:cs="Arial"/>
                <w:b/>
                <w:sz w:val="60"/>
              </w:rPr>
            </w:pPr>
          </w:p>
        </w:tc>
      </w:tr>
      <w:tr w:rsidR="00FB6D55" w:rsidRPr="003518D5">
        <w:tblPrEx>
          <w:tblCellMar>
            <w:left w:w="85" w:type="dxa"/>
            <w:right w:w="85" w:type="dxa"/>
          </w:tblCellMar>
        </w:tblPrEx>
        <w:trPr>
          <w:gridBefore w:val="2"/>
          <w:wBefore w:w="1428" w:type="dxa"/>
          <w:trHeight w:val="974"/>
        </w:trPr>
        <w:tc>
          <w:tcPr>
            <w:tcW w:w="4549" w:type="dxa"/>
            <w:gridSpan w:val="2"/>
          </w:tcPr>
          <w:p w:rsidR="00FB6D55" w:rsidRPr="003518D5" w:rsidRDefault="00FB6D55">
            <w:pPr>
              <w:jc w:val="left"/>
              <w:rPr>
                <w:b/>
                <w:sz w:val="18"/>
              </w:rPr>
            </w:pPr>
            <w:bookmarkStart w:id="1" w:name="ddates" w:colFirst="1" w:colLast="1"/>
            <w:bookmarkEnd w:id="0"/>
            <w:r w:rsidRPr="003518D5">
              <w:rPr>
                <w:rFonts w:ascii="Arial" w:hAnsi="Arial"/>
                <w:sz w:val="20"/>
              </w:rPr>
              <w:t>SECTOR  DE  NORMALIZACIÓN</w:t>
            </w:r>
            <w:r w:rsidRPr="003518D5">
              <w:rPr>
                <w:rFonts w:ascii="Arial" w:hAnsi="Arial" w:cs="Arial"/>
                <w:sz w:val="20"/>
              </w:rPr>
              <w:br/>
            </w:r>
            <w:r w:rsidRPr="003518D5">
              <w:rPr>
                <w:rFonts w:ascii="Arial" w:hAnsi="Arial"/>
                <w:sz w:val="20"/>
              </w:rPr>
              <w:t>DE  LAS  TELECOMUNICACIONES</w:t>
            </w:r>
            <w:r w:rsidRPr="003518D5">
              <w:rPr>
                <w:rFonts w:ascii="Arial" w:hAnsi="Arial"/>
                <w:sz w:val="20"/>
              </w:rPr>
              <w:br/>
              <w:t>DE  LA  UIT</w:t>
            </w:r>
          </w:p>
        </w:tc>
        <w:tc>
          <w:tcPr>
            <w:tcW w:w="3971" w:type="dxa"/>
          </w:tcPr>
          <w:p w:rsidR="00FB6D55" w:rsidRPr="003518D5" w:rsidRDefault="00FB6D55" w:rsidP="00FB6D55">
            <w:pPr>
              <w:spacing w:before="0"/>
              <w:jc w:val="right"/>
              <w:rPr>
                <w:rFonts w:ascii="Arial" w:hAnsi="Arial" w:cs="Arial"/>
                <w:sz w:val="28"/>
              </w:rPr>
            </w:pPr>
            <w:r w:rsidRPr="003518D5">
              <w:rPr>
                <w:rFonts w:ascii="Arial" w:hAnsi="Arial" w:cs="Arial"/>
                <w:sz w:val="28"/>
              </w:rPr>
              <w:t xml:space="preserve">   </w:t>
            </w:r>
          </w:p>
        </w:tc>
      </w:tr>
      <w:tr w:rsidR="00FB6D55" w:rsidRPr="003518D5">
        <w:trPr>
          <w:cantSplit/>
          <w:trHeight w:hRule="exact" w:val="3402"/>
        </w:trPr>
        <w:tc>
          <w:tcPr>
            <w:tcW w:w="1418" w:type="dxa"/>
          </w:tcPr>
          <w:p w:rsidR="00FB6D55" w:rsidRPr="003518D5" w:rsidRDefault="00FB6D55">
            <w:pPr>
              <w:tabs>
                <w:tab w:val="right" w:pos="9639"/>
              </w:tabs>
              <w:rPr>
                <w:rFonts w:ascii="Arial" w:hAnsi="Arial"/>
                <w:sz w:val="18"/>
              </w:rPr>
            </w:pPr>
            <w:bookmarkStart w:id="2" w:name="dsecs" w:colFirst="1" w:colLast="1"/>
            <w:bookmarkEnd w:id="1"/>
          </w:p>
        </w:tc>
        <w:tc>
          <w:tcPr>
            <w:tcW w:w="8530" w:type="dxa"/>
            <w:gridSpan w:val="4"/>
            <w:tcBorders>
              <w:bottom w:val="single" w:sz="12" w:space="0" w:color="auto"/>
            </w:tcBorders>
            <w:vAlign w:val="bottom"/>
          </w:tcPr>
          <w:p w:rsidR="00FB6D55" w:rsidRPr="003518D5" w:rsidRDefault="004F1EA7" w:rsidP="004F1EA7">
            <w:pPr>
              <w:tabs>
                <w:tab w:val="right" w:pos="9639"/>
              </w:tabs>
              <w:jc w:val="left"/>
              <w:rPr>
                <w:rFonts w:ascii="Arial" w:hAnsi="Arial" w:cs="Arial"/>
                <w:sz w:val="32"/>
              </w:rPr>
            </w:pPr>
            <w:r w:rsidRPr="004F1EA7">
              <w:rPr>
                <w:rFonts w:ascii="Arial" w:hAnsi="Arial" w:cs="Arial"/>
                <w:sz w:val="32"/>
              </w:rPr>
              <w:t>ASAMBLEA MUNDIAL DE NORMALIZACIÓN DE LAS TELECOMUNICACIONES</w:t>
            </w:r>
          </w:p>
          <w:p w:rsidR="00FB6D55" w:rsidRPr="003518D5" w:rsidRDefault="006C62D4" w:rsidP="006C62D4">
            <w:pPr>
              <w:tabs>
                <w:tab w:val="right" w:pos="9639"/>
              </w:tabs>
              <w:jc w:val="left"/>
              <w:rPr>
                <w:rFonts w:ascii="Arial" w:hAnsi="Arial" w:cs="Arial"/>
                <w:sz w:val="32"/>
              </w:rPr>
            </w:pPr>
            <w:r w:rsidRPr="006C62D4">
              <w:rPr>
                <w:rFonts w:ascii="Arial" w:hAnsi="Arial" w:cs="Arial"/>
                <w:sz w:val="32"/>
                <w:lang w:val="es-ES"/>
              </w:rPr>
              <w:t>Dubai</w:t>
            </w:r>
            <w:r w:rsidR="004F1EA7" w:rsidRPr="006C62D4">
              <w:rPr>
                <w:rFonts w:ascii="Arial" w:hAnsi="Arial" w:cs="Arial"/>
                <w:sz w:val="32"/>
                <w:lang w:val="es-ES"/>
              </w:rPr>
              <w:t>, 2</w:t>
            </w:r>
            <w:r>
              <w:rPr>
                <w:rFonts w:ascii="Arial" w:hAnsi="Arial" w:cs="Arial"/>
                <w:sz w:val="32"/>
                <w:lang w:val="es-ES"/>
              </w:rPr>
              <w:t>0</w:t>
            </w:r>
            <w:r w:rsidRPr="006C62D4">
              <w:rPr>
                <w:rFonts w:ascii="Arial" w:hAnsi="Arial" w:cs="Arial"/>
                <w:sz w:val="32"/>
                <w:lang w:val="es-ES"/>
              </w:rPr>
              <w:t>-29</w:t>
            </w:r>
            <w:r w:rsidR="004F1EA7" w:rsidRPr="006C62D4">
              <w:rPr>
                <w:rFonts w:ascii="Arial" w:hAnsi="Arial" w:cs="Arial"/>
                <w:sz w:val="32"/>
                <w:lang w:val="es-ES"/>
              </w:rPr>
              <w:t xml:space="preserve"> de </w:t>
            </w:r>
            <w:r>
              <w:rPr>
                <w:rFonts w:ascii="Arial" w:hAnsi="Arial" w:cs="Arial"/>
                <w:sz w:val="32"/>
                <w:lang w:val="es-ES"/>
              </w:rPr>
              <w:t>noviembre de 2012</w:t>
            </w:r>
          </w:p>
          <w:p w:rsidR="00FB6D55" w:rsidRPr="003518D5" w:rsidRDefault="00FB6D55" w:rsidP="00FB6D55">
            <w:pPr>
              <w:tabs>
                <w:tab w:val="right" w:pos="9639"/>
              </w:tabs>
              <w:jc w:val="left"/>
              <w:rPr>
                <w:rFonts w:ascii="Arial" w:hAnsi="Arial" w:cs="Arial"/>
                <w:sz w:val="32"/>
              </w:rPr>
            </w:pPr>
          </w:p>
        </w:tc>
      </w:tr>
      <w:tr w:rsidR="00FB6D55" w:rsidRPr="003518D5">
        <w:trPr>
          <w:cantSplit/>
          <w:trHeight w:hRule="exact" w:val="4536"/>
        </w:trPr>
        <w:tc>
          <w:tcPr>
            <w:tcW w:w="1418" w:type="dxa"/>
          </w:tcPr>
          <w:p w:rsidR="00FB6D55" w:rsidRPr="003518D5" w:rsidRDefault="00FB6D55">
            <w:pPr>
              <w:tabs>
                <w:tab w:val="right" w:pos="9639"/>
              </w:tabs>
              <w:rPr>
                <w:rFonts w:ascii="Arial" w:hAnsi="Arial"/>
                <w:sz w:val="18"/>
              </w:rPr>
            </w:pPr>
            <w:bookmarkStart w:id="3" w:name="c1tits" w:colFirst="1" w:colLast="1"/>
            <w:bookmarkEnd w:id="2"/>
          </w:p>
        </w:tc>
        <w:tc>
          <w:tcPr>
            <w:tcW w:w="8530" w:type="dxa"/>
            <w:gridSpan w:val="4"/>
          </w:tcPr>
          <w:p w:rsidR="00FB6D55" w:rsidRPr="00427DF1" w:rsidRDefault="00B50778" w:rsidP="00B50778">
            <w:pPr>
              <w:tabs>
                <w:tab w:val="right" w:pos="9639"/>
              </w:tabs>
              <w:jc w:val="left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Resolución 32</w:t>
            </w:r>
            <w:r w:rsidR="004F1EA7" w:rsidRPr="00427DF1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– </w:t>
            </w:r>
            <w:r w:rsidRPr="00B50778">
              <w:rPr>
                <w:rFonts w:ascii="Arial" w:hAnsi="Arial" w:cs="Arial"/>
                <w:b/>
                <w:sz w:val="36"/>
                <w:szCs w:val="36"/>
              </w:rPr>
              <w:t>Fortalecimiento de los métodos de trabajo electrónico del Sector de Normalización de las Telecomunicaciones</w:t>
            </w:r>
            <w:r>
              <w:rPr>
                <w:rFonts w:ascii="Arial" w:hAnsi="Arial" w:cs="Arial"/>
                <w:b/>
                <w:sz w:val="36"/>
                <w:szCs w:val="36"/>
              </w:rPr>
              <w:br/>
            </w:r>
            <w:r w:rsidRPr="00B50778">
              <w:rPr>
                <w:rFonts w:ascii="Arial" w:hAnsi="Arial" w:cs="Arial"/>
                <w:b/>
                <w:sz w:val="36"/>
                <w:szCs w:val="36"/>
              </w:rPr>
              <w:t xml:space="preserve"> de la UIT</w:t>
            </w:r>
          </w:p>
        </w:tc>
      </w:tr>
      <w:bookmarkEnd w:id="3"/>
      <w:tr w:rsidR="00FB6D55" w:rsidRPr="003518D5">
        <w:trPr>
          <w:cantSplit/>
          <w:trHeight w:hRule="exact" w:val="1418"/>
        </w:trPr>
        <w:tc>
          <w:tcPr>
            <w:tcW w:w="1418" w:type="dxa"/>
          </w:tcPr>
          <w:p w:rsidR="00FB6D55" w:rsidRPr="003518D5" w:rsidRDefault="00FB6D55">
            <w:pPr>
              <w:tabs>
                <w:tab w:val="right" w:pos="9639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8530" w:type="dxa"/>
            <w:gridSpan w:val="4"/>
            <w:vAlign w:val="bottom"/>
          </w:tcPr>
          <w:p w:rsidR="00FB6D55" w:rsidRPr="003518D5" w:rsidRDefault="00FB6D55" w:rsidP="004F1EA7">
            <w:pPr>
              <w:tabs>
                <w:tab w:val="right" w:pos="9639"/>
              </w:tabs>
              <w:spacing w:before="60" w:after="240"/>
              <w:jc w:val="left"/>
              <w:rPr>
                <w:rFonts w:ascii="Arial" w:hAnsi="Arial" w:cs="Arial"/>
                <w:sz w:val="32"/>
              </w:rPr>
            </w:pPr>
            <w:bookmarkStart w:id="4" w:name="dnum2s"/>
            <w:bookmarkEnd w:id="4"/>
          </w:p>
        </w:tc>
      </w:tr>
    </w:tbl>
    <w:p w:rsidR="00FB6D55" w:rsidRPr="003518D5" w:rsidRDefault="0028710F">
      <w:pPr>
        <w:spacing w:before="240"/>
        <w:jc w:val="right"/>
      </w:pPr>
      <w:r>
        <w:rPr>
          <w:noProof/>
          <w:lang w:val="en-US"/>
        </w:rPr>
        <w:drawing>
          <wp:inline distT="0" distB="0" distL="0" distR="0">
            <wp:extent cx="668020" cy="747395"/>
            <wp:effectExtent l="19050" t="0" r="0" b="0"/>
            <wp:docPr id="1" name="Picture 24" descr="sigleITU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sigleITU_larg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62D4" w:rsidRPr="00AC4414" w:rsidRDefault="00FB6D55" w:rsidP="006C62D4">
      <w:pPr>
        <w:spacing w:before="480" w:line="240" w:lineRule="exact"/>
        <w:jc w:val="center"/>
        <w:rPr>
          <w:szCs w:val="22"/>
        </w:rPr>
      </w:pPr>
      <w:r w:rsidRPr="003518D5">
        <w:rPr>
          <w:sz w:val="20"/>
        </w:rPr>
        <w:br w:type="page"/>
      </w:r>
      <w:bookmarkStart w:id="5" w:name="c2tops"/>
      <w:bookmarkEnd w:id="5"/>
      <w:r w:rsidR="006C62D4" w:rsidRPr="00AC4414">
        <w:rPr>
          <w:szCs w:val="22"/>
        </w:rPr>
        <w:lastRenderedPageBreak/>
        <w:t>PREFACIO</w:t>
      </w:r>
    </w:p>
    <w:p w:rsidR="006C62D4" w:rsidRDefault="006C62D4" w:rsidP="006C62D4">
      <w:pPr>
        <w:pStyle w:val="Normalaftertitle"/>
        <w:spacing w:line="240" w:lineRule="exact"/>
        <w:rPr>
          <w:sz w:val="20"/>
        </w:rPr>
      </w:pPr>
      <w:r>
        <w:rPr>
          <w:sz w:val="20"/>
        </w:rPr>
        <w:t>La UIT (Unión Internacional de Telecomunicaciones) es el organismo especializado de las Naciones Unidas en el campo de las telecomunicaciones. El UIT-T (Sector de Normalización de las Telecomunicaciones de la UIT) es un órgano permanente de la UIT. Este órgano estudia los aspectos técnicos, de explotación y tarifarios y publica Recomendaciones sobre los mismos, con miras a la normalización de las telecomunicaciones en el plano mundial.</w:t>
      </w:r>
    </w:p>
    <w:p w:rsidR="006C62D4" w:rsidRDefault="006C62D4" w:rsidP="006C62D4">
      <w:pPr>
        <w:spacing w:line="240" w:lineRule="exact"/>
        <w:rPr>
          <w:sz w:val="20"/>
        </w:rPr>
      </w:pPr>
      <w:bookmarkStart w:id="6" w:name="iitexts"/>
      <w:r>
        <w:rPr>
          <w:sz w:val="20"/>
        </w:rPr>
        <w:t>La Asamblea Mundial de Normalización de las Telecomunicaciones (AMNT), que se celebra cada cuatro años, establece los temas que han de estudiar las Comisiones de Estudio del UIT</w:t>
      </w:r>
      <w:r>
        <w:rPr>
          <w:sz w:val="20"/>
        </w:rPr>
        <w:noBreakHyphen/>
        <w:t>T, que a su vez producen Recomendaciones sobre dichos temas.</w:t>
      </w:r>
    </w:p>
    <w:p w:rsidR="006C62D4" w:rsidRDefault="006C62D4" w:rsidP="006C62D4">
      <w:pPr>
        <w:spacing w:line="240" w:lineRule="exact"/>
        <w:rPr>
          <w:sz w:val="20"/>
        </w:rPr>
      </w:pPr>
      <w:r>
        <w:rPr>
          <w:sz w:val="20"/>
        </w:rPr>
        <w:t>La aprobación de Recomendaciones por los Miembros del UIT</w:t>
      </w:r>
      <w:r>
        <w:rPr>
          <w:sz w:val="20"/>
        </w:rPr>
        <w:noBreakHyphen/>
        <w:t>T es el objeto del procedimiento establecido en la Resolución 1 de la AMNT</w:t>
      </w:r>
      <w:bookmarkEnd w:id="6"/>
      <w:r>
        <w:rPr>
          <w:sz w:val="20"/>
        </w:rPr>
        <w:t>.</w:t>
      </w:r>
    </w:p>
    <w:p w:rsidR="006C62D4" w:rsidRPr="00143DCC" w:rsidRDefault="006C62D4" w:rsidP="006C62D4">
      <w:pPr>
        <w:spacing w:line="240" w:lineRule="exact"/>
        <w:rPr>
          <w:sz w:val="20"/>
        </w:rPr>
      </w:pPr>
      <w:r>
        <w:rPr>
          <w:sz w:val="20"/>
        </w:rPr>
        <w:t>En ciertos sectores de la tecnología de la información que corresponden a la esfera de competencia del UIT</w:t>
      </w:r>
      <w:r>
        <w:rPr>
          <w:sz w:val="20"/>
        </w:rPr>
        <w:noBreakHyphen/>
        <w:t>T, se preparan las normas necesarias en colaboración con la ISO y la CEI.</w:t>
      </w:r>
    </w:p>
    <w:p w:rsidR="006C62D4" w:rsidRPr="00143DCC" w:rsidRDefault="006C62D4" w:rsidP="006C62D4">
      <w:pPr>
        <w:spacing w:line="240" w:lineRule="exact"/>
        <w:jc w:val="center"/>
        <w:rPr>
          <w:sz w:val="20"/>
        </w:rPr>
      </w:pPr>
    </w:p>
    <w:p w:rsidR="00A5430F" w:rsidRDefault="00A5430F" w:rsidP="006C62D4">
      <w:pPr>
        <w:spacing w:before="480"/>
        <w:jc w:val="center"/>
        <w:rPr>
          <w:sz w:val="18"/>
        </w:rPr>
      </w:pPr>
    </w:p>
    <w:p w:rsidR="00A5430F" w:rsidRDefault="00A5430F" w:rsidP="00FB6D55">
      <w:pPr>
        <w:spacing w:before="80" w:after="80"/>
        <w:jc w:val="left"/>
        <w:rPr>
          <w:sz w:val="18"/>
        </w:rPr>
      </w:pPr>
    </w:p>
    <w:p w:rsidR="00A5430F" w:rsidRDefault="00A5430F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A5430F" w:rsidRDefault="00A5430F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Pr="003518D5" w:rsidRDefault="00C2286E" w:rsidP="00C2286E">
      <w:pPr>
        <w:jc w:val="center"/>
      </w:pPr>
      <w:r w:rsidRPr="003518D5">
        <w:rPr>
          <w:rFonts w:ascii="Symbol" w:hAnsi="Symbol"/>
        </w:rPr>
        <w:t></w:t>
      </w:r>
      <w:r w:rsidRPr="003518D5">
        <w:t>  UIT  </w:t>
      </w:r>
      <w:bookmarkStart w:id="7" w:name="iiannes"/>
      <w:bookmarkEnd w:id="7"/>
      <w:r w:rsidR="006C62D4">
        <w:t>2013</w:t>
      </w:r>
    </w:p>
    <w:p w:rsidR="00C2286E" w:rsidRPr="003518D5" w:rsidRDefault="00C2286E" w:rsidP="00C2286E">
      <w:pPr>
        <w:tabs>
          <w:tab w:val="clear" w:pos="794"/>
          <w:tab w:val="clear" w:pos="1191"/>
          <w:tab w:val="clear" w:pos="1588"/>
          <w:tab w:val="clear" w:pos="1985"/>
        </w:tabs>
        <w:overflowPunct/>
        <w:textAlignment w:val="auto"/>
      </w:pPr>
      <w:r w:rsidRPr="003518D5">
        <w:t>Reservados todos los derechos. Ninguna parte de esta publicación puede reproducirse por ningún procedimiento sin previa autorización escrita por parte de la UIT.</w:t>
      </w:r>
    </w:p>
    <w:p w:rsidR="00FB6D55" w:rsidRPr="003518D5" w:rsidRDefault="00FB6D55">
      <w:pPr>
        <w:sectPr w:rsidR="00FB6D55" w:rsidRPr="003518D5" w:rsidSect="00862C3A">
          <w:pgSz w:w="11907" w:h="16840" w:code="9"/>
          <w:pgMar w:top="1077" w:right="1077" w:bottom="284" w:left="1077" w:header="284" w:footer="567" w:gutter="0"/>
          <w:paperSrc w:first="15" w:other="15"/>
          <w:pgNumType w:start="1"/>
          <w:cols w:space="720"/>
        </w:sectPr>
      </w:pPr>
    </w:p>
    <w:p w:rsidR="002A4E5E" w:rsidRDefault="002A4E5E" w:rsidP="002A4E5E">
      <w:bookmarkStart w:id="8" w:name="irecnos"/>
      <w:bookmarkEnd w:id="8"/>
    </w:p>
    <w:p w:rsidR="0028710F" w:rsidRPr="0028710F" w:rsidRDefault="0028710F" w:rsidP="0028710F">
      <w:pPr>
        <w:pStyle w:val="ResNo"/>
        <w:jc w:val="center"/>
        <w:rPr>
          <w:b w:val="0"/>
        </w:rPr>
      </w:pPr>
      <w:r w:rsidRPr="0028710F">
        <w:rPr>
          <w:b w:val="0"/>
        </w:rPr>
        <w:t xml:space="preserve">RESOLUCIÓN </w:t>
      </w:r>
      <w:r w:rsidRPr="0028710F">
        <w:rPr>
          <w:rStyle w:val="href"/>
          <w:b w:val="0"/>
        </w:rPr>
        <w:t>32</w:t>
      </w:r>
      <w:r w:rsidRPr="0028710F">
        <w:rPr>
          <w:b w:val="0"/>
        </w:rPr>
        <w:t xml:space="preserve"> (</w:t>
      </w:r>
      <w:r w:rsidRPr="0028710F">
        <w:rPr>
          <w:b w:val="0"/>
          <w:caps/>
        </w:rPr>
        <w:t>Rev</w:t>
      </w:r>
      <w:r w:rsidRPr="0028710F">
        <w:rPr>
          <w:b w:val="0"/>
        </w:rPr>
        <w:t xml:space="preserve">. </w:t>
      </w:r>
      <w:r w:rsidRPr="0028710F">
        <w:rPr>
          <w:b w:val="0"/>
          <w:caps/>
        </w:rPr>
        <w:t>Dubai</w:t>
      </w:r>
      <w:r w:rsidRPr="0028710F">
        <w:rPr>
          <w:b w:val="0"/>
        </w:rPr>
        <w:t>, 2012)</w:t>
      </w:r>
    </w:p>
    <w:p w:rsidR="0028710F" w:rsidRPr="007E76F9" w:rsidRDefault="0028710F" w:rsidP="0028710F">
      <w:pPr>
        <w:pStyle w:val="Restitle"/>
      </w:pPr>
      <w:r w:rsidRPr="007E76F9">
        <w:t>Fortalecimiento de los métodos de trabajo electrónico del Sector de Normalización de las Telecomunicaciones de la UIT</w:t>
      </w:r>
    </w:p>
    <w:p w:rsidR="0028710F" w:rsidRPr="007E76F9" w:rsidRDefault="0028710F" w:rsidP="0028710F">
      <w:pPr>
        <w:pStyle w:val="Resref"/>
        <w:rPr>
          <w:i w:val="0"/>
          <w:iCs/>
        </w:rPr>
      </w:pPr>
      <w:r w:rsidRPr="007E76F9">
        <w:rPr>
          <w:iCs/>
        </w:rPr>
        <w:t>(Montreal, 2000; Florianópolis, 2004; Johannesburgo, 2008; Dubai, 2012)</w:t>
      </w:r>
    </w:p>
    <w:p w:rsidR="0028710F" w:rsidRPr="007E76F9" w:rsidRDefault="0028710F" w:rsidP="0028710F">
      <w:pPr>
        <w:pStyle w:val="Normalaftertitle0"/>
        <w:rPr>
          <w:lang w:val="es-ES_tradnl"/>
        </w:rPr>
      </w:pPr>
      <w:r w:rsidRPr="007E76F9">
        <w:rPr>
          <w:lang w:val="es-ES_tradnl"/>
        </w:rPr>
        <w:t>La Asamblea Mundial de Normalización de las Telecomunicaciones (Dubai, 2012),</w:t>
      </w:r>
    </w:p>
    <w:p w:rsidR="0028710F" w:rsidRPr="007E76F9" w:rsidRDefault="0028710F" w:rsidP="0028710F">
      <w:pPr>
        <w:pStyle w:val="Call"/>
      </w:pPr>
      <w:r w:rsidRPr="007E76F9">
        <w:t>considerando</w:t>
      </w:r>
    </w:p>
    <w:p w:rsidR="0028710F" w:rsidRPr="007E76F9" w:rsidRDefault="0028710F" w:rsidP="0028710F">
      <w:r w:rsidRPr="007E76F9">
        <w:rPr>
          <w:i/>
          <w:iCs/>
        </w:rPr>
        <w:t>a)</w:t>
      </w:r>
      <w:r w:rsidRPr="007E76F9">
        <w:tab/>
        <w:t>la rapidez del cambio tecnológico y la consiguiente necesidad de mejorar y acelerar la elaboración de normas;</w:t>
      </w:r>
    </w:p>
    <w:p w:rsidR="0028710F" w:rsidRPr="007E76F9" w:rsidRDefault="0028710F" w:rsidP="0028710F">
      <w:r w:rsidRPr="007E76F9">
        <w:rPr>
          <w:i/>
          <w:iCs/>
        </w:rPr>
        <w:t>b)</w:t>
      </w:r>
      <w:r w:rsidRPr="007E76F9">
        <w:tab/>
        <w:t>que los métodos de trabajo electrónico (EWM,</w:t>
      </w:r>
      <w:r w:rsidRPr="007E76F9">
        <w:rPr>
          <w:i/>
          <w:iCs/>
        </w:rPr>
        <w:t xml:space="preserve"> electronic working methods</w:t>
      </w:r>
      <w:r w:rsidRPr="007E76F9">
        <w:t>) permiten una colaboración abierta, rápida y fácil entre los participantes en las actividades del Sector de Normalización de las Telecomunicaciones de la UIT (UIT</w:t>
      </w:r>
      <w:r w:rsidRPr="007E76F9">
        <w:noBreakHyphen/>
        <w:t>T);</w:t>
      </w:r>
    </w:p>
    <w:p w:rsidR="0028710F" w:rsidRPr="007E76F9" w:rsidRDefault="0028710F" w:rsidP="0028710F">
      <w:r w:rsidRPr="007E76F9">
        <w:rPr>
          <w:i/>
          <w:iCs/>
        </w:rPr>
        <w:t>c)</w:t>
      </w:r>
      <w:r w:rsidRPr="007E76F9">
        <w:tab/>
        <w:t>que la implementación de las capacidades de EWM y las disposiciones conexas aportará beneficios importantes a los miembros del UIT</w:t>
      </w:r>
      <w:r w:rsidRPr="007E76F9">
        <w:noBreakHyphen/>
        <w:t>T, incluidos las personas, las organizaciones o los estados de recursos limitados, pues les proporciona acceso oportuno y eficaz a la información sobre normas y a los procesos de elaboración y aprobación de las normas;</w:t>
      </w:r>
    </w:p>
    <w:p w:rsidR="0028710F" w:rsidRPr="007E76F9" w:rsidRDefault="0028710F" w:rsidP="0028710F">
      <w:r w:rsidRPr="007E76F9">
        <w:rPr>
          <w:i/>
          <w:iCs/>
        </w:rPr>
        <w:t>d)</w:t>
      </w:r>
      <w:r w:rsidRPr="007E76F9">
        <w:tab/>
        <w:t>que los EWM contribuirán a mejorar la comunicación entre los miembros del UIT</w:t>
      </w:r>
      <w:r w:rsidRPr="007E76F9">
        <w:noBreakHyphen/>
        <w:t>T, y entre la UIT y otras importantes organizaciones de normalización, con miras a una mejor armonización de las normas a nivel mundial;</w:t>
      </w:r>
    </w:p>
    <w:p w:rsidR="0028710F" w:rsidRPr="007E76F9" w:rsidRDefault="0028710F" w:rsidP="0028710F">
      <w:r w:rsidRPr="007E76F9">
        <w:rPr>
          <w:i/>
          <w:iCs/>
        </w:rPr>
        <w:t>e)</w:t>
      </w:r>
      <w:r w:rsidRPr="007E76F9">
        <w:tab/>
        <w:t>la función esencial de la Oficina de Normalización de las Telecomunicaciones (TSB) en la prestación de apoyo a las capacidades de EWM;</w:t>
      </w:r>
    </w:p>
    <w:p w:rsidR="0028710F" w:rsidRPr="007E76F9" w:rsidRDefault="0028710F" w:rsidP="0028710F">
      <w:r w:rsidRPr="007E76F9">
        <w:rPr>
          <w:i/>
          <w:iCs/>
        </w:rPr>
        <w:t>f)</w:t>
      </w:r>
      <w:r w:rsidRPr="007E76F9">
        <w:tab/>
        <w:t>las decisiones que se recogen en la Resolución 66 (Rev. Guadalajara, 2010) de la Conferencia de Plenipotenciarios;</w:t>
      </w:r>
    </w:p>
    <w:p w:rsidR="0028710F" w:rsidRPr="007E76F9" w:rsidRDefault="0028710F" w:rsidP="0028710F">
      <w:r w:rsidRPr="007E76F9">
        <w:rPr>
          <w:i/>
          <w:iCs/>
        </w:rPr>
        <w:t>g)</w:t>
      </w:r>
      <w:r w:rsidRPr="007E76F9">
        <w:tab/>
        <w:t>las dificultades presupuestarias de los países en desarrollo</w:t>
      </w:r>
      <w:r w:rsidRPr="007E76F9">
        <w:rPr>
          <w:rStyle w:val="FootnoteReference"/>
        </w:rPr>
        <w:footnoteReference w:customMarkFollows="1" w:id="1"/>
        <w:t>1</w:t>
      </w:r>
      <w:r w:rsidRPr="007E76F9">
        <w:t xml:space="preserve"> para participar activamente en las reuniones presenciales del UIT</w:t>
      </w:r>
      <w:r w:rsidRPr="007E76F9">
        <w:noBreakHyphen/>
        <w:t>T;</w:t>
      </w:r>
    </w:p>
    <w:p w:rsidR="0028710F" w:rsidRPr="007E76F9" w:rsidRDefault="0028710F" w:rsidP="0028710F">
      <w:r w:rsidRPr="007E76F9">
        <w:rPr>
          <w:i/>
          <w:iCs/>
        </w:rPr>
        <w:t>h)</w:t>
      </w:r>
      <w:r w:rsidRPr="007E76F9">
        <w:rPr>
          <w:i/>
          <w:iCs/>
        </w:rPr>
        <w:tab/>
      </w:r>
      <w:r w:rsidRPr="007E76F9">
        <w:t>la Resolución 167 (Guadalajara, 2010) de la Conferencia de Plenipotenciarios, en la que se resuelve que la UIT debe seguir perfeccionando sus instalaciones y capacidades para la participación a distancia por medios electrónicos en las reuniones de la Unión que se presten a ello, incluidos los Grupos de Trabajo creados por el Consejo,</w:t>
      </w:r>
    </w:p>
    <w:p w:rsidR="0028710F" w:rsidRPr="007E76F9" w:rsidRDefault="0028710F" w:rsidP="0028710F">
      <w:pPr>
        <w:pStyle w:val="Call"/>
        <w:spacing w:before="240"/>
      </w:pPr>
      <w:r w:rsidRPr="007E76F9">
        <w:t>observando</w:t>
      </w:r>
    </w:p>
    <w:p w:rsidR="0028710F" w:rsidRPr="007E76F9" w:rsidRDefault="0028710F" w:rsidP="0028710F">
      <w:pPr>
        <w:spacing w:before="0"/>
      </w:pPr>
      <w:r w:rsidRPr="007E76F9">
        <w:rPr>
          <w:i/>
          <w:iCs/>
        </w:rPr>
        <w:t>a)</w:t>
      </w:r>
      <w:r w:rsidRPr="007E76F9">
        <w:tab/>
        <w:t>el deseo de los miembros de recibir a tiempo documentos en formato electrónico y la necesidad de reducir la creciente cantidad de documentos impresos que se generan en las reuniones y se envían por correo;</w:t>
      </w:r>
    </w:p>
    <w:p w:rsidR="0028710F" w:rsidRPr="007E76F9" w:rsidRDefault="0028710F" w:rsidP="0028710F">
      <w:r w:rsidRPr="007E76F9">
        <w:rPr>
          <w:i/>
          <w:iCs/>
        </w:rPr>
        <w:t>b)</w:t>
      </w:r>
      <w:r w:rsidRPr="007E76F9">
        <w:tab/>
        <w:t>que el UIT-T ya ha implementado numerosas modalidades de EWM, por ejemplo, el envío electrónico para la presentación de documentos y el servicio de foro electrónico;</w:t>
      </w:r>
    </w:p>
    <w:p w:rsidR="0028710F" w:rsidRDefault="0028710F" w:rsidP="0028710F">
      <w:r w:rsidRPr="007E76F9">
        <w:rPr>
          <w:i/>
          <w:iCs/>
        </w:rPr>
        <w:t>c)</w:t>
      </w:r>
      <w:r w:rsidRPr="007E76F9">
        <w:tab/>
        <w:t>el deseo de los miembros del UIT</w:t>
      </w:r>
      <w:r w:rsidRPr="007E76F9">
        <w:noBreakHyphen/>
        <w:t>T de que las reuniones se hagan por medios electrónicos;</w:t>
      </w:r>
    </w:p>
    <w:p w:rsidR="0028710F" w:rsidRPr="007E76F9" w:rsidRDefault="0028710F" w:rsidP="0028710F">
      <w:r>
        <w:br w:type="page"/>
      </w:r>
      <w:r w:rsidRPr="007E76F9">
        <w:rPr>
          <w:i/>
          <w:iCs/>
        </w:rPr>
        <w:lastRenderedPageBreak/>
        <w:t>d)</w:t>
      </w:r>
      <w:r w:rsidRPr="007E76F9">
        <w:tab/>
        <w:t>que los miembros hacen uso acrecentado de ordenadores portátiles en las reuniones;</w:t>
      </w:r>
    </w:p>
    <w:p w:rsidR="0028710F" w:rsidRPr="007E76F9" w:rsidRDefault="0028710F" w:rsidP="0028710F">
      <w:r w:rsidRPr="007E76F9">
        <w:rPr>
          <w:i/>
          <w:iCs/>
        </w:rPr>
        <w:t>e)</w:t>
      </w:r>
      <w:r w:rsidRPr="007E76F9">
        <w:tab/>
        <w:t>la ventaja que representa para los miembros que se incremente la participación electrónica en la elaboración y aprobación de las Recomendaciones, en particular la de aquellos que no pueden participar en las reuniones de las Comisiones de Estudio que se celebran en Ginebra y otros lugares;</w:t>
      </w:r>
    </w:p>
    <w:p w:rsidR="0028710F" w:rsidRPr="007E76F9" w:rsidRDefault="0028710F" w:rsidP="0028710F">
      <w:pPr>
        <w:rPr>
          <w:i/>
          <w:iCs/>
        </w:rPr>
      </w:pPr>
      <w:r w:rsidRPr="007E76F9">
        <w:rPr>
          <w:i/>
          <w:iCs/>
        </w:rPr>
        <w:t>f)</w:t>
      </w:r>
      <w:r w:rsidRPr="007E76F9">
        <w:rPr>
          <w:i/>
          <w:iCs/>
        </w:rPr>
        <w:tab/>
      </w:r>
      <w:r w:rsidRPr="007E76F9">
        <w:t>los problemas de disponibilidad de banda ancha y otras restricciones, en particular en los países en desarrollo;</w:t>
      </w:r>
    </w:p>
    <w:p w:rsidR="0028710F" w:rsidRPr="007E76F9" w:rsidRDefault="0028710F" w:rsidP="0028710F">
      <w:r w:rsidRPr="007E76F9">
        <w:rPr>
          <w:i/>
          <w:iCs/>
        </w:rPr>
        <w:t>g)</w:t>
      </w:r>
      <w:r w:rsidRPr="007E76F9">
        <w:tab/>
        <w:t>los posibles ahorros que aportaría la mejora de las capacidades EWM en el UIT</w:t>
      </w:r>
      <w:r w:rsidRPr="007E76F9">
        <w:noBreakHyphen/>
        <w:t>T (por ejemplo, menores costes de distribución de documentación impresa, costes de viaje, etc.);</w:t>
      </w:r>
    </w:p>
    <w:p w:rsidR="0028710F" w:rsidRPr="007E76F9" w:rsidRDefault="0028710F" w:rsidP="0028710F">
      <w:r w:rsidRPr="007E76F9">
        <w:rPr>
          <w:i/>
          <w:iCs/>
        </w:rPr>
        <w:t>h)</w:t>
      </w:r>
      <w:r w:rsidRPr="007E76F9">
        <w:tab/>
        <w:t>el fomento de colaboración mediante EWM propuesto por otras organizaciones de normalización de las telecomunicaciones;</w:t>
      </w:r>
    </w:p>
    <w:p w:rsidR="0028710F" w:rsidRPr="007E76F9" w:rsidRDefault="0028710F" w:rsidP="0028710F">
      <w:r w:rsidRPr="007E76F9">
        <w:rPr>
          <w:i/>
          <w:iCs/>
        </w:rPr>
        <w:t>i)</w:t>
      </w:r>
      <w:r w:rsidRPr="007E76F9">
        <w:tab/>
        <w:t>que el proceso de aprobación alternativo (AAP) (Recomendación UIT-T A.8) se realiza esencialmente por vía electrónica,</w:t>
      </w:r>
    </w:p>
    <w:p w:rsidR="0028710F" w:rsidRPr="007E76F9" w:rsidRDefault="0028710F" w:rsidP="0028710F">
      <w:pPr>
        <w:pStyle w:val="Call"/>
      </w:pPr>
      <w:r w:rsidRPr="007E76F9">
        <w:t>resuelve</w:t>
      </w:r>
    </w:p>
    <w:p w:rsidR="0028710F" w:rsidRPr="007E76F9" w:rsidRDefault="0028710F" w:rsidP="0028710F">
      <w:r w:rsidRPr="007E76F9">
        <w:t>1</w:t>
      </w:r>
      <w:r w:rsidRPr="007E76F9">
        <w:tab/>
        <w:t>que los principales objetivos del UIT</w:t>
      </w:r>
      <w:r w:rsidRPr="007E76F9">
        <w:noBreakHyphen/>
        <w:t>T en materia de EWM son:</w:t>
      </w:r>
    </w:p>
    <w:p w:rsidR="0028710F" w:rsidRPr="007E76F9" w:rsidRDefault="0028710F" w:rsidP="0028710F">
      <w:pPr>
        <w:pStyle w:val="enumlev1"/>
      </w:pPr>
      <w:r w:rsidRPr="007E76F9">
        <w:t>•</w:t>
      </w:r>
      <w:r w:rsidRPr="007E76F9">
        <w:tab/>
        <w:t>que la colaboración entre los miembros para elaborar Recomendaciones se efectúe por medios electrónicos;</w:t>
      </w:r>
    </w:p>
    <w:p w:rsidR="0028710F" w:rsidRPr="007E76F9" w:rsidRDefault="0028710F" w:rsidP="0028710F">
      <w:pPr>
        <w:pStyle w:val="enumlev1"/>
      </w:pPr>
      <w:r w:rsidRPr="007E76F9">
        <w:t>•</w:t>
      </w:r>
      <w:r w:rsidRPr="007E76F9">
        <w:tab/>
        <w:t>que la TSB, en estrecha colaboración con la Oficina de Desarrollo de las Telecomunicaciones de la UIT (BDT), provea facilidades y capacidades de EWM en las reuniones, talleres y cursos de formación del UIT-T, especialmente para ayudar a los países en desarrollo que tienen limitaciones de ancho de banda y de otra índole;</w:t>
      </w:r>
    </w:p>
    <w:p w:rsidR="0028710F" w:rsidRPr="007E76F9" w:rsidRDefault="0028710F" w:rsidP="0028710F">
      <w:pPr>
        <w:pStyle w:val="enumlev1"/>
      </w:pPr>
      <w:r w:rsidRPr="007E76F9">
        <w:t>•</w:t>
      </w:r>
      <w:r w:rsidRPr="007E76F9">
        <w:tab/>
        <w:t>fomente la participación electrónica de países en desarrollo en las reuniones del UIT-T, ofreciendo instalaciones y directrices simplificadas y dispensando a los participantes de cualquier gasto, aparte de los correspondientes a la llamada local o la conexión a Internet;</w:t>
      </w:r>
    </w:p>
    <w:p w:rsidR="0028710F" w:rsidRPr="007E76F9" w:rsidRDefault="0028710F" w:rsidP="0028710F">
      <w:pPr>
        <w:pStyle w:val="enumlev1"/>
      </w:pPr>
      <w:r w:rsidRPr="007E76F9">
        <w:t>•</w:t>
      </w:r>
      <w:r w:rsidRPr="007E76F9">
        <w:tab/>
        <w:t>que la TSB, en estrecha colaboración con la BDT, proporcione las instalaciones y capacidades de EWM en las reuniones, talleres y cursos de formación del UIT-T, y fomente la participación de países en desarrollo, dispensando a los participantes de cualquier gasto, en la medida en que se ajusten a los fondos que el Consejo esté facultado a autorizar, aparte de los correspondientes a la llamada local o la conexión a Internet;</w:t>
      </w:r>
    </w:p>
    <w:p w:rsidR="0028710F" w:rsidRPr="007E76F9" w:rsidRDefault="0028710F" w:rsidP="0028710F">
      <w:pPr>
        <w:pStyle w:val="enumlev1"/>
      </w:pPr>
      <w:r w:rsidRPr="007E76F9">
        <w:t>•</w:t>
      </w:r>
      <w:r w:rsidRPr="007E76F9">
        <w:tab/>
        <w:t>que la TSB proporcione a todos los miembros del UIT</w:t>
      </w:r>
      <w:r w:rsidRPr="007E76F9">
        <w:noBreakHyphen/>
        <w:t>T el acceso rápido y eficaz a la documentación electrónica correspondiente a sus trabajos incluida una visión global unificada y consolidada de la trazabilidad de documentos; </w:t>
      </w:r>
    </w:p>
    <w:p w:rsidR="0028710F" w:rsidRPr="007E76F9" w:rsidRDefault="0028710F" w:rsidP="0028710F">
      <w:pPr>
        <w:pStyle w:val="enumlev1"/>
      </w:pPr>
      <w:r w:rsidRPr="007E76F9">
        <w:t>•</w:t>
      </w:r>
      <w:r w:rsidRPr="007E76F9">
        <w:tab/>
        <w:t>que la TSB suministre sistemas y facilidades adecuadas para que los trabajos del UIT</w:t>
      </w:r>
      <w:r w:rsidRPr="007E76F9">
        <w:noBreakHyphen/>
        <w:t>T se efectúen por medios electrónicos; y</w:t>
      </w:r>
    </w:p>
    <w:p w:rsidR="0028710F" w:rsidRPr="007E76F9" w:rsidRDefault="0028710F" w:rsidP="0028710F">
      <w:pPr>
        <w:pStyle w:val="enumlev1"/>
      </w:pPr>
      <w:r w:rsidRPr="007E76F9">
        <w:t>•</w:t>
      </w:r>
      <w:r w:rsidRPr="007E76F9">
        <w:tab/>
        <w:t>que todas las actividades, procedimientos, estudios e informes de las Comisiones de Estudio del UIT-T se publiquen en el sitio web del UIT-T de modo que resulte fácil navegar y encontrar toda la información pertinente,</w:t>
      </w:r>
    </w:p>
    <w:p w:rsidR="0028710F" w:rsidRPr="007E76F9" w:rsidRDefault="0028710F" w:rsidP="0028710F">
      <w:r w:rsidRPr="007E76F9">
        <w:t>2</w:t>
      </w:r>
      <w:r w:rsidRPr="007E76F9">
        <w:tab/>
        <w:t>que estos objetivos se traten sistemáticamente en un Plan de Acción para EWM, incluyendo las medidas que indiquen los miembros del UIT</w:t>
      </w:r>
      <w:r w:rsidRPr="007E76F9">
        <w:noBreakHyphen/>
        <w:t>T o la TSB, y que la TSB, con el asesoramiento del Grupo Asesor de Normalización de las Telecomunicaciones (GANT), se ocupe de establecer las prioridades y de la aplicación,</w:t>
      </w:r>
    </w:p>
    <w:p w:rsidR="0028710F" w:rsidRPr="007E76F9" w:rsidRDefault="0028710F" w:rsidP="0028710F">
      <w:pPr>
        <w:pStyle w:val="Call"/>
      </w:pPr>
      <w:r w:rsidRPr="007E76F9">
        <w:t>encarga</w:t>
      </w:r>
    </w:p>
    <w:p w:rsidR="0028710F" w:rsidRPr="007E76F9" w:rsidRDefault="0028710F" w:rsidP="0028710F">
      <w:r w:rsidRPr="007E76F9">
        <w:t>1</w:t>
      </w:r>
      <w:r w:rsidRPr="007E76F9">
        <w:tab/>
        <w:t>al Director de la TSB:</w:t>
      </w:r>
    </w:p>
    <w:p w:rsidR="0028710F" w:rsidRPr="007E76F9" w:rsidRDefault="0028710F" w:rsidP="0028710F">
      <w:pPr>
        <w:pStyle w:val="enumlev1"/>
      </w:pPr>
      <w:r w:rsidRPr="007E76F9">
        <w:t>•</w:t>
      </w:r>
      <w:r w:rsidRPr="007E76F9">
        <w:tab/>
        <w:t>que mantenga el Plan de Acción para EWM a fin de solucionar los aspectos prácticos y concretos del uso acrecentado de las capacidades de EWM en el UIT</w:t>
      </w:r>
      <w:r w:rsidRPr="007E76F9">
        <w:noBreakHyphen/>
        <w:t>T;</w:t>
      </w:r>
    </w:p>
    <w:p w:rsidR="0028710F" w:rsidRPr="007E76F9" w:rsidRDefault="0028710F" w:rsidP="0028710F">
      <w:pPr>
        <w:pStyle w:val="enumlev1"/>
      </w:pPr>
      <w:r w:rsidRPr="007E76F9">
        <w:t>•</w:t>
      </w:r>
      <w:r w:rsidRPr="007E76F9">
        <w:tab/>
        <w:t>que identifique y analice periódicamente los costes y beneficios de los elementos de actuación;</w:t>
      </w:r>
    </w:p>
    <w:p w:rsidR="0028710F" w:rsidRPr="007E76F9" w:rsidRDefault="0028710F" w:rsidP="0028710F">
      <w:pPr>
        <w:pStyle w:val="enumlev1"/>
      </w:pPr>
      <w:r w:rsidRPr="007E76F9">
        <w:lastRenderedPageBreak/>
        <w:t>•</w:t>
      </w:r>
      <w:r w:rsidRPr="007E76F9">
        <w:tab/>
        <w:t>que informe a cada reunión del GANT sobre la aplicación del Plan de Acción, incluidos los resultados de los análisis de costes y beneficios mencionados más arriba;</w:t>
      </w:r>
    </w:p>
    <w:p w:rsidR="0028710F" w:rsidRPr="007E76F9" w:rsidRDefault="0028710F" w:rsidP="0028710F">
      <w:pPr>
        <w:pStyle w:val="enumlev1"/>
      </w:pPr>
      <w:r w:rsidRPr="007E76F9">
        <w:t>•</w:t>
      </w:r>
      <w:r w:rsidRPr="007E76F9">
        <w:tab/>
        <w:t>que proporcione la autoridad ejecutiva, el presupuesto para la TSB, y los recursos para aplicar el Plan de Acción lo antes posible;</w:t>
      </w:r>
    </w:p>
    <w:p w:rsidR="0028710F" w:rsidRPr="007E76F9" w:rsidRDefault="0028710F" w:rsidP="0028710F">
      <w:pPr>
        <w:pStyle w:val="enumlev1"/>
      </w:pPr>
      <w:r w:rsidRPr="007E76F9">
        <w:t>•</w:t>
      </w:r>
      <w:r w:rsidRPr="007E76F9">
        <w:tab/>
        <w:t>que elabore y difunda directrices para la utilización de las facilidades y capacidades de EWM del UIT</w:t>
      </w:r>
      <w:r w:rsidRPr="007E76F9">
        <w:noBreakHyphen/>
        <w:t>T;</w:t>
      </w:r>
    </w:p>
    <w:p w:rsidR="0028710F" w:rsidRPr="007E76F9" w:rsidRDefault="0028710F" w:rsidP="0028710F">
      <w:pPr>
        <w:pStyle w:val="enumlev1"/>
      </w:pPr>
      <w:r w:rsidRPr="007E76F9">
        <w:t>•</w:t>
      </w:r>
      <w:r w:rsidRPr="007E76F9">
        <w:tab/>
        <w:t>que tome medidas para proporcionar mecanismos adecuados para la participación u observación por medios electrónicos (por ejemplo, difusión por la web, audioconferencia, conferencias e intercambio de documentos por la web, videoconferencia, etc.) en las reuniones, talleres y cursos de formación del UIT</w:t>
      </w:r>
      <w:r w:rsidRPr="007E76F9">
        <w:noBreakHyphen/>
        <w:t>T a los delegados que no puedan asistir en persona y que se coordine con la BDT para la prestación de asistencia en el suministro de tales mecanismos; y</w:t>
      </w:r>
    </w:p>
    <w:p w:rsidR="0028710F" w:rsidRPr="007E76F9" w:rsidRDefault="0028710F" w:rsidP="0028710F">
      <w:pPr>
        <w:pStyle w:val="enumlev1"/>
      </w:pPr>
      <w:r w:rsidRPr="007E76F9">
        <w:t>•</w:t>
      </w:r>
      <w:r w:rsidRPr="007E76F9">
        <w:tab/>
        <w:t>que cree un sitio web del UIT-T en el que sea fácil navegar para encontrar toda la información pertinente,</w:t>
      </w:r>
    </w:p>
    <w:p w:rsidR="0028710F" w:rsidRPr="007E76F9" w:rsidRDefault="0028710F" w:rsidP="0028710F">
      <w:r w:rsidRPr="007E76F9">
        <w:t>2</w:t>
      </w:r>
      <w:r w:rsidRPr="007E76F9">
        <w:tab/>
        <w:t>que el Grupo de Trabajo del GANT sobre EWM siga:</w:t>
      </w:r>
    </w:p>
    <w:p w:rsidR="0028710F" w:rsidRPr="007E76F9" w:rsidRDefault="0028710F" w:rsidP="0028710F">
      <w:pPr>
        <w:pStyle w:val="enumlev1"/>
      </w:pPr>
      <w:r w:rsidRPr="007E76F9">
        <w:t>•</w:t>
      </w:r>
      <w:r w:rsidRPr="007E76F9">
        <w:tab/>
        <w:t>siendo el punto de contacto entre los miembros del UIT</w:t>
      </w:r>
      <w:r w:rsidRPr="007E76F9">
        <w:noBreakHyphen/>
        <w:t>T y la TSB sobre asuntos relativos a los EWM, y en particular que continúe proporcionando información y asesoramiento sobre el contenido, las prioridades y la implementación del Plan de Acción;</w:t>
      </w:r>
    </w:p>
    <w:p w:rsidR="0028710F" w:rsidRPr="007E76F9" w:rsidRDefault="0028710F" w:rsidP="0028710F">
      <w:pPr>
        <w:pStyle w:val="enumlev1"/>
      </w:pPr>
      <w:r w:rsidRPr="007E76F9">
        <w:t>•</w:t>
      </w:r>
      <w:r w:rsidRPr="007E76F9">
        <w:tab/>
        <w:t>identificando las necesidades de los usuarios y planificando la introducción de las medidas adecuadas, por intermedio de los subgrupos y programas piloto apropiados;</w:t>
      </w:r>
    </w:p>
    <w:p w:rsidR="0028710F" w:rsidRPr="007E76F9" w:rsidRDefault="0028710F" w:rsidP="0028710F">
      <w:pPr>
        <w:pStyle w:val="enumlev1"/>
      </w:pPr>
      <w:r w:rsidRPr="007E76F9">
        <w:t>•</w:t>
      </w:r>
      <w:r w:rsidRPr="007E76F9">
        <w:tab/>
        <w:t>solicitando a los Presidentes de las Comisiones de Estudio que identifiquen la posible coordinación por EWM;</w:t>
      </w:r>
    </w:p>
    <w:p w:rsidR="0028710F" w:rsidRPr="007E76F9" w:rsidRDefault="0028710F" w:rsidP="0028710F">
      <w:pPr>
        <w:pStyle w:val="enumlev1"/>
      </w:pPr>
      <w:r w:rsidRPr="007E76F9">
        <w:t>•</w:t>
      </w:r>
      <w:r w:rsidRPr="007E76F9">
        <w:tab/>
        <w:t>fomentando la participación de todas las personas que intervienen en los trabajos del UIT</w:t>
      </w:r>
      <w:r w:rsidRPr="007E76F9">
        <w:noBreakHyphen/>
        <w:t>T, especialmente a los expertos en EWM del GANT, las Comisiones de Estudio, la TSB y las Oficinas y Departamentos de la UIT correspondientes;</w:t>
      </w:r>
    </w:p>
    <w:p w:rsidR="0028710F" w:rsidRDefault="0028710F" w:rsidP="0028710F">
      <w:pPr>
        <w:pStyle w:val="enumlev1"/>
      </w:pPr>
      <w:r w:rsidRPr="007E76F9">
        <w:t>•</w:t>
      </w:r>
      <w:r w:rsidRPr="007E76F9">
        <w:tab/>
        <w:t>trabajando por medios electrónicos fuera de las reuniones del GANT en la medida de lo necesario para cumplir sus objetivos.</w:t>
      </w:r>
    </w:p>
    <w:p w:rsidR="0028710F" w:rsidRDefault="0028710F" w:rsidP="0028710F">
      <w:pPr>
        <w:pStyle w:val="enumlev1"/>
      </w:pPr>
    </w:p>
    <w:p w:rsidR="0028710F" w:rsidRDefault="0028710F" w:rsidP="0028710F">
      <w:pPr>
        <w:pStyle w:val="enumlev1"/>
      </w:pPr>
    </w:p>
    <w:p w:rsidR="0028710F" w:rsidRPr="007E76F9" w:rsidRDefault="0028710F" w:rsidP="0028710F">
      <w:pPr>
        <w:pStyle w:val="enumlev1"/>
      </w:pPr>
    </w:p>
    <w:p w:rsidR="00427DF1" w:rsidRPr="006F5DC8" w:rsidRDefault="00427DF1" w:rsidP="00427DF1">
      <w:pPr>
        <w:pStyle w:val="Reasons"/>
        <w:rPr>
          <w:lang w:val="es-ES_tradnl"/>
        </w:rPr>
      </w:pPr>
    </w:p>
    <w:p w:rsidR="006C62D4" w:rsidRPr="00C87C51" w:rsidRDefault="006C62D4" w:rsidP="00C87C51">
      <w:pPr>
        <w:spacing w:before="160" w:line="280" w:lineRule="exact"/>
      </w:pPr>
    </w:p>
    <w:sectPr w:rsidR="006C62D4" w:rsidRPr="00C87C51" w:rsidSect="00DB1EE7">
      <w:headerReference w:type="even" r:id="rId10"/>
      <w:headerReference w:type="default" r:id="rId11"/>
      <w:footerReference w:type="even" r:id="rId12"/>
      <w:footerReference w:type="default" r:id="rId13"/>
      <w:pgSz w:w="11907" w:h="16840" w:code="9"/>
      <w:pgMar w:top="1134" w:right="1134" w:bottom="1134" w:left="1134" w:header="567" w:footer="567" w:gutter="0"/>
      <w:paperSrc w:first="15" w:other="15"/>
      <w:pgNumType w:start="1"/>
      <w:cols w:space="720"/>
      <w:vAlign w:val="both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D49" w:rsidRDefault="00415D49">
      <w:r>
        <w:separator/>
      </w:r>
    </w:p>
  </w:endnote>
  <w:endnote w:type="continuationSeparator" w:id="0">
    <w:p w:rsidR="00415D49" w:rsidRDefault="00415D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E7D" w:rsidRDefault="007672E3" w:rsidP="00877E7D">
    <w:pPr>
      <w:pStyle w:val="FooterQP"/>
      <w:rPr>
        <w:lang w:val="en-US"/>
      </w:rPr>
    </w:pPr>
    <w:r w:rsidRPr="002D6EB1">
      <w:rPr>
        <w:b w:val="0"/>
      </w:rPr>
      <w:fldChar w:fldCharType="begin"/>
    </w:r>
    <w:r w:rsidR="00877E7D" w:rsidRPr="00877E7D">
      <w:rPr>
        <w:b w:val="0"/>
        <w:lang w:val="es-ES"/>
      </w:rPr>
      <w:instrText xml:space="preserve"> PAGE  \* MERGEFORMAT </w:instrText>
    </w:r>
    <w:r w:rsidRPr="002D6EB1">
      <w:rPr>
        <w:b w:val="0"/>
      </w:rPr>
      <w:fldChar w:fldCharType="separate"/>
    </w:r>
    <w:r w:rsidR="00B50778">
      <w:rPr>
        <w:b w:val="0"/>
        <w:noProof/>
        <w:lang w:val="es-ES"/>
      </w:rPr>
      <w:t>2</w:t>
    </w:r>
    <w:r w:rsidRPr="002D6EB1">
      <w:rPr>
        <w:b w:val="0"/>
      </w:rPr>
      <w:fldChar w:fldCharType="end"/>
    </w:r>
    <w:r w:rsidR="00877E7D" w:rsidRPr="00877E7D">
      <w:rPr>
        <w:lang w:val="es-ES"/>
      </w:rPr>
      <w:tab/>
    </w:r>
    <w:r w:rsidR="00877E7D">
      <w:t>AMNT</w:t>
    </w:r>
    <w:r w:rsidR="00877E7D" w:rsidRPr="00877E7D">
      <w:rPr>
        <w:lang w:val="es-ES"/>
      </w:rPr>
      <w:t>-12 –</w:t>
    </w:r>
    <w:r w:rsidR="00877E7D">
      <w:rPr>
        <w:lang w:val="es-ES"/>
      </w:rPr>
      <w:t xml:space="preserve"> </w:t>
    </w:r>
    <w:r w:rsidR="00877E7D" w:rsidRPr="00877E7D">
      <w:rPr>
        <w:lang w:val="es-ES"/>
      </w:rPr>
      <w:t xml:space="preserve">Resolución </w:t>
    </w:r>
    <w:r w:rsidR="00427DF1">
      <w:rPr>
        <w:lang w:val="en-US"/>
      </w:rPr>
      <w:t>3</w:t>
    </w:r>
    <w:r w:rsidR="0028710F">
      <w:rPr>
        <w:lang w:val="en-US"/>
      </w:rPr>
      <w:t>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E7D" w:rsidRPr="00877E7D" w:rsidRDefault="00877E7D" w:rsidP="00877E7D">
    <w:pPr>
      <w:pStyle w:val="FooterQP"/>
      <w:rPr>
        <w:b w:val="0"/>
        <w:lang w:val="en-US"/>
      </w:rPr>
    </w:pPr>
    <w:r>
      <w:tab/>
    </w:r>
    <w:r>
      <w:tab/>
      <w:t>AMNT</w:t>
    </w:r>
    <w:r>
      <w:rPr>
        <w:lang w:val="en-US"/>
      </w:rPr>
      <w:t xml:space="preserve">-12 – Resolución </w:t>
    </w:r>
    <w:r w:rsidR="00427DF1">
      <w:rPr>
        <w:lang w:val="en-US"/>
      </w:rPr>
      <w:t>3</w:t>
    </w:r>
    <w:r w:rsidR="0028710F">
      <w:rPr>
        <w:lang w:val="en-US"/>
      </w:rPr>
      <w:t>2</w:t>
    </w:r>
    <w:r>
      <w:rPr>
        <w:lang w:val="en-US"/>
      </w:rPr>
      <w:tab/>
    </w:r>
    <w:r w:rsidR="007672E3">
      <w:rPr>
        <w:b w:val="0"/>
      </w:rPr>
      <w:fldChar w:fldCharType="begin"/>
    </w:r>
    <w:r>
      <w:rPr>
        <w:b w:val="0"/>
        <w:lang w:val="en-US"/>
      </w:rPr>
      <w:instrText xml:space="preserve"> PAGE  \* MERGEFORMAT </w:instrText>
    </w:r>
    <w:r w:rsidR="007672E3">
      <w:rPr>
        <w:b w:val="0"/>
      </w:rPr>
      <w:fldChar w:fldCharType="separate"/>
    </w:r>
    <w:r w:rsidR="00B50778">
      <w:rPr>
        <w:b w:val="0"/>
        <w:noProof/>
        <w:lang w:val="en-US"/>
      </w:rPr>
      <w:t>1</w:t>
    </w:r>
    <w:r w:rsidR="007672E3">
      <w:rPr>
        <w:b w:val="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D49" w:rsidRDefault="00415D49">
      <w:r>
        <w:t>____________________</w:t>
      </w:r>
    </w:p>
  </w:footnote>
  <w:footnote w:type="continuationSeparator" w:id="0">
    <w:p w:rsidR="00415D49" w:rsidRDefault="00415D49">
      <w:r>
        <w:continuationSeparator/>
      </w:r>
    </w:p>
  </w:footnote>
  <w:footnote w:id="1">
    <w:p w:rsidR="0028710F" w:rsidRPr="007E76F9" w:rsidRDefault="0028710F" w:rsidP="0028710F">
      <w:pPr>
        <w:pStyle w:val="FootnoteText"/>
        <w:tabs>
          <w:tab w:val="clear" w:pos="255"/>
          <w:tab w:val="left" w:pos="284"/>
        </w:tabs>
      </w:pPr>
      <w:r w:rsidRPr="007E76F9">
        <w:rPr>
          <w:rStyle w:val="FootnoteReference"/>
        </w:rPr>
        <w:t>1</w:t>
      </w:r>
      <w:r w:rsidRPr="007E76F9">
        <w:t xml:space="preserve"> </w:t>
      </w:r>
      <w:r w:rsidRPr="007E76F9">
        <w:tab/>
        <w:t>Este término comprende a los países menos adelantados, los pequeños Estados insulares en desarrollo, los países en desarrollo sin litoral y los países con economías en transición.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F26" w:rsidRPr="00D075E1" w:rsidRDefault="006D0F26" w:rsidP="00D075E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F26" w:rsidRPr="00D075E1" w:rsidRDefault="006D0F26" w:rsidP="00D075E1">
    <w:pPr>
      <w:pStyle w:val="Header"/>
      <w:rPr>
        <w:rStyle w:val="PageNumber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F7CFB4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9202F9A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0CE067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71262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7F92A2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C4A62B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128D86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31A8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EBED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D7489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20"/>
  <w:hyphenationZone w:val="357"/>
  <w:doNotHyphenateCaps/>
  <w:evenAndOddHeader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FB6D55"/>
    <w:rsid w:val="000040EB"/>
    <w:rsid w:val="00011D16"/>
    <w:rsid w:val="00021556"/>
    <w:rsid w:val="00044B4D"/>
    <w:rsid w:val="00065BE4"/>
    <w:rsid w:val="00082EA6"/>
    <w:rsid w:val="000B08A1"/>
    <w:rsid w:val="000B3B7D"/>
    <w:rsid w:val="000E0592"/>
    <w:rsid w:val="000E0C3D"/>
    <w:rsid w:val="000E6A10"/>
    <w:rsid w:val="00104176"/>
    <w:rsid w:val="00104723"/>
    <w:rsid w:val="00115F55"/>
    <w:rsid w:val="001166BD"/>
    <w:rsid w:val="00153A2F"/>
    <w:rsid w:val="00160F88"/>
    <w:rsid w:val="00164FB0"/>
    <w:rsid w:val="001958EC"/>
    <w:rsid w:val="001C4D78"/>
    <w:rsid w:val="001E3C05"/>
    <w:rsid w:val="001E47B2"/>
    <w:rsid w:val="001F5708"/>
    <w:rsid w:val="001F7101"/>
    <w:rsid w:val="00212260"/>
    <w:rsid w:val="0021547F"/>
    <w:rsid w:val="00217CDB"/>
    <w:rsid w:val="00241D6F"/>
    <w:rsid w:val="00245661"/>
    <w:rsid w:val="00256525"/>
    <w:rsid w:val="00256F54"/>
    <w:rsid w:val="0028710F"/>
    <w:rsid w:val="0029052C"/>
    <w:rsid w:val="00295585"/>
    <w:rsid w:val="002A4E5E"/>
    <w:rsid w:val="00315C1E"/>
    <w:rsid w:val="003518D5"/>
    <w:rsid w:val="00372B66"/>
    <w:rsid w:val="00377687"/>
    <w:rsid w:val="003C2D00"/>
    <w:rsid w:val="003E33A8"/>
    <w:rsid w:val="003F0680"/>
    <w:rsid w:val="00400600"/>
    <w:rsid w:val="00415D49"/>
    <w:rsid w:val="00427DF1"/>
    <w:rsid w:val="004442F6"/>
    <w:rsid w:val="00466E41"/>
    <w:rsid w:val="004F1EA7"/>
    <w:rsid w:val="0052251F"/>
    <w:rsid w:val="005330B1"/>
    <w:rsid w:val="005428C5"/>
    <w:rsid w:val="005435AA"/>
    <w:rsid w:val="0055021E"/>
    <w:rsid w:val="00585ED1"/>
    <w:rsid w:val="005A4F08"/>
    <w:rsid w:val="006349BE"/>
    <w:rsid w:val="00642735"/>
    <w:rsid w:val="00643BC7"/>
    <w:rsid w:val="00671751"/>
    <w:rsid w:val="006A2304"/>
    <w:rsid w:val="006C1E98"/>
    <w:rsid w:val="006C5ED6"/>
    <w:rsid w:val="006C62D4"/>
    <w:rsid w:val="006D0F26"/>
    <w:rsid w:val="006E43AB"/>
    <w:rsid w:val="006F5455"/>
    <w:rsid w:val="007057EE"/>
    <w:rsid w:val="00712378"/>
    <w:rsid w:val="00743611"/>
    <w:rsid w:val="007672E3"/>
    <w:rsid w:val="0079215F"/>
    <w:rsid w:val="007A0BE3"/>
    <w:rsid w:val="007B0D90"/>
    <w:rsid w:val="007C64E7"/>
    <w:rsid w:val="007C7F35"/>
    <w:rsid w:val="007E7BF2"/>
    <w:rsid w:val="008222EF"/>
    <w:rsid w:val="00831A21"/>
    <w:rsid w:val="00841271"/>
    <w:rsid w:val="00862C3A"/>
    <w:rsid w:val="00877E7D"/>
    <w:rsid w:val="00892A35"/>
    <w:rsid w:val="00896AAF"/>
    <w:rsid w:val="008B2002"/>
    <w:rsid w:val="008C6F85"/>
    <w:rsid w:val="008D5D1B"/>
    <w:rsid w:val="008D6B1E"/>
    <w:rsid w:val="008F7079"/>
    <w:rsid w:val="00906FCA"/>
    <w:rsid w:val="00917AD8"/>
    <w:rsid w:val="009215A0"/>
    <w:rsid w:val="009242C6"/>
    <w:rsid w:val="00946DF2"/>
    <w:rsid w:val="009560C3"/>
    <w:rsid w:val="009B4B48"/>
    <w:rsid w:val="009C06D6"/>
    <w:rsid w:val="009E4ACC"/>
    <w:rsid w:val="00A048CE"/>
    <w:rsid w:val="00A054FD"/>
    <w:rsid w:val="00A16E12"/>
    <w:rsid w:val="00A23640"/>
    <w:rsid w:val="00A300F8"/>
    <w:rsid w:val="00A31A3C"/>
    <w:rsid w:val="00A428C4"/>
    <w:rsid w:val="00A5029E"/>
    <w:rsid w:val="00A5430F"/>
    <w:rsid w:val="00A64176"/>
    <w:rsid w:val="00A762C1"/>
    <w:rsid w:val="00A7749A"/>
    <w:rsid w:val="00AD62D4"/>
    <w:rsid w:val="00AE5D2B"/>
    <w:rsid w:val="00B122C8"/>
    <w:rsid w:val="00B24C2D"/>
    <w:rsid w:val="00B31246"/>
    <w:rsid w:val="00B450BE"/>
    <w:rsid w:val="00B50778"/>
    <w:rsid w:val="00B57627"/>
    <w:rsid w:val="00B61661"/>
    <w:rsid w:val="00B96F52"/>
    <w:rsid w:val="00BD5BF5"/>
    <w:rsid w:val="00BE0A5C"/>
    <w:rsid w:val="00C028FA"/>
    <w:rsid w:val="00C10AF4"/>
    <w:rsid w:val="00C2286E"/>
    <w:rsid w:val="00C307BC"/>
    <w:rsid w:val="00C3111E"/>
    <w:rsid w:val="00C37FA4"/>
    <w:rsid w:val="00C87C51"/>
    <w:rsid w:val="00C92632"/>
    <w:rsid w:val="00C97C18"/>
    <w:rsid w:val="00CC2761"/>
    <w:rsid w:val="00CD1B1B"/>
    <w:rsid w:val="00CF15EA"/>
    <w:rsid w:val="00D075E1"/>
    <w:rsid w:val="00D13CDA"/>
    <w:rsid w:val="00D23B4C"/>
    <w:rsid w:val="00D460E6"/>
    <w:rsid w:val="00D74EFE"/>
    <w:rsid w:val="00D9465C"/>
    <w:rsid w:val="00D962F2"/>
    <w:rsid w:val="00DB1EE7"/>
    <w:rsid w:val="00DC4B81"/>
    <w:rsid w:val="00DD71D5"/>
    <w:rsid w:val="00E16169"/>
    <w:rsid w:val="00E26A91"/>
    <w:rsid w:val="00E654F0"/>
    <w:rsid w:val="00E72AD0"/>
    <w:rsid w:val="00ED48FA"/>
    <w:rsid w:val="00EE233D"/>
    <w:rsid w:val="00F40D91"/>
    <w:rsid w:val="00F46759"/>
    <w:rsid w:val="00F517A1"/>
    <w:rsid w:val="00F56432"/>
    <w:rsid w:val="00F64291"/>
    <w:rsid w:val="00F72501"/>
    <w:rsid w:val="00F816C3"/>
    <w:rsid w:val="00F968E6"/>
    <w:rsid w:val="00FB6D55"/>
    <w:rsid w:val="00FD0876"/>
    <w:rsid w:val="00FD4011"/>
    <w:rsid w:val="00FF2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15E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hAnsi="Times New Roman"/>
      <w:sz w:val="22"/>
      <w:lang w:val="es-ES_tradnl"/>
    </w:rPr>
  </w:style>
  <w:style w:type="paragraph" w:styleId="Heading1">
    <w:name w:val="heading 1"/>
    <w:basedOn w:val="Normal"/>
    <w:next w:val="Normal"/>
    <w:qFormat/>
    <w:rsid w:val="00082EA6"/>
    <w:pPr>
      <w:keepNext/>
      <w:keepLines/>
      <w:spacing w:before="360"/>
      <w:ind w:left="794" w:hanging="794"/>
      <w:jc w:val="left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082EA6"/>
    <w:pPr>
      <w:spacing w:before="240"/>
      <w:outlineLvl w:val="1"/>
    </w:pPr>
    <w:rPr>
      <w:rFonts w:ascii="CG Times" w:hAnsi="CG Times"/>
      <w:sz w:val="24"/>
    </w:rPr>
  </w:style>
  <w:style w:type="paragraph" w:styleId="Heading3">
    <w:name w:val="heading 3"/>
    <w:basedOn w:val="Heading1"/>
    <w:next w:val="Normal"/>
    <w:qFormat/>
    <w:rsid w:val="00082EA6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082EA6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082EA6"/>
    <w:pPr>
      <w:outlineLvl w:val="4"/>
    </w:pPr>
  </w:style>
  <w:style w:type="paragraph" w:styleId="Heading6">
    <w:name w:val="heading 6"/>
    <w:basedOn w:val="Heading4"/>
    <w:next w:val="Normal"/>
    <w:qFormat/>
    <w:rsid w:val="00082EA6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082EA6"/>
    <w:pPr>
      <w:outlineLvl w:val="6"/>
    </w:pPr>
  </w:style>
  <w:style w:type="paragraph" w:styleId="Heading8">
    <w:name w:val="heading 8"/>
    <w:basedOn w:val="Heading6"/>
    <w:next w:val="Normal"/>
    <w:qFormat/>
    <w:rsid w:val="00082EA6"/>
    <w:pPr>
      <w:outlineLvl w:val="7"/>
    </w:pPr>
  </w:style>
  <w:style w:type="paragraph" w:styleId="Heading9">
    <w:name w:val="heading 9"/>
    <w:basedOn w:val="Heading6"/>
    <w:next w:val="Normal"/>
    <w:qFormat/>
    <w:rsid w:val="00082EA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082EA6"/>
  </w:style>
  <w:style w:type="paragraph" w:styleId="TOC4">
    <w:name w:val="toc 4"/>
    <w:basedOn w:val="TOC3"/>
    <w:semiHidden/>
    <w:rsid w:val="00082EA6"/>
  </w:style>
  <w:style w:type="paragraph" w:styleId="TOC3">
    <w:name w:val="toc 3"/>
    <w:basedOn w:val="TOC2"/>
    <w:semiHidden/>
    <w:rsid w:val="00082EA6"/>
  </w:style>
  <w:style w:type="paragraph" w:styleId="TOC2">
    <w:name w:val="toc 2"/>
    <w:basedOn w:val="TOC1"/>
    <w:semiHidden/>
    <w:rsid w:val="00082EA6"/>
    <w:pPr>
      <w:spacing w:before="80"/>
      <w:ind w:left="1531" w:hanging="851"/>
    </w:pPr>
  </w:style>
  <w:style w:type="paragraph" w:styleId="TOC1">
    <w:name w:val="toc 1"/>
    <w:basedOn w:val="Normal"/>
    <w:semiHidden/>
    <w:rsid w:val="00082EA6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082EA6"/>
  </w:style>
  <w:style w:type="paragraph" w:styleId="TOC6">
    <w:name w:val="toc 6"/>
    <w:basedOn w:val="TOC4"/>
    <w:semiHidden/>
    <w:rsid w:val="00082EA6"/>
  </w:style>
  <w:style w:type="paragraph" w:styleId="TOC5">
    <w:name w:val="toc 5"/>
    <w:basedOn w:val="TOC4"/>
    <w:semiHidden/>
    <w:rsid w:val="00082EA6"/>
  </w:style>
  <w:style w:type="paragraph" w:styleId="Footer">
    <w:name w:val="footer"/>
    <w:basedOn w:val="Normal"/>
    <w:link w:val="FooterChar"/>
    <w:uiPriority w:val="99"/>
    <w:rsid w:val="00082EA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aliases w:val="h,Header/Footer"/>
    <w:basedOn w:val="Normal"/>
    <w:link w:val="HeaderChar"/>
    <w:uiPriority w:val="99"/>
    <w:rsid w:val="00082EA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styleId="FootnoteReference">
    <w:name w:val="footnote reference"/>
    <w:aliases w:val="Appel note de bas de p,Footnote Reference/"/>
    <w:uiPriority w:val="99"/>
    <w:rsid w:val="00082EA6"/>
    <w:rPr>
      <w:rFonts w:cs="Times New Roman"/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uiPriority w:val="99"/>
    <w:rsid w:val="00C3111E"/>
    <w:pPr>
      <w:keepLines/>
      <w:tabs>
        <w:tab w:val="left" w:pos="255"/>
      </w:tabs>
      <w:spacing w:before="80"/>
      <w:ind w:left="255" w:hanging="255"/>
    </w:pPr>
    <w:rPr>
      <w:sz w:val="20"/>
    </w:rPr>
  </w:style>
  <w:style w:type="paragraph" w:customStyle="1" w:styleId="Note">
    <w:name w:val="Note"/>
    <w:basedOn w:val="Normal"/>
    <w:rsid w:val="00082EA6"/>
    <w:pPr>
      <w:spacing w:before="80"/>
    </w:pPr>
  </w:style>
  <w:style w:type="paragraph" w:customStyle="1" w:styleId="Section1">
    <w:name w:val="Section_1"/>
    <w:basedOn w:val="Normal"/>
    <w:next w:val="Normal"/>
    <w:rsid w:val="00082EA6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enumlev1">
    <w:name w:val="enumlev1"/>
    <w:basedOn w:val="Normal"/>
    <w:link w:val="enumlev1Char"/>
    <w:uiPriority w:val="99"/>
    <w:rsid w:val="00082EA6"/>
    <w:pPr>
      <w:spacing w:before="80"/>
      <w:ind w:left="794" w:hanging="794"/>
    </w:pPr>
    <w:rPr>
      <w:rFonts w:ascii="CG Times" w:hAnsi="CG Times"/>
      <w:sz w:val="24"/>
    </w:rPr>
  </w:style>
  <w:style w:type="paragraph" w:customStyle="1" w:styleId="enumlev2">
    <w:name w:val="enumlev2"/>
    <w:basedOn w:val="enumlev1"/>
    <w:rsid w:val="00082EA6"/>
    <w:pPr>
      <w:ind w:left="1191" w:hanging="397"/>
    </w:pPr>
  </w:style>
  <w:style w:type="paragraph" w:customStyle="1" w:styleId="enumlev3">
    <w:name w:val="enumlev3"/>
    <w:basedOn w:val="enumlev2"/>
    <w:rsid w:val="00082EA6"/>
    <w:pPr>
      <w:ind w:left="1588"/>
    </w:pPr>
  </w:style>
  <w:style w:type="paragraph" w:customStyle="1" w:styleId="Section2">
    <w:name w:val="Section_2"/>
    <w:basedOn w:val="Normal"/>
    <w:next w:val="Normal"/>
    <w:rsid w:val="00082EA6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Equation">
    <w:name w:val="Equation"/>
    <w:basedOn w:val="Normal"/>
    <w:rsid w:val="00082EA6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082EA6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082EA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es-ES_tradnl"/>
    </w:rPr>
  </w:style>
  <w:style w:type="paragraph" w:styleId="TOC9">
    <w:name w:val="toc 9"/>
    <w:basedOn w:val="TOC3"/>
    <w:semiHidden/>
    <w:rsid w:val="00082EA6"/>
  </w:style>
  <w:style w:type="paragraph" w:customStyle="1" w:styleId="Chaptitle">
    <w:name w:val="Chap_title"/>
    <w:basedOn w:val="Normal"/>
    <w:next w:val="Normalaftertitle"/>
    <w:rsid w:val="00082EA6"/>
    <w:pPr>
      <w:keepNext/>
      <w:keepLines/>
      <w:spacing w:before="240"/>
      <w:jc w:val="center"/>
    </w:pPr>
    <w:rPr>
      <w:b/>
      <w:sz w:val="28"/>
    </w:rPr>
  </w:style>
  <w:style w:type="paragraph" w:styleId="Index1">
    <w:name w:val="index 1"/>
    <w:basedOn w:val="Normal"/>
    <w:next w:val="Normal"/>
    <w:semiHidden/>
    <w:rsid w:val="00082EA6"/>
    <w:pPr>
      <w:jc w:val="left"/>
    </w:pPr>
  </w:style>
  <w:style w:type="paragraph" w:customStyle="1" w:styleId="Formal">
    <w:name w:val="Formal"/>
    <w:basedOn w:val="ASN1"/>
    <w:rsid w:val="00082EA6"/>
    <w:rPr>
      <w:b w:val="0"/>
    </w:rPr>
  </w:style>
  <w:style w:type="paragraph" w:customStyle="1" w:styleId="AnnexNoTitle">
    <w:name w:val="Annex_NoTitle"/>
    <w:basedOn w:val="Normal"/>
    <w:next w:val="Normalaftertitle"/>
    <w:rsid w:val="00082EA6"/>
    <w:pPr>
      <w:keepNext/>
      <w:keepLines/>
      <w:spacing w:before="720"/>
      <w:jc w:val="center"/>
    </w:pPr>
    <w:rPr>
      <w:b/>
      <w:sz w:val="28"/>
    </w:rPr>
  </w:style>
  <w:style w:type="character" w:customStyle="1" w:styleId="Appdef">
    <w:name w:val="App_def"/>
    <w:rsid w:val="00082EA6"/>
    <w:rPr>
      <w:rFonts w:ascii="Times New Roman" w:hAnsi="Times New Roman" w:cs="Times New Roman"/>
      <w:b/>
    </w:rPr>
  </w:style>
  <w:style w:type="character" w:customStyle="1" w:styleId="Appref">
    <w:name w:val="App_ref"/>
    <w:rsid w:val="00082EA6"/>
    <w:rPr>
      <w:rFonts w:cs="Times New Roman"/>
    </w:rPr>
  </w:style>
  <w:style w:type="paragraph" w:customStyle="1" w:styleId="AppendixNoTitle">
    <w:name w:val="Appendix_NoTitle"/>
    <w:basedOn w:val="AnnexNoTitle"/>
    <w:next w:val="Normalaftertitle"/>
    <w:rsid w:val="00082EA6"/>
  </w:style>
  <w:style w:type="character" w:customStyle="1" w:styleId="Artdef">
    <w:name w:val="Art_def"/>
    <w:rsid w:val="00082EA6"/>
    <w:rPr>
      <w:rFonts w:ascii="Times New Roman" w:hAnsi="Times New Roman" w:cs="Times New Roman"/>
      <w:b/>
    </w:rPr>
  </w:style>
  <w:style w:type="paragraph" w:customStyle="1" w:styleId="Artheading">
    <w:name w:val="Art_heading"/>
    <w:basedOn w:val="Normal"/>
    <w:next w:val="Normalaftertitle"/>
    <w:rsid w:val="00082EA6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082EA6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rsid w:val="00082EA6"/>
    <w:rPr>
      <w:rFonts w:cs="Times New Roman"/>
    </w:rPr>
  </w:style>
  <w:style w:type="paragraph" w:customStyle="1" w:styleId="Arttitle">
    <w:name w:val="Art_title"/>
    <w:basedOn w:val="Normal"/>
    <w:next w:val="Normalaftertitle"/>
    <w:rsid w:val="00082EA6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link w:val="CallChar"/>
    <w:rsid w:val="00082EA6"/>
    <w:pPr>
      <w:keepNext/>
      <w:keepLines/>
      <w:spacing w:before="160"/>
      <w:ind w:left="794"/>
      <w:jc w:val="left"/>
    </w:pPr>
    <w:rPr>
      <w:i/>
      <w:sz w:val="24"/>
    </w:rPr>
  </w:style>
  <w:style w:type="paragraph" w:customStyle="1" w:styleId="ChapNo">
    <w:name w:val="Chap_No"/>
    <w:basedOn w:val="Normal"/>
    <w:next w:val="Chaptitle"/>
    <w:rsid w:val="00082EA6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Equationlegend">
    <w:name w:val="Equation_legend"/>
    <w:basedOn w:val="Normal"/>
    <w:rsid w:val="00082EA6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uiPriority w:val="99"/>
    <w:rsid w:val="00082EA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link w:val="FigureChar"/>
    <w:rsid w:val="00082EA6"/>
    <w:pPr>
      <w:keepNext/>
      <w:keepLines/>
      <w:spacing w:before="240" w:after="120"/>
      <w:jc w:val="center"/>
    </w:pPr>
    <w:rPr>
      <w:rFonts w:ascii="CG Times" w:hAnsi="CG Times"/>
      <w:sz w:val="24"/>
    </w:rPr>
  </w:style>
  <w:style w:type="paragraph" w:customStyle="1" w:styleId="FigureNoTitle">
    <w:name w:val="Figure_NoTitle"/>
    <w:basedOn w:val="Normal"/>
    <w:next w:val="Normalaftertitle"/>
    <w:rsid w:val="00082EA6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082EA6"/>
    <w:pPr>
      <w:keepLines/>
      <w:spacing w:before="240" w:after="120"/>
      <w:jc w:val="center"/>
    </w:pPr>
  </w:style>
  <w:style w:type="paragraph" w:customStyle="1" w:styleId="FirstFooter">
    <w:name w:val="FirstFooter"/>
    <w:basedOn w:val="Footer"/>
    <w:rsid w:val="00082EA6"/>
    <w:pPr>
      <w:tabs>
        <w:tab w:val="clear" w:pos="5954"/>
        <w:tab w:val="clear" w:pos="9639"/>
      </w:tabs>
      <w:overflowPunct/>
      <w:autoSpaceDE/>
      <w:autoSpaceDN/>
      <w:adjustRightInd/>
      <w:spacing w:before="40"/>
      <w:jc w:val="left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link w:val="FooterQPChar"/>
    <w:rsid w:val="00082EA6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rFonts w:ascii="CG Times" w:hAnsi="CG Times"/>
      <w:b/>
    </w:rPr>
  </w:style>
  <w:style w:type="paragraph" w:customStyle="1" w:styleId="Headingb">
    <w:name w:val="Heading_b"/>
    <w:basedOn w:val="Normal"/>
    <w:next w:val="Normal"/>
    <w:qFormat/>
    <w:rsid w:val="00082EA6"/>
    <w:pPr>
      <w:keepNext/>
      <w:spacing w:before="160"/>
      <w:jc w:val="left"/>
    </w:pPr>
    <w:rPr>
      <w:b/>
    </w:rPr>
  </w:style>
  <w:style w:type="paragraph" w:customStyle="1" w:styleId="Headingi">
    <w:name w:val="Heading_i"/>
    <w:basedOn w:val="Normal"/>
    <w:next w:val="Normal"/>
    <w:rsid w:val="00082EA6"/>
    <w:pPr>
      <w:keepNext/>
      <w:spacing w:before="160"/>
      <w:jc w:val="left"/>
    </w:pPr>
    <w:rPr>
      <w:i/>
    </w:rPr>
  </w:style>
  <w:style w:type="paragraph" w:styleId="Index2">
    <w:name w:val="index 2"/>
    <w:basedOn w:val="Normal"/>
    <w:next w:val="Normal"/>
    <w:semiHidden/>
    <w:rsid w:val="00082EA6"/>
    <w:pPr>
      <w:ind w:left="284"/>
      <w:jc w:val="left"/>
    </w:pPr>
  </w:style>
  <w:style w:type="paragraph" w:styleId="Index3">
    <w:name w:val="index 3"/>
    <w:basedOn w:val="Normal"/>
    <w:next w:val="Normal"/>
    <w:semiHidden/>
    <w:rsid w:val="00082EA6"/>
    <w:pPr>
      <w:ind w:left="567"/>
      <w:jc w:val="left"/>
    </w:pPr>
  </w:style>
  <w:style w:type="paragraph" w:customStyle="1" w:styleId="Normalaftertitle">
    <w:name w:val="Normal_after_title"/>
    <w:basedOn w:val="Normal"/>
    <w:next w:val="Normal"/>
    <w:rsid w:val="00082EA6"/>
    <w:pPr>
      <w:spacing w:before="360"/>
    </w:pPr>
  </w:style>
  <w:style w:type="paragraph" w:customStyle="1" w:styleId="PartNo">
    <w:name w:val="Part_No"/>
    <w:basedOn w:val="Normal"/>
    <w:next w:val="Partref"/>
    <w:rsid w:val="00082EA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082EA6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082EA6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"/>
    <w:rsid w:val="00082EA6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082EA6"/>
  </w:style>
  <w:style w:type="paragraph" w:customStyle="1" w:styleId="RecNo">
    <w:name w:val="Rec_No"/>
    <w:basedOn w:val="Normal"/>
    <w:next w:val="Rectitle"/>
    <w:rsid w:val="00082EA6"/>
    <w:pPr>
      <w:keepNext/>
      <w:keepLines/>
      <w:spacing w:before="0"/>
      <w:jc w:val="left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082EA6"/>
  </w:style>
  <w:style w:type="paragraph" w:customStyle="1" w:styleId="Recref">
    <w:name w:val="Rec_ref"/>
    <w:basedOn w:val="Normal"/>
    <w:next w:val="Recdate"/>
    <w:rsid w:val="00082EA6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082EA6"/>
  </w:style>
  <w:style w:type="paragraph" w:customStyle="1" w:styleId="Rectitle">
    <w:name w:val="Rec_title"/>
    <w:basedOn w:val="Normal"/>
    <w:next w:val="Normalaftertitle"/>
    <w:rsid w:val="00082EA6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  <w:rsid w:val="00082EA6"/>
  </w:style>
  <w:style w:type="paragraph" w:customStyle="1" w:styleId="Reftext">
    <w:name w:val="Ref_text"/>
    <w:basedOn w:val="Normal"/>
    <w:rsid w:val="00082EA6"/>
    <w:pPr>
      <w:ind w:left="794" w:hanging="794"/>
      <w:jc w:val="left"/>
    </w:pPr>
  </w:style>
  <w:style w:type="character" w:styleId="PageNumber">
    <w:name w:val="page number"/>
    <w:rsid w:val="00082EA6"/>
    <w:rPr>
      <w:rFonts w:cs="Times New Roman"/>
    </w:rPr>
  </w:style>
  <w:style w:type="paragraph" w:customStyle="1" w:styleId="Repdate">
    <w:name w:val="Rep_date"/>
    <w:basedOn w:val="Recdate"/>
    <w:next w:val="Normalaftertitle"/>
    <w:rsid w:val="00082EA6"/>
  </w:style>
  <w:style w:type="paragraph" w:customStyle="1" w:styleId="RepNo">
    <w:name w:val="Rep_No"/>
    <w:basedOn w:val="RecNo"/>
    <w:next w:val="Reptitle"/>
    <w:rsid w:val="00082EA6"/>
  </w:style>
  <w:style w:type="paragraph" w:customStyle="1" w:styleId="Repref">
    <w:name w:val="Rep_ref"/>
    <w:basedOn w:val="Recref"/>
    <w:next w:val="Repdate"/>
    <w:rsid w:val="00082EA6"/>
  </w:style>
  <w:style w:type="paragraph" w:customStyle="1" w:styleId="Reptitle">
    <w:name w:val="Rep_title"/>
    <w:basedOn w:val="Rectitle"/>
    <w:next w:val="Repref"/>
    <w:rsid w:val="00082EA6"/>
  </w:style>
  <w:style w:type="paragraph" w:customStyle="1" w:styleId="Resdate">
    <w:name w:val="Res_date"/>
    <w:basedOn w:val="Recdate"/>
    <w:next w:val="Normalaftertitle"/>
    <w:rsid w:val="00082EA6"/>
  </w:style>
  <w:style w:type="character" w:customStyle="1" w:styleId="Resdef">
    <w:name w:val="Res_def"/>
    <w:rsid w:val="00082EA6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Restitle"/>
    <w:link w:val="ResNoChar"/>
    <w:rsid w:val="00082EA6"/>
  </w:style>
  <w:style w:type="paragraph" w:customStyle="1" w:styleId="Resref">
    <w:name w:val="Res_ref"/>
    <w:basedOn w:val="Recref"/>
    <w:next w:val="Resdate"/>
    <w:qFormat/>
    <w:rsid w:val="00082EA6"/>
  </w:style>
  <w:style w:type="paragraph" w:customStyle="1" w:styleId="Restitle">
    <w:name w:val="Res_title"/>
    <w:basedOn w:val="Rectitle"/>
    <w:next w:val="Resref"/>
    <w:link w:val="RestitleChar"/>
    <w:rsid w:val="00082EA6"/>
  </w:style>
  <w:style w:type="paragraph" w:customStyle="1" w:styleId="SectionNo">
    <w:name w:val="Section_No"/>
    <w:basedOn w:val="Normal"/>
    <w:next w:val="Sectiontitle"/>
    <w:rsid w:val="00082EA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082EA6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082EA6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082EA6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character" w:customStyle="1" w:styleId="Tablefreq">
    <w:name w:val="Table_freq"/>
    <w:rsid w:val="00082EA6"/>
    <w:rPr>
      <w:rFonts w:cs="Times New Roman"/>
      <w:b/>
      <w:color w:val="auto"/>
    </w:rPr>
  </w:style>
  <w:style w:type="paragraph" w:customStyle="1" w:styleId="Tablehead">
    <w:name w:val="Table_head"/>
    <w:basedOn w:val="Normal"/>
    <w:next w:val="Tabletext"/>
    <w:link w:val="TableheadChar"/>
    <w:rsid w:val="00082EA6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="CG Times" w:hAnsi="CG Times"/>
      <w:b/>
    </w:rPr>
  </w:style>
  <w:style w:type="paragraph" w:customStyle="1" w:styleId="Tablelegend">
    <w:name w:val="Table_legend"/>
    <w:basedOn w:val="Normal"/>
    <w:rsid w:val="00082EA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character" w:styleId="Hyperlink">
    <w:name w:val="Hyperlink"/>
    <w:rsid w:val="00082EA6"/>
    <w:rPr>
      <w:rFonts w:cs="Times New Roman"/>
      <w:color w:val="0000FF"/>
      <w:u w:val="single"/>
    </w:rPr>
  </w:style>
  <w:style w:type="paragraph" w:customStyle="1" w:styleId="Tabletext">
    <w:name w:val="Table_text"/>
    <w:basedOn w:val="Normal"/>
    <w:rsid w:val="00082EA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</w:style>
  <w:style w:type="paragraph" w:customStyle="1" w:styleId="TableNoTitle">
    <w:name w:val="Table_NoTitle"/>
    <w:basedOn w:val="Normal"/>
    <w:next w:val="Tablehead"/>
    <w:rsid w:val="00082EA6"/>
    <w:pPr>
      <w:keepNext/>
      <w:keepLines/>
      <w:spacing w:before="36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082EA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082EA6"/>
  </w:style>
  <w:style w:type="paragraph" w:customStyle="1" w:styleId="Title3">
    <w:name w:val="Title 3"/>
    <w:basedOn w:val="Title2"/>
    <w:next w:val="Title4"/>
    <w:rsid w:val="00082EA6"/>
    <w:rPr>
      <w:caps w:val="0"/>
    </w:rPr>
  </w:style>
  <w:style w:type="paragraph" w:customStyle="1" w:styleId="Title4">
    <w:name w:val="Title 4"/>
    <w:basedOn w:val="Title3"/>
    <w:next w:val="Heading1"/>
    <w:rsid w:val="00082EA6"/>
    <w:rPr>
      <w:b/>
    </w:rPr>
  </w:style>
  <w:style w:type="table" w:styleId="TableGrid">
    <w:name w:val="Table Grid"/>
    <w:basedOn w:val="TableNormal"/>
    <w:rsid w:val="00FB6D5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ftitle">
    <w:name w:val="Ref_title"/>
    <w:basedOn w:val="Normal"/>
    <w:next w:val="Reftext"/>
    <w:rsid w:val="00082EA6"/>
    <w:pPr>
      <w:spacing w:before="480"/>
      <w:jc w:val="center"/>
    </w:pPr>
    <w:rPr>
      <w:b/>
    </w:rPr>
  </w:style>
  <w:style w:type="character" w:customStyle="1" w:styleId="TableheadChar">
    <w:name w:val="Table_head Char"/>
    <w:link w:val="Tablehead"/>
    <w:locked/>
    <w:rsid w:val="00BD5BF5"/>
    <w:rPr>
      <w:rFonts w:cs="Times New Roman"/>
      <w:b/>
      <w:sz w:val="22"/>
      <w:lang w:val="es-ES_tradnl" w:eastAsia="en-US" w:bidi="ar-SA"/>
    </w:rPr>
  </w:style>
  <w:style w:type="character" w:customStyle="1" w:styleId="FigureChar">
    <w:name w:val="Figure Char"/>
    <w:link w:val="Figure"/>
    <w:locked/>
    <w:rsid w:val="00065BE4"/>
    <w:rPr>
      <w:rFonts w:cs="Times New Roman"/>
      <w:sz w:val="24"/>
      <w:lang w:val="es-ES_tradnl" w:eastAsia="en-US" w:bidi="ar-SA"/>
    </w:rPr>
  </w:style>
  <w:style w:type="paragraph" w:customStyle="1" w:styleId="TableNotitle0">
    <w:name w:val="Table_No &amp; title"/>
    <w:basedOn w:val="Normal"/>
    <w:next w:val="Tablehead"/>
    <w:rsid w:val="00FB6D55"/>
    <w:pPr>
      <w:keepNext/>
      <w:keepLines/>
      <w:spacing w:before="360" w:after="120"/>
      <w:jc w:val="center"/>
    </w:pPr>
    <w:rPr>
      <w:b/>
    </w:rPr>
  </w:style>
  <w:style w:type="character" w:customStyle="1" w:styleId="Heading2Char">
    <w:name w:val="Heading 2 Char"/>
    <w:link w:val="Heading2"/>
    <w:locked/>
    <w:rsid w:val="00FB6D55"/>
    <w:rPr>
      <w:rFonts w:cs="Times New Roman"/>
      <w:b/>
      <w:sz w:val="24"/>
      <w:lang w:val="es-ES_tradnl" w:eastAsia="en-US" w:bidi="ar-SA"/>
    </w:rPr>
  </w:style>
  <w:style w:type="character" w:customStyle="1" w:styleId="enumlev1Char">
    <w:name w:val="enumlev1 Char"/>
    <w:link w:val="enumlev1"/>
    <w:uiPriority w:val="99"/>
    <w:locked/>
    <w:rsid w:val="00C87C51"/>
    <w:rPr>
      <w:rFonts w:cs="Times New Roman"/>
      <w:sz w:val="24"/>
      <w:lang w:val="es-ES_tradnl" w:eastAsia="en-US" w:bidi="ar-SA"/>
    </w:rPr>
  </w:style>
  <w:style w:type="paragraph" w:customStyle="1" w:styleId="TableText0">
    <w:name w:val="Table_Text"/>
    <w:basedOn w:val="Normal"/>
    <w:rsid w:val="00FB6D5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</w:style>
  <w:style w:type="paragraph" w:customStyle="1" w:styleId="TableHead0">
    <w:name w:val="Table_Head"/>
    <w:basedOn w:val="TableText0"/>
    <w:rsid w:val="00FB6D55"/>
    <w:pPr>
      <w:spacing w:before="80" w:after="80"/>
      <w:jc w:val="center"/>
    </w:pPr>
    <w:rPr>
      <w:b/>
    </w:rPr>
  </w:style>
  <w:style w:type="character" w:customStyle="1" w:styleId="FooterQPChar">
    <w:name w:val="Footer_QP Char"/>
    <w:link w:val="FooterQP"/>
    <w:locked/>
    <w:rsid w:val="00C87C51"/>
    <w:rPr>
      <w:rFonts w:cs="Times New Roman"/>
      <w:b/>
      <w:sz w:val="22"/>
      <w:lang w:val="es-ES_tradnl" w:eastAsia="en-US" w:bidi="ar-SA"/>
    </w:rPr>
  </w:style>
  <w:style w:type="character" w:customStyle="1" w:styleId="FooterChar">
    <w:name w:val="Footer Char"/>
    <w:link w:val="Footer"/>
    <w:uiPriority w:val="99"/>
    <w:rsid w:val="006F5455"/>
    <w:rPr>
      <w:rFonts w:ascii="Times New Roman" w:hAnsi="Times New Roman"/>
      <w:caps/>
      <w:noProof/>
      <w:sz w:val="16"/>
      <w:lang w:val="es-ES_tradnl" w:eastAsia="en-US"/>
    </w:rPr>
  </w:style>
  <w:style w:type="character" w:customStyle="1" w:styleId="HeaderChar">
    <w:name w:val="Header Char"/>
    <w:aliases w:val="h Char,Header/Footer Char"/>
    <w:link w:val="Header"/>
    <w:uiPriority w:val="99"/>
    <w:rsid w:val="006F5455"/>
    <w:rPr>
      <w:rFonts w:ascii="Times New Roman" w:hAnsi="Times New Roman"/>
      <w:sz w:val="18"/>
      <w:lang w:val="es-ES_tradnl" w:eastAsia="en-US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link w:val="FootnoteText"/>
    <w:uiPriority w:val="99"/>
    <w:rsid w:val="00C3111E"/>
    <w:rPr>
      <w:rFonts w:ascii="Times New Roman" w:hAnsi="Times New Roman"/>
      <w:lang w:val="es-ES_tradnl" w:eastAsia="en-US"/>
    </w:rPr>
  </w:style>
  <w:style w:type="character" w:customStyle="1" w:styleId="CallChar">
    <w:name w:val="Call Char"/>
    <w:link w:val="Call"/>
    <w:rsid w:val="006F5455"/>
    <w:rPr>
      <w:rFonts w:ascii="Times New Roman" w:hAnsi="Times New Roman"/>
      <w:i/>
      <w:sz w:val="24"/>
      <w:lang w:val="es-ES_tradnl" w:eastAsia="en-US"/>
    </w:rPr>
  </w:style>
  <w:style w:type="character" w:customStyle="1" w:styleId="RestitleChar">
    <w:name w:val="Res_title Char"/>
    <w:link w:val="Restitle"/>
    <w:rsid w:val="006F5455"/>
    <w:rPr>
      <w:rFonts w:ascii="Times New Roman" w:hAnsi="Times New Roman"/>
      <w:b/>
      <w:sz w:val="28"/>
      <w:lang w:val="es-ES_tradnl" w:eastAsia="en-US"/>
    </w:rPr>
  </w:style>
  <w:style w:type="character" w:customStyle="1" w:styleId="ResNoChar">
    <w:name w:val="Res_No Char"/>
    <w:link w:val="ResNo"/>
    <w:rsid w:val="006F5455"/>
    <w:rPr>
      <w:rFonts w:ascii="Times New Roman" w:hAnsi="Times New Roman"/>
      <w:b/>
      <w:sz w:val="28"/>
      <w:lang w:val="es-ES_tradnl" w:eastAsia="en-US"/>
    </w:rPr>
  </w:style>
  <w:style w:type="character" w:customStyle="1" w:styleId="href">
    <w:name w:val="href"/>
    <w:uiPriority w:val="99"/>
    <w:rsid w:val="006F5455"/>
  </w:style>
  <w:style w:type="paragraph" w:customStyle="1" w:styleId="AppendixNo">
    <w:name w:val="Appendix_No"/>
    <w:basedOn w:val="Normal"/>
    <w:next w:val="Normal"/>
    <w:rsid w:val="006F5455"/>
    <w:pPr>
      <w:keepNext/>
      <w:keepLines/>
      <w:spacing w:before="480" w:after="80"/>
      <w:jc w:val="center"/>
    </w:pPr>
    <w:rPr>
      <w:caps/>
      <w:sz w:val="28"/>
      <w:lang w:val="en-GB"/>
    </w:rPr>
  </w:style>
  <w:style w:type="paragraph" w:customStyle="1" w:styleId="Appendixtitle">
    <w:name w:val="Appendix_title"/>
    <w:basedOn w:val="Normal"/>
    <w:next w:val="Normal"/>
    <w:uiPriority w:val="99"/>
    <w:rsid w:val="006F5455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  <w:lang w:val="en-GB"/>
    </w:rPr>
  </w:style>
  <w:style w:type="paragraph" w:customStyle="1" w:styleId="FigureNo">
    <w:name w:val="Figure_No"/>
    <w:basedOn w:val="Normal"/>
    <w:next w:val="Figuretitle"/>
    <w:rsid w:val="006F5455"/>
    <w:pPr>
      <w:keepNext/>
      <w:keepLines/>
      <w:spacing w:before="480" w:after="120"/>
      <w:jc w:val="center"/>
    </w:pPr>
    <w:rPr>
      <w:caps/>
      <w:lang w:val="en-GB"/>
    </w:rPr>
  </w:style>
  <w:style w:type="paragraph" w:customStyle="1" w:styleId="Figuretitle">
    <w:name w:val="Figure_title"/>
    <w:basedOn w:val="Normal"/>
    <w:next w:val="Normal"/>
    <w:uiPriority w:val="99"/>
    <w:rsid w:val="006F5455"/>
    <w:pPr>
      <w:keepLines/>
      <w:spacing w:before="0" w:after="480"/>
      <w:jc w:val="center"/>
    </w:pPr>
    <w:rPr>
      <w:rFonts w:ascii="Times New Roman Bold" w:hAnsi="Times New Roman Bold"/>
      <w:b/>
      <w:lang w:val="en-GB"/>
    </w:rPr>
  </w:style>
  <w:style w:type="paragraph" w:styleId="NormalWeb">
    <w:name w:val="Normal (Web)"/>
    <w:basedOn w:val="Normal"/>
    <w:uiPriority w:val="99"/>
    <w:unhideWhenUsed/>
    <w:rsid w:val="006F545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Normalaftertitle0">
    <w:name w:val="Normal after title"/>
    <w:basedOn w:val="Normal"/>
    <w:next w:val="Normal"/>
    <w:link w:val="NormalaftertitleChar"/>
    <w:rsid w:val="006F5455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lang w:val="en-GB"/>
    </w:rPr>
  </w:style>
  <w:style w:type="character" w:customStyle="1" w:styleId="NormalaftertitleChar">
    <w:name w:val="Normal after title Char"/>
    <w:link w:val="Normalaftertitle0"/>
    <w:locked/>
    <w:rsid w:val="006F5455"/>
    <w:rPr>
      <w:rFonts w:ascii="Times New Roman" w:hAnsi="Times New Roman"/>
      <w:sz w:val="22"/>
      <w:lang w:val="en-GB" w:eastAsia="en-US"/>
    </w:rPr>
  </w:style>
  <w:style w:type="paragraph" w:customStyle="1" w:styleId="AnnexNo">
    <w:name w:val="Annex_No"/>
    <w:basedOn w:val="Normal"/>
    <w:next w:val="Normal"/>
    <w:rsid w:val="002A4E5E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caps/>
      <w:sz w:val="28"/>
      <w:lang w:val="en-GB"/>
    </w:rPr>
  </w:style>
  <w:style w:type="paragraph" w:customStyle="1" w:styleId="Annextitle">
    <w:name w:val="Annex_title"/>
    <w:basedOn w:val="Normal"/>
    <w:next w:val="Normal"/>
    <w:uiPriority w:val="99"/>
    <w:rsid w:val="002A4E5E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</w:pPr>
    <w:rPr>
      <w:rFonts w:ascii="Times New Roman Bold" w:hAnsi="Times New Roman Bold"/>
      <w:b/>
      <w:sz w:val="28"/>
      <w:lang w:val="en-GB"/>
    </w:rPr>
  </w:style>
  <w:style w:type="paragraph" w:customStyle="1" w:styleId="Reasons">
    <w:name w:val="Reasons"/>
    <w:basedOn w:val="Normal"/>
    <w:qFormat/>
    <w:rsid w:val="00427DF1"/>
    <w:pPr>
      <w:tabs>
        <w:tab w:val="clear" w:pos="794"/>
        <w:tab w:val="clear" w:pos="1191"/>
        <w:tab w:val="left" w:pos="1134"/>
      </w:tabs>
      <w:jc w:val="left"/>
    </w:pPr>
    <w:rPr>
      <w:sz w:val="24"/>
      <w:lang w:val="en-GB"/>
    </w:rPr>
  </w:style>
  <w:style w:type="paragraph" w:styleId="BalloonText">
    <w:name w:val="Balloon Text"/>
    <w:basedOn w:val="Normal"/>
    <w:link w:val="BalloonTextChar"/>
    <w:rsid w:val="00B50778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50778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tiner\Application%20Data\Microsoft\Templates\QuickPub%20-%20ITU\QP-Piano\QPUB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573F69-A01D-41BE-A43F-7882A0B4B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QPUBS</Template>
  <TotalTime>3</TotalTime>
  <Pages>5</Pages>
  <Words>1380</Words>
  <Characters>7870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UIT-T Rec. E.802 (02/2007) Marco y metodología para la determinación y la aplicación de parámetros de calidad de servicio </vt:lpstr>
    </vt:vector>
  </TitlesOfParts>
  <Company>ITU</Company>
  <LinksUpToDate>false</LinksUpToDate>
  <CharactersWithSpaces>9232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UIT-T Rec. E.802 (02/2007) Marco y metodología para la determinación y la aplicación de parámetros de calidad de servicio </dc:title>
  <dc:subject>SERIE E: EXPLOTACIÓN GENERAL DE LA RED, SERVICIO TELEFÓNICO, EXPLOTACIÓN DEL SERVICIO Y FACTORES HUMANOS - Calidad de los servicios de telecomunicación: conceptos, modelos, objetivos, planificación de la seguridad de funcionamiento – Términos y definicion</dc:subject>
  <dc:creator>Comisión de Estudio 2 del UIT-T</dc:creator>
  <cp:keywords>E.802,E,802</cp:keywords>
  <dc:description>Saved by MRG106308 at 10:22:31 on 06.12.2007</dc:description>
  <cp:lastModifiedBy>Brian</cp:lastModifiedBy>
  <cp:revision>3</cp:revision>
  <cp:lastPrinted>2007-10-18T07:42:00Z</cp:lastPrinted>
  <dcterms:created xsi:type="dcterms:W3CDTF">2013-04-25T13:46:00Z</dcterms:created>
  <dcterms:modified xsi:type="dcterms:W3CDTF">2013-04-26T14:35:00Z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E.802</vt:lpwstr>
  </property>
  <property fmtid="{D5CDD505-2E9C-101B-9397-08002B2CF9AE}" pid="3" name="docdate">
    <vt:lpwstr>8 de febrero de 2007</vt:lpwstr>
  </property>
  <property fmtid="{D5CDD505-2E9C-101B-9397-08002B2CF9AE}" pid="4" name="doctitle">
    <vt:lpwstr>Marco y metodología para la determinación y la aplicación de parámetros de calidad de servicio</vt:lpwstr>
  </property>
  <property fmtid="{D5CDD505-2E9C-101B-9397-08002B2CF9AE}" pid="5" name="doctitle2">
    <vt:lpwstr>SERIE E: EXPLOTACIÓN GENERAL DE LA RED, SERVICIO TELEFÓNICO, EXPLOTACIÓN DEL SERVICIO Y FACTORES HUMANOS Calidad de los servicios de telecomunicación: conceptos, modelos, objetivos, planificación de la seguridad de funcionamiento – Términos y definiciones</vt:lpwstr>
  </property>
</Properties>
</file>