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-790575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7256C1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7256C1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024E8F" w:rsidRDefault="009663D2" w:rsidP="00024E8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2F4E58" w:rsidRPr="002F4E58">
              <w:rPr>
                <w:rFonts w:ascii="Arial" w:hAnsi="Arial"/>
                <w:b/>
                <w:bCs/>
                <w:sz w:val="36"/>
                <w:lang w:val="ru-RU"/>
              </w:rPr>
              <w:t>3</w:t>
            </w:r>
            <w:r w:rsidR="00024E8F" w:rsidRPr="00024E8F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74"/>
            <w:r w:rsidR="00024E8F" w:rsidRPr="00024E8F">
              <w:rPr>
                <w:rFonts w:ascii="Arial" w:hAnsi="Arial"/>
                <w:b/>
                <w:bCs/>
                <w:sz w:val="36"/>
                <w:lang w:val="ru-RU"/>
              </w:rPr>
              <w:t>Упрочение электронных методов работы в деятельности</w:t>
            </w:r>
            <w:r w:rsidR="00024E8F" w:rsidRPr="00024E8F">
              <w:rPr>
                <w:rFonts w:ascii="Arial" w:hAnsi="Arial"/>
                <w:b/>
                <w:bCs/>
                <w:sz w:val="36"/>
                <w:lang w:val="ru-RU"/>
              </w:rPr>
              <w:br/>
              <w:t>Сектора стандартизации электросвязи МСЭ</w:t>
            </w:r>
            <w:bookmarkEnd w:id="6"/>
          </w:p>
        </w:tc>
      </w:tr>
      <w:bookmarkEnd w:id="5"/>
      <w:tr w:rsidR="009663D2" w:rsidRPr="007256C1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206E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206EF3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024E8F" w:rsidRPr="00A524B6" w:rsidRDefault="00024E8F" w:rsidP="00024E8F">
      <w:pPr>
        <w:pStyle w:val="ResNo"/>
        <w:spacing w:before="0"/>
      </w:pPr>
      <w:r w:rsidRPr="00A524B6">
        <w:lastRenderedPageBreak/>
        <w:t xml:space="preserve">РЕЗОЛЮЦИЯ </w:t>
      </w:r>
      <w:r w:rsidRPr="0078376A">
        <w:rPr>
          <w:rStyle w:val="href"/>
        </w:rPr>
        <w:t>32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024E8F" w:rsidRPr="00024E8F" w:rsidRDefault="00024E8F" w:rsidP="00024E8F">
      <w:pPr>
        <w:pStyle w:val="Restitle"/>
        <w:rPr>
          <w:lang w:val="ru-RU"/>
        </w:rPr>
      </w:pPr>
      <w:r w:rsidRPr="00024E8F">
        <w:rPr>
          <w:lang w:val="ru-RU"/>
        </w:rPr>
        <w:t>Упрочение электронных методов работы в деятельности</w:t>
      </w:r>
      <w:r>
        <w:rPr>
          <w:rFonts w:asciiTheme="minorHAnsi" w:hAnsiTheme="minorHAnsi"/>
          <w:lang w:val="ru-RU"/>
        </w:rPr>
        <w:br/>
      </w:r>
      <w:r w:rsidRPr="00024E8F">
        <w:rPr>
          <w:lang w:val="ru-RU"/>
        </w:rPr>
        <w:t>Сектора стандартизации электросвязи МСЭ</w:t>
      </w:r>
    </w:p>
    <w:p w:rsidR="00024E8F" w:rsidRPr="00024E8F" w:rsidRDefault="00024E8F" w:rsidP="00024E8F">
      <w:pPr>
        <w:pStyle w:val="Resref"/>
        <w:rPr>
          <w:lang w:val="ru-RU"/>
        </w:rPr>
      </w:pPr>
      <w:r w:rsidRPr="00024E8F">
        <w:rPr>
          <w:lang w:val="ru-RU"/>
        </w:rPr>
        <w:t>(Монреаль, 2000 г.; Флорианополис, 2004 г.; Йоханнесбург, 2008 г.; Дубай, 2012 г.)</w:t>
      </w:r>
    </w:p>
    <w:p w:rsidR="00024E8F" w:rsidRPr="00024E8F" w:rsidRDefault="00024E8F" w:rsidP="00024E8F">
      <w:pPr>
        <w:pStyle w:val="Normalaftertitle"/>
        <w:rPr>
          <w:lang w:val="ru-RU"/>
        </w:rPr>
      </w:pPr>
      <w:r w:rsidRPr="00024E8F">
        <w:rPr>
          <w:lang w:val="ru-RU"/>
        </w:rPr>
        <w:t>Всемирная ассамблея по стандартизации электросвязи (Дубай, 2012</w:t>
      </w:r>
      <w:r w:rsidRPr="00A524B6">
        <w:t> </w:t>
      </w:r>
      <w:r w:rsidRPr="00024E8F">
        <w:rPr>
          <w:lang w:val="ru-RU"/>
        </w:rPr>
        <w:t>г.),</w:t>
      </w:r>
    </w:p>
    <w:p w:rsidR="00024E8F" w:rsidRPr="00024E8F" w:rsidRDefault="00024E8F" w:rsidP="00024E8F">
      <w:pPr>
        <w:pStyle w:val="Call"/>
        <w:rPr>
          <w:lang w:val="ru-RU"/>
        </w:rPr>
      </w:pPr>
      <w:r w:rsidRPr="00024E8F">
        <w:rPr>
          <w:lang w:val="ru-RU"/>
        </w:rPr>
        <w:t>учитывая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i/>
          <w:iCs/>
          <w:lang w:val="ru-RU"/>
        </w:rPr>
        <w:t>а)</w:t>
      </w:r>
      <w:r w:rsidRPr="00024E8F">
        <w:rPr>
          <w:lang w:val="ru-RU"/>
        </w:rPr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b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что электронные методы работы (ЭМР) обеспечивают возможность для открытого, оперативного и беспрепятственного сотрудничества между всеми участниками деятельности Сектора стандартизации электросвязи МСЭ (МСЭ-Т);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i/>
          <w:iCs/>
          <w:lang w:val="ru-RU"/>
        </w:rPr>
        <w:t>с)</w:t>
      </w:r>
      <w:r w:rsidRPr="00024E8F">
        <w:rPr>
          <w:lang w:val="ru-RU"/>
        </w:rPr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d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что ЭМР будут способствовать совершенствованию методов связи между Членами МСЭ</w:t>
      </w:r>
      <w:r w:rsidRPr="00024E8F">
        <w:rPr>
          <w:lang w:val="ru-RU"/>
        </w:rPr>
        <w:noBreakHyphen/>
        <w:t>Т, а</w:t>
      </w:r>
      <w:r w:rsidRPr="00A524B6">
        <w:t> </w:t>
      </w:r>
      <w:r w:rsidRPr="00024E8F">
        <w:rPr>
          <w:lang w:val="ru-RU"/>
        </w:rPr>
        <w:t>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i/>
          <w:iCs/>
          <w:lang w:val="ru-RU"/>
        </w:rPr>
        <w:t>е)</w:t>
      </w:r>
      <w:r w:rsidRPr="00024E8F">
        <w:rPr>
          <w:lang w:val="ru-RU"/>
        </w:rPr>
        <w:tab/>
        <w:t>ключевую роль Бюро стандартизации электросвязи (БСЭ) в обеспечении поддержки возможностей ЭМР;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f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решения, содержащиеся в Резолюции 66 (Пересм.</w:t>
      </w:r>
      <w:r>
        <w:rPr>
          <w:lang w:val="ru-RU"/>
        </w:rPr>
        <w:t> </w:t>
      </w:r>
      <w:r w:rsidRPr="00024E8F">
        <w:rPr>
          <w:lang w:val="ru-RU"/>
        </w:rPr>
        <w:t>Гвадалахара,</w:t>
      </w:r>
      <w:r w:rsidRPr="00A524B6">
        <w:t> </w:t>
      </w:r>
      <w:r w:rsidRPr="00024E8F">
        <w:rPr>
          <w:lang w:val="ru-RU"/>
        </w:rPr>
        <w:t>2010</w:t>
      </w:r>
      <w:r w:rsidRPr="00A524B6">
        <w:t> </w:t>
      </w:r>
      <w:r w:rsidRPr="00024E8F">
        <w:rPr>
          <w:lang w:val="ru-RU"/>
        </w:rPr>
        <w:t>г.) Полномочной конференции;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g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бюджетные трудности, с которыми сталкиваются развивающиеся страны</w:t>
      </w:r>
      <w:r w:rsidRPr="00024E8F">
        <w:rPr>
          <w:rStyle w:val="FootnoteReference"/>
          <w:lang w:val="ru-RU"/>
        </w:rPr>
        <w:footnoteReference w:customMarkFollows="1" w:id="1"/>
        <w:t>1</w:t>
      </w:r>
      <w:r w:rsidRPr="00024E8F">
        <w:rPr>
          <w:lang w:val="ru-RU"/>
        </w:rPr>
        <w:t>, активно участвующие в очных собраниях МСЭ-Т;</w:t>
      </w:r>
    </w:p>
    <w:p w:rsidR="00024E8F" w:rsidRPr="00024E8F" w:rsidRDefault="00024E8F" w:rsidP="00024E8F">
      <w:pPr>
        <w:rPr>
          <w:lang w:val="ru-RU"/>
        </w:rPr>
      </w:pPr>
      <w:r w:rsidRPr="004E4597">
        <w:rPr>
          <w:i/>
          <w:iCs/>
        </w:rPr>
        <w:t>h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Резолюцию 167 (Гвадалахара,</w:t>
      </w:r>
      <w:r>
        <w:rPr>
          <w:lang w:val="ru-RU"/>
        </w:rPr>
        <w:t> </w:t>
      </w:r>
      <w:r w:rsidRPr="00024E8F">
        <w:rPr>
          <w:lang w:val="ru-RU"/>
        </w:rPr>
        <w:t>2010 г.)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Советом,</w:t>
      </w:r>
    </w:p>
    <w:p w:rsidR="00024E8F" w:rsidRPr="00206EF3" w:rsidRDefault="00024E8F" w:rsidP="00024E8F">
      <w:pPr>
        <w:pStyle w:val="Call"/>
        <w:rPr>
          <w:lang w:val="ru-RU"/>
        </w:rPr>
      </w:pPr>
      <w:r w:rsidRPr="00206EF3">
        <w:rPr>
          <w:lang w:val="ru-RU"/>
        </w:rPr>
        <w:t>отмечая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i/>
          <w:iCs/>
          <w:lang w:val="ru-RU"/>
        </w:rPr>
        <w:t>а)</w:t>
      </w:r>
      <w:r w:rsidRPr="00024E8F">
        <w:rPr>
          <w:lang w:val="ru-RU"/>
        </w:rPr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b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c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желание Членов МСЭ-Т проводить собрания с помощью электронных средств;</w:t>
      </w:r>
    </w:p>
    <w:p w:rsidR="00024E8F" w:rsidRPr="00024E8F" w:rsidRDefault="00024E8F" w:rsidP="00024E8F">
      <w:pPr>
        <w:pageBreakBefore/>
        <w:rPr>
          <w:lang w:val="ru-RU"/>
        </w:rPr>
      </w:pPr>
      <w:r w:rsidRPr="00A524B6">
        <w:rPr>
          <w:i/>
          <w:iCs/>
        </w:rPr>
        <w:lastRenderedPageBreak/>
        <w:t>d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увеличение использования членами портативных компьютеров во время собраний;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e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:rsidR="00024E8F" w:rsidRPr="00024E8F" w:rsidRDefault="00024E8F" w:rsidP="00024E8F">
      <w:pPr>
        <w:rPr>
          <w:lang w:val="ru-RU"/>
        </w:rPr>
      </w:pPr>
      <w:r w:rsidRPr="004E4597">
        <w:rPr>
          <w:i/>
          <w:iCs/>
        </w:rPr>
        <w:t>f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дефицит пропускной способности и другие ограничения, в частности в развивающихся странах;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g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 и т.</w:t>
      </w:r>
      <w:r>
        <w:t> </w:t>
      </w:r>
      <w:r w:rsidRPr="00024E8F">
        <w:rPr>
          <w:lang w:val="ru-RU"/>
        </w:rPr>
        <w:t>д.);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h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поощрение другими организациями по стандартизации электросвязи сотрудничества с использованием ЭМР;</w:t>
      </w:r>
    </w:p>
    <w:p w:rsidR="00024E8F" w:rsidRPr="00024E8F" w:rsidRDefault="00024E8F" w:rsidP="00024E8F">
      <w:pPr>
        <w:rPr>
          <w:lang w:val="ru-RU"/>
        </w:rPr>
      </w:pPr>
      <w:r w:rsidRPr="00A524B6">
        <w:rPr>
          <w:i/>
          <w:iCs/>
        </w:rPr>
        <w:t>i</w:t>
      </w:r>
      <w:r w:rsidRPr="00024E8F">
        <w:rPr>
          <w:i/>
          <w:iCs/>
          <w:lang w:val="ru-RU"/>
        </w:rPr>
        <w:t>)</w:t>
      </w:r>
      <w:r w:rsidRPr="00024E8F">
        <w:rPr>
          <w:lang w:val="ru-RU"/>
        </w:rPr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:rsidR="00024E8F" w:rsidRPr="00024E8F" w:rsidRDefault="00024E8F" w:rsidP="00024E8F">
      <w:pPr>
        <w:pStyle w:val="Call"/>
        <w:rPr>
          <w:lang w:val="ru-RU"/>
        </w:rPr>
      </w:pPr>
      <w:r w:rsidRPr="00024E8F">
        <w:rPr>
          <w:lang w:val="ru-RU"/>
        </w:rPr>
        <w:t>решает</w:t>
      </w:r>
      <w:r w:rsidRPr="00024E8F">
        <w:rPr>
          <w:i w:val="0"/>
          <w:iCs/>
          <w:lang w:val="ru-RU"/>
        </w:rPr>
        <w:t>,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lang w:val="ru-RU"/>
        </w:rPr>
        <w:t>1</w:t>
      </w:r>
      <w:r w:rsidRPr="00024E8F">
        <w:rPr>
          <w:lang w:val="ru-RU"/>
        </w:rPr>
        <w:tab/>
        <w:t>что основные задачи МСЭ-Т, связанные с ЭМР, должны состоять в том: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 xml:space="preserve">чтобы БСЭ в тесном сотрудничестве с Бюро </w:t>
      </w:r>
      <w:r>
        <w:rPr>
          <w:lang w:val="ru-RU"/>
        </w:rPr>
        <w:t>развития</w:t>
      </w:r>
      <w:r w:rsidRPr="00024E8F">
        <w:rPr>
          <w:lang w:val="ru-RU"/>
        </w:rPr>
        <w:t xml:space="preserve"> электросвязи</w:t>
      </w:r>
      <w:r>
        <w:rPr>
          <w:lang w:val="ru-RU"/>
        </w:rPr>
        <w:t xml:space="preserve"> МСЭ</w:t>
      </w:r>
      <w:r w:rsidRPr="00024E8F">
        <w:rPr>
          <w:lang w:val="ru-RU"/>
        </w:rPr>
        <w:t xml:space="preserve"> </w:t>
      </w:r>
      <w:r>
        <w:rPr>
          <w:lang w:val="ru-RU"/>
        </w:rPr>
        <w:t>(</w:t>
      </w:r>
      <w:r w:rsidRPr="00024E8F">
        <w:rPr>
          <w:lang w:val="ru-RU"/>
        </w:rPr>
        <w:t>БРЭ</w:t>
      </w:r>
      <w:r>
        <w:rPr>
          <w:lang w:val="ru-RU"/>
        </w:rPr>
        <w:t>)</w:t>
      </w:r>
      <w:r w:rsidRPr="00024E8F">
        <w:rPr>
          <w:lang w:val="ru-RU"/>
        </w:rPr>
        <w:t xml:space="preserve"> обеспечивало во время собраний, семинаров-практикумов и учебных программ МСЭ-Т средства и возможности ЭМР,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поощрять участие развивающихся стран с помощью электронных средств в собраниях МСЭ-Т посредством разработки более простых механизмов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 xml:space="preserve"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</w:t>
      </w:r>
      <w:r>
        <w:rPr>
          <w:lang w:val="ru-RU"/>
        </w:rPr>
        <w:t xml:space="preserve">путем </w:t>
      </w:r>
      <w:r w:rsidRPr="00024E8F">
        <w:rPr>
          <w:lang w:val="ru-RU"/>
        </w:rPr>
        <w:t>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чтобы БСЭ предоставляло соответствующие системы и средства для поддержки проведения работ в МСЭ-Т с помощью электронных средств; и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lang w:val="ru-RU"/>
        </w:rPr>
        <w:t>2</w:t>
      </w:r>
      <w:r w:rsidRPr="00024E8F">
        <w:rPr>
          <w:lang w:val="ru-RU"/>
        </w:rPr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:rsidR="00024E8F" w:rsidRPr="00024E8F" w:rsidRDefault="00024E8F" w:rsidP="00024E8F">
      <w:pPr>
        <w:pStyle w:val="Call"/>
        <w:keepLines w:val="0"/>
        <w:pageBreakBefore/>
        <w:rPr>
          <w:lang w:val="ru-RU"/>
        </w:rPr>
      </w:pPr>
      <w:r w:rsidRPr="00024E8F">
        <w:rPr>
          <w:lang w:val="ru-RU"/>
        </w:rPr>
        <w:lastRenderedPageBreak/>
        <w:t>поручает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lang w:val="ru-RU"/>
        </w:rPr>
        <w:t>1</w:t>
      </w:r>
      <w:r w:rsidRPr="00024E8F">
        <w:rPr>
          <w:lang w:val="ru-RU"/>
        </w:rPr>
        <w:tab/>
        <w:t>Директору БСЭ: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вести План действий по ЭМР, охватывающий практические и физические аспекты расширения возможностей ЭМР в МСЭ-Т;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на регулярной основе определять и анализировать затраты и выгоды по отдельным пунктам Плана действий;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обеспечить исполнительный орган, бюджет в рамках БСЭ и ресурсы для скорейшего выполнения Плана действий;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разработать и разослать руководящие указания по использованию средств ЭМР в МСЭ-Т;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принять меры для предоставления надлежащих электронных средств для обеспечения участия или наблюдения (например, интернет-вещание, аудиоконференции, интернет</w:t>
      </w:r>
      <w:r w:rsidRPr="00024E8F">
        <w:rPr>
          <w:lang w:val="ru-RU"/>
        </w:rPr>
        <w:noBreakHyphen/>
        <w:t>конференции/совместное использование веб-документов, видеоконференции и т.</w:t>
      </w:r>
      <w:r w:rsidRPr="00A524B6">
        <w:t> </w:t>
      </w:r>
      <w:r w:rsidRPr="00024E8F">
        <w:rPr>
          <w:lang w:val="ru-RU"/>
        </w:rPr>
        <w:t>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 и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создать веб-сайт МСЭ-Т, позволяющий легко осуществлять поиск и находить всю соответствующую информацию;</w:t>
      </w:r>
    </w:p>
    <w:p w:rsidR="00024E8F" w:rsidRPr="00024E8F" w:rsidRDefault="00024E8F" w:rsidP="00024E8F">
      <w:pPr>
        <w:rPr>
          <w:lang w:val="ru-RU"/>
        </w:rPr>
      </w:pPr>
      <w:r w:rsidRPr="00024E8F">
        <w:rPr>
          <w:lang w:val="ru-RU"/>
        </w:rPr>
        <w:t>2</w:t>
      </w:r>
      <w:r w:rsidRPr="00024E8F">
        <w:rPr>
          <w:lang w:val="ru-RU"/>
        </w:rPr>
        <w:tab/>
        <w:t>Рабочей группе по ЭМР в рамках КГСЭ продолжать работу в следующих направлениях: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просить председателей исследовательских комиссий осуществлять взаимодействие по проблемам ЭМР;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:rsidR="00024E8F" w:rsidRPr="00024E8F" w:rsidRDefault="00024E8F" w:rsidP="00024E8F">
      <w:pPr>
        <w:pStyle w:val="enumlev1"/>
        <w:rPr>
          <w:lang w:val="ru-RU"/>
        </w:rPr>
      </w:pPr>
      <w:r w:rsidRPr="00024E8F">
        <w:rPr>
          <w:lang w:val="ru-RU"/>
        </w:rPr>
        <w:t>•</w:t>
      </w:r>
      <w:r w:rsidRPr="00024E8F">
        <w:rPr>
          <w:lang w:val="ru-RU"/>
        </w:rPr>
        <w:tab/>
        <w:t>продолжать работу с помощью электронных средств вне собраний КГСЭ, если это необходимо для выполнения ее задач.</w:t>
      </w: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2F4E58" w:rsidRPr="00024E8F" w:rsidRDefault="002F4E58" w:rsidP="002F4E58">
      <w:pPr>
        <w:rPr>
          <w:lang w:val="ru-RU"/>
        </w:rPr>
      </w:pPr>
    </w:p>
    <w:p w:rsidR="009D584F" w:rsidRPr="00435FDB" w:rsidRDefault="009D584F" w:rsidP="00435FDB">
      <w:pPr>
        <w:pStyle w:val="ResNo"/>
        <w:keepNext w:val="0"/>
        <w:keepLines w:val="0"/>
        <w:spacing w:before="0"/>
      </w:pPr>
    </w:p>
    <w:sectPr w:rsidR="009D584F" w:rsidRPr="00435FDB" w:rsidSect="00206EF3">
      <w:footerReference w:type="even" r:id="rId18"/>
      <w:footerReference w:type="default" r:id="rId19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Default="00206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Default="00206EF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206EF3" w:rsidRDefault="00E61B7B" w:rsidP="00206EF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Pr="009663D2" w:rsidRDefault="00206EF3" w:rsidP="00206EF3">
    <w:pPr>
      <w:pStyle w:val="Footer"/>
      <w:tabs>
        <w:tab w:val="left" w:pos="1134"/>
      </w:tabs>
    </w:pPr>
    <w:r w:rsidRPr="00206EF3">
      <w:rPr>
        <w:bCs/>
        <w:sz w:val="22"/>
        <w:szCs w:val="22"/>
      </w:rPr>
      <w:fldChar w:fldCharType="begin"/>
    </w:r>
    <w:r w:rsidRPr="00206EF3">
      <w:rPr>
        <w:bCs/>
        <w:sz w:val="22"/>
        <w:szCs w:val="22"/>
      </w:rPr>
      <w:instrText xml:space="preserve"> PAGE </w:instrText>
    </w:r>
    <w:r w:rsidRPr="00206EF3">
      <w:rPr>
        <w:bCs/>
        <w:sz w:val="22"/>
        <w:szCs w:val="22"/>
      </w:rPr>
      <w:fldChar w:fldCharType="separate"/>
    </w:r>
    <w:r w:rsidR="007256C1">
      <w:rPr>
        <w:bCs/>
        <w:sz w:val="22"/>
        <w:szCs w:val="22"/>
      </w:rPr>
      <w:t>2</w:t>
    </w:r>
    <w:r w:rsidRPr="00206EF3">
      <w:rPr>
        <w:bCs/>
        <w:sz w:val="22"/>
        <w:szCs w:val="22"/>
      </w:rPr>
      <w:fldChar w:fldCharType="end"/>
    </w:r>
    <w:r>
      <w:rPr>
        <w:b/>
        <w:szCs w:val="22"/>
        <w:lang w:val="ru-RU"/>
      </w:rPr>
      <w:tab/>
    </w:r>
    <w:r w:rsidRPr="00206EF3">
      <w:rPr>
        <w:b/>
        <w:sz w:val="22"/>
        <w:szCs w:val="22"/>
      </w:rPr>
      <w:t>ВАСЭ-</w:t>
    </w:r>
    <w:r w:rsidRPr="00206EF3">
      <w:rPr>
        <w:b/>
        <w:sz w:val="22"/>
        <w:szCs w:val="22"/>
        <w:lang w:val="ru-RU"/>
      </w:rPr>
      <w:t>12</w:t>
    </w:r>
    <w:r w:rsidRPr="00206EF3">
      <w:rPr>
        <w:b/>
        <w:sz w:val="22"/>
        <w:szCs w:val="22"/>
      </w:rPr>
      <w:t xml:space="preserve"> </w:t>
    </w:r>
    <w:r w:rsidRPr="00206EF3">
      <w:rPr>
        <w:b/>
        <w:sz w:val="22"/>
        <w:szCs w:val="22"/>
      </w:rPr>
      <w:sym w:font="Symbol" w:char="F02D"/>
    </w:r>
    <w:r w:rsidRPr="00206EF3">
      <w:rPr>
        <w:b/>
        <w:sz w:val="22"/>
        <w:szCs w:val="22"/>
      </w:rPr>
      <w:t xml:space="preserve"> </w:t>
    </w:r>
    <w:r w:rsidRPr="00206EF3">
      <w:rPr>
        <w:b/>
        <w:caps w:val="0"/>
        <w:sz w:val="22"/>
        <w:szCs w:val="22"/>
        <w:lang w:val="ru-RU"/>
      </w:rPr>
      <w:t xml:space="preserve">Резолюция </w:t>
    </w:r>
    <w:r w:rsidRPr="00206EF3">
      <w:rPr>
        <w:b/>
        <w:sz w:val="22"/>
        <w:szCs w:val="22"/>
      </w:rPr>
      <w:fldChar w:fldCharType="begin"/>
    </w:r>
    <w:r w:rsidRPr="00206EF3">
      <w:rPr>
        <w:b/>
        <w:sz w:val="22"/>
        <w:szCs w:val="22"/>
      </w:rPr>
      <w:instrText xml:space="preserve"> STYLEREF  href  \* MERGEFORMAT </w:instrText>
    </w:r>
    <w:r w:rsidRPr="00206EF3">
      <w:rPr>
        <w:b/>
        <w:sz w:val="22"/>
        <w:szCs w:val="22"/>
      </w:rPr>
      <w:fldChar w:fldCharType="separate"/>
    </w:r>
    <w:r w:rsidR="007256C1">
      <w:rPr>
        <w:b/>
        <w:sz w:val="22"/>
        <w:szCs w:val="22"/>
      </w:rPr>
      <w:t>32</w:t>
    </w:r>
    <w:r w:rsidRPr="00206EF3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Default="00206EF3" w:rsidP="00206EF3">
    <w:pPr>
      <w:pStyle w:val="Footer"/>
      <w:tabs>
        <w:tab w:val="left" w:pos="851"/>
      </w:tabs>
    </w:pPr>
    <w:r>
      <w:rPr>
        <w:lang w:val="en-US"/>
      </w:rPr>
      <w:tab/>
    </w:r>
    <w:r>
      <w:rPr>
        <w:b/>
        <w:bCs/>
        <w:sz w:val="22"/>
        <w:szCs w:val="22"/>
        <w:lang w:val="en-US"/>
      </w:rPr>
      <w:tab/>
    </w:r>
    <w:r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12</w:t>
    </w:r>
    <w:r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sym w:font="Symbol" w:char="F02D"/>
    </w:r>
    <w:r>
      <w:rPr>
        <w:b/>
        <w:bCs/>
        <w:sz w:val="22"/>
        <w:szCs w:val="22"/>
      </w:rPr>
      <w:t xml:space="preserve"> </w:t>
    </w:r>
    <w:r>
      <w:rPr>
        <w:b/>
        <w:bCs/>
        <w:caps w:val="0"/>
        <w:sz w:val="22"/>
        <w:szCs w:val="22"/>
        <w:lang w:val="ru-RU"/>
      </w:rPr>
      <w:t xml:space="preserve">Резолюция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STYLEREF  href  \* MERGEFORMAT </w:instrText>
    </w:r>
    <w:r>
      <w:rPr>
        <w:sz w:val="22"/>
        <w:szCs w:val="22"/>
      </w:rPr>
      <w:fldChar w:fldCharType="separate"/>
    </w:r>
    <w:r w:rsidR="007256C1" w:rsidRPr="007256C1">
      <w:rPr>
        <w:b/>
        <w:bCs/>
        <w:sz w:val="22"/>
        <w:szCs w:val="22"/>
        <w:lang w:val="en-US"/>
      </w:rPr>
      <w:t>32</w:t>
    </w:r>
    <w:r>
      <w:rPr>
        <w:sz w:val="22"/>
        <w:szCs w:val="22"/>
      </w:rPr>
      <w:fldChar w:fldCharType="end"/>
    </w:r>
    <w:r>
      <w:rPr>
        <w:b/>
        <w:b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256C1">
      <w:rPr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024E8F" w:rsidRPr="004E4597" w:rsidRDefault="00024E8F" w:rsidP="00024E8F">
      <w:pPr>
        <w:pStyle w:val="FootnoteText"/>
        <w:rPr>
          <w:lang w:val="ru-RU"/>
        </w:rPr>
      </w:pPr>
      <w:r w:rsidRPr="004E4597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</w:t>
      </w:r>
      <w:r w:rsidRPr="004E4597">
        <w:rPr>
          <w:lang w:val="ru-RU"/>
        </w:rPr>
        <w:t xml:space="preserve">наименее развитые страны, малые островные развивающиеся государства, развивающиеся страны, не имеющие выхода к морю, </w:t>
      </w:r>
      <w:r>
        <w:rPr>
          <w:lang w:val="ru-RU"/>
        </w:rPr>
        <w:t>а также</w:t>
      </w:r>
      <w:r w:rsidRPr="004E4597">
        <w:rPr>
          <w:lang w:val="ru-RU"/>
        </w:rPr>
        <w:t xml:space="preserve"> страны с 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Default="00206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Default="00206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3" w:rsidRDefault="00206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E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8A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0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DA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A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9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C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A0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65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4E8F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6EF3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4E58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35FDB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559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A2B9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256C1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37EB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BF6905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1056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8406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2013-04-22T15:36:00Z</dcterms:created>
  <dcterms:modified xsi:type="dcterms:W3CDTF">2013-04-24T13:37:00Z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