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FD1E42">
              <w:rPr>
                <w:rFonts w:ascii="Arial" w:eastAsia="SimHei" w:hAnsi="Arial" w:cs="Arial"/>
                <w:spacing w:val="255"/>
                <w:sz w:val="28"/>
                <w:szCs w:val="28"/>
                <w:fitText w:val="8222" w:id="344731648"/>
                <w:lang w:eastAsia="zh-CN"/>
              </w:rPr>
              <w:t>国</w:t>
            </w:r>
            <w:r w:rsidRPr="00FD1E42">
              <w:rPr>
                <w:rFonts w:ascii="Arial" w:eastAsia="SimHei" w:hAnsi="Arial" w:cs="Arial"/>
                <w:spacing w:val="255"/>
                <w:sz w:val="28"/>
                <w:szCs w:val="28"/>
                <w:fitText w:val="8222" w:id="344731648"/>
                <w:lang w:val="en-US" w:eastAsia="zh-CN"/>
              </w:rPr>
              <w:t xml:space="preserve">   </w:t>
            </w:r>
            <w:r w:rsidRPr="00FD1E42">
              <w:rPr>
                <w:rFonts w:ascii="Arial" w:eastAsia="SimHei" w:hAnsi="Arial" w:cs="Arial"/>
                <w:spacing w:val="255"/>
                <w:sz w:val="28"/>
                <w:szCs w:val="28"/>
                <w:fitText w:val="8222" w:id="344731648"/>
                <w:lang w:eastAsia="zh-CN"/>
              </w:rPr>
              <w:t>际</w:t>
            </w:r>
            <w:r w:rsidRPr="00FD1E42">
              <w:rPr>
                <w:rFonts w:ascii="Arial" w:eastAsia="SimHei" w:hAnsi="Arial" w:cs="Arial"/>
                <w:spacing w:val="255"/>
                <w:sz w:val="28"/>
                <w:szCs w:val="28"/>
                <w:fitText w:val="8222" w:id="344731648"/>
                <w:lang w:val="en-US" w:eastAsia="zh-CN"/>
              </w:rPr>
              <w:t xml:space="preserve">   </w:t>
            </w:r>
            <w:r w:rsidRPr="00FD1E42">
              <w:rPr>
                <w:rFonts w:ascii="Arial" w:eastAsia="SimHei" w:hAnsi="Arial" w:cs="Arial"/>
                <w:spacing w:val="255"/>
                <w:sz w:val="28"/>
                <w:szCs w:val="28"/>
                <w:fitText w:val="8222" w:id="344731648"/>
                <w:lang w:eastAsia="zh-CN"/>
              </w:rPr>
              <w:t>电</w:t>
            </w:r>
            <w:r w:rsidRPr="00FD1E42">
              <w:rPr>
                <w:rFonts w:ascii="Arial" w:eastAsia="SimHei" w:hAnsi="Arial" w:cs="Arial"/>
                <w:spacing w:val="255"/>
                <w:sz w:val="28"/>
                <w:szCs w:val="28"/>
                <w:fitText w:val="8222" w:id="344731648"/>
                <w:lang w:val="en-US" w:eastAsia="zh-CN"/>
              </w:rPr>
              <w:t xml:space="preserve">   </w:t>
            </w:r>
            <w:r w:rsidRPr="00FD1E42">
              <w:rPr>
                <w:rFonts w:ascii="Arial" w:eastAsia="SimHei" w:hAnsi="Arial" w:cs="Arial"/>
                <w:spacing w:val="255"/>
                <w:sz w:val="28"/>
                <w:szCs w:val="28"/>
                <w:fitText w:val="8222" w:id="344731648"/>
                <w:lang w:eastAsia="zh-CN"/>
              </w:rPr>
              <w:t>信</w:t>
            </w:r>
            <w:r w:rsidRPr="00FD1E42">
              <w:rPr>
                <w:rFonts w:ascii="Arial" w:eastAsia="SimHei" w:hAnsi="Arial" w:cs="Arial"/>
                <w:spacing w:val="255"/>
                <w:sz w:val="28"/>
                <w:szCs w:val="28"/>
                <w:fitText w:val="8222" w:id="344731648"/>
                <w:lang w:val="en-US" w:eastAsia="zh-CN"/>
              </w:rPr>
              <w:t xml:space="preserve">   </w:t>
            </w:r>
            <w:r w:rsidRPr="00FD1E42">
              <w:rPr>
                <w:rFonts w:ascii="Arial" w:eastAsia="SimHei" w:hAnsi="Arial" w:cs="Arial"/>
                <w:spacing w:val="255"/>
                <w:sz w:val="28"/>
                <w:szCs w:val="28"/>
                <w:fitText w:val="8222" w:id="344731648"/>
                <w:lang w:eastAsia="zh-CN"/>
              </w:rPr>
              <w:t>联</w:t>
            </w:r>
            <w:r w:rsidRPr="00FD1E42">
              <w:rPr>
                <w:rFonts w:ascii="Arial" w:eastAsia="SimHei" w:hAnsi="Arial" w:cs="Arial"/>
                <w:spacing w:val="255"/>
                <w:sz w:val="28"/>
                <w:szCs w:val="28"/>
                <w:fitText w:val="8222" w:id="344731648"/>
                <w:lang w:val="en-US" w:eastAsia="zh-CN"/>
              </w:rPr>
              <w:t xml:space="preserve">   </w:t>
            </w:r>
            <w:r w:rsidRPr="00FD1E42">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245D07">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245D07">
              <w:rPr>
                <w:rFonts w:ascii="Arial" w:eastAsia="SimHei" w:hAnsi="Arial" w:cs="Arial"/>
                <w:b/>
                <w:bCs/>
                <w:sz w:val="36"/>
                <w:szCs w:val="28"/>
                <w:lang w:eastAsia="zh-CN"/>
              </w:rPr>
              <w:t>32</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245D07">
              <w:rPr>
                <w:rFonts w:ascii="Arial" w:eastAsia="SimHei" w:hAnsi="Arial" w:cs="Arial"/>
                <w:b/>
                <w:bCs/>
                <w:sz w:val="36"/>
                <w:szCs w:val="28"/>
                <w:lang w:val="en-US" w:eastAsia="zh-CN"/>
              </w:rPr>
              <w:t xml:space="preserve"> </w:t>
            </w:r>
            <w:r w:rsidR="00245D07" w:rsidRPr="00245D07">
              <w:rPr>
                <w:rFonts w:eastAsia="SimHei" w:hint="eastAsia"/>
                <w:b/>
                <w:bCs/>
                <w:sz w:val="36"/>
                <w:szCs w:val="36"/>
                <w:lang w:eastAsia="zh-CN"/>
              </w:rPr>
              <w:t>在国际电联电信标准化部门的工作中加强电子工作方法的使用</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245D07">
      <w:pPr>
        <w:pStyle w:val="ResNo"/>
        <w:spacing w:before="240"/>
        <w:rPr>
          <w:lang w:eastAsia="zh-CN"/>
        </w:rPr>
      </w:pPr>
      <w:bookmarkStart w:id="3" w:name="_Toc348252441"/>
      <w:r w:rsidRPr="0038451B">
        <w:rPr>
          <w:rStyle w:val="href"/>
          <w:rFonts w:hint="eastAsia"/>
        </w:rPr>
        <w:lastRenderedPageBreak/>
        <w:t>第</w:t>
      </w:r>
      <w:r w:rsidRPr="0038451B">
        <w:rPr>
          <w:rStyle w:val="href"/>
        </w:rPr>
        <w:t>32</w:t>
      </w:r>
      <w:r w:rsidRPr="0038451B">
        <w:rPr>
          <w:rStyle w:val="href"/>
          <w:rFonts w:hint="eastAsia"/>
        </w:rPr>
        <w:t>号决议</w:t>
      </w:r>
      <w:r>
        <w:rPr>
          <w:rFonts w:hint="eastAsia"/>
          <w:lang w:eastAsia="zh-CN"/>
        </w:rPr>
        <w:t>（</w:t>
      </w:r>
      <w:r>
        <w:rPr>
          <w:lang w:eastAsia="zh-CN"/>
        </w:rPr>
        <w:t>2012</w:t>
      </w:r>
      <w:r>
        <w:rPr>
          <w:rFonts w:hint="eastAsia"/>
          <w:lang w:eastAsia="zh-CN"/>
        </w:rPr>
        <w:t>年，迪拜，修订版）</w:t>
      </w:r>
      <w:bookmarkEnd w:id="3"/>
    </w:p>
    <w:p w:rsidR="00E413F2" w:rsidRPr="00E04A5F" w:rsidRDefault="00E413F2" w:rsidP="00245D07">
      <w:pPr>
        <w:pStyle w:val="Restitle"/>
        <w:spacing w:before="240"/>
        <w:rPr>
          <w:lang w:eastAsia="zh-CN"/>
        </w:rPr>
      </w:pPr>
      <w:bookmarkStart w:id="4" w:name="_Toc348252442"/>
      <w:r w:rsidRPr="00E04A5F">
        <w:rPr>
          <w:rFonts w:hint="eastAsia"/>
          <w:lang w:eastAsia="zh-CN"/>
        </w:rPr>
        <w:t>在</w:t>
      </w:r>
      <w:r>
        <w:rPr>
          <w:rFonts w:hint="eastAsia"/>
          <w:lang w:eastAsia="zh-CN"/>
        </w:rPr>
        <w:t>国际电联电信标准化部门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4"/>
    </w:p>
    <w:p w:rsidR="00E413F2" w:rsidRPr="00ED4134" w:rsidRDefault="00E413F2" w:rsidP="00E413F2">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r w:rsidRPr="00ED4134">
        <w:rPr>
          <w:rFonts w:hint="eastAsia"/>
          <w:iCs/>
          <w:lang w:eastAsia="zh-CN"/>
        </w:rPr>
        <w:t>）</w:t>
      </w:r>
    </w:p>
    <w:p w:rsidR="00E413F2" w:rsidRDefault="00E413F2" w:rsidP="00E413F2">
      <w:pPr>
        <w:pStyle w:val="Normalaftertitle"/>
        <w:rPr>
          <w:lang w:eastAsia="zh-CN"/>
        </w:rPr>
      </w:pPr>
      <w:r w:rsidRPr="00E04A5F">
        <w:rPr>
          <w:rFonts w:hint="eastAsia"/>
          <w:lang w:eastAsia="zh-CN"/>
        </w:rPr>
        <w:t>世界电信标准化全会（</w:t>
      </w:r>
      <w:r>
        <w:rPr>
          <w:rFonts w:hAnsi="SimSun" w:hint="eastAsia"/>
          <w:color w:val="000000"/>
          <w:spacing w:val="-4"/>
          <w:lang w:eastAsia="zh-CN"/>
        </w:rPr>
        <w:t>2012</w:t>
      </w:r>
      <w:r>
        <w:rPr>
          <w:rFonts w:hAnsi="SimSun" w:hint="eastAsia"/>
          <w:color w:val="000000"/>
          <w:spacing w:val="-4"/>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ED4134">
        <w:rPr>
          <w:i/>
          <w:iCs/>
          <w:lang w:eastAsia="zh-CN"/>
        </w:rPr>
        <w:t>a)</w:t>
      </w:r>
      <w:r w:rsidRPr="00E04A5F">
        <w:rPr>
          <w:rFonts w:hint="eastAsia"/>
          <w:lang w:eastAsia="zh-CN"/>
        </w:rPr>
        <w:tab/>
      </w:r>
      <w:r w:rsidRPr="00E04A5F">
        <w:rPr>
          <w:rFonts w:hint="eastAsia"/>
          <w:lang w:eastAsia="zh-CN"/>
        </w:rPr>
        <w:t>技术的迅速变化和随之产生的完善及加快标准制定工作的需要；</w:t>
      </w:r>
    </w:p>
    <w:p w:rsidR="00E413F2" w:rsidRPr="00E04A5F" w:rsidRDefault="00E413F2" w:rsidP="00E413F2">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开放、迅速和方便的合作；</w:t>
      </w:r>
    </w:p>
    <w:p w:rsidR="00E413F2" w:rsidRPr="00E04A5F" w:rsidRDefault="00E413F2" w:rsidP="00E413F2">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均大有裨益，因为这</w:t>
      </w:r>
      <w:r>
        <w:rPr>
          <w:rFonts w:hint="eastAsia"/>
          <w:lang w:eastAsia="zh-CN"/>
        </w:rPr>
        <w:t>有利于</w:t>
      </w:r>
      <w:r w:rsidRPr="00E04A5F">
        <w:rPr>
          <w:rFonts w:hint="eastAsia"/>
          <w:lang w:eastAsia="zh-CN"/>
        </w:rPr>
        <w:t>他们及时和有效地了解标准信息以及标准制定与批准进程；</w:t>
      </w:r>
    </w:p>
    <w:p w:rsidR="00E413F2" w:rsidRDefault="00E413F2" w:rsidP="00E413F2">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
    <w:p w:rsidR="00E413F2" w:rsidRPr="00E04A5F" w:rsidRDefault="00E413F2" w:rsidP="00E413F2">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
    <w:p w:rsidR="00E413F2" w:rsidRPr="00E04A5F" w:rsidRDefault="00E413F2" w:rsidP="00E413F2">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，修订版）中</w:t>
      </w:r>
      <w:r>
        <w:rPr>
          <w:rFonts w:hint="eastAsia"/>
          <w:lang w:eastAsia="zh-CN"/>
        </w:rPr>
        <w:t>所</w:t>
      </w:r>
      <w:r w:rsidRPr="00E04A5F">
        <w:rPr>
          <w:rFonts w:hint="eastAsia"/>
          <w:lang w:eastAsia="zh-CN"/>
        </w:rPr>
        <w:t>包含的决定；</w:t>
      </w:r>
    </w:p>
    <w:p w:rsidR="00E413F2" w:rsidRDefault="00E413F2" w:rsidP="00E413F2">
      <w:pPr>
        <w:rPr>
          <w:lang w:eastAsia="zh-CN"/>
        </w:rPr>
      </w:pPr>
      <w:r w:rsidRPr="00ED4134">
        <w:rPr>
          <w:rFonts w:hint="eastAsia"/>
          <w:i/>
          <w:iCs/>
          <w:lang w:eastAsia="zh-CN"/>
        </w:rPr>
        <w:t>g)</w:t>
      </w:r>
      <w:r w:rsidRPr="00E04A5F">
        <w:rPr>
          <w:rFonts w:hint="eastAsia"/>
          <w:lang w:eastAsia="zh-CN"/>
        </w:rPr>
        <w:tab/>
      </w:r>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
    <w:p w:rsidR="00E413F2" w:rsidRPr="0075177D" w:rsidRDefault="00E413F2" w:rsidP="00E413F2">
      <w:pPr>
        <w:rPr>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r>
        <w:rPr>
          <w:rFonts w:hint="eastAsia"/>
          <w:lang w:eastAsia="zh-CN"/>
        </w:rPr>
        <w:t>2010</w:t>
      </w:r>
      <w:r>
        <w:rPr>
          <w:rFonts w:hint="eastAsia"/>
          <w:lang w:eastAsia="zh-CN"/>
        </w:rPr>
        <w:t>年，瓜达拉哈拉）做出决议，国际电联应进一步开发通过电子方式远程参加国际电联会议（包括理事会成立的工作组会议）的设施和能力，</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成员及时收到电子格式文件的愿望和减少会议期间产生的和邮寄的数量与日俱增的纸质文件的必要性；</w:t>
      </w:r>
    </w:p>
    <w:p w:rsidR="00E413F2" w:rsidRPr="00E04A5F" w:rsidRDefault="00E413F2" w:rsidP="00E413F2">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采用，如电子文件提交和电子论坛服务；</w:t>
      </w:r>
    </w:p>
    <w:p w:rsidR="00E413F2" w:rsidRPr="00E04A5F" w:rsidRDefault="00E413F2" w:rsidP="00E413F2">
      <w:pPr>
        <w:rPr>
          <w:lang w:eastAsia="zh-CN"/>
        </w:rPr>
      </w:pPr>
      <w:r w:rsidRPr="00ED4134">
        <w:rPr>
          <w:rFonts w:hint="eastAsia"/>
          <w:i/>
          <w:iCs/>
          <w:lang w:eastAsia="zh-CN"/>
        </w:rPr>
        <w:t>c)</w:t>
      </w:r>
      <w:r w:rsidRPr="00E04A5F">
        <w:rPr>
          <w:rFonts w:hint="eastAsia"/>
          <w:lang w:eastAsia="zh-CN"/>
        </w:rPr>
        <w:tab/>
        <w:t>ITU-T</w:t>
      </w:r>
      <w:r w:rsidRPr="00E04A5F">
        <w:rPr>
          <w:rFonts w:hint="eastAsia"/>
          <w:lang w:eastAsia="zh-CN"/>
        </w:rPr>
        <w:t>成员要求召开电子会议的愿望；</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Default="00E413F2" w:rsidP="00E413F2">
      <w:pPr>
        <w:rPr>
          <w:lang w:eastAsia="zh-CN"/>
        </w:rPr>
      </w:pPr>
      <w:r w:rsidRPr="00ED4134">
        <w:rPr>
          <w:rFonts w:hint="eastAsia"/>
          <w:i/>
          <w:iCs/>
          <w:lang w:eastAsia="zh-CN"/>
        </w:rPr>
        <w:lastRenderedPageBreak/>
        <w:t>d)</w:t>
      </w:r>
      <w:r w:rsidRPr="00E04A5F">
        <w:rPr>
          <w:rFonts w:hint="eastAsia"/>
          <w:lang w:eastAsia="zh-CN"/>
        </w:rPr>
        <w:tab/>
      </w:r>
      <w:r w:rsidRPr="00E04A5F">
        <w:rPr>
          <w:rFonts w:hint="eastAsia"/>
          <w:lang w:eastAsia="zh-CN"/>
        </w:rPr>
        <w:t>成员在会议期间越来越多地使用便携式计算机；</w:t>
      </w:r>
    </w:p>
    <w:p w:rsidR="00E413F2" w:rsidRDefault="00E413F2" w:rsidP="00E413F2">
      <w:pPr>
        <w:rPr>
          <w:lang w:eastAsia="zh-CN"/>
        </w:rPr>
      </w:pPr>
      <w:r w:rsidRPr="00ED4134">
        <w:rPr>
          <w:rFonts w:hint="eastAsia"/>
          <w:i/>
          <w:iCs/>
          <w:lang w:eastAsia="zh-CN"/>
        </w:rPr>
        <w:t>e)</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式参加建议书的制定和批准工作，对于成员（尤其是不能参加在日内瓦或其它地方举行的研究组会议的成员）的好处；</w:t>
      </w:r>
    </w:p>
    <w:p w:rsidR="00E413F2" w:rsidRPr="00F92CD8" w:rsidRDefault="00E413F2" w:rsidP="00E413F2">
      <w:pPr>
        <w:rPr>
          <w:szCs w:val="24"/>
          <w:lang w:eastAsia="zh-CN"/>
        </w:rPr>
      </w:pPr>
      <w:r w:rsidRPr="00F92CD8">
        <w:rPr>
          <w:i/>
          <w:iCs/>
          <w:szCs w:val="24"/>
          <w:lang w:eastAsia="zh-CN"/>
        </w:rPr>
        <w:t>f)</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r w:rsidRPr="00F92CD8">
        <w:rPr>
          <w:rFonts w:hint="eastAsia"/>
          <w:szCs w:val="24"/>
          <w:lang w:eastAsia="zh-CN"/>
        </w:rPr>
        <w:t>尤其是发展中国家；</w:t>
      </w:r>
    </w:p>
    <w:p w:rsidR="00E413F2" w:rsidRPr="00E04A5F" w:rsidRDefault="00E413F2" w:rsidP="00E413F2">
      <w:pPr>
        <w:rPr>
          <w:lang w:eastAsia="zh-CN"/>
        </w:rPr>
      </w:pPr>
      <w:r>
        <w:rPr>
          <w:rFonts w:hint="eastAsia"/>
          <w:i/>
          <w:iCs/>
          <w:lang w:eastAsia="zh-CN"/>
        </w:rPr>
        <w:t>g)</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减少散发纸质文件、差旅等项费用）；</w:t>
      </w:r>
    </w:p>
    <w:p w:rsidR="00E413F2" w:rsidRPr="00E04A5F" w:rsidRDefault="00E413F2" w:rsidP="00E413F2">
      <w:pPr>
        <w:rPr>
          <w:lang w:eastAsia="zh-CN"/>
        </w:rPr>
      </w:pPr>
      <w:r>
        <w:rPr>
          <w:rFonts w:hint="eastAsia"/>
          <w:i/>
          <w:iCs/>
          <w:lang w:eastAsia="zh-CN"/>
        </w:rPr>
        <w:t>h)</w:t>
      </w:r>
      <w:r w:rsidRPr="00E04A5F">
        <w:rPr>
          <w:rFonts w:hint="eastAsia"/>
          <w:lang w:eastAsia="zh-CN"/>
        </w:rPr>
        <w:tab/>
      </w:r>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
    <w:p w:rsidR="00E413F2" w:rsidRDefault="00E413F2" w:rsidP="00E413F2">
      <w:pPr>
        <w:rPr>
          <w:lang w:eastAsia="zh-CN"/>
        </w:rPr>
      </w:pPr>
      <w:r>
        <w:rPr>
          <w:rFonts w:hint="eastAsia"/>
          <w:i/>
          <w:iCs/>
          <w:lang w:eastAsia="zh-CN"/>
        </w:rPr>
        <w:t>i)</w:t>
      </w:r>
      <w:r w:rsidRPr="00E04A5F">
        <w:rPr>
          <w:rFonts w:hint="eastAsia"/>
          <w:lang w:eastAsia="zh-CN"/>
        </w:rPr>
        <w:tab/>
      </w:r>
      <w:r w:rsidRPr="00E04A5F">
        <w:rPr>
          <w:rFonts w:hint="eastAsia"/>
          <w:lang w:eastAsia="zh-CN"/>
        </w:rPr>
        <w:t>替换批准程序（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rsidR="00E413F2" w:rsidRPr="00E04A5F" w:rsidRDefault="00E413F2" w:rsidP="00E413F2">
      <w:pPr>
        <w:pStyle w:val="Call"/>
        <w:rPr>
          <w:lang w:eastAsia="zh-CN"/>
        </w:rPr>
      </w:pPr>
      <w:r w:rsidRPr="00E04A5F">
        <w:rPr>
          <w:rFonts w:hint="eastAsia"/>
          <w:lang w:eastAsia="zh-CN"/>
        </w:rPr>
        <w:t>做出决议</w:t>
      </w:r>
    </w:p>
    <w:p w:rsidR="00E413F2" w:rsidRPr="00E04A5F" w:rsidRDefault="00E413F2" w:rsidP="00E413F2">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
    <w:p w:rsidR="00E413F2" w:rsidRDefault="00E413F2" w:rsidP="00E413F2">
      <w:pPr>
        <w:pStyle w:val="enumlev10"/>
        <w:rPr>
          <w:lang w:eastAsia="zh-CN"/>
        </w:rPr>
      </w:pPr>
      <w:r w:rsidRPr="00E04A5F">
        <w:rPr>
          <w:lang w:eastAsia="zh-CN"/>
        </w:rPr>
        <w:t>•</w:t>
      </w:r>
      <w:r w:rsidRPr="00E04A5F">
        <w:rPr>
          <w:rFonts w:hint="eastAsia"/>
          <w:lang w:eastAsia="zh-CN"/>
        </w:rPr>
        <w:tab/>
      </w:r>
      <w:r w:rsidR="00B84B8B">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r w:rsidRPr="00E04A5F">
        <w:rPr>
          <w:rFonts w:hint="eastAsia"/>
          <w:lang w:eastAsia="zh-CN"/>
        </w:rPr>
        <w:t>；</w:t>
      </w:r>
    </w:p>
    <w:p w:rsidR="00E413F2" w:rsidRDefault="00E413F2" w:rsidP="00E413F2">
      <w:pPr>
        <w:pStyle w:val="enumlev10"/>
        <w:rPr>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ITU-T</w:t>
      </w:r>
      <w:r>
        <w:rPr>
          <w:rFonts w:hint="eastAsia"/>
          <w:lang w:eastAsia="zh-CN"/>
        </w:rPr>
        <w:t>会议；</w:t>
      </w:r>
    </w:p>
    <w:p w:rsidR="00E413F2" w:rsidRPr="00E04A5F" w:rsidRDefault="00E413F2" w:rsidP="00E413F2">
      <w:pPr>
        <w:pStyle w:val="enumlev10"/>
        <w:rPr>
          <w:lang w:eastAsia="zh-CN"/>
        </w:rPr>
      </w:pPr>
      <w:r>
        <w:rPr>
          <w:lang w:eastAsia="zh-CN"/>
        </w:rPr>
        <w:t>•</w:t>
      </w:r>
      <w:r>
        <w:rPr>
          <w:lang w:eastAsia="zh-CN"/>
        </w:rPr>
        <w:tab/>
      </w:r>
      <w:r w:rsidR="00B84B8B">
        <w:rPr>
          <w:rFonts w:hint="eastAsia"/>
          <w:lang w:eastAsia="zh-CN"/>
        </w:rPr>
        <w:t>电信标准化局</w:t>
      </w:r>
      <w:r>
        <w:rPr>
          <w:rFonts w:hint="eastAsia"/>
          <w:lang w:eastAsia="zh-CN"/>
        </w:rPr>
        <w:t>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设施和能力，在理事会授权的额度内，通过免除与会者支付除本地话费和上网费以外的一切费用，鼓励发展中国家代表的与会；</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00B84B8B">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成员获取其工作所需的电子文件，其中包括全面、统一的综合文件跟踪</w:t>
      </w:r>
      <w:r>
        <w:rPr>
          <w:rFonts w:hint="eastAsia"/>
          <w:lang w:eastAsia="zh-CN"/>
        </w:rPr>
        <w:t>方式</w:t>
      </w:r>
      <w:r w:rsidRPr="00E04A5F">
        <w:rPr>
          <w:rFonts w:hint="eastAsia"/>
          <w:lang w:eastAsia="zh-CN"/>
        </w:rPr>
        <w:t>；</w:t>
      </w:r>
    </w:p>
    <w:p w:rsidR="00E413F2" w:rsidRPr="00B94836" w:rsidRDefault="00E413F2" w:rsidP="00E413F2">
      <w:pPr>
        <w:pStyle w:val="enumlev10"/>
        <w:rPr>
          <w:szCs w:val="24"/>
          <w:lang w:eastAsia="zh-CN"/>
        </w:rPr>
      </w:pPr>
      <w:r w:rsidRPr="00B94836">
        <w:rPr>
          <w:szCs w:val="24"/>
          <w:lang w:eastAsia="zh-CN"/>
        </w:rPr>
        <w:t>•</w:t>
      </w:r>
      <w:r w:rsidRPr="00B94836">
        <w:rPr>
          <w:rFonts w:hint="eastAsia"/>
          <w:szCs w:val="24"/>
          <w:lang w:eastAsia="zh-CN"/>
        </w:rPr>
        <w:tab/>
      </w:r>
      <w:r w:rsidR="00B84B8B">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ITU-T</w:t>
      </w:r>
      <w:r w:rsidRPr="00B94836">
        <w:rPr>
          <w:rFonts w:hint="eastAsia"/>
          <w:szCs w:val="24"/>
          <w:lang w:eastAsia="zh-CN"/>
        </w:rPr>
        <w:t>的工作；及</w:t>
      </w:r>
    </w:p>
    <w:p w:rsidR="00E413F2" w:rsidRPr="00B94836" w:rsidRDefault="00E413F2" w:rsidP="00E413F2">
      <w:pPr>
        <w:pStyle w:val="enumlev10"/>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研究组的所有活动、程序、研究和报告，以</w:t>
      </w:r>
      <w:r>
        <w:rPr>
          <w:rFonts w:hint="eastAsia"/>
          <w:szCs w:val="24"/>
          <w:lang w:eastAsia="zh-CN"/>
        </w:rPr>
        <w:t>方便</w:t>
      </w:r>
      <w:r w:rsidRPr="00B94836">
        <w:rPr>
          <w:rFonts w:hint="eastAsia"/>
          <w:szCs w:val="24"/>
          <w:lang w:eastAsia="zh-CN"/>
        </w:rPr>
        <w:t>引导搜寻所有相关信息的方式，</w:t>
      </w:r>
    </w:p>
    <w:p w:rsidR="00E413F2" w:rsidRDefault="00E413F2" w:rsidP="00E413F2">
      <w:pPr>
        <w:rPr>
          <w:lang w:eastAsia="zh-CN"/>
        </w:rPr>
      </w:pPr>
      <w:proofErr w:type="gramStart"/>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行动计划系统提出，</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sidR="00B84B8B">
        <w:rPr>
          <w:rFonts w:hint="eastAsia"/>
          <w:lang w:eastAsia="zh-CN"/>
        </w:rPr>
        <w:t>电信标准化局</w:t>
      </w:r>
      <w:r w:rsidRPr="00B94836">
        <w:rPr>
          <w:rFonts w:hint="eastAsia"/>
          <w:szCs w:val="24"/>
          <w:lang w:eastAsia="zh-CN"/>
        </w:rPr>
        <w:t>确定、并由</w:t>
      </w:r>
      <w:r w:rsidR="00B84B8B">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roofErr w:type="gramEnd"/>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责成</w:t>
      </w:r>
    </w:p>
    <w:p w:rsidR="00E413F2" w:rsidRPr="00E04A5F" w:rsidRDefault="00E413F2" w:rsidP="00E413F2">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ITU-T EWM</w:t>
      </w:r>
      <w:r w:rsidRPr="00E04A5F">
        <w:rPr>
          <w:rFonts w:hint="eastAsia"/>
          <w:lang w:eastAsia="zh-CN"/>
        </w:rPr>
        <w:t>能力过程中的实际和具体的问题；</w:t>
      </w:r>
    </w:p>
    <w:p w:rsidR="00E413F2"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定期确定和审</w:t>
      </w:r>
      <w:r>
        <w:rPr>
          <w:rFonts w:hint="eastAsia"/>
          <w:lang w:eastAsia="zh-CN"/>
        </w:rPr>
        <w:t>查</w:t>
      </w:r>
      <w:r w:rsidRPr="00E04A5F">
        <w:rPr>
          <w:rFonts w:hint="eastAsia"/>
          <w:lang w:eastAsia="zh-CN"/>
        </w:rPr>
        <w:t>行动项目的费用和益处；</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会议报告行动计划的进展情况，包括上述费用和益处的审查结果</w:t>
      </w:r>
      <w:r w:rsidRPr="00E04A5F">
        <w:rPr>
          <w:rFonts w:hint="eastAsia"/>
          <w:lang w:eastAsia="zh-CN"/>
        </w:rPr>
        <w:t>；</w:t>
      </w:r>
    </w:p>
    <w:p w:rsidR="00E413F2"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r w:rsidR="00B84B8B">
        <w:rPr>
          <w:rFonts w:hint="eastAsia"/>
          <w:lang w:eastAsia="zh-CN"/>
        </w:rPr>
        <w:t>电信标准化局</w:t>
      </w:r>
      <w:r w:rsidRPr="00E04A5F">
        <w:rPr>
          <w:rFonts w:hint="eastAsia"/>
          <w:lang w:eastAsia="zh-CN"/>
        </w:rPr>
        <w:t>的内部预算和资源；</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ITU-T EWM</w:t>
      </w:r>
      <w:r w:rsidRPr="00E04A5F">
        <w:rPr>
          <w:rFonts w:hint="eastAsia"/>
          <w:lang w:eastAsia="zh-CN"/>
        </w:rPr>
        <w:t>设备和能力制定并传播指导原则；</w:t>
      </w:r>
    </w:p>
    <w:p w:rsidR="00E413F2" w:rsidRPr="00B94836" w:rsidRDefault="00E413F2" w:rsidP="00E413F2">
      <w:pPr>
        <w:pStyle w:val="enumlev10"/>
        <w:rPr>
          <w:szCs w:val="24"/>
          <w:lang w:eastAsia="zh-CN"/>
        </w:rPr>
      </w:pPr>
      <w:r w:rsidRPr="00E04A5F">
        <w:rPr>
          <w:lang w:eastAsia="zh-CN"/>
        </w:rPr>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sidR="00B84B8B">
        <w:rPr>
          <w:rFonts w:hint="eastAsia"/>
          <w:szCs w:val="24"/>
          <w:lang w:eastAsia="zh-CN"/>
        </w:rPr>
        <w:t>电信发展局</w:t>
      </w:r>
      <w:r w:rsidRPr="00B94836">
        <w:rPr>
          <w:rFonts w:hint="eastAsia"/>
          <w:szCs w:val="24"/>
          <w:lang w:eastAsia="zh-CN"/>
        </w:rPr>
        <w:t>协调，协助提供这类设施；以及</w:t>
      </w:r>
    </w:p>
    <w:p w:rsidR="00E413F2" w:rsidRPr="00F825E5" w:rsidRDefault="00E413F2" w:rsidP="00E413F2">
      <w:pPr>
        <w:pStyle w:val="enumlev10"/>
        <w:rPr>
          <w:szCs w:val="24"/>
          <w:lang w:val="en-US"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r>
        <w:rPr>
          <w:rFonts w:hint="eastAsia"/>
          <w:szCs w:val="24"/>
          <w:lang w:eastAsia="zh-CN"/>
        </w:rPr>
        <w:t>，</w:t>
      </w:r>
    </w:p>
    <w:p w:rsidR="00E413F2" w:rsidRPr="00E04A5F" w:rsidRDefault="00E413F2" w:rsidP="00E413F2">
      <w:pPr>
        <w:rPr>
          <w:lang w:eastAsia="zh-CN"/>
        </w:rPr>
      </w:pPr>
      <w:r w:rsidRPr="00B94836">
        <w:rPr>
          <w:rFonts w:hint="eastAsia"/>
          <w:szCs w:val="24"/>
          <w:lang w:eastAsia="zh-CN"/>
        </w:rPr>
        <w:t>2</w:t>
      </w:r>
      <w:r w:rsidRPr="00B94836">
        <w:rPr>
          <w:szCs w:val="24"/>
          <w:lang w:eastAsia="zh-CN"/>
        </w:rPr>
        <w:tab/>
      </w:r>
      <w:r>
        <w:rPr>
          <w:rFonts w:hint="eastAsia"/>
          <w:szCs w:val="24"/>
          <w:lang w:eastAsia="zh-CN"/>
        </w:rPr>
        <w:t>电信标准化顾问组</w:t>
      </w:r>
      <w:r w:rsidRPr="00B94836">
        <w:rPr>
          <w:rFonts w:hint="eastAsia"/>
          <w:szCs w:val="24"/>
          <w:lang w:eastAsia="zh-CN"/>
        </w:rPr>
        <w:t>EWM</w:t>
      </w:r>
      <w:r w:rsidRPr="00B94836">
        <w:rPr>
          <w:rFonts w:hint="eastAsia"/>
          <w:szCs w:val="24"/>
          <w:lang w:eastAsia="zh-CN"/>
        </w:rPr>
        <w:t>工作组继续</w:t>
      </w:r>
      <w:r w:rsidRPr="00E04A5F">
        <w:rPr>
          <w:rFonts w:hint="eastAsia"/>
          <w:lang w:eastAsia="zh-CN"/>
        </w:rPr>
        <w:t>：</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w:t>
      </w:r>
      <w:r w:rsidR="00B84B8B">
        <w:rPr>
          <w:rFonts w:hint="eastAsia"/>
          <w:lang w:eastAsia="zh-CN"/>
        </w:rPr>
        <w:t>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行事，尤其就行动计划的内容、优先</w:t>
      </w:r>
      <w:r>
        <w:rPr>
          <w:rFonts w:hint="eastAsia"/>
          <w:lang w:eastAsia="zh-CN"/>
        </w:rPr>
        <w:t>顺序</w:t>
      </w:r>
      <w:r w:rsidRPr="00E04A5F">
        <w:rPr>
          <w:rFonts w:hint="eastAsia"/>
          <w:lang w:eastAsia="zh-CN"/>
        </w:rPr>
        <w:t>和实施情况提供反馈和意见；</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和试点项目，确定用户需要</w:t>
      </w:r>
      <w:r>
        <w:rPr>
          <w:rFonts w:hint="eastAsia"/>
          <w:lang w:eastAsia="zh-CN"/>
        </w:rPr>
        <w:t>并计划</w:t>
      </w:r>
      <w:r w:rsidRPr="00E04A5F">
        <w:rPr>
          <w:rFonts w:hint="eastAsia"/>
          <w:lang w:eastAsia="zh-CN"/>
        </w:rPr>
        <w:t>采取适当措施；</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
    <w:p w:rsidR="00E413F2" w:rsidRDefault="00E413F2" w:rsidP="00E413F2">
      <w:pPr>
        <w:pStyle w:val="enumlev10"/>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Pr="00E04A5F" w:rsidRDefault="00B047CD" w:rsidP="00E413F2">
      <w:pPr>
        <w:pStyle w:val="enumlev10"/>
        <w:rPr>
          <w:lang w:eastAsia="zh-CN"/>
        </w:rPr>
      </w:pPr>
      <w:bookmarkStart w:id="5" w:name="_GoBack"/>
      <w:bookmarkEnd w:id="5"/>
    </w:p>
    <w:sectPr w:rsidR="00B047CD" w:rsidRPr="00E04A5F" w:rsidSect="00245D07">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42" w:rsidRDefault="00FD1E42">
      <w:r>
        <w:separator/>
      </w:r>
    </w:p>
  </w:endnote>
  <w:endnote w:type="continuationSeparator" w:id="0">
    <w:p w:rsidR="00FD1E42" w:rsidRDefault="00FD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45D07">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245D07">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245D07">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245D07">
      <w:rPr>
        <w:rFonts w:hint="eastAsia"/>
        <w:lang w:val="en-US" w:eastAsia="zh-CN"/>
      </w:rPr>
      <w:t>第</w:t>
    </w:r>
    <w:r w:rsidR="00245D07">
      <w:rPr>
        <w:rFonts w:hint="eastAsia"/>
        <w:lang w:val="en-US" w:eastAsia="zh-CN"/>
      </w:rPr>
      <w:t>32</w:t>
    </w:r>
    <w:r w:rsidR="00245D07">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245D07">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245D07">
      <w:rPr>
        <w:rFonts w:hint="eastAsia"/>
        <w:lang w:val="en-US" w:eastAsia="zh-CN"/>
      </w:rPr>
      <w:t>第</w:t>
    </w:r>
    <w:r w:rsidR="00245D07">
      <w:rPr>
        <w:rFonts w:hint="eastAsia"/>
        <w:lang w:val="en-US" w:eastAsia="zh-CN"/>
      </w:rPr>
      <w:t>32</w:t>
    </w:r>
    <w:r w:rsidR="00245D07">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245D07">
      <w:rPr>
        <w:b w:val="0"/>
        <w:lang w:val="en-US" w:eastAsia="zh-CN"/>
      </w:rPr>
      <w:t>3</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42" w:rsidRDefault="00FD1E42">
      <w:r>
        <w:t>____________________</w:t>
      </w:r>
    </w:p>
  </w:footnote>
  <w:footnote w:type="continuationSeparator" w:id="0">
    <w:p w:rsidR="00FD1E42" w:rsidRDefault="00FD1E42">
      <w:r>
        <w:continuationSeparator/>
      </w:r>
    </w:p>
  </w:footnote>
  <w:footnote w:id="1">
    <w:p w:rsidR="0061564D" w:rsidRPr="005A1496" w:rsidRDefault="0061564D" w:rsidP="00E413F2">
      <w:pPr>
        <w:pStyle w:val="FootnoteText"/>
        <w:rPr>
          <w:szCs w:val="22"/>
          <w:lang w:eastAsia="zh-CN"/>
        </w:rPr>
      </w:pPr>
      <w:r>
        <w:rPr>
          <w:rStyle w:val="FootnoteReference"/>
          <w:lang w:eastAsia="zh-CN"/>
        </w:rPr>
        <w:t>1</w:t>
      </w:r>
      <w:r>
        <w:rPr>
          <w:rFonts w:hint="eastAsia"/>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5D07"/>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1998"/>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1E4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B3972-5F91-434D-9279-DE4FA542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7</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2013-04-18T08:14:00Z</dcterms:created>
  <dcterms:modified xsi:type="dcterms:W3CDTF">2013-04-18T14:29:00Z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