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FA742C" w:rsidRPr="0033681A" w14:paraId="44EED4BC" w14:textId="77777777" w:rsidTr="00CA058D">
        <w:trPr>
          <w:trHeight w:hRule="exact" w:val="426"/>
        </w:trPr>
        <w:tc>
          <w:tcPr>
            <w:tcW w:w="5070" w:type="dxa"/>
            <w:gridSpan w:val="2"/>
          </w:tcPr>
          <w:p w14:paraId="6AD8D60C" w14:textId="77777777" w:rsidR="00FA742C" w:rsidRPr="0033681A" w:rsidRDefault="00FA742C" w:rsidP="00CA058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1B988339" w14:textId="77777777" w:rsidR="00FA742C" w:rsidRPr="00EA2A26" w:rsidRDefault="00FA742C" w:rsidP="00CA058D">
            <w:pPr>
              <w:spacing w:before="60"/>
              <w:jc w:val="right"/>
              <w:rPr>
                <w:rFonts w:ascii="Arial" w:eastAsia="Avenir Next W1G Medium" w:hAnsi="Arial" w:cs="Arial"/>
                <w:sz w:val="24"/>
                <w:szCs w:val="24"/>
              </w:rPr>
            </w:pPr>
            <w:r w:rsidRPr="00347EE0">
              <w:rPr>
                <w:rFonts w:ascii="Arial" w:eastAsia="Avenir Next W1G Medium" w:hAnsi="Arial" w:cs="Arial"/>
                <w:b/>
                <w:spacing w:val="-4"/>
                <w:sz w:val="24"/>
                <w:szCs w:val="24"/>
              </w:rPr>
              <w:t>Unión Internacional de Telecomunicaciones</w:t>
            </w:r>
          </w:p>
        </w:tc>
      </w:tr>
      <w:tr w:rsidR="00FA742C" w:rsidRPr="0033681A" w14:paraId="1B573C4E" w14:textId="77777777" w:rsidTr="00CA058D">
        <w:trPr>
          <w:trHeight w:hRule="exact" w:val="992"/>
        </w:trPr>
        <w:tc>
          <w:tcPr>
            <w:tcW w:w="5070" w:type="dxa"/>
            <w:gridSpan w:val="2"/>
          </w:tcPr>
          <w:p w14:paraId="1963FE86" w14:textId="77777777" w:rsidR="00FA742C" w:rsidRPr="00EA2A26" w:rsidRDefault="00FA742C" w:rsidP="00CA058D">
            <w:pPr>
              <w:spacing w:before="0"/>
              <w:rPr>
                <w:rFonts w:ascii="Arial" w:eastAsia="Avenir Next W1G Medium" w:hAnsi="Arial" w:cs="Arial"/>
                <w:sz w:val="24"/>
                <w:szCs w:val="24"/>
              </w:rPr>
            </w:pPr>
            <w:r>
              <w:rPr>
                <w:rFonts w:ascii="Arial" w:eastAsia="Avenir Next W1G Medium" w:hAnsi="Arial" w:cs="Arial"/>
                <w:sz w:val="24"/>
                <w:szCs w:val="24"/>
              </w:rPr>
              <w:t>Resoluciones</w:t>
            </w:r>
          </w:p>
        </w:tc>
        <w:tc>
          <w:tcPr>
            <w:tcW w:w="5670" w:type="dxa"/>
          </w:tcPr>
          <w:p w14:paraId="2C28266F" w14:textId="77777777" w:rsidR="00FA742C" w:rsidRPr="00EA2A26" w:rsidRDefault="00FA742C" w:rsidP="00CA058D">
            <w:pPr>
              <w:spacing w:before="0"/>
              <w:jc w:val="right"/>
              <w:rPr>
                <w:rFonts w:ascii="Arial" w:eastAsia="Avenir Next W1G Medium" w:hAnsi="Arial" w:cs="Arial"/>
                <w:sz w:val="24"/>
                <w:szCs w:val="24"/>
              </w:rPr>
            </w:pPr>
            <w:r w:rsidRPr="00347EE0">
              <w:rPr>
                <w:rFonts w:ascii="Arial" w:eastAsia="Avenir Next W1G Medium" w:hAnsi="Arial" w:cs="Arial"/>
                <w:sz w:val="24"/>
                <w:szCs w:val="24"/>
              </w:rPr>
              <w:t>Sector de Normalización</w:t>
            </w:r>
          </w:p>
        </w:tc>
      </w:tr>
      <w:tr w:rsidR="00FA742C" w:rsidRPr="0033681A" w14:paraId="35924414" w14:textId="77777777" w:rsidTr="00CA058D">
        <w:tblPrEx>
          <w:tblCellMar>
            <w:left w:w="85" w:type="dxa"/>
            <w:right w:w="85" w:type="dxa"/>
          </w:tblCellMar>
        </w:tblPrEx>
        <w:trPr>
          <w:gridBefore w:val="1"/>
          <w:wBefore w:w="817" w:type="dxa"/>
          <w:trHeight w:val="709"/>
        </w:trPr>
        <w:tc>
          <w:tcPr>
            <w:tcW w:w="9923" w:type="dxa"/>
            <w:gridSpan w:val="2"/>
          </w:tcPr>
          <w:p w14:paraId="7CB136DA" w14:textId="77777777" w:rsidR="00FA742C" w:rsidRPr="0033681A" w:rsidRDefault="00FA742C" w:rsidP="00CA058D">
            <w:pPr>
              <w:pStyle w:val="BodyText"/>
              <w:spacing w:before="440"/>
              <w:rPr>
                <w:b w:val="0"/>
                <w:bCs w:val="0"/>
                <w:spacing w:val="-6"/>
                <w:sz w:val="44"/>
                <w:szCs w:val="44"/>
                <w:lang w:val="en-GB"/>
              </w:rPr>
            </w:pPr>
          </w:p>
        </w:tc>
      </w:tr>
      <w:tr w:rsidR="00FA742C" w:rsidRPr="00613D5C" w14:paraId="11731DBA" w14:textId="77777777" w:rsidTr="00CA058D">
        <w:tblPrEx>
          <w:tblCellMar>
            <w:left w:w="85" w:type="dxa"/>
            <w:right w:w="85" w:type="dxa"/>
          </w:tblCellMar>
        </w:tblPrEx>
        <w:trPr>
          <w:gridBefore w:val="1"/>
          <w:wBefore w:w="817" w:type="dxa"/>
          <w:trHeight w:val="129"/>
        </w:trPr>
        <w:tc>
          <w:tcPr>
            <w:tcW w:w="9923" w:type="dxa"/>
            <w:gridSpan w:val="2"/>
          </w:tcPr>
          <w:p w14:paraId="474A88E9" w14:textId="77777777" w:rsidR="00FA742C" w:rsidRPr="00613D5C" w:rsidRDefault="00FA742C" w:rsidP="00CA058D">
            <w:pPr>
              <w:pStyle w:val="BodyText"/>
              <w:spacing w:before="120" w:after="240"/>
              <w:rPr>
                <w:spacing w:val="-6"/>
                <w:sz w:val="44"/>
                <w:szCs w:val="44"/>
                <w:lang w:val="en-GB"/>
              </w:rPr>
            </w:pPr>
          </w:p>
        </w:tc>
      </w:tr>
      <w:tr w:rsidR="00FA742C" w:rsidRPr="00423BC5" w14:paraId="09FBC83E" w14:textId="77777777" w:rsidTr="00CA058D">
        <w:trPr>
          <w:trHeight w:val="80"/>
        </w:trPr>
        <w:tc>
          <w:tcPr>
            <w:tcW w:w="817" w:type="dxa"/>
          </w:tcPr>
          <w:p w14:paraId="08481C33" w14:textId="77777777" w:rsidR="00FA742C" w:rsidRPr="00613D5C" w:rsidRDefault="00FA742C" w:rsidP="00CA058D">
            <w:pPr>
              <w:tabs>
                <w:tab w:val="right" w:pos="9639"/>
              </w:tabs>
              <w:rPr>
                <w:rFonts w:ascii="Arial" w:hAnsi="Arial" w:cs="Arial"/>
                <w:sz w:val="18"/>
              </w:rPr>
            </w:pPr>
          </w:p>
        </w:tc>
        <w:tc>
          <w:tcPr>
            <w:tcW w:w="9923" w:type="dxa"/>
            <w:gridSpan w:val="2"/>
            <w:tcBorders>
              <w:bottom w:val="single" w:sz="8" w:space="0" w:color="auto"/>
            </w:tcBorders>
          </w:tcPr>
          <w:p w14:paraId="516E89C6" w14:textId="2B6C56F4" w:rsidR="00FA742C" w:rsidRPr="00423BC5" w:rsidRDefault="00FA742C" w:rsidP="00CA058D">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347EE0">
              <w:rPr>
                <w:rFonts w:ascii="Arial" w:hAnsi="Arial" w:cs="Arial"/>
                <w:sz w:val="36"/>
                <w:szCs w:val="36"/>
                <w:lang w:val="fr-CH"/>
              </w:rPr>
              <w:t>ASAMBLEA MUNDIAL DE NORMALIZACIÓN DE LAS TELECOMUNICACIONES</w:t>
            </w:r>
            <w:r w:rsidRPr="00423BC5">
              <w:rPr>
                <w:rFonts w:ascii="Arial" w:hAnsi="Arial" w:cs="Arial"/>
                <w:sz w:val="36"/>
                <w:szCs w:val="36"/>
                <w:lang w:val="fr-CH"/>
              </w:rPr>
              <w:t xml:space="preserve"> </w:t>
            </w:r>
            <w:r w:rsidRPr="00423BC5">
              <w:rPr>
                <w:rFonts w:ascii="Arial" w:hAnsi="Arial" w:cs="Arial"/>
                <w:sz w:val="36"/>
                <w:szCs w:val="36"/>
                <w:lang w:val="fr-CH"/>
              </w:rPr>
              <w:br/>
            </w:r>
            <w:r w:rsidR="00C13B74" w:rsidRPr="00C13B74">
              <w:rPr>
                <w:rFonts w:ascii="Arial" w:hAnsi="Arial" w:cs="Arial"/>
                <w:sz w:val="36"/>
                <w:szCs w:val="36"/>
                <w:lang w:val="fr-CH"/>
              </w:rPr>
              <w:t>Dubái, 20-29 de noviembre de 2012</w:t>
            </w:r>
          </w:p>
          <w:p w14:paraId="18A84214" w14:textId="77777777" w:rsidR="00FA742C" w:rsidRPr="00423BC5" w:rsidRDefault="00FA742C" w:rsidP="00CA058D">
            <w:pPr>
              <w:rPr>
                <w:lang w:val="fr-CH"/>
              </w:rPr>
            </w:pPr>
          </w:p>
        </w:tc>
      </w:tr>
      <w:tr w:rsidR="00FA742C" w:rsidRPr="0033681A" w14:paraId="50A1883C" w14:textId="77777777" w:rsidTr="00CA058D">
        <w:trPr>
          <w:trHeight w:val="743"/>
        </w:trPr>
        <w:tc>
          <w:tcPr>
            <w:tcW w:w="817" w:type="dxa"/>
          </w:tcPr>
          <w:p w14:paraId="1B3DB73C" w14:textId="77777777" w:rsidR="00FA742C" w:rsidRPr="00423BC5" w:rsidRDefault="00FA742C" w:rsidP="00CA058D">
            <w:pPr>
              <w:tabs>
                <w:tab w:val="right" w:pos="9639"/>
              </w:tabs>
              <w:rPr>
                <w:rFonts w:ascii="Arial" w:hAnsi="Arial" w:cs="Arial"/>
                <w:sz w:val="48"/>
                <w:szCs w:val="48"/>
                <w:lang w:val="fr-CH"/>
              </w:rPr>
            </w:pPr>
          </w:p>
        </w:tc>
        <w:tc>
          <w:tcPr>
            <w:tcW w:w="9923" w:type="dxa"/>
            <w:gridSpan w:val="2"/>
            <w:tcBorders>
              <w:top w:val="single" w:sz="8" w:space="0" w:color="auto"/>
            </w:tcBorders>
          </w:tcPr>
          <w:p w14:paraId="29AB41EE" w14:textId="0B8F12C0" w:rsidR="00FA742C" w:rsidRPr="0033681A" w:rsidRDefault="00FA742C" w:rsidP="00FA742C">
            <w:pPr>
              <w:pStyle w:val="BodyText"/>
              <w:spacing w:before="440" w:line="240" w:lineRule="auto"/>
              <w:jc w:val="left"/>
              <w:rPr>
                <w:spacing w:val="-6"/>
                <w:sz w:val="44"/>
                <w:szCs w:val="44"/>
                <w:lang w:val="en-GB"/>
              </w:rPr>
            </w:pPr>
            <w:r>
              <w:rPr>
                <w:spacing w:val="-6"/>
                <w:sz w:val="44"/>
                <w:szCs w:val="44"/>
                <w:lang w:val="en-GB"/>
              </w:rPr>
              <w:t xml:space="preserve">Resolución 31 – </w:t>
            </w:r>
            <w:r w:rsidRPr="00FA742C">
              <w:rPr>
                <w:spacing w:val="-6"/>
                <w:sz w:val="44"/>
                <w:szCs w:val="44"/>
                <w:lang w:val="en-GB"/>
              </w:rPr>
              <w:t>Admisión de entidades u organizaciones para participar</w:t>
            </w:r>
            <w:r>
              <w:rPr>
                <w:spacing w:val="-6"/>
                <w:sz w:val="44"/>
                <w:szCs w:val="44"/>
                <w:lang w:val="en-GB"/>
              </w:rPr>
              <w:t xml:space="preserve"> </w:t>
            </w:r>
            <w:r w:rsidRPr="00FA742C">
              <w:rPr>
                <w:spacing w:val="-6"/>
                <w:sz w:val="44"/>
                <w:szCs w:val="44"/>
                <w:lang w:val="en-GB"/>
              </w:rPr>
              <w:t xml:space="preserve">como Asociados en los trabajos del Sector de Normalización de las Telecomunicaciones </w:t>
            </w:r>
            <w:r>
              <w:rPr>
                <w:spacing w:val="-6"/>
                <w:sz w:val="44"/>
                <w:szCs w:val="44"/>
                <w:lang w:val="en-GB"/>
              </w:rPr>
              <w:br/>
            </w:r>
            <w:r w:rsidRPr="00FA742C">
              <w:rPr>
                <w:spacing w:val="-6"/>
                <w:sz w:val="44"/>
                <w:szCs w:val="44"/>
                <w:lang w:val="en-GB"/>
              </w:rPr>
              <w:t>de la UIT</w:t>
            </w:r>
          </w:p>
          <w:p w14:paraId="2A0D05BA" w14:textId="77777777" w:rsidR="00FA742C" w:rsidRPr="0033681A" w:rsidRDefault="00FA742C" w:rsidP="00CA058D"/>
        </w:tc>
      </w:tr>
    </w:tbl>
    <w:p w14:paraId="5FF45391" w14:textId="63879B04" w:rsidR="00FA742C" w:rsidRPr="00A14194" w:rsidRDefault="002B1009" w:rsidP="00FA742C">
      <w:pPr>
        <w:tabs>
          <w:tab w:val="clear" w:pos="794"/>
          <w:tab w:val="clear" w:pos="1191"/>
          <w:tab w:val="clear" w:pos="1588"/>
          <w:tab w:val="clear" w:pos="1985"/>
        </w:tabs>
        <w:overflowPunct/>
        <w:autoSpaceDE/>
        <w:autoSpaceDN/>
        <w:adjustRightInd/>
        <w:spacing w:before="0"/>
        <w:jc w:val="center"/>
        <w:textAlignment w:val="auto"/>
        <w:rPr>
          <w:sz w:val="18"/>
        </w:rPr>
      </w:pPr>
      <w:r>
        <w:rPr>
          <w:noProof/>
        </w:rPr>
        <w:pict w14:anchorId="12351D29">
          <v:group id="Group 30" o:spid="_x0000_s1026" style="position:absolute;left:0;text-align:left;margin-left:.5pt;margin-top:71.55pt;width:612pt;height:18.1pt;z-index:-251658240;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w:r>
      <w:r w:rsidR="00FA742C" w:rsidRPr="0033681A">
        <w:rPr>
          <w:noProof/>
        </w:rPr>
        <w:drawing>
          <wp:anchor distT="0" distB="0" distL="0" distR="0" simplePos="0" relativeHeight="251659264" behindDoc="1" locked="0" layoutInCell="1" allowOverlap="1" wp14:anchorId="43D0F8A6" wp14:editId="42DFC16F">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3B36BF7D" w14:textId="77777777" w:rsidR="00FA742C" w:rsidRPr="0033681A" w:rsidRDefault="00FA742C" w:rsidP="00FA742C">
      <w:pPr>
        <w:jc w:val="left"/>
        <w:sectPr w:rsidR="00FA742C" w:rsidRPr="0033681A" w:rsidSect="00FA742C">
          <w:headerReference w:type="even" r:id="rId9"/>
          <w:headerReference w:type="default" r:id="rId10"/>
          <w:pgSz w:w="11907" w:h="16840" w:code="9"/>
          <w:pgMar w:top="1038" w:right="601" w:bottom="1860" w:left="618" w:header="567" w:footer="284" w:gutter="0"/>
          <w:pgNumType w:start="1"/>
          <w:cols w:space="720"/>
          <w:titlePg/>
          <w:docGrid w:linePitch="326"/>
        </w:sectPr>
      </w:pPr>
    </w:p>
    <w:p w14:paraId="3E5CE1C5" w14:textId="77777777" w:rsidR="00FA742C" w:rsidRPr="008968B6" w:rsidRDefault="00FA742C" w:rsidP="00FA742C">
      <w:pPr>
        <w:spacing w:before="480"/>
        <w:jc w:val="center"/>
        <w:rPr>
          <w:lang w:val="en-US"/>
        </w:rPr>
      </w:pPr>
      <w:bookmarkStart w:id="1" w:name="irecnoe"/>
      <w:bookmarkEnd w:id="1"/>
      <w:r w:rsidRPr="00347EE0">
        <w:lastRenderedPageBreak/>
        <w:t>PREFACIO</w:t>
      </w:r>
    </w:p>
    <w:p w14:paraId="0C4E27B9" w14:textId="77777777" w:rsidR="00FA742C" w:rsidRPr="00347EE0" w:rsidRDefault="00FA742C" w:rsidP="00FA742C">
      <w:pPr>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2D569FED" w14:textId="77777777" w:rsidR="00FA742C" w:rsidRPr="00347EE0" w:rsidRDefault="00FA742C" w:rsidP="00FA742C">
      <w:pPr>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6F421805" w14:textId="77777777" w:rsidR="00FA742C" w:rsidRPr="00347EE0" w:rsidRDefault="00FA742C" w:rsidP="00FA742C">
      <w:pPr>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55A05840" w14:textId="77777777" w:rsidR="00FA742C" w:rsidRPr="00347EE0" w:rsidRDefault="00FA742C" w:rsidP="00FA742C">
      <w:pPr>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03666067" w14:textId="77777777" w:rsidR="00FA742C" w:rsidRPr="002A37D9" w:rsidRDefault="00FA742C" w:rsidP="00FA742C">
      <w:pPr>
        <w:spacing w:line="240" w:lineRule="exact"/>
        <w:jc w:val="center"/>
        <w:rPr>
          <w:sz w:val="20"/>
          <w:lang w:val="fr-CH"/>
        </w:rPr>
      </w:pPr>
    </w:p>
    <w:p w14:paraId="098CF808" w14:textId="77777777" w:rsidR="00FA742C" w:rsidRPr="002A37D9" w:rsidRDefault="00FA742C" w:rsidP="00FA742C">
      <w:pPr>
        <w:spacing w:line="240" w:lineRule="exact"/>
        <w:jc w:val="center"/>
        <w:rPr>
          <w:sz w:val="20"/>
          <w:lang w:val="fr-CH"/>
        </w:rPr>
      </w:pPr>
    </w:p>
    <w:p w14:paraId="00140F9F" w14:textId="77777777" w:rsidR="00FA742C" w:rsidRPr="002A37D9" w:rsidRDefault="00FA742C" w:rsidP="00FA742C">
      <w:pPr>
        <w:spacing w:line="240" w:lineRule="exact"/>
        <w:jc w:val="center"/>
        <w:rPr>
          <w:sz w:val="20"/>
          <w:lang w:val="fr-CH"/>
        </w:rPr>
      </w:pPr>
    </w:p>
    <w:p w14:paraId="1CA7E988" w14:textId="77777777" w:rsidR="00FA742C" w:rsidRPr="002A37D9" w:rsidRDefault="00FA742C" w:rsidP="00FA742C">
      <w:pPr>
        <w:spacing w:line="240" w:lineRule="exact"/>
        <w:jc w:val="center"/>
        <w:rPr>
          <w:sz w:val="20"/>
          <w:lang w:val="fr-CH"/>
        </w:rPr>
      </w:pPr>
    </w:p>
    <w:p w14:paraId="70B6C4AC" w14:textId="77777777" w:rsidR="00FA742C" w:rsidRPr="002A37D9" w:rsidRDefault="00FA742C" w:rsidP="00FA742C">
      <w:pPr>
        <w:spacing w:line="240" w:lineRule="exact"/>
        <w:jc w:val="center"/>
        <w:rPr>
          <w:sz w:val="20"/>
          <w:lang w:val="fr-CH"/>
        </w:rPr>
      </w:pPr>
    </w:p>
    <w:p w14:paraId="2EA3DFCA" w14:textId="77777777" w:rsidR="00FA742C" w:rsidRPr="002A37D9" w:rsidRDefault="00FA742C" w:rsidP="00FA742C">
      <w:pPr>
        <w:spacing w:line="240" w:lineRule="exact"/>
        <w:jc w:val="center"/>
        <w:rPr>
          <w:sz w:val="20"/>
          <w:lang w:val="fr-CH"/>
        </w:rPr>
      </w:pPr>
    </w:p>
    <w:p w14:paraId="5FCD1209" w14:textId="77777777" w:rsidR="00FA742C" w:rsidRPr="002A37D9" w:rsidRDefault="00FA742C" w:rsidP="00FA742C">
      <w:pPr>
        <w:spacing w:line="240" w:lineRule="exact"/>
        <w:jc w:val="center"/>
        <w:rPr>
          <w:sz w:val="20"/>
          <w:lang w:val="fr-CH"/>
        </w:rPr>
      </w:pPr>
    </w:p>
    <w:p w14:paraId="5939D250" w14:textId="77777777" w:rsidR="00FA742C" w:rsidRPr="002A37D9" w:rsidRDefault="00FA742C" w:rsidP="00FA742C">
      <w:pPr>
        <w:spacing w:line="240" w:lineRule="exact"/>
        <w:jc w:val="center"/>
        <w:rPr>
          <w:sz w:val="20"/>
          <w:lang w:val="fr-CH"/>
        </w:rPr>
      </w:pPr>
    </w:p>
    <w:p w14:paraId="1A46283F" w14:textId="77777777" w:rsidR="00FA742C" w:rsidRPr="002A37D9" w:rsidRDefault="00FA742C" w:rsidP="00FA742C">
      <w:pPr>
        <w:spacing w:line="240" w:lineRule="exact"/>
        <w:jc w:val="center"/>
        <w:rPr>
          <w:sz w:val="20"/>
          <w:lang w:val="fr-CH"/>
        </w:rPr>
      </w:pPr>
    </w:p>
    <w:p w14:paraId="1082C2EB" w14:textId="77777777" w:rsidR="00FA742C" w:rsidRPr="002A37D9" w:rsidRDefault="00FA742C" w:rsidP="00FA742C">
      <w:pPr>
        <w:spacing w:line="240" w:lineRule="exact"/>
        <w:jc w:val="center"/>
        <w:rPr>
          <w:sz w:val="20"/>
          <w:lang w:val="fr-CH"/>
        </w:rPr>
      </w:pPr>
    </w:p>
    <w:p w14:paraId="037C7689" w14:textId="77777777" w:rsidR="00FA742C" w:rsidRPr="002A37D9" w:rsidRDefault="00FA742C" w:rsidP="00FA742C">
      <w:pPr>
        <w:spacing w:line="240" w:lineRule="exact"/>
        <w:jc w:val="center"/>
        <w:rPr>
          <w:sz w:val="20"/>
          <w:lang w:val="fr-CH"/>
        </w:rPr>
      </w:pPr>
    </w:p>
    <w:p w14:paraId="58DC0BFB" w14:textId="77777777" w:rsidR="00FA742C" w:rsidRPr="002A37D9" w:rsidRDefault="00FA742C" w:rsidP="00FA742C">
      <w:pPr>
        <w:spacing w:line="240" w:lineRule="exact"/>
        <w:jc w:val="center"/>
        <w:rPr>
          <w:sz w:val="20"/>
          <w:lang w:val="fr-CH"/>
        </w:rPr>
      </w:pPr>
    </w:p>
    <w:p w14:paraId="0CC48E74" w14:textId="77777777" w:rsidR="00FA742C" w:rsidRPr="002A37D9" w:rsidRDefault="00FA742C" w:rsidP="00FA742C">
      <w:pPr>
        <w:spacing w:line="240" w:lineRule="exact"/>
        <w:jc w:val="center"/>
        <w:rPr>
          <w:sz w:val="20"/>
          <w:lang w:val="fr-CH"/>
        </w:rPr>
      </w:pPr>
    </w:p>
    <w:p w14:paraId="6B99ABB0" w14:textId="77777777" w:rsidR="00FA742C" w:rsidRPr="002A37D9" w:rsidRDefault="00FA742C" w:rsidP="00FA742C">
      <w:pPr>
        <w:spacing w:line="240" w:lineRule="exact"/>
        <w:jc w:val="center"/>
        <w:rPr>
          <w:sz w:val="20"/>
          <w:lang w:val="fr-CH"/>
        </w:rPr>
      </w:pPr>
    </w:p>
    <w:p w14:paraId="015C7DF2" w14:textId="77777777" w:rsidR="00FA742C" w:rsidRPr="002A37D9" w:rsidRDefault="00FA742C" w:rsidP="00FA742C">
      <w:pPr>
        <w:spacing w:line="240" w:lineRule="exact"/>
        <w:jc w:val="center"/>
        <w:rPr>
          <w:sz w:val="20"/>
          <w:lang w:val="fr-CH"/>
        </w:rPr>
      </w:pPr>
    </w:p>
    <w:p w14:paraId="54585BE5" w14:textId="77777777" w:rsidR="00FA742C" w:rsidRPr="002A37D9" w:rsidRDefault="00FA742C" w:rsidP="00FA742C">
      <w:pPr>
        <w:spacing w:line="240" w:lineRule="exact"/>
        <w:jc w:val="center"/>
        <w:rPr>
          <w:sz w:val="20"/>
          <w:lang w:val="fr-CH"/>
        </w:rPr>
      </w:pPr>
    </w:p>
    <w:p w14:paraId="5CCA35C2" w14:textId="77777777" w:rsidR="00FA742C" w:rsidRPr="002A37D9" w:rsidRDefault="00FA742C" w:rsidP="00FA742C">
      <w:pPr>
        <w:spacing w:line="240" w:lineRule="exact"/>
        <w:jc w:val="center"/>
        <w:rPr>
          <w:sz w:val="20"/>
          <w:lang w:val="fr-CH"/>
        </w:rPr>
      </w:pPr>
    </w:p>
    <w:p w14:paraId="547D496A" w14:textId="77777777" w:rsidR="00FA742C" w:rsidRDefault="00FA742C" w:rsidP="00FA742C">
      <w:pPr>
        <w:spacing w:line="240" w:lineRule="exact"/>
        <w:jc w:val="center"/>
        <w:rPr>
          <w:sz w:val="20"/>
          <w:lang w:val="fr-CH"/>
        </w:rPr>
      </w:pPr>
    </w:p>
    <w:p w14:paraId="65763D99" w14:textId="77777777" w:rsidR="00FA742C" w:rsidRDefault="00FA742C" w:rsidP="00FA742C">
      <w:pPr>
        <w:spacing w:line="240" w:lineRule="exact"/>
        <w:jc w:val="center"/>
        <w:rPr>
          <w:sz w:val="20"/>
          <w:lang w:val="fr-CH"/>
        </w:rPr>
      </w:pPr>
    </w:p>
    <w:p w14:paraId="6F6D1A60" w14:textId="77777777" w:rsidR="00C13B74" w:rsidRPr="002A37D9" w:rsidRDefault="00C13B74" w:rsidP="00FA742C">
      <w:pPr>
        <w:spacing w:line="240" w:lineRule="exact"/>
        <w:jc w:val="center"/>
        <w:rPr>
          <w:sz w:val="20"/>
          <w:lang w:val="fr-CH"/>
        </w:rPr>
      </w:pPr>
    </w:p>
    <w:p w14:paraId="04260B79" w14:textId="77777777" w:rsidR="00FA742C" w:rsidRPr="002A37D9" w:rsidRDefault="00FA742C" w:rsidP="00FA742C">
      <w:pPr>
        <w:spacing w:line="240" w:lineRule="exact"/>
        <w:jc w:val="center"/>
        <w:rPr>
          <w:sz w:val="20"/>
          <w:lang w:val="fr-CH"/>
        </w:rPr>
      </w:pPr>
    </w:p>
    <w:p w14:paraId="4292E238" w14:textId="77777777" w:rsidR="00FA742C" w:rsidRPr="002A37D9" w:rsidRDefault="00FA742C" w:rsidP="00FA742C">
      <w:pPr>
        <w:spacing w:line="240" w:lineRule="exact"/>
        <w:jc w:val="center"/>
        <w:rPr>
          <w:sz w:val="20"/>
          <w:lang w:val="fr-CH"/>
        </w:rPr>
      </w:pPr>
    </w:p>
    <w:p w14:paraId="17FD6034" w14:textId="77777777" w:rsidR="00FA742C" w:rsidRPr="002A37D9" w:rsidRDefault="00FA742C" w:rsidP="00FA742C">
      <w:pPr>
        <w:spacing w:line="240" w:lineRule="exact"/>
        <w:jc w:val="center"/>
        <w:rPr>
          <w:sz w:val="20"/>
          <w:lang w:val="fr-CH"/>
        </w:rPr>
      </w:pPr>
    </w:p>
    <w:p w14:paraId="6E6066E8" w14:textId="77777777" w:rsidR="00FA742C" w:rsidRPr="002A37D9" w:rsidRDefault="00FA742C" w:rsidP="00FA742C">
      <w:pPr>
        <w:spacing w:line="240" w:lineRule="exact"/>
        <w:jc w:val="center"/>
        <w:rPr>
          <w:sz w:val="20"/>
          <w:lang w:val="fr-CH"/>
        </w:rPr>
      </w:pPr>
    </w:p>
    <w:p w14:paraId="0358BF15" w14:textId="77777777" w:rsidR="00FA742C" w:rsidRPr="002A37D9" w:rsidRDefault="00FA742C" w:rsidP="00FA742C">
      <w:pPr>
        <w:rPr>
          <w:sz w:val="20"/>
          <w:lang w:val="fr-CH"/>
        </w:rPr>
      </w:pPr>
    </w:p>
    <w:p w14:paraId="7EA73236" w14:textId="42E0CE6C" w:rsidR="00FA742C" w:rsidRPr="00423BC5" w:rsidRDefault="00FA742C" w:rsidP="00FA742C">
      <w:pPr>
        <w:jc w:val="center"/>
        <w:rPr>
          <w:sz w:val="20"/>
          <w:lang w:val="fr-CH"/>
        </w:rPr>
      </w:pPr>
      <w:r w:rsidRPr="00EA2A26">
        <w:rPr>
          <w:sz w:val="20"/>
          <w:lang w:val="en-GB"/>
        </w:rPr>
        <w:sym w:font="Symbol" w:char="F0E3"/>
      </w:r>
      <w:r w:rsidRPr="00423BC5">
        <w:rPr>
          <w:sz w:val="20"/>
          <w:lang w:val="fr-CH"/>
        </w:rPr>
        <w:t> UIT 20</w:t>
      </w:r>
      <w:r w:rsidR="00C13B74">
        <w:rPr>
          <w:sz w:val="20"/>
          <w:lang w:val="fr-CH"/>
        </w:rPr>
        <w:t>13</w:t>
      </w:r>
    </w:p>
    <w:p w14:paraId="6F3E3A8D" w14:textId="77777777" w:rsidR="00FA742C" w:rsidRPr="006F7193" w:rsidRDefault="00FA742C" w:rsidP="00FA742C">
      <w:pPr>
        <w:jc w:val="center"/>
        <w:rPr>
          <w:sz w:val="20"/>
          <w:lang w:val="en-GB"/>
        </w:rPr>
      </w:pPr>
      <w:r w:rsidRPr="006F7193">
        <w:rPr>
          <w:sz w:val="20"/>
          <w:lang w:val="en-GB"/>
        </w:rPr>
        <w:t>Esta resolución se volvió a publicar en 2024 para actualizar la portada. No se introdujeron otras modificaciones.</w:t>
      </w:r>
    </w:p>
    <w:p w14:paraId="415913A8" w14:textId="77777777" w:rsidR="00FA742C" w:rsidRDefault="00FA742C" w:rsidP="00FA742C">
      <w:pPr>
        <w:rPr>
          <w:sz w:val="20"/>
        </w:rPr>
      </w:pPr>
      <w:r w:rsidRPr="00347EE0">
        <w:rPr>
          <w:sz w:val="20"/>
        </w:rPr>
        <w:t>Reservados todos los derechos. Ninguna parte de esta publicación puede reproducirse por ningún procedimiento sin previa autorización escrita por parte de la UIT.</w:t>
      </w:r>
    </w:p>
    <w:p w14:paraId="59B68AAF" w14:textId="77777777" w:rsidR="00FA742C" w:rsidRPr="003518D5" w:rsidRDefault="00FA742C" w:rsidP="00C2286E">
      <w:pPr>
        <w:tabs>
          <w:tab w:val="clear" w:pos="794"/>
          <w:tab w:val="clear" w:pos="1191"/>
          <w:tab w:val="clear" w:pos="1588"/>
          <w:tab w:val="clear" w:pos="1985"/>
        </w:tabs>
        <w:overflowPunct/>
        <w:textAlignment w:val="auto"/>
      </w:pPr>
    </w:p>
    <w:p w14:paraId="48D4F841" w14:textId="77777777"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14:paraId="41700B44" w14:textId="5A2661C9" w:rsidR="00427DF1" w:rsidRPr="00427DF1" w:rsidRDefault="00427DF1" w:rsidP="00427DF1">
      <w:pPr>
        <w:pStyle w:val="ResNo"/>
        <w:jc w:val="center"/>
        <w:rPr>
          <w:b w:val="0"/>
        </w:rPr>
      </w:pPr>
      <w:bookmarkStart w:id="2" w:name="irecnos"/>
      <w:bookmarkEnd w:id="2"/>
      <w:r w:rsidRPr="00427DF1">
        <w:rPr>
          <w:b w:val="0"/>
        </w:rPr>
        <w:lastRenderedPageBreak/>
        <w:t xml:space="preserve">RESOLUCIÓN </w:t>
      </w:r>
      <w:r w:rsidRPr="00427DF1">
        <w:rPr>
          <w:rStyle w:val="href"/>
          <w:b w:val="0"/>
        </w:rPr>
        <w:t>31</w:t>
      </w:r>
      <w:r w:rsidRPr="00427DF1">
        <w:rPr>
          <w:b w:val="0"/>
        </w:rPr>
        <w:t xml:space="preserve"> (Rev. Dub</w:t>
      </w:r>
      <w:r w:rsidR="00C13B74">
        <w:rPr>
          <w:b w:val="0"/>
        </w:rPr>
        <w:t>á</w:t>
      </w:r>
      <w:r w:rsidRPr="00427DF1">
        <w:rPr>
          <w:b w:val="0"/>
        </w:rPr>
        <w:t>i, 2012)</w:t>
      </w:r>
    </w:p>
    <w:p w14:paraId="026D0DAB" w14:textId="77777777" w:rsidR="00427DF1" w:rsidRPr="006F5DC8" w:rsidRDefault="00427DF1" w:rsidP="00427DF1">
      <w:pPr>
        <w:pStyle w:val="Restitle"/>
      </w:pPr>
      <w:r w:rsidRPr="006F5DC8">
        <w:t>Admisión de entidades u organizaciones para participar</w:t>
      </w:r>
      <w:r w:rsidRPr="006F5DC8">
        <w:br/>
        <w:t xml:space="preserve">como Asociados en los trabajos del Sector de Normalización </w:t>
      </w:r>
      <w:r w:rsidRPr="006F5DC8">
        <w:br/>
        <w:t>de las Telecomunicaciones de la UIT</w:t>
      </w:r>
    </w:p>
    <w:p w14:paraId="2CB2040E" w14:textId="5B8EFA18" w:rsidR="00427DF1" w:rsidRPr="006F5DC8" w:rsidRDefault="00427DF1" w:rsidP="00427DF1">
      <w:pPr>
        <w:pStyle w:val="Resref"/>
        <w:rPr>
          <w:i w:val="0"/>
          <w:iCs/>
        </w:rPr>
      </w:pPr>
      <w:r w:rsidRPr="006F5DC8">
        <w:rPr>
          <w:iCs/>
        </w:rPr>
        <w:t>(Montreal, 2000; Florianópolis, 2004; Johannesburgo, 2008; Dub</w:t>
      </w:r>
      <w:r w:rsidR="00C13B74">
        <w:rPr>
          <w:iCs/>
        </w:rPr>
        <w:t>á</w:t>
      </w:r>
      <w:r w:rsidRPr="006F5DC8">
        <w:rPr>
          <w:iCs/>
        </w:rPr>
        <w:t>i, 2012)</w:t>
      </w:r>
    </w:p>
    <w:p w14:paraId="44526A00" w14:textId="5CE9A4EF" w:rsidR="00427DF1" w:rsidRPr="006F5DC8" w:rsidRDefault="00427DF1" w:rsidP="00427DF1">
      <w:pPr>
        <w:pStyle w:val="Normalaftertitle0"/>
        <w:rPr>
          <w:lang w:val="es-ES_tradnl"/>
        </w:rPr>
      </w:pPr>
      <w:r w:rsidRPr="006F5DC8">
        <w:rPr>
          <w:lang w:val="es-ES_tradnl"/>
        </w:rPr>
        <w:t>La Asamblea Mundial de Normalización de las Telecomunicaciones (</w:t>
      </w:r>
      <w:r w:rsidRPr="006F5DC8">
        <w:rPr>
          <w:i/>
          <w:iCs/>
          <w:lang w:val="es-ES_tradnl"/>
        </w:rPr>
        <w:t>Dub</w:t>
      </w:r>
      <w:r w:rsidR="00C13B74">
        <w:rPr>
          <w:i/>
          <w:iCs/>
          <w:lang w:val="es-ES_tradnl"/>
        </w:rPr>
        <w:t>á</w:t>
      </w:r>
      <w:r w:rsidRPr="006F5DC8">
        <w:rPr>
          <w:i/>
          <w:iCs/>
          <w:lang w:val="es-ES_tradnl"/>
        </w:rPr>
        <w:t>i, 2012</w:t>
      </w:r>
      <w:r w:rsidRPr="006F5DC8">
        <w:rPr>
          <w:lang w:val="es-ES_tradnl"/>
        </w:rPr>
        <w:t>),</w:t>
      </w:r>
    </w:p>
    <w:p w14:paraId="28B95579" w14:textId="77777777" w:rsidR="00427DF1" w:rsidRPr="006F5DC8" w:rsidRDefault="00427DF1" w:rsidP="00427DF1">
      <w:pPr>
        <w:pStyle w:val="Call"/>
      </w:pPr>
      <w:r w:rsidRPr="006F5DC8">
        <w:t>considerando</w:t>
      </w:r>
    </w:p>
    <w:p w14:paraId="6910C3C5" w14:textId="77777777" w:rsidR="00427DF1" w:rsidRPr="006F5DC8" w:rsidRDefault="00427DF1" w:rsidP="00427DF1">
      <w:r w:rsidRPr="006F5DC8">
        <w:rPr>
          <w:i/>
          <w:iCs/>
        </w:rPr>
        <w:t>a)</w:t>
      </w:r>
      <w:r w:rsidRPr="006F5DC8">
        <w:tab/>
        <w:t>que el ritmo vertiginoso de los cambios en el entorno de las telecomunicaciones y en los grupos industriales de dicho entorno exige una mayor participación de las entidades y organizaciones en el proceso de elaboración de normas de la UIT;</w:t>
      </w:r>
    </w:p>
    <w:p w14:paraId="43333AFA" w14:textId="77777777" w:rsidR="00427DF1" w:rsidRPr="006F5DC8" w:rsidRDefault="00427DF1" w:rsidP="00427DF1">
      <w:r w:rsidRPr="006F5DC8">
        <w:rPr>
          <w:i/>
          <w:iCs/>
        </w:rPr>
        <w:t>b)</w:t>
      </w:r>
      <w:r w:rsidRPr="006F5DC8">
        <w:tab/>
        <w:t>que las entidades u organizaciones cuya área de actividad sea muy especializada pueden estar interesadas únicamente en una pequeña parte de las actividades de normalización del Sector de Norma</w:t>
      </w:r>
      <w:r w:rsidRPr="006F5DC8">
        <w:softHyphen/>
        <w:t>lización de las Telecomunicaciones de la UIT (UIT</w:t>
      </w:r>
      <w:r w:rsidRPr="006F5DC8">
        <w:noBreakHyphen/>
        <w:t>T) y, por consiguiente, quizás no tengan la intención de solicitar ser Miembros de Sector, pero que participarían con unas condiciones más simples;</w:t>
      </w:r>
    </w:p>
    <w:p w14:paraId="1F6A5D91" w14:textId="77777777" w:rsidR="00427DF1" w:rsidRPr="006F5DC8" w:rsidRDefault="00427DF1" w:rsidP="00427DF1">
      <w:r w:rsidRPr="006F5DC8">
        <w:rPr>
          <w:i/>
          <w:iCs/>
        </w:rPr>
        <w:t>c)</w:t>
      </w:r>
      <w:r w:rsidRPr="006F5DC8">
        <w:tab/>
        <w:t>que el número 241A del Convenio de la UIT permite a los Sectores admitir la participación, a título de Asociado, de entidades u organizaciones en los trabajos de una determinada Comisión de Estudio;</w:t>
      </w:r>
    </w:p>
    <w:p w14:paraId="4E9447DC" w14:textId="77777777" w:rsidR="00427DF1" w:rsidRPr="006F5DC8" w:rsidRDefault="00427DF1" w:rsidP="00427DF1">
      <w:r w:rsidRPr="006F5DC8">
        <w:rPr>
          <w:i/>
          <w:iCs/>
        </w:rPr>
        <w:t>d)</w:t>
      </w:r>
      <w:r w:rsidRPr="006F5DC8">
        <w:tab/>
        <w:t>que los números 241A, 248B y 483A del Convenio describen los principios de la participación de Asociados,</w:t>
      </w:r>
    </w:p>
    <w:p w14:paraId="2995A800" w14:textId="77777777" w:rsidR="00427DF1" w:rsidRPr="006F5DC8" w:rsidRDefault="00427DF1" w:rsidP="00427DF1">
      <w:pPr>
        <w:pStyle w:val="Call"/>
      </w:pPr>
      <w:r w:rsidRPr="006F5DC8">
        <w:t>reconociendo</w:t>
      </w:r>
    </w:p>
    <w:p w14:paraId="6D5AE31C" w14:textId="77777777" w:rsidR="00427DF1" w:rsidRPr="006F5DC8" w:rsidRDefault="00427DF1" w:rsidP="00427DF1">
      <w:r w:rsidRPr="006F5DC8">
        <w:t>que las organizaciones y los organismos de los países en desarrollo</w:t>
      </w:r>
      <w:r w:rsidRPr="006F5DC8">
        <w:rPr>
          <w:rStyle w:val="FootnoteReference"/>
        </w:rPr>
        <w:footnoteReference w:customMarkFollows="1" w:id="1"/>
        <w:t>1</w:t>
      </w:r>
      <w:r w:rsidRPr="006F5DC8">
        <w:t xml:space="preserve"> han encontrado grandes dificultades a la hora de desempeñar un papel activo en las actividades del UIT-T y, en consecuencia, de alcanzar los objetivos de la Resolución 123 (Rev. Guadalajara, 2010) de la Conferencia de Plenipotenciarios,</w:t>
      </w:r>
    </w:p>
    <w:p w14:paraId="52C7A494" w14:textId="77777777" w:rsidR="00427DF1" w:rsidRPr="006F5DC8" w:rsidRDefault="00427DF1" w:rsidP="00427DF1">
      <w:pPr>
        <w:pStyle w:val="Call"/>
      </w:pPr>
      <w:r w:rsidRPr="006F5DC8">
        <w:t>resuelve</w:t>
      </w:r>
    </w:p>
    <w:p w14:paraId="5001A1E6" w14:textId="77777777" w:rsidR="00427DF1" w:rsidRPr="006F5DC8" w:rsidRDefault="00427DF1" w:rsidP="00427DF1">
      <w:r w:rsidRPr="006F5DC8">
        <w:t>1</w:t>
      </w:r>
      <w:r w:rsidRPr="006F5DC8">
        <w:tab/>
        <w:t>que una entidad u organización interesada puede incorporarse al UIT</w:t>
      </w:r>
      <w:r w:rsidRPr="006F5DC8">
        <w:noBreakHyphen/>
        <w:t>T como Asociado y tener derecho a participar en los trabajos de una única Comisión de Estudio que elija;</w:t>
      </w:r>
    </w:p>
    <w:p w14:paraId="69ACD01D" w14:textId="77777777" w:rsidR="00427DF1" w:rsidRPr="006F5DC8" w:rsidRDefault="00427DF1" w:rsidP="00427DF1">
      <w:r w:rsidRPr="006F5DC8">
        <w:t>2</w:t>
      </w:r>
      <w:r w:rsidRPr="006F5DC8">
        <w:tab/>
        <w:t>que los Asociados están restringidos a los cometidos de la Comisión de Estudio que se describen a continuación, y excluidos de todas las demás:</w:t>
      </w:r>
    </w:p>
    <w:p w14:paraId="25B8E764" w14:textId="77777777" w:rsidR="00427DF1" w:rsidRPr="006F5DC8" w:rsidRDefault="00427DF1" w:rsidP="00427DF1">
      <w:pPr>
        <w:pStyle w:val="enumlev1"/>
      </w:pPr>
      <w:r w:rsidRPr="006F5DC8">
        <w:t>•</w:t>
      </w:r>
      <w:r w:rsidRPr="006F5DC8">
        <w:tab/>
        <w:t>los Asociados pueden tomar parte en el proceso de elaboración de Recomendaciones en una Comisión de Estudio, incluyendo los siguientes cometidos: participante en reuniones, presentador de contribuciones, editor de Recomendaciones y, durante el proceso de aprobación alternativo, presentador de comentarios durante el periodo de "última llamada" (pero no durante el periodo de examen adicional);</w:t>
      </w:r>
    </w:p>
    <w:p w14:paraId="4191AEA9" w14:textId="77777777" w:rsidR="00427DF1" w:rsidRDefault="00427DF1" w:rsidP="00427DF1">
      <w:pPr>
        <w:pStyle w:val="enumlev1"/>
      </w:pPr>
      <w:r w:rsidRPr="006F5DC8">
        <w:t>•</w:t>
      </w:r>
      <w:r w:rsidRPr="006F5DC8">
        <w:tab/>
        <w:t>los Asociados pueden tener acceso a la documentación requerida para su trabajo;</w:t>
      </w:r>
    </w:p>
    <w:p w14:paraId="0CE6603D" w14:textId="77777777" w:rsidR="00427DF1" w:rsidRPr="006F5DC8" w:rsidRDefault="00427DF1" w:rsidP="00427DF1">
      <w:pPr>
        <w:pStyle w:val="enumlev1"/>
      </w:pPr>
      <w:r>
        <w:br w:type="page"/>
      </w:r>
      <w:r w:rsidRPr="006F5DC8">
        <w:lastRenderedPageBreak/>
        <w:t>•</w:t>
      </w:r>
      <w:r w:rsidRPr="006F5DC8">
        <w:tab/>
        <w:t>un Asociado puede ser Relator, y tener a su cargo la dirección de los estudios de la Cuestión o Cuestiones pertinentes de la Comisión de Estudio elegida, pero no puede participar en la toma de decisiones ni en las actividades de coordinación, que se realizarán por separado, de acuerdo con lo dispuesto en el número 248B del Convenio;</w:t>
      </w:r>
    </w:p>
    <w:p w14:paraId="7D06CBA3" w14:textId="77777777" w:rsidR="00427DF1" w:rsidRPr="006F5DC8" w:rsidRDefault="00427DF1" w:rsidP="00427DF1">
      <w:r w:rsidRPr="006F5DC8">
        <w:t>3</w:t>
      </w:r>
      <w:r w:rsidRPr="006F5DC8">
        <w:tab/>
        <w:t>que la cuantía de la contribución financiera de Asociado se base en la unidad contributiva de los Miembros de los Sectores determinada por el Consejo para cualquier periodo presupuestario bienal,</w:t>
      </w:r>
    </w:p>
    <w:p w14:paraId="08BF375C" w14:textId="77777777" w:rsidR="00427DF1" w:rsidRPr="006F5DC8" w:rsidRDefault="00427DF1" w:rsidP="00427DF1">
      <w:pPr>
        <w:pStyle w:val="Call"/>
      </w:pPr>
      <w:r w:rsidRPr="006F5DC8">
        <w:t>pide</w:t>
      </w:r>
    </w:p>
    <w:p w14:paraId="2ABB83BD" w14:textId="77777777" w:rsidR="00427DF1" w:rsidRPr="006F5DC8" w:rsidRDefault="00427DF1" w:rsidP="00427DF1">
      <w:r w:rsidRPr="006F5DC8">
        <w:t>1</w:t>
      </w:r>
      <w:r w:rsidRPr="006F5DC8">
        <w:tab/>
        <w:t>al Secretario General que admita la participación de entidades u organizaciones como Asociados en los trabajos de una Comisión de Estudio determinada o de sus Subgrupos conforme a lo estipulado en los números 241B, 241C, 241D y 241E del Convenio;</w:t>
      </w:r>
    </w:p>
    <w:p w14:paraId="76B9AFCA" w14:textId="77777777" w:rsidR="00427DF1" w:rsidRPr="006F5DC8" w:rsidRDefault="00427DF1" w:rsidP="00427DF1">
      <w:r w:rsidRPr="006F5DC8">
        <w:t>2</w:t>
      </w:r>
      <w:r w:rsidRPr="006F5DC8">
        <w:tab/>
        <w:t>al Grupo Asesor de Normalización de las Telecomunicaciones (GANT) que examine continuamente las condiciones que gobiernan la participación de los Asociados (incluidas las repercusiones financieras en el presupuesto del Sector) en base a la experiencia adquirida en el UIT</w:t>
      </w:r>
      <w:r w:rsidRPr="006F5DC8">
        <w:noBreakHyphen/>
        <w:t>T,</w:t>
      </w:r>
    </w:p>
    <w:p w14:paraId="4C99D92F" w14:textId="77777777" w:rsidR="00427DF1" w:rsidRPr="006F5DC8" w:rsidRDefault="00427DF1" w:rsidP="00427DF1">
      <w:pPr>
        <w:pStyle w:val="Call"/>
      </w:pPr>
      <w:r w:rsidRPr="006F5DC8">
        <w:t>encarga al Director de la Oficina de Normalización de las Telecomunicaciones</w:t>
      </w:r>
    </w:p>
    <w:p w14:paraId="452DC334" w14:textId="77777777" w:rsidR="00427DF1" w:rsidRDefault="00427DF1" w:rsidP="00427DF1">
      <w:r w:rsidRPr="006F5DC8">
        <w:t>que disponga lo necesario para la participación de los Asociados en los trabajos del UIT</w:t>
      </w:r>
      <w:r w:rsidRPr="006F5DC8">
        <w:noBreakHyphen/>
        <w:t>T, teniendo en cuenta las posibles repercusiones de la reorganización de las Comisiones de Estudio.</w:t>
      </w:r>
    </w:p>
    <w:p w14:paraId="07A687A6" w14:textId="77777777" w:rsidR="00427DF1" w:rsidRDefault="00427DF1" w:rsidP="00427DF1"/>
    <w:p w14:paraId="1AAE920C" w14:textId="77777777" w:rsidR="00427DF1" w:rsidRDefault="00427DF1" w:rsidP="00427DF1"/>
    <w:p w14:paraId="36258650" w14:textId="77777777" w:rsidR="00427DF1" w:rsidRDefault="00427DF1" w:rsidP="00427DF1"/>
    <w:p w14:paraId="589E8E7E" w14:textId="77777777" w:rsidR="00427DF1" w:rsidRDefault="00427DF1" w:rsidP="00427DF1"/>
    <w:p w14:paraId="55CD5309" w14:textId="77777777" w:rsidR="00427DF1" w:rsidRDefault="00427DF1" w:rsidP="00427DF1"/>
    <w:p w14:paraId="40F76340" w14:textId="77777777" w:rsidR="00427DF1" w:rsidRDefault="00427DF1" w:rsidP="00427DF1"/>
    <w:p w14:paraId="6DA76610" w14:textId="77777777" w:rsidR="00427DF1" w:rsidRDefault="00427DF1" w:rsidP="00427DF1"/>
    <w:p w14:paraId="4A036F85" w14:textId="77777777" w:rsidR="00427DF1" w:rsidRDefault="00427DF1" w:rsidP="00427DF1"/>
    <w:p w14:paraId="00DA16F7" w14:textId="77777777" w:rsidR="00427DF1" w:rsidRDefault="00427DF1" w:rsidP="00427DF1"/>
    <w:p w14:paraId="49AFA672" w14:textId="77777777" w:rsidR="00427DF1" w:rsidRDefault="00427DF1" w:rsidP="00427DF1"/>
    <w:p w14:paraId="72913D67" w14:textId="77777777" w:rsidR="00427DF1" w:rsidRPr="006F5DC8" w:rsidRDefault="00427DF1" w:rsidP="00427DF1"/>
    <w:p w14:paraId="48ED837E" w14:textId="77777777" w:rsidR="00427DF1" w:rsidRPr="006F5DC8" w:rsidRDefault="00427DF1" w:rsidP="00427DF1">
      <w:pPr>
        <w:pStyle w:val="Reasons"/>
        <w:rPr>
          <w:lang w:val="es-ES_tradnl"/>
        </w:rPr>
      </w:pPr>
    </w:p>
    <w:p w14:paraId="5ADA41FA" w14:textId="77777777" w:rsidR="006C62D4" w:rsidRPr="00C87C51" w:rsidRDefault="006C62D4" w:rsidP="00C87C51">
      <w:pPr>
        <w:spacing w:before="160" w:line="280" w:lineRule="exact"/>
      </w:pPr>
    </w:p>
    <w:sectPr w:rsidR="006C62D4" w:rsidRPr="00C87C51" w:rsidSect="00DB1EE7">
      <w:headerReference w:type="even" r:id="rId11"/>
      <w:headerReference w:type="default" r:id="rId12"/>
      <w:footerReference w:type="even" r:id="rId13"/>
      <w:footerReference w:type="default" r:id="rId14"/>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23FE8" w14:textId="77777777" w:rsidR="00B0079F" w:rsidRDefault="00B0079F">
      <w:r>
        <w:separator/>
      </w:r>
    </w:p>
  </w:endnote>
  <w:endnote w:type="continuationSeparator" w:id="0">
    <w:p w14:paraId="7AA672F8" w14:textId="77777777" w:rsidR="00B0079F" w:rsidRDefault="00B0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09597" w14:textId="77777777" w:rsidR="00877E7D" w:rsidRDefault="001B7613" w:rsidP="00877E7D">
    <w:pPr>
      <w:pStyle w:val="FooterQP"/>
      <w:rPr>
        <w:lang w:val="en-US"/>
      </w:rPr>
    </w:pPr>
    <w:r w:rsidRPr="002D6EB1">
      <w:rPr>
        <w:b w:val="0"/>
      </w:rPr>
      <w:fldChar w:fldCharType="begin"/>
    </w:r>
    <w:r w:rsidR="00877E7D" w:rsidRPr="00877E7D">
      <w:rPr>
        <w:b w:val="0"/>
        <w:lang w:val="es-ES"/>
      </w:rPr>
      <w:instrText xml:space="preserve"> PAGE  \* MERGEFORMAT </w:instrText>
    </w:r>
    <w:r w:rsidRPr="002D6EB1">
      <w:rPr>
        <w:b w:val="0"/>
      </w:rPr>
      <w:fldChar w:fldCharType="separate"/>
    </w:r>
    <w:r w:rsidR="005574BB">
      <w:rPr>
        <w:b w:val="0"/>
        <w:noProof/>
        <w:lang w:val="es-ES"/>
      </w:rPr>
      <w:t>2</w:t>
    </w:r>
    <w:r w:rsidRPr="002D6EB1">
      <w:rPr>
        <w:b w:val="0"/>
      </w:rPr>
      <w:fldChar w:fldCharType="end"/>
    </w:r>
    <w:r w:rsidR="00877E7D" w:rsidRPr="00877E7D">
      <w:rPr>
        <w:lang w:val="es-ES"/>
      </w:rPr>
      <w:tab/>
    </w:r>
    <w:r w:rsidR="00877E7D">
      <w:t>AMNT</w:t>
    </w:r>
    <w:r w:rsidR="00877E7D" w:rsidRPr="00877E7D">
      <w:rPr>
        <w:lang w:val="es-ES"/>
      </w:rPr>
      <w:t>-12 –</w:t>
    </w:r>
    <w:r w:rsidR="00877E7D">
      <w:rPr>
        <w:lang w:val="es-ES"/>
      </w:rPr>
      <w:t xml:space="preserve"> </w:t>
    </w:r>
    <w:r w:rsidR="00877E7D" w:rsidRPr="00877E7D">
      <w:rPr>
        <w:lang w:val="es-ES"/>
      </w:rPr>
      <w:t xml:space="preserve">Resolución </w:t>
    </w:r>
    <w:r w:rsidR="00427DF1">
      <w:rPr>
        <w:lang w:val="en-US"/>
      </w:rPr>
      <w:t>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330B8" w14:textId="77777777" w:rsidR="00877E7D" w:rsidRPr="00877E7D" w:rsidRDefault="00877E7D" w:rsidP="00877E7D">
    <w:pPr>
      <w:pStyle w:val="FooterQP"/>
      <w:rPr>
        <w:b w:val="0"/>
        <w:lang w:val="en-US"/>
      </w:rPr>
    </w:pPr>
    <w:r>
      <w:tab/>
    </w:r>
    <w:r>
      <w:tab/>
      <w:t>AMNT</w:t>
    </w:r>
    <w:r>
      <w:rPr>
        <w:lang w:val="en-US"/>
      </w:rPr>
      <w:t xml:space="preserve">-12 – Resolución </w:t>
    </w:r>
    <w:r w:rsidR="00427DF1">
      <w:rPr>
        <w:lang w:val="en-US"/>
      </w:rPr>
      <w:t>3</w:t>
    </w:r>
    <w:r>
      <w:rPr>
        <w:lang w:val="en-US"/>
      </w:rPr>
      <w:t>1</w:t>
    </w:r>
    <w:r>
      <w:rPr>
        <w:lang w:val="en-US"/>
      </w:rPr>
      <w:tab/>
    </w:r>
    <w:r w:rsidR="001B7613">
      <w:rPr>
        <w:b w:val="0"/>
      </w:rPr>
      <w:fldChar w:fldCharType="begin"/>
    </w:r>
    <w:r>
      <w:rPr>
        <w:b w:val="0"/>
        <w:lang w:val="en-US"/>
      </w:rPr>
      <w:instrText xml:space="preserve"> PAGE  \* MERGEFORMAT </w:instrText>
    </w:r>
    <w:r w:rsidR="001B7613">
      <w:rPr>
        <w:b w:val="0"/>
      </w:rPr>
      <w:fldChar w:fldCharType="separate"/>
    </w:r>
    <w:r w:rsidR="005574BB">
      <w:rPr>
        <w:b w:val="0"/>
        <w:noProof/>
        <w:lang w:val="en-US"/>
      </w:rPr>
      <w:t>1</w:t>
    </w:r>
    <w:r w:rsidR="001B7613">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E6D9C" w14:textId="77777777" w:rsidR="00B0079F" w:rsidRDefault="00B0079F">
      <w:r>
        <w:t>____________________</w:t>
      </w:r>
    </w:p>
  </w:footnote>
  <w:footnote w:type="continuationSeparator" w:id="0">
    <w:p w14:paraId="5B9607B2" w14:textId="77777777" w:rsidR="00B0079F" w:rsidRDefault="00B0079F">
      <w:r>
        <w:continuationSeparator/>
      </w:r>
    </w:p>
  </w:footnote>
  <w:footnote w:id="1">
    <w:p w14:paraId="6578B9C5" w14:textId="77777777" w:rsidR="00427DF1" w:rsidRPr="006F5DC8" w:rsidRDefault="00427DF1" w:rsidP="00427DF1">
      <w:pPr>
        <w:pStyle w:val="FootnoteText"/>
      </w:pPr>
      <w:r w:rsidRPr="006F5DC8">
        <w:rPr>
          <w:rStyle w:val="FootnoteReference"/>
        </w:rPr>
        <w:t>1</w:t>
      </w:r>
      <w:r w:rsidRPr="006F5DC8">
        <w:t xml:space="preserve"> </w:t>
      </w:r>
      <w:r w:rsidRPr="006F5DC8">
        <w:tab/>
        <w:t>Incluye también los países menos adelantados, los pequeños Estados insulares en desarrollo,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CA3F5" w14:textId="77777777" w:rsidR="00FA742C" w:rsidRDefault="00FA742C">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E611C" w14:textId="77777777" w:rsidR="00FA742C" w:rsidRDefault="00FA742C"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9885C" w14:textId="77777777" w:rsidR="006D0F26" w:rsidRPr="00D075E1" w:rsidRDefault="006D0F26" w:rsidP="00D075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A9374"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16cid:durableId="911934951">
    <w:abstractNumId w:val="9"/>
  </w:num>
  <w:num w:numId="2" w16cid:durableId="1691376691">
    <w:abstractNumId w:val="7"/>
  </w:num>
  <w:num w:numId="3" w16cid:durableId="1780100779">
    <w:abstractNumId w:val="6"/>
  </w:num>
  <w:num w:numId="4" w16cid:durableId="1813281215">
    <w:abstractNumId w:val="5"/>
  </w:num>
  <w:num w:numId="5" w16cid:durableId="330790571">
    <w:abstractNumId w:val="4"/>
  </w:num>
  <w:num w:numId="6" w16cid:durableId="2116901313">
    <w:abstractNumId w:val="8"/>
  </w:num>
  <w:num w:numId="7" w16cid:durableId="964503879">
    <w:abstractNumId w:val="3"/>
  </w:num>
  <w:num w:numId="8" w16cid:durableId="1692802623">
    <w:abstractNumId w:val="2"/>
  </w:num>
  <w:num w:numId="9" w16cid:durableId="1516262500">
    <w:abstractNumId w:val="1"/>
  </w:num>
  <w:num w:numId="10" w16cid:durableId="225992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6D55"/>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B7613"/>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A4E5E"/>
    <w:rsid w:val="002B1009"/>
    <w:rsid w:val="00315C1E"/>
    <w:rsid w:val="003518D5"/>
    <w:rsid w:val="00372B66"/>
    <w:rsid w:val="00377687"/>
    <w:rsid w:val="003C2D00"/>
    <w:rsid w:val="003E33A8"/>
    <w:rsid w:val="003F0680"/>
    <w:rsid w:val="00400600"/>
    <w:rsid w:val="00427DF1"/>
    <w:rsid w:val="004442F6"/>
    <w:rsid w:val="00466E41"/>
    <w:rsid w:val="004F1EA7"/>
    <w:rsid w:val="0052251F"/>
    <w:rsid w:val="005330B1"/>
    <w:rsid w:val="005428C5"/>
    <w:rsid w:val="005435AA"/>
    <w:rsid w:val="0055021E"/>
    <w:rsid w:val="005574BB"/>
    <w:rsid w:val="00585ED1"/>
    <w:rsid w:val="00594C4C"/>
    <w:rsid w:val="005A4F08"/>
    <w:rsid w:val="006253EC"/>
    <w:rsid w:val="006349BE"/>
    <w:rsid w:val="00642735"/>
    <w:rsid w:val="00643BC7"/>
    <w:rsid w:val="00671751"/>
    <w:rsid w:val="006A2304"/>
    <w:rsid w:val="006C1E98"/>
    <w:rsid w:val="006C5ED6"/>
    <w:rsid w:val="006C62D4"/>
    <w:rsid w:val="006D0F26"/>
    <w:rsid w:val="006E43AB"/>
    <w:rsid w:val="006F5455"/>
    <w:rsid w:val="007057EE"/>
    <w:rsid w:val="00712378"/>
    <w:rsid w:val="00743611"/>
    <w:rsid w:val="0079215F"/>
    <w:rsid w:val="00792B1B"/>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4261"/>
    <w:rsid w:val="00A762C1"/>
    <w:rsid w:val="00A7749A"/>
    <w:rsid w:val="00AD62D4"/>
    <w:rsid w:val="00AE2892"/>
    <w:rsid w:val="00AE5D2B"/>
    <w:rsid w:val="00B0079F"/>
    <w:rsid w:val="00B122C8"/>
    <w:rsid w:val="00B24C2D"/>
    <w:rsid w:val="00B31246"/>
    <w:rsid w:val="00B450BE"/>
    <w:rsid w:val="00B57627"/>
    <w:rsid w:val="00B61661"/>
    <w:rsid w:val="00B96F52"/>
    <w:rsid w:val="00BD5BF5"/>
    <w:rsid w:val="00BE0A5C"/>
    <w:rsid w:val="00C028FA"/>
    <w:rsid w:val="00C10AF4"/>
    <w:rsid w:val="00C13B7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B1EE7"/>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A742C"/>
    <w:rsid w:val="00FB6D55"/>
    <w:rsid w:val="00FD0876"/>
    <w:rsid w:val="00FD4011"/>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94F412"/>
  <w15:docId w15:val="{550286B9-05F2-4378-A90E-D1C67635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2A4E5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A4E5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427DF1"/>
    <w:pPr>
      <w:tabs>
        <w:tab w:val="clear" w:pos="794"/>
        <w:tab w:val="clear" w:pos="1191"/>
        <w:tab w:val="left" w:pos="1134"/>
      </w:tabs>
      <w:jc w:val="left"/>
    </w:pPr>
    <w:rPr>
      <w:sz w:val="24"/>
      <w:lang w:val="en-GB"/>
    </w:rPr>
  </w:style>
  <w:style w:type="paragraph" w:styleId="BalloonText">
    <w:name w:val="Balloon Text"/>
    <w:basedOn w:val="Normal"/>
    <w:link w:val="BalloonTextChar"/>
    <w:rsid w:val="005574BB"/>
    <w:pPr>
      <w:spacing w:before="0"/>
    </w:pPr>
    <w:rPr>
      <w:rFonts w:ascii="Tahoma" w:hAnsi="Tahoma" w:cs="Tahoma"/>
      <w:sz w:val="16"/>
      <w:szCs w:val="16"/>
    </w:rPr>
  </w:style>
  <w:style w:type="character" w:customStyle="1" w:styleId="BalloonTextChar">
    <w:name w:val="Balloon Text Char"/>
    <w:basedOn w:val="DefaultParagraphFont"/>
    <w:link w:val="BalloonText"/>
    <w:rsid w:val="005574BB"/>
    <w:rPr>
      <w:rFonts w:ascii="Tahoma" w:hAnsi="Tahoma" w:cs="Tahoma"/>
      <w:sz w:val="16"/>
      <w:szCs w:val="16"/>
      <w:lang w:val="es-ES_tradnl"/>
    </w:rPr>
  </w:style>
  <w:style w:type="paragraph" w:styleId="BodyText">
    <w:name w:val="Body Text"/>
    <w:basedOn w:val="Normal"/>
    <w:link w:val="BodyTextChar"/>
    <w:uiPriority w:val="1"/>
    <w:qFormat/>
    <w:rsid w:val="00FA742C"/>
    <w:pPr>
      <w:spacing w:before="160" w:line="280" w:lineRule="exact"/>
    </w:pPr>
    <w:rPr>
      <w:rFonts w:ascii="Arial" w:hAnsi="Arial" w:cs="Arial"/>
      <w:b/>
      <w:bCs/>
      <w:sz w:val="36"/>
      <w:lang w:val="fr-FR"/>
    </w:rPr>
  </w:style>
  <w:style w:type="character" w:customStyle="1" w:styleId="BodyTextChar">
    <w:name w:val="Body Text Char"/>
    <w:basedOn w:val="DefaultParagraphFont"/>
    <w:link w:val="BodyText"/>
    <w:uiPriority w:val="1"/>
    <w:rsid w:val="00FA742C"/>
    <w:rPr>
      <w:rFonts w:ascii="Arial" w:hAnsi="Arial" w:cs="Arial"/>
      <w:b/>
      <w:bCs/>
      <w:sz w:val="3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TSB%20PUB\T-REC-FINAL-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DC311-75C4-453F-B3D7-0B8C4E4A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T-REC-FINAL-S.dotm</Template>
  <TotalTime>8</TotalTime>
  <Pages>6</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31 – Admisión de entidades u organizaciones para participar como Asociados en los trabajos del Sector de Normalización de las Telecomunicaciones</dc:title>
  <dc:subject>ASAMBLEA MUNDIAL DE NORMALIZACIÓN DE LAS TELECOMUNICACIONES</dc:subject>
  <dc:creator>Comisión de Estudio 2 del UIT-T</dc:creator>
  <cp:keywords/>
  <dc:description/>
  <cp:lastModifiedBy>Saez Grau, Ricardo</cp:lastModifiedBy>
  <cp:revision>6</cp:revision>
  <cp:lastPrinted>2007-10-18T07:42:00Z</cp:lastPrinted>
  <dcterms:created xsi:type="dcterms:W3CDTF">2013-04-25T13:43:00Z</dcterms:created>
  <dcterms:modified xsi:type="dcterms:W3CDTF">2024-11-21T15:18:00Z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