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CB182C">
            <w:pPr>
              <w:tabs>
                <w:tab w:val="right" w:pos="9639"/>
              </w:tabs>
              <w:jc w:val="left"/>
              <w:rPr>
                <w:rFonts w:ascii="Arial" w:hAnsi="Arial"/>
                <w:b/>
                <w:bCs/>
                <w:sz w:val="36"/>
                <w:lang w:val="fr-CH"/>
              </w:rPr>
            </w:pPr>
            <w:r>
              <w:rPr>
                <w:rFonts w:ascii="Arial" w:hAnsi="Arial"/>
                <w:b/>
                <w:bCs/>
                <w:sz w:val="36"/>
                <w:lang w:val="fr-CH"/>
              </w:rPr>
              <w:t xml:space="preserve">Résolution </w:t>
            </w:r>
            <w:r w:rsidR="00CB182C">
              <w:rPr>
                <w:rFonts w:ascii="Arial" w:hAnsi="Arial"/>
                <w:b/>
                <w:bCs/>
                <w:sz w:val="36"/>
                <w:lang w:val="fr-CH"/>
              </w:rPr>
              <w:t xml:space="preserve">29 – </w:t>
            </w:r>
            <w:r w:rsidR="00CB182C" w:rsidRPr="00CB182C">
              <w:rPr>
                <w:rFonts w:ascii="Arial" w:hAnsi="Arial"/>
                <w:b/>
                <w:bCs/>
                <w:sz w:val="36"/>
              </w:rPr>
              <w:t>Procédures d'appel alternatives utilisées sur les réseaux</w:t>
            </w:r>
            <w:r w:rsidR="00CB182C">
              <w:rPr>
                <w:rFonts w:ascii="Arial" w:hAnsi="Arial"/>
                <w:b/>
                <w:bCs/>
                <w:sz w:val="36"/>
              </w:rPr>
              <w:t xml:space="preserve"> </w:t>
            </w:r>
            <w:r w:rsidR="00CB182C" w:rsidRPr="00CB182C">
              <w:rPr>
                <w:rFonts w:ascii="Arial" w:hAnsi="Arial"/>
                <w:b/>
                <w:bCs/>
                <w:sz w:val="36"/>
              </w:rPr>
              <w:t>de télécommunication internationaux</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CB182C" w:rsidRPr="009E47FF" w:rsidRDefault="008A66E0" w:rsidP="00CB182C">
      <w:pPr>
        <w:pStyle w:val="Href"/>
      </w:pPr>
      <w:r w:rsidRPr="00E15B2A">
        <w:rPr>
          <w:lang w:val="fr-CH"/>
        </w:rPr>
        <w:lastRenderedPageBreak/>
        <w:t xml:space="preserve">RÉSOLUTION </w:t>
      </w:r>
      <w:r w:rsidR="00CB182C" w:rsidRPr="00E15B2A">
        <w:rPr>
          <w:rStyle w:val="href0"/>
          <w:lang w:val="fr-CH"/>
        </w:rPr>
        <w:t xml:space="preserve">29 </w:t>
      </w:r>
      <w:r w:rsidR="00CB182C" w:rsidRPr="009E47FF">
        <w:t xml:space="preserve">(Rév. </w:t>
      </w:r>
      <w:r w:rsidR="00CB182C" w:rsidRPr="009E47FF">
        <w:rPr>
          <w:rFonts w:hAnsi="Times New Roman Bold"/>
        </w:rPr>
        <w:t>Hammamet, 2016</w:t>
      </w:r>
      <w:r w:rsidR="00CB182C" w:rsidRPr="009E47FF">
        <w:t>)</w:t>
      </w:r>
    </w:p>
    <w:p w:rsidR="00CB182C" w:rsidRPr="009E47FF" w:rsidRDefault="00CB182C" w:rsidP="00CB182C">
      <w:pPr>
        <w:pStyle w:val="Restitle"/>
      </w:pPr>
      <w:r w:rsidRPr="009E47FF">
        <w:t>Procédures d'appel alternatives utilisées sur les réseaux</w:t>
      </w:r>
      <w:r w:rsidRPr="009E47FF">
        <w:br/>
        <w:t>de télécommunication internationaux</w:t>
      </w:r>
    </w:p>
    <w:p w:rsidR="00CB182C" w:rsidRPr="009E47FF" w:rsidRDefault="00CB182C" w:rsidP="00CB182C">
      <w:pPr>
        <w:pStyle w:val="Resref"/>
      </w:pPr>
      <w:r w:rsidRPr="009E47FF">
        <w:t xml:space="preserve">(Genève, 1996; Montréal, 2000, Florianópolis, 2004; Johannesburg, 2008; </w:t>
      </w:r>
      <w:r w:rsidR="00E15B2A">
        <w:br/>
      </w:r>
      <w:r w:rsidRPr="009E47FF">
        <w:t>Dubaï, 2012; Hammamet, 2016)</w:t>
      </w:r>
    </w:p>
    <w:p w:rsidR="00CB182C" w:rsidRPr="009E47FF" w:rsidRDefault="00CB182C" w:rsidP="00CB182C">
      <w:pPr>
        <w:pStyle w:val="Normalaftertitle0"/>
        <w:rPr>
          <w:lang w:val="fr-FR"/>
        </w:rPr>
      </w:pPr>
      <w:r w:rsidRPr="009E47FF">
        <w:rPr>
          <w:lang w:val="fr-FR"/>
        </w:rPr>
        <w:t>L'Assemblée mondiale de normalisation des télécommunications (Hammamet, 2016),</w:t>
      </w:r>
    </w:p>
    <w:p w:rsidR="00CB182C" w:rsidRPr="009E47FF" w:rsidRDefault="00CB182C" w:rsidP="00CB182C">
      <w:pPr>
        <w:pStyle w:val="Call"/>
      </w:pPr>
      <w:r w:rsidRPr="009E47FF">
        <w:t>rappelant</w:t>
      </w:r>
    </w:p>
    <w:p w:rsidR="00CB182C" w:rsidRPr="009E47FF" w:rsidRDefault="00CB182C" w:rsidP="00CB182C">
      <w:r w:rsidRPr="009E47FF">
        <w:rPr>
          <w:i/>
          <w:iCs/>
        </w:rPr>
        <w:t>a)</w:t>
      </w:r>
      <w:r w:rsidRPr="009E47FF">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rsidR="00CB182C" w:rsidRPr="009E47FF" w:rsidRDefault="00CB182C" w:rsidP="00CB182C">
      <w:r w:rsidRPr="009E47FF">
        <w:rPr>
          <w:i/>
          <w:iCs/>
        </w:rPr>
        <w:t>b)</w:t>
      </w:r>
      <w:r w:rsidRPr="009E47FF">
        <w:tab/>
        <w:t>la Résolution 22 (Rév.Dubaï, 2014) de la Conférence mondiale de développement des télécommunications,</w:t>
      </w:r>
      <w:r w:rsidRPr="009E47FF">
        <w:rPr>
          <w:i/>
          <w:iCs/>
        </w:rPr>
        <w:t xml:space="preserve"> </w:t>
      </w:r>
      <w:r w:rsidRPr="009E47FF">
        <w:t>relative aux procédures d'appel alternatives sur les réseaux de télécommunication internationaux, à l'identification de leur origine et à la répartition des recettes provenant des services internationaux de télécommunication;</w:t>
      </w:r>
    </w:p>
    <w:p w:rsidR="00CB182C" w:rsidRPr="009E47FF" w:rsidRDefault="00CB182C" w:rsidP="00CB182C">
      <w:r w:rsidRPr="009E47FF">
        <w:rPr>
          <w:i/>
          <w:iCs/>
        </w:rPr>
        <w:t>c)</w:t>
      </w:r>
      <w:r w:rsidRPr="009E47FF">
        <w:tab/>
        <w:t>la Résolution 21 (Rév. Busan, 2014) de la Conférence de plénipotentiaires concernant les mesures à prendre en cas d'utilisation de procédures d'appel alternatives sur les réseaux de télécommunication internationaux,</w:t>
      </w:r>
    </w:p>
    <w:p w:rsidR="00CB182C" w:rsidRPr="009E47FF" w:rsidRDefault="00CB182C" w:rsidP="00CB182C">
      <w:pPr>
        <w:pStyle w:val="Call"/>
      </w:pPr>
      <w:r w:rsidRPr="009E47FF">
        <w:t>reconnaissant</w:t>
      </w:r>
    </w:p>
    <w:p w:rsidR="00CB182C" w:rsidRPr="009E47FF" w:rsidRDefault="00CB182C" w:rsidP="00CB182C">
      <w:r w:rsidRPr="009E47FF">
        <w:rPr>
          <w:i/>
          <w:iCs/>
        </w:rPr>
        <w:t>a)</w:t>
      </w:r>
      <w:r w:rsidRPr="009E47FF">
        <w:tab/>
        <w:t>que les procédures d'appel alternatives susceptibles d'avoir des conséquences négatives ne sont pas autorisées dans de nombreux pays et sont autorisées dans d'autres;</w:t>
      </w:r>
    </w:p>
    <w:p w:rsidR="00CB182C" w:rsidRPr="009E47FF" w:rsidRDefault="00CB182C" w:rsidP="00CB182C">
      <w:r w:rsidRPr="009E47FF">
        <w:rPr>
          <w:i/>
          <w:iCs/>
        </w:rPr>
        <w:t>b)</w:t>
      </w:r>
      <w:r w:rsidRPr="009E47FF">
        <w:tab/>
        <w:t>que, bien qu'elles soient susceptibles d'avoir des conséquences dommageables, les procédures d'appel alternatives peuvent être intéressantes pour les utilisateurs;</w:t>
      </w:r>
    </w:p>
    <w:p w:rsidR="00CB182C" w:rsidRPr="009E47FF" w:rsidRDefault="00CB182C" w:rsidP="00CB182C">
      <w:r w:rsidRPr="009E47FF">
        <w:rPr>
          <w:i/>
          <w:iCs/>
        </w:rPr>
        <w:t>c)</w:t>
      </w:r>
      <w:r w:rsidRPr="009E47FF">
        <w:tab/>
        <w:t>que les procédures d'appel alternatives, qui sont susceptibles d'avoir des conséquences dommageables et des incidences négatives sur les recettes des opérateurs de télécommunication internationaux ou des exploitations autorisées par les Etats Membres, peuvent sérieusement entraver, en particulier, les efforts que déploient les pays en développement</w:t>
      </w:r>
      <w:r w:rsidRPr="009E47FF">
        <w:rPr>
          <w:rStyle w:val="FootnoteReference"/>
          <w:vertAlign w:val="superscript"/>
        </w:rPr>
        <w:footnoteReference w:customMarkFollows="1" w:id="1"/>
        <w:t>1</w:t>
      </w:r>
      <w:r w:rsidRPr="009E47FF">
        <w:t xml:space="preserve"> pour assurer le bon développement de leurs réseaux et services de télécommunication;</w:t>
      </w:r>
    </w:p>
    <w:p w:rsidR="00CB182C" w:rsidRPr="009E47FF" w:rsidRDefault="00CB182C" w:rsidP="00CB182C">
      <w:r w:rsidRPr="009E47FF">
        <w:rPr>
          <w:i/>
          <w:iCs/>
        </w:rPr>
        <w:t>d)</w:t>
      </w:r>
      <w:r w:rsidRPr="009E47FF">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rsidR="00CB182C" w:rsidRPr="009E47FF" w:rsidRDefault="00CB182C" w:rsidP="00CB182C">
      <w:r w:rsidRPr="009E47FF">
        <w:rPr>
          <w:i/>
          <w:iCs/>
        </w:rPr>
        <w:t>e)</w:t>
      </w:r>
      <w:r w:rsidRPr="009E47FF">
        <w:rPr>
          <w:i/>
          <w:iCs/>
        </w:rPr>
        <w:tab/>
      </w:r>
      <w:r w:rsidRPr="009E47FF">
        <w:t xml:space="preserve">que certains types de procédures d'appel alternatives entraînent une dégradation sérieuse de la qualité de fonctionnement </w:t>
      </w:r>
      <w:r w:rsidRPr="009E47FF">
        <w:rPr>
          <w:color w:val="000000"/>
        </w:rPr>
        <w:t>des réseaux de télécommunication;</w:t>
      </w:r>
    </w:p>
    <w:p w:rsidR="00CB182C" w:rsidRPr="009E47FF" w:rsidRDefault="00CB182C" w:rsidP="00CB182C">
      <w:pPr>
        <w:rPr>
          <w:i/>
          <w:iCs/>
        </w:rPr>
      </w:pPr>
      <w:r w:rsidRPr="009E47FF">
        <w:rPr>
          <w:i/>
          <w:iCs/>
        </w:rPr>
        <w:t>f)</w:t>
      </w:r>
      <w:r w:rsidRPr="009E47FF">
        <w:rPr>
          <w:i/>
          <w:iCs/>
        </w:rPr>
        <w:tab/>
      </w:r>
      <w:r w:rsidRPr="009E47FF">
        <w:t>que la multiplication des réseaux utilisant le protocole Internet (IP), y compris de l'Internet, pour la fourniture de services de télécommunication a eu des incidences sur les procédures d'appel, et qu'il devient nécessaire de recenser et de définir à nouveau ces procédures,</w:t>
      </w:r>
    </w:p>
    <w:p w:rsidR="00CB182C" w:rsidRPr="009E47FF" w:rsidRDefault="00CB182C" w:rsidP="00CB182C">
      <w:pPr>
        <w:pStyle w:val="Call"/>
      </w:pPr>
      <w:r w:rsidRPr="009E47FF">
        <w:t>considérant</w:t>
      </w:r>
    </w:p>
    <w:p w:rsidR="00CB182C" w:rsidRPr="009E47FF" w:rsidRDefault="00CB182C" w:rsidP="00CB182C">
      <w:r w:rsidRPr="009E47FF">
        <w:rPr>
          <w:i/>
          <w:iCs/>
        </w:rPr>
        <w:t>a)</w:t>
      </w:r>
      <w:r w:rsidRPr="009E47FF">
        <w:rPr>
          <w:i/>
          <w:iCs/>
        </w:rPr>
        <w:tab/>
      </w:r>
      <w:r w:rsidRPr="009E47FF">
        <w:t>les résultats de l'atelier de l'UIT sur les procédures d'appel alternatives et l'identification de l'origine;</w:t>
      </w:r>
    </w:p>
    <w:p w:rsidR="00CB182C" w:rsidRPr="009E47FF" w:rsidRDefault="00CB182C" w:rsidP="00CB182C">
      <w:r w:rsidRPr="009E47FF">
        <w:rPr>
          <w:i/>
          <w:iCs/>
        </w:rPr>
        <w:t>b)</w:t>
      </w:r>
      <w:r w:rsidRPr="009E47FF">
        <w:tab/>
        <w:t>les résultats de l'atelier de l'UIT sur le thème "Usurpation de l'identité de l'appelant" tenu par la Commission d'études 2 de l'UIT</w:t>
      </w:r>
      <w:r w:rsidRPr="009E47FF">
        <w:noBreakHyphen/>
        <w:t>T le 2 juin 2014 à Genève;</w:t>
      </w:r>
    </w:p>
    <w:p w:rsidR="00CB182C" w:rsidRPr="009E47FF" w:rsidRDefault="00CB182C" w:rsidP="00CB182C">
      <w:r w:rsidRPr="009E47FF">
        <w:rPr>
          <w:i/>
          <w:iCs/>
        </w:rPr>
        <w:lastRenderedPageBreak/>
        <w:t>c)</w:t>
      </w:r>
      <w:r w:rsidRPr="009E47FF">
        <w:tab/>
        <w:t>que toute procédure d'appel devrait avoir pour objet de maintenir un niveau acceptable de qualité de service et de qualité d'expérience et de fournir des informations relatives à l'identification de la ligne appelante ou à l'identification de l'origine,</w:t>
      </w:r>
    </w:p>
    <w:p w:rsidR="00CB182C" w:rsidRPr="009E47FF" w:rsidRDefault="00CB182C" w:rsidP="00CB182C">
      <w:pPr>
        <w:pStyle w:val="Call"/>
      </w:pPr>
      <w:r w:rsidRPr="009E47FF">
        <w:t>réaffirmant</w:t>
      </w:r>
    </w:p>
    <w:p w:rsidR="00CB182C" w:rsidRPr="009E47FF" w:rsidRDefault="00CB182C" w:rsidP="00CB182C">
      <w:r w:rsidRPr="009E47FF">
        <w:rPr>
          <w:i/>
          <w:iCs/>
        </w:rPr>
        <w:t>a)</w:t>
      </w:r>
      <w:r w:rsidRPr="009E47FF">
        <w:tab/>
        <w:t>le droit souverain de chaque pays de réglementer ses télécommunications;</w:t>
      </w:r>
    </w:p>
    <w:p w:rsidR="00CB182C" w:rsidRPr="009E47FF" w:rsidRDefault="00CB182C" w:rsidP="00CB182C">
      <w:r w:rsidRPr="009E47FF">
        <w:rPr>
          <w:i/>
          <w:iCs/>
        </w:rPr>
        <w:t>b)</w:t>
      </w:r>
      <w:r w:rsidRPr="009E47FF">
        <w:tab/>
        <w:t>que la Constitution, dans son préambule, fait état de "l'importance croissante des télécommunications pour la sauvegarde de la paix et le développement économique et social de t</w:t>
      </w:r>
      <w:r w:rsidR="004E6DE4">
        <w:t>ous les Etats" et que les Etats </w:t>
      </w:r>
      <w:r w:rsidRPr="009E47FF">
        <w:t>Membres ont souscrit, dans la Constitution, à l'objectif "visant à faciliter les relations pacifiques et la coopération internationale entre les peuples ainsi que le développement économique et social par le bon fonctionnement des télécommunications",</w:t>
      </w:r>
    </w:p>
    <w:p w:rsidR="00CB182C" w:rsidRPr="009E47FF" w:rsidRDefault="00CB182C" w:rsidP="00CB182C">
      <w:pPr>
        <w:pStyle w:val="Call"/>
      </w:pPr>
      <w:r w:rsidRPr="009E47FF">
        <w:t>notant</w:t>
      </w:r>
    </w:p>
    <w:p w:rsidR="00CB182C" w:rsidRPr="009E47FF" w:rsidRDefault="00CB182C" w:rsidP="00CB182C">
      <w:r w:rsidRPr="009E47FF">
        <w:t>qu'afin de limiter le plus possible les effets des procédures d'appel alternatives:</w:t>
      </w:r>
    </w:p>
    <w:p w:rsidR="00CB182C" w:rsidRPr="009E47FF" w:rsidRDefault="00CB182C" w:rsidP="00CB182C">
      <w:pPr>
        <w:pStyle w:val="enumlev1"/>
      </w:pPr>
      <w:r w:rsidRPr="009E47FF">
        <w:t>i)</w:t>
      </w:r>
      <w:r w:rsidRPr="009E47FF">
        <w:tab/>
        <w:t>les opérateurs de télécommunication internationaux ou les exploit</w:t>
      </w:r>
      <w:r w:rsidR="004E6DE4">
        <w:t>ations autorisées par les Etats </w:t>
      </w:r>
      <w:r w:rsidRPr="009E47FF">
        <w:t>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9E47FF">
        <w:noBreakHyphen/>
        <w:t>T D.5;</w:t>
      </w:r>
    </w:p>
    <w:p w:rsidR="00CB182C" w:rsidRPr="009E47FF" w:rsidRDefault="00CB182C" w:rsidP="00CB182C">
      <w:pPr>
        <w:pStyle w:val="enumlev1"/>
      </w:pPr>
      <w:r w:rsidRPr="009E47FF">
        <w:t>ii)</w:t>
      </w:r>
      <w:r w:rsidRPr="009E47FF">
        <w:tab/>
        <w:t>les administrations et les opérateurs de télécommunication internationaux ou les exploitations autorisées par les Etats Membres devraient suivre les lignes direct</w:t>
      </w:r>
      <w:r w:rsidR="004E6DE4">
        <w:t>rices élaborées par les Etats </w:t>
      </w:r>
      <w:r w:rsidRPr="009E47FF">
        <w:t>Membres sur les mesures à mettre en oeuvre pour prévenir les incidences des procédures d'appel alternatives pour d'autres Etats Membres,</w:t>
      </w:r>
    </w:p>
    <w:p w:rsidR="00CB182C" w:rsidRPr="009E47FF" w:rsidRDefault="00CB182C" w:rsidP="00CB182C">
      <w:pPr>
        <w:pStyle w:val="Call"/>
      </w:pPr>
      <w:r w:rsidRPr="009E47FF">
        <w:t>décide</w:t>
      </w:r>
    </w:p>
    <w:p w:rsidR="00CB182C" w:rsidRPr="009E47FF" w:rsidRDefault="00CB182C" w:rsidP="00CB182C">
      <w:r w:rsidRPr="009E47FF">
        <w:t>1</w:t>
      </w:r>
      <w:r w:rsidRPr="009E47FF">
        <w:tab/>
        <w:t>de continuer de recenser et de définir tous les types de procédures d'appel alternatives, d'étudier leurs incidences pour toutes les parties et d'élaborer des Recommandations appropriées concernant les procédures d'appel alternatives;</w:t>
      </w:r>
    </w:p>
    <w:p w:rsidR="00CB182C" w:rsidRPr="009E47FF" w:rsidRDefault="00CB182C" w:rsidP="00CB182C">
      <w:r w:rsidRPr="009E47FF">
        <w:t>2</w:t>
      </w:r>
      <w:r w:rsidRPr="009E47FF">
        <w:tab/>
        <w:t>que les administrations et les opérateurs de télécommunications internationaux ou les exploitations autorisées par les Etats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rsidR="00CB182C" w:rsidRPr="009E47FF" w:rsidRDefault="00CB182C" w:rsidP="00CB182C">
      <w:r w:rsidRPr="009E47FF">
        <w:t>3</w:t>
      </w:r>
      <w:r w:rsidRPr="009E47FF">
        <w:tab/>
        <w:t>que les administrations et les opérateurs de télécommunication internationaux ou les exploitations autorisées par les Etats Membres devront adopter une approche fondée sur la coopération pour respecter la souveraineté nationale des autres pays; à cet égard, des lignes directrices sont jointes en annexe;</w:t>
      </w:r>
    </w:p>
    <w:p w:rsidR="00CB182C" w:rsidRPr="009E47FF" w:rsidRDefault="00CB182C" w:rsidP="00CB182C">
      <w:r w:rsidRPr="009E47FF">
        <w:t>4</w:t>
      </w:r>
      <w:r w:rsidRPr="009E47FF">
        <w:tab/>
        <w:t>de charger la Commission d'études 2 de l'UIT</w:t>
      </w:r>
      <w:r w:rsidRPr="009E47FF">
        <w:noBreakHyphen/>
        <w:t>T d'étudier d'autres aspects et d'autres types de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OTT fonctionnant à l'aide de numéros de téléphone, qui peut donner lieu à des pratiques frauduleuses, et d'élaborer des Recommandations et des lignes directrices appropriées;</w:t>
      </w:r>
    </w:p>
    <w:p w:rsidR="00CB182C" w:rsidRPr="009E47FF" w:rsidRDefault="00CB182C" w:rsidP="00CB182C">
      <w:r w:rsidRPr="009E47FF">
        <w:t>5</w:t>
      </w:r>
      <w:r w:rsidRPr="009E47FF">
        <w:tab/>
        <w:t>de charger la Commission d'études 3 d'étudier les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p>
    <w:p w:rsidR="00CB182C" w:rsidRPr="009E47FF" w:rsidRDefault="00CB182C" w:rsidP="00CB182C">
      <w:r w:rsidRPr="009E47FF">
        <w:t>6</w:t>
      </w:r>
      <w:r w:rsidRPr="009E47FF">
        <w:tab/>
        <w:t>de charger la Commission d'études 12 d'élaborer des lignes directrices concernant le seuil minimal de qualité de service et de qualité d'expérience à respecter lors de l'utilisation des procédures d'appel alternatives,</w:t>
      </w:r>
    </w:p>
    <w:p w:rsidR="00CB182C" w:rsidRPr="009E47FF" w:rsidRDefault="00CB182C" w:rsidP="00CB182C">
      <w:pPr>
        <w:pStyle w:val="Call"/>
      </w:pPr>
      <w:r w:rsidRPr="009E47FF">
        <w:lastRenderedPageBreak/>
        <w:t>charge le Directeur du Bureau de la normalisation des télécommunications</w:t>
      </w:r>
    </w:p>
    <w:p w:rsidR="00CB182C" w:rsidRPr="009E47FF" w:rsidRDefault="00CB182C" w:rsidP="00CB182C">
      <w:r w:rsidRPr="009E47FF">
        <w:t>de continuer de coopérer avec le Directeur du Bureau de développement des télécommunications pour faciliter la participation des pays en développement à ces études, pour utiliser les résultats des études, et aux fins de la mise en oeuvre de la présente Résolution,</w:t>
      </w:r>
    </w:p>
    <w:p w:rsidR="00CB182C" w:rsidRPr="009E47FF" w:rsidRDefault="00CB182C" w:rsidP="00CB182C">
      <w:pPr>
        <w:pStyle w:val="Call"/>
      </w:pPr>
      <w:r w:rsidRPr="009E47FF">
        <w:t>invite les Etats Membres</w:t>
      </w:r>
    </w:p>
    <w:p w:rsidR="00CB182C" w:rsidRPr="009E47FF" w:rsidRDefault="00CB182C" w:rsidP="00CB182C">
      <w:r w:rsidRPr="009E47FF">
        <w:t>1</w:t>
      </w:r>
      <w:r w:rsidRPr="009E47FF">
        <w:tab/>
        <w:t>à adopter des cadres juridiques et réglementaires nationaux, dans lesquels il sera demandé aux administrations et aux opérateurs de télécommunication internationaux ou aux exploitations autorisées par les Etats Membres d'éviter de recourir à des procédures d'appel alternatives qui détériorent le niveau de qualité de service et de qualité d'expérience, de faire en sorte que les informations relatives à l'identification de la ligne appelante internationale (CLI) et à l'identification de l'origine (OI) soient fournies au moins à l'exploitation de destination et d'assurer la tarification appropriée, compte tenu des Recommandations pertinentes de l'UIT-T;</w:t>
      </w:r>
    </w:p>
    <w:p w:rsidR="00CB182C" w:rsidRPr="004A196C" w:rsidRDefault="00CB182C" w:rsidP="00CB182C">
      <w:pPr>
        <w:rPr>
          <w:b/>
        </w:rPr>
      </w:pPr>
      <w:r w:rsidRPr="009E47FF">
        <w:t>2</w:t>
      </w:r>
      <w:r w:rsidRPr="009E47FF">
        <w:tab/>
        <w:t>à contribuer à ces travaux.</w:t>
      </w:r>
    </w:p>
    <w:p w:rsidR="00CB182C" w:rsidRPr="009E47FF" w:rsidRDefault="00CB182C" w:rsidP="00CB182C">
      <w:pPr>
        <w:pStyle w:val="AppendixNo"/>
        <w:rPr>
          <w:lang w:val="fr-FR"/>
        </w:rPr>
      </w:pPr>
      <w:r w:rsidRPr="009E47FF">
        <w:rPr>
          <w:lang w:val="fr-FR"/>
        </w:rPr>
        <w:t>Pièce jointe</w:t>
      </w:r>
      <w:r w:rsidRPr="009E47FF">
        <w:rPr>
          <w:lang w:val="fr-FR"/>
        </w:rPr>
        <w:br/>
        <w:t>(</w:t>
      </w:r>
      <w:r w:rsidRPr="009E47FF">
        <w:rPr>
          <w:caps w:val="0"/>
          <w:lang w:val="fr-FR"/>
        </w:rPr>
        <w:t>à la Résolution 29 (Rév. Hammamet, 2016)</w:t>
      </w:r>
      <w:r w:rsidRPr="009E47FF">
        <w:rPr>
          <w:lang w:val="fr-FR"/>
        </w:rPr>
        <w:t>)</w:t>
      </w:r>
    </w:p>
    <w:p w:rsidR="00CB182C" w:rsidRPr="009E47FF" w:rsidRDefault="00CB182C" w:rsidP="00E15B2A">
      <w:pPr>
        <w:pStyle w:val="Appendixtitle"/>
        <w:rPr>
          <w:lang w:val="fr-FR"/>
        </w:rPr>
      </w:pPr>
      <w:r w:rsidRPr="009E47FF">
        <w:rPr>
          <w:lang w:val="fr-FR"/>
        </w:rPr>
        <w:t>Consultation sur les procédures d'appel alternatives</w:t>
      </w:r>
      <w:r w:rsidR="00E15B2A">
        <w:rPr>
          <w:lang w:val="fr-FR"/>
        </w:rPr>
        <w:br/>
      </w:r>
      <w:r w:rsidRPr="009E47FF">
        <w:rPr>
          <w:lang w:val="fr-FR"/>
        </w:rPr>
        <w:t xml:space="preserve">Lignes directrices proposées aux administrations et aux opérateurs de télécommunication internationaux ou aux exploitations </w:t>
      </w:r>
      <w:r w:rsidRPr="009E47FF">
        <w:rPr>
          <w:lang w:val="fr-FR"/>
        </w:rPr>
        <w:br/>
        <w:t>autorisées par les Etats Membres</w:t>
      </w:r>
    </w:p>
    <w:p w:rsidR="00CB182C" w:rsidRDefault="00CB182C" w:rsidP="00CB182C">
      <w:pPr>
        <w:spacing w:after="120"/>
      </w:pPr>
      <w:r w:rsidRPr="009E47FF">
        <w:t xml:space="preserve">Dans l'intérêt du développement mondial des télécommunications internationales, il est souhaitable que les administrations et les opérateurs de télécommunication internationaux ou les exploitations autorisées par les Etats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 </w:t>
      </w:r>
    </w:p>
    <w:tbl>
      <w:tblPr>
        <w:tblpPr w:leftFromText="180" w:rightFromText="180" w:vertAnchor="text" w:tblpXSpec="center"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819"/>
        <w:gridCol w:w="4819"/>
      </w:tblGrid>
      <w:tr w:rsidR="00CB182C" w:rsidRPr="00424BD1" w:rsidTr="004E6DE4">
        <w:trPr>
          <w:cantSplit/>
          <w:tblHeader/>
        </w:trPr>
        <w:tc>
          <w:tcPr>
            <w:tcW w:w="4819" w:type="dxa"/>
          </w:tcPr>
          <w:p w:rsidR="00CB182C" w:rsidRPr="00E15B2A" w:rsidRDefault="00CB182C" w:rsidP="004E6DE4">
            <w:pPr>
              <w:pStyle w:val="Tablehead"/>
              <w:rPr>
                <w:sz w:val="20"/>
              </w:rPr>
            </w:pPr>
            <w:r w:rsidRPr="00E15B2A">
              <w:rPr>
                <w:sz w:val="20"/>
              </w:rPr>
              <w:t>Pays X</w:t>
            </w:r>
            <w:r w:rsidRPr="00E15B2A">
              <w:rPr>
                <w:sz w:val="20"/>
              </w:rPr>
              <w:br/>
              <w:t xml:space="preserve">(où se trouve l'utilisateur </w:t>
            </w:r>
            <w:r w:rsidR="004E6DE4" w:rsidRPr="00E15B2A">
              <w:rPr>
                <w:sz w:val="20"/>
              </w:rPr>
              <w:br/>
            </w:r>
            <w:r w:rsidRPr="00E15B2A">
              <w:rPr>
                <w:sz w:val="20"/>
              </w:rPr>
              <w:t>de la procédure d'appel alternative)</w:t>
            </w:r>
          </w:p>
        </w:tc>
        <w:tc>
          <w:tcPr>
            <w:tcW w:w="4819" w:type="dxa"/>
          </w:tcPr>
          <w:p w:rsidR="00CB182C" w:rsidRPr="00E15B2A" w:rsidRDefault="00CB182C" w:rsidP="00042D9F">
            <w:pPr>
              <w:pStyle w:val="Tablehead"/>
              <w:rPr>
                <w:sz w:val="20"/>
              </w:rPr>
            </w:pPr>
            <w:r w:rsidRPr="00E15B2A">
              <w:rPr>
                <w:sz w:val="20"/>
              </w:rPr>
              <w:t>Pays Y</w:t>
            </w:r>
            <w:r w:rsidRPr="00E15B2A">
              <w:rPr>
                <w:sz w:val="20"/>
              </w:rPr>
              <w:br/>
              <w:t xml:space="preserve">(où se trouve le fournisseur </w:t>
            </w:r>
            <w:r w:rsidR="004E6DE4" w:rsidRPr="00E15B2A">
              <w:rPr>
                <w:sz w:val="20"/>
              </w:rPr>
              <w:br/>
            </w:r>
            <w:r w:rsidRPr="00E15B2A">
              <w:rPr>
                <w:sz w:val="20"/>
              </w:rPr>
              <w:t>de la procédure d'appel alternative)</w:t>
            </w:r>
          </w:p>
        </w:tc>
      </w:tr>
      <w:tr w:rsidR="00CB182C" w:rsidRPr="00424BD1" w:rsidTr="004E6DE4">
        <w:trPr>
          <w:cantSplit/>
        </w:trPr>
        <w:tc>
          <w:tcPr>
            <w:tcW w:w="4819" w:type="dxa"/>
          </w:tcPr>
          <w:p w:rsidR="00CB182C" w:rsidRPr="00E15B2A" w:rsidRDefault="00CB182C" w:rsidP="00042D9F">
            <w:pPr>
              <w:pStyle w:val="Tabletext"/>
              <w:rPr>
                <w:sz w:val="20"/>
              </w:rPr>
            </w:pPr>
            <w:r w:rsidRPr="00E15B2A">
              <w:rPr>
                <w:sz w:val="20"/>
              </w:rPr>
              <w:t>En règle générale, il est souhaitable d'adopter une approche raisonnable dans un esprit de coopération</w:t>
            </w:r>
          </w:p>
        </w:tc>
        <w:tc>
          <w:tcPr>
            <w:tcW w:w="4819" w:type="dxa"/>
          </w:tcPr>
          <w:p w:rsidR="00CB182C" w:rsidRPr="00E15B2A" w:rsidRDefault="00CB182C" w:rsidP="00042D9F">
            <w:pPr>
              <w:pStyle w:val="Tabletext"/>
              <w:rPr>
                <w:sz w:val="20"/>
              </w:rPr>
            </w:pPr>
            <w:r w:rsidRPr="00E15B2A">
              <w:rPr>
                <w:sz w:val="20"/>
              </w:rPr>
              <w:t>En règle générale, il est souhaitable d'adopter une approche raisonnable dans un esprit de coopération</w:t>
            </w:r>
          </w:p>
        </w:tc>
      </w:tr>
      <w:tr w:rsidR="00CB182C" w:rsidRPr="00424BD1" w:rsidTr="004E6DE4">
        <w:trPr>
          <w:cantSplit/>
        </w:trPr>
        <w:tc>
          <w:tcPr>
            <w:tcW w:w="4819" w:type="dxa"/>
          </w:tcPr>
          <w:p w:rsidR="00CB182C" w:rsidRPr="00E15B2A" w:rsidRDefault="00CB182C" w:rsidP="00042D9F">
            <w:pPr>
              <w:pStyle w:val="Tabletext"/>
              <w:rPr>
                <w:sz w:val="20"/>
              </w:rPr>
            </w:pPr>
            <w:r w:rsidRPr="00E15B2A">
              <w:rPr>
                <w:sz w:val="20"/>
              </w:rPr>
              <w:t>L'Administration X, qui souhaite limiter ou interdire les procédures d'appel alternatives, devrait définir clairement sa position</w:t>
            </w:r>
          </w:p>
        </w:tc>
        <w:tc>
          <w:tcPr>
            <w:tcW w:w="4819" w:type="dxa"/>
          </w:tcPr>
          <w:p w:rsidR="00CB182C" w:rsidRPr="00E15B2A" w:rsidRDefault="00CB182C" w:rsidP="00042D9F">
            <w:pPr>
              <w:pStyle w:val="Tabletext"/>
              <w:rPr>
                <w:sz w:val="20"/>
              </w:rPr>
            </w:pPr>
          </w:p>
        </w:tc>
      </w:tr>
      <w:tr w:rsidR="00CB182C" w:rsidRPr="00424BD1" w:rsidTr="004E6DE4">
        <w:trPr>
          <w:cantSplit/>
        </w:trPr>
        <w:tc>
          <w:tcPr>
            <w:tcW w:w="4819" w:type="dxa"/>
          </w:tcPr>
          <w:p w:rsidR="00CB182C" w:rsidRPr="00E15B2A" w:rsidRDefault="00CB182C" w:rsidP="00042D9F">
            <w:pPr>
              <w:pStyle w:val="Tabletext"/>
              <w:rPr>
                <w:sz w:val="20"/>
              </w:rPr>
            </w:pPr>
            <w:r w:rsidRPr="00E15B2A">
              <w:rPr>
                <w:sz w:val="20"/>
              </w:rPr>
              <w:t>L'Administration X devrait faire connaître sa position nationale</w:t>
            </w:r>
          </w:p>
        </w:tc>
        <w:tc>
          <w:tcPr>
            <w:tcW w:w="4819" w:type="dxa"/>
          </w:tcPr>
          <w:p w:rsidR="00CB182C" w:rsidRPr="00E15B2A" w:rsidRDefault="00CB182C" w:rsidP="00042D9F">
            <w:pPr>
              <w:pStyle w:val="Tabletext"/>
              <w:rPr>
                <w:sz w:val="20"/>
              </w:rPr>
            </w:pPr>
            <w:r w:rsidRPr="00E15B2A">
              <w:rPr>
                <w:sz w:val="20"/>
              </w:rPr>
              <w:t>L'Administration Y devrait porter cette information à l'attention des opérateurs de télécommunication internationaux ou des exploitations autorisées par les Etats Membres et des fournisseurs de procédures d'appel alternatives</w:t>
            </w:r>
            <w:r w:rsidRPr="00E15B2A" w:rsidDel="002741C6">
              <w:rPr>
                <w:sz w:val="20"/>
              </w:rPr>
              <w:t xml:space="preserve"> </w:t>
            </w:r>
            <w:r w:rsidRPr="00E15B2A">
              <w:rPr>
                <w:sz w:val="20"/>
              </w:rPr>
              <w:t>actifs sur son territoire en ayant recours aux moyens officiels disponibles</w:t>
            </w:r>
          </w:p>
        </w:tc>
      </w:tr>
      <w:tr w:rsidR="00CB182C" w:rsidRPr="00424BD1" w:rsidTr="004E6DE4">
        <w:tblPrEx>
          <w:tblCellMar>
            <w:left w:w="108" w:type="dxa"/>
            <w:right w:w="108" w:type="dxa"/>
          </w:tblCellMar>
        </w:tblPrEx>
        <w:trPr>
          <w:cantSplit/>
        </w:trPr>
        <w:tc>
          <w:tcPr>
            <w:tcW w:w="4819" w:type="dxa"/>
          </w:tcPr>
          <w:p w:rsidR="00CB182C" w:rsidRPr="00E15B2A" w:rsidRDefault="00CB182C" w:rsidP="00042D9F">
            <w:pPr>
              <w:pStyle w:val="Tabletext"/>
              <w:rPr>
                <w:sz w:val="20"/>
              </w:rPr>
            </w:pPr>
            <w:r w:rsidRPr="00E15B2A">
              <w:rPr>
                <w:sz w:val="20"/>
              </w:rPr>
              <w:t>L'Administration X devrait indiquer sa position aux exploitations autorisées par les Etats Membres qui sont actives sur son territoire et les exploitations autorisées par les Etats Membres en question devraient prendre les mesures nécessaires pour faire en sorte que leurs accords d'exploitation internationaux soient conformes à cette position</w:t>
            </w:r>
          </w:p>
        </w:tc>
        <w:tc>
          <w:tcPr>
            <w:tcW w:w="4819" w:type="dxa"/>
          </w:tcPr>
          <w:p w:rsidR="00CB182C" w:rsidRPr="00E15B2A" w:rsidRDefault="00CB182C" w:rsidP="00042D9F">
            <w:pPr>
              <w:pStyle w:val="Tabletext"/>
              <w:rPr>
                <w:sz w:val="20"/>
              </w:rPr>
            </w:pPr>
            <w:r w:rsidRPr="00E15B2A">
              <w:rPr>
                <w:sz w:val="20"/>
              </w:rPr>
              <w:t>Les exploitations autorisées par les Etats Membres du pays Y devraient coopérer et envisager d'apporter les modifications nécessaires aux accords d'exploitation internationaux</w:t>
            </w:r>
          </w:p>
        </w:tc>
      </w:tr>
    </w:tbl>
    <w:p w:rsidR="004E6DE4" w:rsidRDefault="004E6DE4"/>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819"/>
        <w:gridCol w:w="4820"/>
      </w:tblGrid>
      <w:tr w:rsidR="004E6DE4" w:rsidRPr="009E47FF" w:rsidTr="004E6DE4">
        <w:trPr>
          <w:cantSplit/>
          <w:trHeight w:val="694"/>
        </w:trPr>
        <w:tc>
          <w:tcPr>
            <w:tcW w:w="4819" w:type="dxa"/>
          </w:tcPr>
          <w:p w:rsidR="004E6DE4" w:rsidRPr="00E15B2A" w:rsidRDefault="004E6DE4" w:rsidP="00042D9F">
            <w:pPr>
              <w:pStyle w:val="Tablehead"/>
              <w:rPr>
                <w:sz w:val="20"/>
              </w:rPr>
            </w:pPr>
            <w:r w:rsidRPr="00E15B2A">
              <w:rPr>
                <w:sz w:val="20"/>
              </w:rPr>
              <w:lastRenderedPageBreak/>
              <w:t>Pays X</w:t>
            </w:r>
            <w:r w:rsidRPr="00E15B2A">
              <w:rPr>
                <w:sz w:val="20"/>
              </w:rPr>
              <w:br/>
              <w:t xml:space="preserve">(où se trouve l'utilisateur </w:t>
            </w:r>
            <w:r w:rsidRPr="00E15B2A">
              <w:rPr>
                <w:sz w:val="20"/>
              </w:rPr>
              <w:br/>
              <w:t>de la procédure d'appel alternative)</w:t>
            </w:r>
          </w:p>
        </w:tc>
        <w:tc>
          <w:tcPr>
            <w:tcW w:w="4820" w:type="dxa"/>
          </w:tcPr>
          <w:p w:rsidR="004E6DE4" w:rsidRPr="00E15B2A" w:rsidRDefault="004E6DE4" w:rsidP="00042D9F">
            <w:pPr>
              <w:pStyle w:val="Tablehead"/>
              <w:rPr>
                <w:sz w:val="20"/>
              </w:rPr>
            </w:pPr>
            <w:r w:rsidRPr="00E15B2A">
              <w:rPr>
                <w:sz w:val="20"/>
              </w:rPr>
              <w:t>Pays Y</w:t>
            </w:r>
            <w:r w:rsidRPr="00E15B2A">
              <w:rPr>
                <w:sz w:val="20"/>
              </w:rPr>
              <w:br/>
              <w:t xml:space="preserve">(où se trouve le fournisseur </w:t>
            </w:r>
            <w:r w:rsidRPr="00E15B2A">
              <w:rPr>
                <w:sz w:val="20"/>
              </w:rPr>
              <w:br/>
              <w:t>de la procédure d'appel alternative)</w:t>
            </w:r>
          </w:p>
        </w:tc>
      </w:tr>
      <w:tr w:rsidR="00CB182C" w:rsidRPr="00424BD1" w:rsidTr="004E6DE4">
        <w:tblPrEx>
          <w:tblCellMar>
            <w:left w:w="108" w:type="dxa"/>
            <w:right w:w="108" w:type="dxa"/>
          </w:tblCellMar>
        </w:tblPrEx>
        <w:trPr>
          <w:cantSplit/>
        </w:trPr>
        <w:tc>
          <w:tcPr>
            <w:tcW w:w="4819" w:type="dxa"/>
          </w:tcPr>
          <w:p w:rsidR="00CB182C" w:rsidRPr="00E15B2A" w:rsidRDefault="00CB182C" w:rsidP="00042D9F">
            <w:pPr>
              <w:pStyle w:val="Tabletext"/>
              <w:rPr>
                <w:sz w:val="20"/>
              </w:rPr>
            </w:pPr>
          </w:p>
        </w:tc>
        <w:tc>
          <w:tcPr>
            <w:tcW w:w="4820" w:type="dxa"/>
          </w:tcPr>
          <w:p w:rsidR="00CB182C" w:rsidRPr="00E15B2A" w:rsidRDefault="00CB182C" w:rsidP="00042D9F">
            <w:pPr>
              <w:pStyle w:val="Tabletext"/>
              <w:rPr>
                <w:sz w:val="20"/>
              </w:rPr>
            </w:pPr>
            <w:r w:rsidRPr="00E15B2A">
              <w:rPr>
                <w:sz w:val="20"/>
              </w:rPr>
              <w:t>L'Administration Y et/ou les exploitations autorisées par les Etats Membres du pays Y devraient veiller à ce que les fournisseurs de procédures d'appel alternatives établissant des activités sur leur territoire gardent à l'esprit:</w:t>
            </w:r>
          </w:p>
          <w:p w:rsidR="00CB182C" w:rsidRPr="00E15B2A" w:rsidRDefault="00CB182C" w:rsidP="00042D9F">
            <w:pPr>
              <w:pStyle w:val="Tabletext"/>
              <w:ind w:left="284" w:hanging="284"/>
              <w:rPr>
                <w:sz w:val="20"/>
              </w:rPr>
            </w:pPr>
            <w:r w:rsidRPr="00E15B2A">
              <w:rPr>
                <w:i/>
                <w:iCs/>
                <w:sz w:val="20"/>
              </w:rPr>
              <w:t>a)</w:t>
            </w:r>
            <w:r w:rsidRPr="00E15B2A">
              <w:rPr>
                <w:sz w:val="20"/>
              </w:rPr>
              <w:tab/>
              <w:t>que les procédures d'appel alternatives ne doivent pas être offertes dans un pays où elles sont expressément interdites;</w:t>
            </w:r>
          </w:p>
          <w:p w:rsidR="00CB182C" w:rsidRPr="00E15B2A" w:rsidRDefault="00CB182C" w:rsidP="00042D9F">
            <w:pPr>
              <w:pStyle w:val="Tabletext"/>
              <w:ind w:left="284" w:hanging="284"/>
              <w:rPr>
                <w:sz w:val="20"/>
              </w:rPr>
            </w:pPr>
            <w:r w:rsidRPr="00E15B2A">
              <w:rPr>
                <w:i/>
                <w:iCs/>
                <w:sz w:val="20"/>
              </w:rPr>
              <w:t>b)</w:t>
            </w:r>
            <w:r w:rsidRPr="00E15B2A">
              <w:rPr>
                <w:sz w:val="20"/>
              </w:rPr>
              <w:tab/>
              <w:t>que la configuration des procédures d'appel alternatives ne doit pas entraîner de dégradation de la qualité de fonctionnement du RTPC international.</w:t>
            </w:r>
          </w:p>
        </w:tc>
      </w:tr>
      <w:tr w:rsidR="00CB182C" w:rsidRPr="00424BD1" w:rsidTr="00E15B2A">
        <w:tblPrEx>
          <w:tblCellMar>
            <w:left w:w="108" w:type="dxa"/>
            <w:right w:w="108" w:type="dxa"/>
          </w:tblCellMar>
        </w:tblPrEx>
        <w:trPr>
          <w:cantSplit/>
          <w:trHeight w:val="2559"/>
        </w:trPr>
        <w:tc>
          <w:tcPr>
            <w:tcW w:w="4819" w:type="dxa"/>
            <w:tcBorders>
              <w:bottom w:val="single" w:sz="4" w:space="0" w:color="auto"/>
            </w:tcBorders>
          </w:tcPr>
          <w:p w:rsidR="00CB182C" w:rsidRPr="00E15B2A" w:rsidRDefault="00CB182C" w:rsidP="00042D9F">
            <w:pPr>
              <w:pStyle w:val="Tabletext"/>
              <w:rPr>
                <w:sz w:val="20"/>
              </w:rPr>
            </w:pPr>
            <w:r w:rsidRPr="00E15B2A">
              <w:rPr>
                <w:sz w:val="20"/>
              </w:rPr>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rsidR="00CB182C" w:rsidRPr="00E15B2A" w:rsidRDefault="00CB182C" w:rsidP="00042D9F">
            <w:pPr>
              <w:pStyle w:val="Tabletext"/>
              <w:rPr>
                <w:sz w:val="20"/>
              </w:rPr>
            </w:pPr>
            <w:r w:rsidRPr="00E15B2A">
              <w:rPr>
                <w:i/>
                <w:iCs/>
                <w:sz w:val="20"/>
              </w:rPr>
              <w:t>a)</w:t>
            </w:r>
            <w:r w:rsidRPr="00E15B2A">
              <w:rPr>
                <w:sz w:val="20"/>
              </w:rPr>
              <w:tab/>
              <w:t>interdites; et/ou;</w:t>
            </w:r>
          </w:p>
          <w:p w:rsidR="00CB182C" w:rsidRPr="00E15B2A" w:rsidRDefault="00CB182C" w:rsidP="00042D9F">
            <w:pPr>
              <w:pStyle w:val="Tabletext"/>
              <w:rPr>
                <w:sz w:val="20"/>
              </w:rPr>
            </w:pPr>
            <w:r w:rsidRPr="00E15B2A">
              <w:rPr>
                <w:i/>
                <w:iCs/>
                <w:sz w:val="20"/>
              </w:rPr>
              <w:t>b)</w:t>
            </w:r>
            <w:r w:rsidRPr="00E15B2A">
              <w:rPr>
                <w:sz w:val="20"/>
              </w:rPr>
              <w:tab/>
              <w:t>préjudiciables au réseau.</w:t>
            </w:r>
          </w:p>
          <w:p w:rsidR="00CB182C" w:rsidRPr="00E15B2A" w:rsidRDefault="00CB182C" w:rsidP="00042D9F">
            <w:pPr>
              <w:pStyle w:val="Tabletext"/>
              <w:rPr>
                <w:sz w:val="20"/>
              </w:rPr>
            </w:pPr>
            <w:r w:rsidRPr="00E15B2A">
              <w:rPr>
                <w:sz w:val="20"/>
              </w:rPr>
              <w:t>Les exploitations autorisées par les Etats Membres du pays X coopéreront pour mettre en oeuvre ces mesures.</w:t>
            </w:r>
          </w:p>
        </w:tc>
        <w:tc>
          <w:tcPr>
            <w:tcW w:w="4820" w:type="dxa"/>
            <w:tcBorders>
              <w:bottom w:val="single" w:sz="4" w:space="0" w:color="auto"/>
            </w:tcBorders>
          </w:tcPr>
          <w:p w:rsidR="00CB182C" w:rsidRPr="00E15B2A" w:rsidRDefault="00CB182C" w:rsidP="00042D9F">
            <w:pPr>
              <w:pStyle w:val="Tabletext"/>
              <w:rPr>
                <w:sz w:val="20"/>
              </w:rPr>
            </w:pPr>
            <w:r w:rsidRPr="00E15B2A">
              <w:rPr>
                <w:sz w:val="20"/>
              </w:rPr>
              <w:t>L'Administration Y et les exploitations autorisées par les Etats Membres du pays Y devraient prendre toutes les mesures raisonnablement envisageables pour que les fournisseurs de procédures d'appel alternatives actifs sur leur territoire cessent d'offrir leurs procédures d'appel alternatives:</w:t>
            </w:r>
          </w:p>
          <w:p w:rsidR="00CB182C" w:rsidRPr="00E15B2A" w:rsidRDefault="00CB182C" w:rsidP="00042D9F">
            <w:pPr>
              <w:pStyle w:val="Tabletext"/>
              <w:ind w:left="284" w:hanging="284"/>
              <w:rPr>
                <w:sz w:val="20"/>
              </w:rPr>
            </w:pPr>
            <w:r w:rsidRPr="00E15B2A">
              <w:rPr>
                <w:i/>
                <w:iCs/>
                <w:sz w:val="20"/>
              </w:rPr>
              <w:t>a)</w:t>
            </w:r>
            <w:r w:rsidRPr="00E15B2A">
              <w:rPr>
                <w:sz w:val="20"/>
              </w:rPr>
              <w:tab/>
              <w:t>dans les pays où ces procédures sont interdites; et/ou;</w:t>
            </w:r>
          </w:p>
          <w:p w:rsidR="00CB182C" w:rsidRPr="00E15B2A" w:rsidRDefault="00CB182C" w:rsidP="00042D9F">
            <w:pPr>
              <w:pStyle w:val="Tabletext"/>
              <w:ind w:left="284" w:hanging="284"/>
              <w:rPr>
                <w:sz w:val="20"/>
              </w:rPr>
            </w:pPr>
            <w:r w:rsidRPr="00E15B2A">
              <w:rPr>
                <w:i/>
                <w:iCs/>
                <w:sz w:val="20"/>
              </w:rPr>
              <w:t>b)</w:t>
            </w:r>
            <w:r w:rsidRPr="00E15B2A">
              <w:rPr>
                <w:sz w:val="20"/>
              </w:rPr>
              <w:tab/>
              <w:t>lorsque ces procédures sont préjudiciables aux réseaux utilisés.</w:t>
            </w:r>
          </w:p>
        </w:tc>
      </w:tr>
      <w:tr w:rsidR="00CB182C" w:rsidRPr="00424BD1" w:rsidTr="00E15B2A">
        <w:tblPrEx>
          <w:tblCellMar>
            <w:left w:w="108" w:type="dxa"/>
            <w:right w:w="108" w:type="dxa"/>
          </w:tblCellMar>
        </w:tblPrEx>
        <w:trPr>
          <w:cantSplit/>
          <w:trHeight w:val="2118"/>
        </w:trPr>
        <w:tc>
          <w:tcPr>
            <w:tcW w:w="9639" w:type="dxa"/>
            <w:gridSpan w:val="2"/>
            <w:tcBorders>
              <w:left w:val="nil"/>
              <w:bottom w:val="nil"/>
              <w:right w:val="nil"/>
            </w:tcBorders>
          </w:tcPr>
          <w:p w:rsidR="00CB182C" w:rsidRPr="009E47FF" w:rsidRDefault="00CB182C" w:rsidP="00042D9F">
            <w:pPr>
              <w:pStyle w:val="Note"/>
              <w:rPr>
                <w:szCs w:val="16"/>
              </w:rPr>
            </w:pPr>
            <w:r w:rsidRPr="009E47FF">
              <w:rPr>
                <w:szCs w:val="16"/>
              </w:rPr>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Etats Membres concernées concluent des accords d'exploitation bilatéraux portant sur les conditions dans lesquelles les procédures d'appel alternatives seront exploitées.</w:t>
            </w:r>
          </w:p>
          <w:p w:rsidR="00CB182C" w:rsidRPr="009E47FF" w:rsidRDefault="00CB182C" w:rsidP="00042D9F">
            <w:pPr>
              <w:pStyle w:val="Note"/>
              <w:rPr>
                <w:szCs w:val="16"/>
              </w:rPr>
            </w:pPr>
            <w:r w:rsidRPr="009E47FF">
              <w:rPr>
                <w:szCs w:val="16"/>
              </w:rPr>
              <w:t>NOTE 2 – La Commission d'études 2 de l'UIT-T devrait définir tous les types de procédures d'appel alternatives et les consigner dans la Recommandation appropriée de l'UIT-T (par exemple, services de rappel, applications over the top, reroutage, etc.).</w:t>
            </w:r>
          </w:p>
        </w:tc>
      </w:tr>
    </w:tbl>
    <w:p w:rsidR="00CB182C" w:rsidRPr="009E47FF" w:rsidRDefault="00CB182C" w:rsidP="00CB182C">
      <w:pPr>
        <w:pStyle w:val="Reasons"/>
        <w:rPr>
          <w:lang w:val="fr-FR"/>
        </w:rPr>
      </w:pPr>
    </w:p>
    <w:p w:rsidR="00AF2D68" w:rsidRDefault="00AF2D68" w:rsidP="00AF2D68"/>
    <w:p w:rsidR="004E6DE4" w:rsidRDefault="004E6DE4" w:rsidP="00AF2D68">
      <w:bookmarkStart w:id="10" w:name="_GoBack"/>
      <w:bookmarkEnd w:id="10"/>
    </w:p>
    <w:p w:rsidR="004E6DE4" w:rsidRDefault="004E6DE4" w:rsidP="00AF2D68"/>
    <w:p w:rsidR="004E6DE4" w:rsidRDefault="004E6DE4" w:rsidP="00AF2D68"/>
    <w:p w:rsidR="004E6DE4" w:rsidRDefault="004E6DE4" w:rsidP="00AF2D68"/>
    <w:p w:rsidR="004E6DE4" w:rsidRDefault="004E6DE4" w:rsidP="00AF2D68"/>
    <w:p w:rsidR="004E6DE4" w:rsidRDefault="004E6DE4" w:rsidP="00AF2D68"/>
    <w:p w:rsidR="004E6DE4" w:rsidRDefault="004E6DE4" w:rsidP="00AF2D68"/>
    <w:p w:rsidR="004E6DE4" w:rsidRDefault="004E6DE4" w:rsidP="00AF2D68"/>
    <w:p w:rsidR="004E6DE4" w:rsidRDefault="004E6DE4" w:rsidP="00AF2D68"/>
    <w:p w:rsidR="004E6DE4" w:rsidRDefault="004E6DE4" w:rsidP="00AF2D68"/>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E15B2A">
      <w:rPr>
        <w:b w:val="0"/>
        <w:noProof/>
        <w:lang w:val="en-US"/>
      </w:rPr>
      <w:t>4</w:t>
    </w:r>
    <w:r>
      <w:rPr>
        <w:b w:val="0"/>
        <w:lang w:val="en-US"/>
      </w:rPr>
      <w:fldChar w:fldCharType="end"/>
    </w:r>
    <w:r>
      <w:tab/>
      <w:t>AMNT</w:t>
    </w:r>
    <w:r>
      <w:rPr>
        <w:lang w:val="en-US"/>
      </w:rPr>
      <w:t>-</w:t>
    </w:r>
    <w:r w:rsidR="00F51075">
      <w:rPr>
        <w:lang w:val="en-US"/>
      </w:rPr>
      <w:t>1</w:t>
    </w:r>
    <w:r w:rsidR="000D211D">
      <w:rPr>
        <w:lang w:val="en-US"/>
      </w:rPr>
      <w:t>6</w:t>
    </w:r>
    <w:r w:rsidR="00CB182C">
      <w:rPr>
        <w:lang w:val="en-US"/>
      </w:rPr>
      <w:t xml:space="preserve"> – Résolution 29</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CB182C">
    <w:pPr>
      <w:pStyle w:val="FooterQP"/>
      <w:rPr>
        <w:b w:val="0"/>
        <w:lang w:val="en-US"/>
      </w:rPr>
    </w:pPr>
    <w:r>
      <w:tab/>
    </w:r>
    <w:r>
      <w:tab/>
      <w:t>AMNT</w:t>
    </w:r>
    <w:r>
      <w:rPr>
        <w:lang w:val="en-US"/>
      </w:rPr>
      <w:t>-</w:t>
    </w:r>
    <w:r w:rsidR="00F51075">
      <w:rPr>
        <w:lang w:val="en-US"/>
      </w:rPr>
      <w:t>1</w:t>
    </w:r>
    <w:r w:rsidR="00CB182C">
      <w:rPr>
        <w:lang w:val="en-US"/>
      </w:rPr>
      <w:t>6 – Résolution 29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15B2A">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CB182C">
      <w:rPr>
        <w:lang w:val="en-US"/>
      </w:rPr>
      <w:t>-16 – Résolution 29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15B2A">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CB182C" w:rsidRPr="00F85F1A" w:rsidRDefault="00CB182C" w:rsidP="00CB182C">
      <w:pPr>
        <w:pStyle w:val="FootnoteText"/>
        <w:rPr>
          <w:lang w:val="fr-CH"/>
        </w:rPr>
      </w:pPr>
      <w:r w:rsidRPr="00F85F1A">
        <w:rPr>
          <w:rStyle w:val="FootnoteReference"/>
          <w:lang w:val="fr-CH"/>
        </w:rPr>
        <w:t>1</w:t>
      </w:r>
      <w:r>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61DC"/>
    <w:rsid w:val="0039710E"/>
    <w:rsid w:val="003A55FD"/>
    <w:rsid w:val="003B42BC"/>
    <w:rsid w:val="003E424C"/>
    <w:rsid w:val="00436471"/>
    <w:rsid w:val="0045738E"/>
    <w:rsid w:val="004A196C"/>
    <w:rsid w:val="004A2271"/>
    <w:rsid w:val="004B2A84"/>
    <w:rsid w:val="004B4ADF"/>
    <w:rsid w:val="004E489E"/>
    <w:rsid w:val="004E6DE4"/>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182C"/>
    <w:rsid w:val="00CB2074"/>
    <w:rsid w:val="00CF559F"/>
    <w:rsid w:val="00D43879"/>
    <w:rsid w:val="00D70EE6"/>
    <w:rsid w:val="00D77498"/>
    <w:rsid w:val="00D819A4"/>
    <w:rsid w:val="00D833C9"/>
    <w:rsid w:val="00D84836"/>
    <w:rsid w:val="00DD5C3D"/>
    <w:rsid w:val="00DF1309"/>
    <w:rsid w:val="00E143D1"/>
    <w:rsid w:val="00E15B2A"/>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CB182C"/>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3DCD-CD1F-4D70-941E-9107C602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17</TotalTime>
  <Pages>6</Pages>
  <Words>2038</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14662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2016-12-15T09:46:00Z</dcterms:created>
  <dcterms:modified xsi:type="dcterms:W3CDTF">2016-12-15T10:58:00Z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