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 Internacional de Telecomunicaciones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 de Normalización</w:t>
            </w:r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044100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6458DB41" w:rsidR="00EA2A26" w:rsidRPr="008B7E09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Nueva Delhi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, 15-24 </w:t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de octubre de</w:t>
            </w:r>
            <w:r w:rsidR="00423BC5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>2024</w:t>
            </w:r>
          </w:p>
          <w:p w14:paraId="318F1603" w14:textId="77777777" w:rsidR="00EA2A26" w:rsidRPr="008B7E09" w:rsidRDefault="00EA2A26" w:rsidP="00367A2B">
            <w:pPr>
              <w:rPr>
                <w:lang w:val="es-ES"/>
              </w:rPr>
            </w:pPr>
          </w:p>
        </w:tc>
      </w:tr>
      <w:tr w:rsidR="00EA2A26" w:rsidRPr="00044100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B7E0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39B35A4F" w:rsidR="00EA2A26" w:rsidRPr="003C75AB" w:rsidRDefault="00347EE0" w:rsidP="003C75AB">
            <w:pPr>
              <w:pStyle w:val="BodyText"/>
              <w:spacing w:before="440" w:line="240" w:lineRule="auto"/>
              <w:jc w:val="left"/>
              <w:rPr>
                <w:spacing w:val="-6"/>
                <w:sz w:val="44"/>
                <w:szCs w:val="44"/>
                <w:lang w:val="es-ES"/>
              </w:rPr>
            </w:pPr>
            <w:r w:rsidRPr="003C75AB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3C75AB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277E8E" w:rsidRPr="003C75AB">
              <w:rPr>
                <w:spacing w:val="-6"/>
                <w:sz w:val="44"/>
                <w:szCs w:val="44"/>
                <w:lang w:val="es-ES"/>
              </w:rPr>
              <w:t>22</w:t>
            </w:r>
            <w:r w:rsidR="00845E8E" w:rsidRPr="003C75AB">
              <w:rPr>
                <w:spacing w:val="-6"/>
                <w:sz w:val="44"/>
                <w:szCs w:val="44"/>
                <w:lang w:val="es-ES"/>
              </w:rPr>
              <w:t xml:space="preserve"> – </w:t>
            </w:r>
            <w:r w:rsidR="003C75AB" w:rsidRPr="003C75AB">
              <w:rPr>
                <w:spacing w:val="-6"/>
                <w:sz w:val="44"/>
                <w:szCs w:val="44"/>
                <w:lang w:val="es-ES"/>
              </w:rPr>
              <w:t>Autorización para que el Grupo Asesor de Normalización de las Telecomunicaciones actúe en el periodo entre Asambleas Mundiales de Normalización de las Telecomunicaciones</w:t>
            </w:r>
          </w:p>
          <w:p w14:paraId="51262F1D" w14:textId="77777777" w:rsidR="00EA2A26" w:rsidRPr="003C75AB" w:rsidRDefault="00EA2A26" w:rsidP="00367A2B">
            <w:pPr>
              <w:rPr>
                <w:lang w:val="es-ES"/>
              </w:rPr>
            </w:pPr>
          </w:p>
        </w:tc>
      </w:tr>
    </w:tbl>
    <w:p w14:paraId="7800F3B2" w14:textId="77777777" w:rsidR="00EA2A26" w:rsidRPr="003C75AB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C75AB" w:rsidRDefault="00EA2A26" w:rsidP="00EA2A26">
      <w:pPr>
        <w:jc w:val="left"/>
        <w:rPr>
          <w:lang w:val="es-ES"/>
        </w:rPr>
        <w:sectPr w:rsidR="00EA2A26" w:rsidRPr="003C75AB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277E8E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277E8E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5C488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8B7E09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8B7E09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6AEFAE01" w:rsidR="00EA2A26" w:rsidRPr="008B7E09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8B7E09">
        <w:rPr>
          <w:sz w:val="20"/>
          <w:lang w:val="es-ES"/>
        </w:rPr>
        <w:t> </w:t>
      </w:r>
      <w:r w:rsidR="00423BC5" w:rsidRPr="008B7E09">
        <w:rPr>
          <w:sz w:val="20"/>
          <w:lang w:val="es-ES"/>
        </w:rPr>
        <w:t>UIT</w:t>
      </w:r>
      <w:r w:rsidRPr="008B7E09">
        <w:rPr>
          <w:sz w:val="20"/>
          <w:lang w:val="es-ES"/>
        </w:rPr>
        <w:t> 2024</w:t>
      </w:r>
    </w:p>
    <w:p w14:paraId="5A25B5AD" w14:textId="249216DD" w:rsidR="008968B6" w:rsidRPr="008B7E09" w:rsidRDefault="00347EE0" w:rsidP="00EA2A26">
      <w:pPr>
        <w:spacing w:before="120" w:line="240" w:lineRule="auto"/>
        <w:rPr>
          <w:lang w:val="es-ES"/>
        </w:rPr>
      </w:pPr>
      <w:r w:rsidRPr="008B7E09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8B7E09" w:rsidRDefault="00B73379" w:rsidP="003374BB">
      <w:pPr>
        <w:pStyle w:val="ResNo"/>
        <w:rPr>
          <w:lang w:val="es-ES"/>
        </w:rPr>
        <w:sectPr w:rsidR="00B73379" w:rsidRPr="008B7E0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04962C17" w:rsidR="00AA1264" w:rsidRDefault="00347EE0" w:rsidP="00AA1264">
      <w:pPr>
        <w:pStyle w:val="ResNo"/>
        <w:rPr>
          <w:lang w:val="es-ES"/>
        </w:rPr>
      </w:pPr>
      <w:r w:rsidRPr="00044100">
        <w:rPr>
          <w:lang w:val="es-ES"/>
        </w:rPr>
        <w:lastRenderedPageBreak/>
        <w:t>RESOLUCIÓN</w:t>
      </w:r>
      <w:r w:rsidR="00AA1264" w:rsidRPr="00044100">
        <w:rPr>
          <w:lang w:val="es-ES"/>
        </w:rPr>
        <w:t xml:space="preserve"> </w:t>
      </w:r>
      <w:r w:rsidR="00931C70" w:rsidRPr="00044100">
        <w:rPr>
          <w:rStyle w:val="href"/>
          <w:lang w:val="es-ES"/>
        </w:rPr>
        <w:t>22</w:t>
      </w:r>
      <w:r w:rsidR="00AA1264" w:rsidRPr="00044100">
        <w:rPr>
          <w:lang w:val="es-ES"/>
        </w:rPr>
        <w:t xml:space="preserve"> </w:t>
      </w:r>
      <w:r w:rsidR="00931C70" w:rsidRPr="005C2A3C">
        <w:rPr>
          <w:lang w:val="es-ES"/>
        </w:rPr>
        <w:t>(</w:t>
      </w:r>
      <w:r w:rsidR="00931C70" w:rsidRPr="005C2A3C">
        <w:rPr>
          <w:caps w:val="0"/>
          <w:lang w:val="es-ES"/>
        </w:rPr>
        <w:t>Rev</w:t>
      </w:r>
      <w:r w:rsidR="00931C70" w:rsidRPr="005C2A3C">
        <w:rPr>
          <w:lang w:val="es-ES"/>
        </w:rPr>
        <w:t>. </w:t>
      </w:r>
      <w:r w:rsidR="00931C70" w:rsidRPr="005C2A3C">
        <w:rPr>
          <w:caps w:val="0"/>
          <w:lang w:val="es-ES"/>
        </w:rPr>
        <w:t>Nueva Delhi</w:t>
      </w:r>
      <w:r w:rsidR="00931C70" w:rsidRPr="005C2A3C">
        <w:rPr>
          <w:lang w:val="es-ES"/>
        </w:rPr>
        <w:t>, 2024)</w:t>
      </w:r>
    </w:p>
    <w:p w14:paraId="6BB139A7" w14:textId="77777777" w:rsidR="00931C70" w:rsidRPr="0014777C" w:rsidRDefault="00931C70" w:rsidP="00931C70">
      <w:pPr>
        <w:pStyle w:val="Restitle"/>
        <w:rPr>
          <w:lang w:val="es-ES_tradnl"/>
        </w:rPr>
      </w:pPr>
      <w:bookmarkStart w:id="2" w:name="_Toc111990471"/>
      <w:r w:rsidRPr="0014777C">
        <w:rPr>
          <w:lang w:val="es-ES_tradnl"/>
        </w:rPr>
        <w:t>Autorización para que el Grupo Asesor de Normalización de las Telecomunicaciones actúe en el periodo entre Asambleas Mundiales de Normalización de las Telecomunicaciones</w:t>
      </w:r>
      <w:bookmarkEnd w:id="2"/>
    </w:p>
    <w:p w14:paraId="08FDA4CC" w14:textId="77777777" w:rsidR="00931C70" w:rsidRPr="00B42C23" w:rsidRDefault="00931C70" w:rsidP="00931C70">
      <w:pPr>
        <w:pStyle w:val="Resref"/>
        <w:rPr>
          <w:lang w:val="es-ES"/>
        </w:rPr>
      </w:pPr>
      <w:r w:rsidRPr="00B42C23">
        <w:rPr>
          <w:lang w:val="es-ES"/>
        </w:rPr>
        <w:t xml:space="preserve">(Ginebra, 1996; Montreal, 2000; Florianópolis, 2004; Johannesburgo, 2008; </w:t>
      </w:r>
      <w:r w:rsidRPr="00B42C23">
        <w:rPr>
          <w:lang w:val="es-ES"/>
        </w:rPr>
        <w:br/>
        <w:t>Dubái, 2012; Hammamet, 2016; Ginebra, 2022; Nueva Delhi, 2024)</w:t>
      </w:r>
    </w:p>
    <w:p w14:paraId="05A7D398" w14:textId="77777777" w:rsidR="00931C70" w:rsidRPr="0014777C" w:rsidRDefault="00931C70" w:rsidP="00931C70">
      <w:pPr>
        <w:pStyle w:val="Normalaftertitle00"/>
        <w:rPr>
          <w:lang w:val="es-ES_tradnl"/>
        </w:rPr>
      </w:pPr>
      <w:r w:rsidRPr="0014777C">
        <w:rPr>
          <w:lang w:val="es-ES_tradnl"/>
        </w:rPr>
        <w:t>La Asamblea Mundial de Normalización de las Telecomunicaciones (</w:t>
      </w:r>
      <w:r w:rsidRPr="0014777C">
        <w:rPr>
          <w:bCs/>
          <w:lang w:val="es-ES_tradnl"/>
        </w:rPr>
        <w:t>Nueva</w:t>
      </w:r>
      <w:r>
        <w:rPr>
          <w:bCs/>
          <w:lang w:val="es-ES_tradnl"/>
        </w:rPr>
        <w:t> </w:t>
      </w:r>
      <w:r w:rsidRPr="0014777C">
        <w:rPr>
          <w:bCs/>
          <w:lang w:val="es-ES_tradnl"/>
        </w:rPr>
        <w:t>Delhi, 2024</w:t>
      </w:r>
      <w:r w:rsidRPr="0014777C">
        <w:rPr>
          <w:lang w:val="es-ES_tradnl"/>
        </w:rPr>
        <w:t>),</w:t>
      </w:r>
    </w:p>
    <w:p w14:paraId="126D2B83" w14:textId="77777777" w:rsidR="00931C70" w:rsidRPr="0014777C" w:rsidRDefault="00931C70" w:rsidP="00931C70">
      <w:pPr>
        <w:pStyle w:val="Call"/>
        <w:rPr>
          <w:lang w:val="es-ES_tradnl"/>
        </w:rPr>
      </w:pPr>
      <w:r w:rsidRPr="0014777C">
        <w:rPr>
          <w:lang w:val="es-ES_tradnl"/>
        </w:rPr>
        <w:t>considerando</w:t>
      </w:r>
    </w:p>
    <w:p w14:paraId="012B0A66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 xml:space="preserve">que, conforme a lo estipulado en el Artículo 14A del Convenio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, el Grupo Asesor de Normalización de las Telecomunicaciones (GANT) ha de estudiar los programas, prioridades, operaciones, cuestiones financieras y estrategias para las actividades del Sector de Normalización de las Telecomunicaciones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(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T) y proporcionar directrices para los trabajos de las Comisiones de Estudio </w:t>
      </w:r>
      <w:r>
        <w:rPr>
          <w:lang w:val="es-ES_tradnl"/>
        </w:rPr>
        <w:t>del UIT</w:t>
      </w:r>
      <w:r>
        <w:rPr>
          <w:lang w:val="es-ES_tradnl"/>
        </w:rPr>
        <w:noBreakHyphen/>
        <w:t xml:space="preserve">T </w:t>
      </w:r>
      <w:r w:rsidRPr="0014777C">
        <w:rPr>
          <w:lang w:val="es-ES_tradnl"/>
        </w:rPr>
        <w:t>y recomendar medidas para fomentar la coordinación y la cooperación con otros organismos de normalización;</w:t>
      </w:r>
    </w:p>
    <w:p w14:paraId="6B3A9B4E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 xml:space="preserve">que la Resolución 122 </w:t>
      </w:r>
      <w:r>
        <w:rPr>
          <w:lang w:val="es-ES_tradnl"/>
        </w:rPr>
        <w:t>(Rev. </w:t>
      </w:r>
      <w:r w:rsidRPr="0014777C">
        <w:rPr>
          <w:lang w:val="es-ES_tradnl"/>
        </w:rPr>
        <w:t>Guadalajara, 2010) de la Conferencia de Plenipotenciarios resuelve que la Asamblea Mundial de Normalización de las Telecomunicaciones (AMNT) debe, con arreglo a sus funciones y con sujeción a los recursos financieros disponibles, continuar promoviendo la evolución constante del sector de normalización y abordar de forma adecuada los temas estratégicos de normalización a través de medios tales como el fortalecimiento del</w:t>
      </w:r>
      <w:r>
        <w:rPr>
          <w:lang w:val="es-ES_tradnl"/>
        </w:rPr>
        <w:t> </w:t>
      </w:r>
      <w:r w:rsidRPr="0014777C">
        <w:rPr>
          <w:lang w:val="es-ES_tradnl"/>
        </w:rPr>
        <w:t>GANT, entre otros;</w:t>
      </w:r>
    </w:p>
    <w:p w14:paraId="4264FEA4" w14:textId="77777777" w:rsidR="00931C70" w:rsidRPr="0014777C" w:rsidRDefault="00931C70" w:rsidP="00931C70">
      <w:pPr>
        <w:rPr>
          <w:lang w:val="es-ES"/>
        </w:rPr>
      </w:pPr>
      <w:r w:rsidRPr="0709B9E3">
        <w:rPr>
          <w:i/>
          <w:iCs/>
          <w:lang w:val="es-ES"/>
        </w:rPr>
        <w:t>c)</w:t>
      </w:r>
      <w:r w:rsidRPr="0014777C">
        <w:rPr>
          <w:lang w:val="es-ES_tradnl"/>
        </w:rPr>
        <w:tab/>
      </w:r>
      <w:r w:rsidRPr="0709B9E3">
        <w:rPr>
          <w:lang w:val="es-ES"/>
        </w:rPr>
        <w:t>que en la Resolución 122 (Rev. Guadalajara, 2010) se encarga al Director de la Oficina de Normalización de las Telecomunicaciones (TSB) que, en concertación con los órganos pertinentes y los Miembros de la UIT, y en coordinación con el Sector de Radiocomunicaciones de la UIT (UIT</w:t>
      </w:r>
      <w:r>
        <w:rPr>
          <w:lang w:val="es-ES_tradnl"/>
        </w:rPr>
        <w:noBreakHyphen/>
      </w:r>
      <w:r w:rsidRPr="0709B9E3">
        <w:rPr>
          <w:lang w:val="es-ES"/>
        </w:rPr>
        <w:t>R) y el Sector de Desarrollo de las Telecomunicaciones de la UIT (UIT</w:t>
      </w:r>
      <w:r>
        <w:rPr>
          <w:lang w:val="es-ES_tradnl"/>
        </w:rPr>
        <w:noBreakHyphen/>
      </w:r>
      <w:r w:rsidRPr="0709B9E3">
        <w:rPr>
          <w:lang w:val="es-ES"/>
        </w:rPr>
        <w:t>D), según proceda, siga organizando el Simposio Mundial de Normalización (SMN);</w:t>
      </w:r>
    </w:p>
    <w:p w14:paraId="3789AFF9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lang w:val="es-ES_tradnl"/>
        </w:rPr>
        <w:tab/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>SMN se celebró en asociación con la presente Asamblea para estudiar la reducción de la brecha de normalización y examinar los desafíos que se plantean a escala mundial en relación con las normas relativas a las </w:t>
      </w:r>
      <w:r>
        <w:rPr>
          <w:lang w:val="es-ES_tradnl"/>
        </w:rPr>
        <w:t>tecnologías de la información y la comunicación (</w:t>
      </w:r>
      <w:r w:rsidRPr="0014777C">
        <w:rPr>
          <w:lang w:val="es-ES_tradnl"/>
        </w:rPr>
        <w:t>TIC</w:t>
      </w:r>
      <w:r>
        <w:rPr>
          <w:lang w:val="es-ES_tradnl"/>
        </w:rPr>
        <w:t>)</w:t>
      </w:r>
      <w:r w:rsidRPr="0014777C">
        <w:rPr>
          <w:lang w:val="es-ES_tradnl"/>
        </w:rPr>
        <w:t>;</w:t>
      </w:r>
    </w:p>
    <w:p w14:paraId="3830A77E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>GANT sigue haciendo propuestas para acrecentar la eficacia operativa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T, mejorar la calidad de las Recomendaciones</w:t>
      </w:r>
      <w:r>
        <w:rPr>
          <w:lang w:val="es-ES_tradnl"/>
        </w:rPr>
        <w:t> UIT</w:t>
      </w:r>
      <w:r>
        <w:rPr>
          <w:lang w:val="es-ES_tradnl"/>
        </w:rPr>
        <w:noBreakHyphen/>
      </w:r>
      <w:r w:rsidRPr="0014777C">
        <w:rPr>
          <w:lang w:val="es-ES_tradnl"/>
        </w:rPr>
        <w:t>T y establecer métodos de coordinación y cooperación;</w:t>
      </w:r>
    </w:p>
    <w:p w14:paraId="3D9663EA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lang w:val="es-ES_tradnl"/>
        </w:rPr>
        <w:tab/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>GANT ayuda a mejorar la coordinación del proceso de estudio y a establecer procesos de toma de decisiones mejorados para las importantes áreas de actividad del 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4D83EB5D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g)</w:t>
      </w:r>
      <w:r w:rsidRPr="0014777C">
        <w:rPr>
          <w:lang w:val="es-ES_tradnl"/>
        </w:rPr>
        <w:tab/>
        <w:t>que se necesitan procedimientos administrativos flexibles, incluidos los relacionados con las consideraciones presupuestarias, para adaptarse a la rápida evolución del entorno de las telecomunicaciones/TIC;</w:t>
      </w:r>
    </w:p>
    <w:p w14:paraId="58E92314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br w:type="page"/>
      </w:r>
    </w:p>
    <w:p w14:paraId="02F39D5F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lastRenderedPageBreak/>
        <w:t>h)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>que conviene que el</w:t>
      </w:r>
      <w:r>
        <w:rPr>
          <w:lang w:val="es-ES_tradnl"/>
        </w:rPr>
        <w:t> </w:t>
      </w:r>
      <w:r w:rsidRPr="0014777C">
        <w:rPr>
          <w:lang w:val="es-ES_tradnl"/>
        </w:rPr>
        <w:t>GANT examine las repercusiones de las tecnologías nuevas e incipientes en las actividades de normalización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 relacionadas con cuestiones técnicas, operativas y tarifarias, </w:t>
      </w:r>
      <w:r w:rsidRPr="0014777C">
        <w:rPr>
          <w:iCs/>
          <w:lang w:val="es-ES_tradnl"/>
        </w:rPr>
        <w:t>sobre la base de las contribuciones presentadas por los Miembros</w:t>
      </w:r>
      <w:r w:rsidRPr="0014777C">
        <w:rPr>
          <w:lang w:val="es-ES_tradnl"/>
        </w:rPr>
        <w:t>, y la manera de integrar dichas tecnologías en el programa de trabajo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56E8F697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i)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GANT desempeña un papel importante en la coordinación entre las Comisiones de Estudio </w:t>
      </w:r>
      <w:r>
        <w:rPr>
          <w:lang w:val="es-ES_tradnl"/>
        </w:rPr>
        <w:t>del UIT</w:t>
      </w:r>
      <w:r>
        <w:rPr>
          <w:lang w:val="es-ES_tradnl"/>
        </w:rPr>
        <w:noBreakHyphen/>
        <w:t xml:space="preserve">T </w:t>
      </w:r>
      <w:r w:rsidRPr="0014777C">
        <w:rPr>
          <w:lang w:val="es-ES_tradnl"/>
        </w:rPr>
        <w:t>pertinentes sobre temas de normalización, por ejemplo, evitando la duplicación de tareas e identificando vínculos y dependencias entre temas de trabajo conexos, según proceda;</w:t>
      </w:r>
    </w:p>
    <w:p w14:paraId="4248D7B9" w14:textId="77777777" w:rsidR="00931C70" w:rsidRPr="0014777C" w:rsidRDefault="00931C70" w:rsidP="00931C70">
      <w:pPr>
        <w:rPr>
          <w:lang w:val="es-ES_tradnl"/>
        </w:rPr>
      </w:pPr>
      <w:r w:rsidRPr="00C4132F">
        <w:rPr>
          <w:i/>
          <w:iCs/>
          <w:lang w:val="es-ES_tradnl"/>
        </w:rPr>
        <w:t>j)</w:t>
      </w:r>
      <w:r w:rsidRPr="00C4132F">
        <w:rPr>
          <w:lang w:val="es-ES_tradnl"/>
        </w:rPr>
        <w:tab/>
        <w:t>que el</w:t>
      </w:r>
      <w:r>
        <w:rPr>
          <w:lang w:val="es-ES_tradnl"/>
        </w:rPr>
        <w:t> </w:t>
      </w:r>
      <w:r w:rsidRPr="00C4132F">
        <w:rPr>
          <w:lang w:val="es-ES_tradnl"/>
        </w:rPr>
        <w:t xml:space="preserve">GANT, al asesorar a las </w:t>
      </w:r>
      <w:r w:rsidRPr="00A1762E">
        <w:rPr>
          <w:lang w:val="es-ES_tradnl"/>
        </w:rPr>
        <w:t>Comisiones de Estudio</w:t>
      </w:r>
      <w:r>
        <w:rPr>
          <w:lang w:val="es-ES_tradnl"/>
        </w:rPr>
        <w:t xml:space="preserve"> del UIT</w:t>
      </w:r>
      <w:r>
        <w:rPr>
          <w:lang w:val="es-ES_tradnl"/>
        </w:rPr>
        <w:noBreakHyphen/>
        <w:t>T</w:t>
      </w:r>
      <w:r w:rsidRPr="00C4132F">
        <w:rPr>
          <w:lang w:val="es-ES_tradnl"/>
        </w:rPr>
        <w:t>, puede tener en cuenta las orientaciones de otros grupos;</w:t>
      </w:r>
    </w:p>
    <w:p w14:paraId="7F88AF04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k)</w:t>
      </w:r>
      <w:r w:rsidRPr="0014777C">
        <w:rPr>
          <w:lang w:val="es-ES_tradnl"/>
        </w:rPr>
        <w:tab/>
        <w:t>que es necesario seguir mejorando la coordinación y colaboración con otros órganos competentes, dentro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T, con 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R, 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D y la Secretaría General, y con otros organismos de normalización, foros y consorcios ajenos a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y entidades pertinentes;</w:t>
      </w:r>
    </w:p>
    <w:p w14:paraId="39AF325A" w14:textId="77777777" w:rsidR="00931C70" w:rsidRPr="0014777C" w:rsidRDefault="00931C70" w:rsidP="00931C70">
      <w:pPr>
        <w:rPr>
          <w:lang w:val="es-ES_tradnl"/>
        </w:rPr>
      </w:pPr>
      <w:r w:rsidRPr="00655B4C">
        <w:rPr>
          <w:i/>
          <w:iCs/>
          <w:lang w:val="es-ES"/>
        </w:rPr>
        <w:t>l)</w:t>
      </w:r>
      <w:r w:rsidRPr="00655B4C">
        <w:rPr>
          <w:lang w:val="es-ES"/>
        </w:rPr>
        <w:tab/>
      </w:r>
      <w:r w:rsidRPr="0014777C">
        <w:rPr>
          <w:lang w:val="es-ES_tradnl"/>
        </w:rPr>
        <w:t>que una coordinación eficaz entre las Comisiones de Estudio es fundamental para que el 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 pueda responder a los nuevos retos de la normalización y a las necesidades de sus miembros,</w:t>
      </w:r>
    </w:p>
    <w:p w14:paraId="112B70F4" w14:textId="77777777" w:rsidR="00931C70" w:rsidRPr="0014777C" w:rsidRDefault="00931C70" w:rsidP="00931C70">
      <w:pPr>
        <w:pStyle w:val="Call"/>
        <w:rPr>
          <w:lang w:val="es-ES_tradnl"/>
        </w:rPr>
      </w:pPr>
      <w:r w:rsidRPr="0014777C">
        <w:rPr>
          <w:lang w:val="es-ES_tradnl"/>
        </w:rPr>
        <w:t>observando</w:t>
      </w:r>
    </w:p>
    <w:p w14:paraId="4A98F457" w14:textId="77777777" w:rsidR="00931C70" w:rsidRPr="0014777C" w:rsidRDefault="00931C70" w:rsidP="00931C70">
      <w:pPr>
        <w:rPr>
          <w:i/>
          <w:iCs/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</w:r>
      <w:r w:rsidRPr="0014777C">
        <w:rPr>
          <w:iCs/>
          <w:lang w:val="es-ES_tradnl"/>
        </w:rPr>
        <w:t xml:space="preserve">que </w:t>
      </w:r>
      <w:r>
        <w:rPr>
          <w:iCs/>
          <w:lang w:val="es-ES_tradnl"/>
        </w:rPr>
        <w:t>el UIT</w:t>
      </w:r>
      <w:r>
        <w:rPr>
          <w:iCs/>
          <w:lang w:val="es-ES_tradnl"/>
        </w:rPr>
        <w:noBreakHyphen/>
      </w:r>
      <w:r w:rsidRPr="0014777C">
        <w:rPr>
          <w:iCs/>
          <w:lang w:val="es-ES_tradnl"/>
        </w:rPr>
        <w:t>T es un organismo de normalización preeminente a escala mundial, en el que participan administraciones, proveedores de equipos, operadores y reguladores, universidades e institutos de investigación;</w:t>
      </w:r>
    </w:p>
    <w:p w14:paraId="68E2942E" w14:textId="77777777" w:rsidR="00931C70" w:rsidRPr="0014777C" w:rsidRDefault="00931C70" w:rsidP="00931C70">
      <w:pPr>
        <w:rPr>
          <w:lang w:val="es-ES_tradnl"/>
        </w:rPr>
      </w:pPr>
      <w:r w:rsidRPr="00274774">
        <w:rPr>
          <w:i/>
          <w:iCs/>
          <w:lang w:val="es-ES"/>
        </w:rPr>
        <w:t>b)</w:t>
      </w:r>
      <w:r w:rsidRPr="00274774">
        <w:rPr>
          <w:lang w:val="es-ES"/>
        </w:rPr>
        <w:tab/>
      </w:r>
      <w:r w:rsidRPr="0014777C">
        <w:rPr>
          <w:lang w:val="es-ES_tradnl"/>
        </w:rPr>
        <w:t>que el número</w:t>
      </w:r>
      <w:r>
        <w:rPr>
          <w:lang w:val="es-ES_tradnl"/>
        </w:rPr>
        <w:t> </w:t>
      </w:r>
      <w:r w:rsidRPr="0014777C">
        <w:rPr>
          <w:lang w:val="es-ES_tradnl"/>
        </w:rPr>
        <w:t>191C del Convenio permite a la</w:t>
      </w:r>
      <w:r>
        <w:rPr>
          <w:lang w:val="es-ES_tradnl"/>
        </w:rPr>
        <w:t> </w:t>
      </w:r>
      <w:r w:rsidRPr="0014777C">
        <w:rPr>
          <w:lang w:val="es-ES_tradnl"/>
        </w:rPr>
        <w:t>AMNT asignar asuntos específicos dentro de su competencia al</w:t>
      </w:r>
      <w:r>
        <w:rPr>
          <w:lang w:val="es-ES_tradnl"/>
        </w:rPr>
        <w:t> </w:t>
      </w:r>
      <w:r w:rsidRPr="0014777C">
        <w:rPr>
          <w:lang w:val="es-ES_tradnl"/>
        </w:rPr>
        <w:t>GANT, indicando las medidas requeridas sobre el particular, y observando además la importancia de que el</w:t>
      </w:r>
      <w:r>
        <w:rPr>
          <w:lang w:val="es-ES_tradnl"/>
        </w:rPr>
        <w:t> </w:t>
      </w:r>
      <w:r w:rsidRPr="0014777C">
        <w:rPr>
          <w:lang w:val="es-ES_tradnl"/>
        </w:rPr>
        <w:t>GANT actúe en el intervalo comprendido entre dos AMNT, para responder a las necesidades del mercado de manera oportuna;</w:t>
      </w:r>
    </w:p>
    <w:p w14:paraId="575B9C19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>GANT se reúne al menos una vez por año;</w:t>
      </w:r>
    </w:p>
    <w:p w14:paraId="708060CB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lang w:val="es-ES_tradnl"/>
        </w:rPr>
        <w:tab/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>GANT ya ha demostrado la capacidad de actuar con eficacia en los asuntos que le asigna la AMNT;</w:t>
      </w:r>
    </w:p>
    <w:p w14:paraId="080E334D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que en la Resolución 68 (</w:t>
      </w:r>
      <w:r>
        <w:rPr>
          <w:lang w:val="es-ES_tradnl"/>
        </w:rPr>
        <w:t>Rev. Nueva </w:t>
      </w:r>
      <w:r w:rsidRPr="0014777C">
        <w:rPr>
          <w:lang w:val="es-ES_tradnl"/>
        </w:rPr>
        <w:t xml:space="preserve">Delhi, 2024) de la presente Asamblea se encarga al Director de la TSB que </w:t>
      </w:r>
      <w:r>
        <w:rPr>
          <w:lang w:val="es-ES_tradnl"/>
        </w:rPr>
        <w:t>siga organizando</w:t>
      </w:r>
      <w:r w:rsidRPr="0014777C">
        <w:rPr>
          <w:lang w:val="es-ES_tradnl"/>
        </w:rPr>
        <w:t xml:space="preserve"> reuniones para altos ejecutivos de la industria, por ejemplo, reuniones de </w:t>
      </w:r>
      <w:r>
        <w:rPr>
          <w:lang w:val="es-ES_tradnl"/>
        </w:rPr>
        <w:t>d</w:t>
      </w:r>
      <w:r w:rsidRPr="0014777C">
        <w:rPr>
          <w:lang w:val="es-ES_tradnl"/>
        </w:rPr>
        <w:t xml:space="preserve">irectores de </w:t>
      </w:r>
      <w:r>
        <w:rPr>
          <w:lang w:val="es-ES_tradnl"/>
        </w:rPr>
        <w:t>t</w:t>
      </w:r>
      <w:r w:rsidRPr="0014777C">
        <w:rPr>
          <w:lang w:val="es-ES_tradnl"/>
        </w:rPr>
        <w:t>ecnología</w:t>
      </w:r>
      <w:r>
        <w:rPr>
          <w:lang w:val="es-ES_tradnl"/>
        </w:rPr>
        <w:t xml:space="preserve"> o directivos ejecutivos, financieros o semejantes</w:t>
      </w:r>
      <w:r w:rsidRPr="0014777C">
        <w:rPr>
          <w:lang w:val="es-ES_tradnl"/>
        </w:rPr>
        <w:t xml:space="preserve">, </w:t>
      </w:r>
      <w:r w:rsidRPr="00231D89">
        <w:rPr>
          <w:lang w:val="es-ES_tradnl"/>
        </w:rPr>
        <w:t>y las amplíe para que representen opiniones de partes interesadas más diversas que en las actuales reuniones</w:t>
      </w:r>
      <w:r>
        <w:rPr>
          <w:lang w:val="es-ES_tradnl"/>
        </w:rPr>
        <w:t>,</w:t>
      </w:r>
      <w:r w:rsidRPr="00231D89">
        <w:rPr>
          <w:lang w:val="es-ES_tradnl"/>
        </w:rPr>
        <w:t xml:space="preserve"> </w:t>
      </w:r>
      <w:r w:rsidRPr="0014777C">
        <w:rPr>
          <w:lang w:val="es-ES_tradnl"/>
        </w:rPr>
        <w:t>con el fin de contribuir a la definición y coordinación de prioridades y cuestiones en el ámbito de la normalización y reducir al mínimo el número de foros y consorcios;</w:t>
      </w:r>
    </w:p>
    <w:p w14:paraId="23D2C5A6" w14:textId="77777777" w:rsidR="00931C70" w:rsidRPr="0014777C" w:rsidRDefault="00931C70" w:rsidP="00931C70">
      <w:pPr>
        <w:rPr>
          <w:lang w:val="es-ES"/>
        </w:rPr>
      </w:pPr>
      <w:r w:rsidRPr="0709B9E3">
        <w:rPr>
          <w:i/>
          <w:iCs/>
          <w:lang w:val="es-ES"/>
        </w:rPr>
        <w:t>f)</w:t>
      </w:r>
      <w:r w:rsidRPr="0014777C">
        <w:rPr>
          <w:lang w:val="es-ES_tradnl"/>
        </w:rPr>
        <w:tab/>
      </w:r>
      <w:r w:rsidRPr="0709B9E3">
        <w:rPr>
          <w:lang w:val="es-ES"/>
        </w:rPr>
        <w:t>que la coordinación eficaz puede llevarse a cabo mediante actividades conjuntas de coordinación, reuniones mixtas de Grupos de Relator, declaraciones de coordinación entre Comisiones de Estudio y reuniones de Presidentes de Comisiones de Estudio organizadas por el Director de la TSB, a fin de responder a los nuevos retos de la normalización y a las necesidades de los Miembros del UIT</w:t>
      </w:r>
      <w:r>
        <w:rPr>
          <w:lang w:val="es-ES_tradnl"/>
        </w:rPr>
        <w:noBreakHyphen/>
      </w:r>
      <w:r w:rsidRPr="0709B9E3">
        <w:rPr>
          <w:lang w:val="es-ES"/>
        </w:rPr>
        <w:t>T,</w:t>
      </w:r>
    </w:p>
    <w:p w14:paraId="67F53F61" w14:textId="77777777" w:rsidR="00931C70" w:rsidRPr="0014777C" w:rsidRDefault="00931C70" w:rsidP="00931C70">
      <w:pPr>
        <w:pStyle w:val="Call"/>
        <w:rPr>
          <w:lang w:val="es-ES_tradnl"/>
        </w:rPr>
      </w:pPr>
      <w:r w:rsidRPr="0014777C">
        <w:rPr>
          <w:lang w:val="es-ES_tradnl"/>
        </w:rPr>
        <w:t>reconociendo</w:t>
      </w:r>
    </w:p>
    <w:p w14:paraId="468D506B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los números 191A y 191B del Convenio permiten que la</w:t>
      </w:r>
      <w:r>
        <w:rPr>
          <w:lang w:val="es-ES_tradnl"/>
        </w:rPr>
        <w:t> </w:t>
      </w:r>
      <w:r w:rsidRPr="0014777C">
        <w:rPr>
          <w:lang w:val="es-ES_tradnl"/>
        </w:rPr>
        <w:t>AMNT cree, mantenga y suprima otros grupos, según sea necesario, y establezca sus mandatos;</w:t>
      </w:r>
    </w:p>
    <w:p w14:paraId="3652ED17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que la coordinación debe servir para mejorar la eficacia de las actividades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y no debe limitar la labor de cada una de las Comisiones de Estudio para elaborar Recomendaciones</w:t>
      </w:r>
      <w:r>
        <w:rPr>
          <w:lang w:val="es-ES_tradnl"/>
        </w:rPr>
        <w:t> UIT</w:t>
      </w:r>
      <w:r>
        <w:rPr>
          <w:lang w:val="es-ES_tradnl"/>
        </w:rPr>
        <w:noBreakHyphen/>
        <w:t>T</w:t>
      </w:r>
      <w:r w:rsidRPr="0014777C">
        <w:rPr>
          <w:lang w:val="es-ES_tradnl"/>
        </w:rPr>
        <w:t>;</w:t>
      </w:r>
    </w:p>
    <w:p w14:paraId="265E6B7E" w14:textId="77777777" w:rsidR="00931C70" w:rsidRPr="0014777C" w:rsidRDefault="00931C70" w:rsidP="00931C70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 xml:space="preserve">que las tareas emprendidas en 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abarcan cuestiones técnicas, operativas y tarifarias,</w:t>
      </w:r>
    </w:p>
    <w:p w14:paraId="0F4E75FA" w14:textId="77777777" w:rsidR="00931C70" w:rsidRPr="0014777C" w:rsidRDefault="00931C70" w:rsidP="00931C70">
      <w:pPr>
        <w:pStyle w:val="Call"/>
        <w:rPr>
          <w:lang w:val="es-ES_tradnl"/>
        </w:rPr>
      </w:pPr>
      <w:r w:rsidRPr="0014777C">
        <w:rPr>
          <w:lang w:val="es-ES_tradnl"/>
        </w:rPr>
        <w:lastRenderedPageBreak/>
        <w:t>resuelve</w:t>
      </w:r>
    </w:p>
    <w:p w14:paraId="5010A9F2" w14:textId="77777777" w:rsidR="00931C70" w:rsidRPr="0014777C" w:rsidRDefault="00931C70" w:rsidP="00931C70">
      <w:pPr>
        <w:rPr>
          <w:lang w:val="es-ES"/>
        </w:rPr>
      </w:pPr>
      <w:r w:rsidRPr="0709B9E3">
        <w:rPr>
          <w:lang w:val="es-ES"/>
        </w:rPr>
        <w:t>1</w:t>
      </w:r>
      <w:r w:rsidRPr="00E86DCD">
        <w:rPr>
          <w:lang w:val="es-ES"/>
        </w:rPr>
        <w:tab/>
      </w:r>
      <w:r w:rsidRPr="0709B9E3">
        <w:rPr>
          <w:lang w:val="es-ES"/>
        </w:rPr>
        <w:t>asignar al GANT los siguientes asuntos específicos de su competencia entre esta Asamblea y la próxima, para que en consulta con el Director de la TSB actúe en las áreas siguientes:</w:t>
      </w:r>
    </w:p>
    <w:p w14:paraId="2A54969C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mantener y proporcionar directrices de trabajo actualizadas, eficientes y flexibles;</w:t>
      </w:r>
    </w:p>
    <w:p w14:paraId="0A22B584" w14:textId="77777777" w:rsidR="00931C70" w:rsidRPr="0014777C" w:rsidRDefault="00931C70" w:rsidP="00931C70">
      <w:pPr>
        <w:pStyle w:val="enumlev1"/>
        <w:rPr>
          <w:iCs/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iCs/>
          <w:lang w:val="es-ES_tradnl"/>
        </w:rPr>
        <w:tab/>
        <w:t>promover las actividades de normalización de alta prioridad relacionadas con cuestiones técnicas, operativas y tarifarias sobre la base de las contribuciones presentadas por los Miembros desde un punto de vista mundial, y garantizar la coordinación entre las Comisiones de Estudio d</w:t>
      </w:r>
      <w:r>
        <w:rPr>
          <w:iCs/>
          <w:lang w:val="es-ES_tradnl"/>
        </w:rPr>
        <w:t>el UIT</w:t>
      </w:r>
      <w:r>
        <w:rPr>
          <w:iCs/>
          <w:lang w:val="es-ES_tradnl"/>
        </w:rPr>
        <w:noBreakHyphen/>
      </w:r>
      <w:r w:rsidRPr="0014777C">
        <w:rPr>
          <w:iCs/>
          <w:lang w:val="es-ES_tradnl"/>
        </w:rPr>
        <w:t>T a este respecto;</w:t>
      </w:r>
    </w:p>
    <w:p w14:paraId="709A506F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asumir la responsabilidad respecto de las Recomendaciones de la serie</w:t>
      </w:r>
      <w:r>
        <w:rPr>
          <w:lang w:val="es-ES_tradnl"/>
        </w:rPr>
        <w:t> </w:t>
      </w:r>
      <w:r w:rsidRPr="0014777C">
        <w:rPr>
          <w:lang w:val="es-ES_tradnl"/>
        </w:rPr>
        <w:t>A y sus Suplementos, incluidas la elaboración y la presentación para aprobación conforme a los procedimientos apropiados;</w:t>
      </w:r>
    </w:p>
    <w:p w14:paraId="6B0C971A" w14:textId="77777777" w:rsidR="00931C70" w:rsidRPr="0014777C" w:rsidRDefault="00931C70" w:rsidP="00931C70">
      <w:pPr>
        <w:pStyle w:val="enumlev1"/>
        <w:rPr>
          <w:lang w:val="es-ES"/>
        </w:rPr>
      </w:pPr>
      <w:r w:rsidRPr="0709B9E3">
        <w:rPr>
          <w:i/>
          <w:iCs/>
          <w:lang w:val="es-ES"/>
        </w:rPr>
        <w:t>d)</w:t>
      </w:r>
      <w:r w:rsidRPr="0014777C">
        <w:rPr>
          <w:lang w:val="es-ES_tradnl"/>
        </w:rPr>
        <w:tab/>
      </w:r>
      <w:r w:rsidRPr="0709B9E3">
        <w:rPr>
          <w:lang w:val="es-ES"/>
        </w:rPr>
        <w:t>reestructurar y establecer Comisiones de Estudio del UIT</w:t>
      </w:r>
      <w:r>
        <w:rPr>
          <w:lang w:val="es-ES_tradnl"/>
        </w:rPr>
        <w:noBreakHyphen/>
      </w:r>
      <w:r w:rsidRPr="0709B9E3">
        <w:rPr>
          <w:lang w:val="es-ES"/>
        </w:rPr>
        <w:t>T, teniendo en cuenta las necesidades de los Miembros del UIT</w:t>
      </w:r>
      <w:r>
        <w:rPr>
          <w:lang w:val="es-ES_tradnl"/>
        </w:rPr>
        <w:noBreakHyphen/>
      </w:r>
      <w:r w:rsidRPr="0709B9E3">
        <w:rPr>
          <w:lang w:val="es-ES"/>
        </w:rPr>
        <w:t>T y respondiendo a la evolución del mercado de las telecomunicaciones/TIC, y nombrar Presidentes y Vicepresidentes hasta la próxima AMNT, de conformidad con la Resolución 208 (Rev. Bucarest, 2022) de la Conferencia de Plenipotenciarios;</w:t>
      </w:r>
    </w:p>
    <w:p w14:paraId="5D0DA61F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asesorar sobre el calendario de reuniones de las Comisiones de Estudio para satisfacer las prioridades de normalización;</w:t>
      </w:r>
    </w:p>
    <w:p w14:paraId="6FAADFD5" w14:textId="77777777" w:rsidR="00931C70" w:rsidRPr="0014777C" w:rsidRDefault="00931C70" w:rsidP="00931C70">
      <w:pPr>
        <w:pStyle w:val="enumlev1"/>
        <w:rPr>
          <w:lang w:val="es-ES"/>
        </w:rPr>
      </w:pPr>
      <w:r w:rsidRPr="0709B9E3">
        <w:rPr>
          <w:i/>
          <w:iCs/>
          <w:lang w:val="es-ES"/>
        </w:rPr>
        <w:t>f)</w:t>
      </w:r>
      <w:r w:rsidRPr="0014777C">
        <w:rPr>
          <w:lang w:val="es-ES_tradnl"/>
        </w:rPr>
        <w:tab/>
      </w:r>
      <w:r w:rsidRPr="0709B9E3">
        <w:rPr>
          <w:lang w:val="es-ES"/>
        </w:rPr>
        <w:t>reconociendo la primacía de las Comisiones de Estudio en la realización de las actividades del UIT</w:t>
      </w:r>
      <w:r>
        <w:rPr>
          <w:lang w:val="es-ES_tradnl"/>
        </w:rPr>
        <w:noBreakHyphen/>
      </w:r>
      <w:r w:rsidRPr="0709B9E3">
        <w:rPr>
          <w:lang w:val="es-ES"/>
        </w:rPr>
        <w:t>T, crear, mantener o suprimir otros grupos, incluidos Grupos Temáticos, designar a sus Presidentes y Vicepresidentes, y establecer su mandato con una duración determinada, de conformidad con los números 191A y 191B del Convenio, a fin de potenciar y mejorar la eficacia del trabajo del UIT</w:t>
      </w:r>
      <w:r>
        <w:rPr>
          <w:lang w:val="es-ES_tradnl"/>
        </w:rPr>
        <w:noBreakHyphen/>
      </w:r>
      <w:r w:rsidRPr="0709B9E3">
        <w:rPr>
          <w:lang w:val="es-ES"/>
        </w:rPr>
        <w:t>T, así como para fomentar la flexibilidad al responder rápidamente a los temas de gran prioridad. Dichos grupos no adoptarán Cuestiones ni Recomendaciones, de conformidad con lo dispuesto en el Artículo 14A del Convenio, pero obedecerán a un mandato específico;</w:t>
      </w:r>
    </w:p>
    <w:p w14:paraId="0959CFCA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i/>
          <w:iCs/>
          <w:lang w:val="es-ES_tradnl"/>
        </w:rPr>
        <w:t>g)</w:t>
      </w:r>
      <w:r w:rsidRPr="0014777C">
        <w:rPr>
          <w:lang w:val="es-ES_tradnl"/>
        </w:rPr>
        <w:tab/>
        <w:t>identificar la evolución de los requisitos y proporcionar asesoramiento sobre las modificaciones que es necesario efectuar en las prioridades de trabajo de las Comisiones de Estudio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 y sobre la planificación y asignación de trabajos entre las mismas, teniendo debidamente en cuenta los costes y la disponibilidad de recursos;</w:t>
      </w:r>
    </w:p>
    <w:p w14:paraId="558530F4" w14:textId="77777777" w:rsidR="00931C70" w:rsidRPr="0014777C" w:rsidRDefault="00931C70" w:rsidP="00931C70">
      <w:pPr>
        <w:pStyle w:val="enumlev1"/>
        <w:rPr>
          <w:lang w:val="es-ES_tradnl"/>
        </w:rPr>
      </w:pPr>
      <w:r w:rsidRPr="00655B4C">
        <w:rPr>
          <w:i/>
          <w:iCs/>
          <w:lang w:val="es-ES"/>
        </w:rPr>
        <w:t>h)</w:t>
      </w:r>
      <w:r w:rsidRPr="00655B4C">
        <w:rPr>
          <w:lang w:val="es-ES"/>
        </w:rPr>
        <w:tab/>
      </w:r>
      <w:r w:rsidRPr="0014777C">
        <w:rPr>
          <w:lang w:val="es-ES_tradnl"/>
        </w:rPr>
        <w:t>asumir un papel activo para garantizar la coordinación de las actividades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T, incluidas la determinación de los requisitos y de los cambios adecuados que deban realizarse ante la duplicación de tareas, lo que comprende, entre otras cosas, la atribución de un mandato a una Comisión de Estudio para que lleve a cabo una labor de coordinación;</w:t>
      </w:r>
    </w:p>
    <w:p w14:paraId="71B3DFCC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i/>
          <w:iCs/>
          <w:lang w:val="es-ES_tradnl"/>
        </w:rPr>
        <w:t>i)</w:t>
      </w:r>
      <w:r w:rsidRPr="0014777C">
        <w:rPr>
          <w:lang w:val="es-ES_tradnl"/>
        </w:rPr>
        <w:tab/>
        <w:t>examinar informes de grupos de coordinación y de otra índole, y considerar las propuestas adecuadas formuladas por dichos grupos, incluida la aplicación de las que se aprueben;</w:t>
      </w:r>
    </w:p>
    <w:p w14:paraId="1C9D892D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i/>
          <w:iCs/>
          <w:lang w:val="es-ES_tradnl"/>
        </w:rPr>
        <w:t>j)</w:t>
      </w:r>
      <w:r w:rsidRPr="0014777C">
        <w:rPr>
          <w:lang w:val="es-ES_tradnl"/>
        </w:rPr>
        <w:tab/>
        <w:t>establecer los mecanismos adecuados y fomentar la utilización, por ejemplo, de grupos de coordinación u otros grupos para abordar temas de trabajo claves que afecten a diversas Comisiones de Estudio, a fin de velar por la coordinación eficaz de los temas de normalización y lograr así soluciones globales adecuadas;</w:t>
      </w:r>
    </w:p>
    <w:p w14:paraId="62A444C2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br w:type="page"/>
      </w:r>
    </w:p>
    <w:p w14:paraId="52EEB645" w14:textId="77777777" w:rsidR="00931C70" w:rsidRPr="0014777C" w:rsidRDefault="00931C70" w:rsidP="00931C70">
      <w:pPr>
        <w:pStyle w:val="enumlev1"/>
        <w:rPr>
          <w:lang w:val="es-ES"/>
        </w:rPr>
      </w:pPr>
      <w:r w:rsidRPr="0709B9E3">
        <w:rPr>
          <w:i/>
          <w:iCs/>
          <w:lang w:val="es-ES"/>
        </w:rPr>
        <w:lastRenderedPageBreak/>
        <w:t>k)</w:t>
      </w:r>
      <w:r w:rsidRPr="0014777C">
        <w:rPr>
          <w:lang w:val="es-ES_tradnl"/>
        </w:rPr>
        <w:tab/>
      </w:r>
      <w:r w:rsidRPr="0709B9E3">
        <w:rPr>
          <w:lang w:val="es-ES"/>
        </w:rPr>
        <w:t>examinar los avances en la ejecución del programa de trabajo del UIT</w:t>
      </w:r>
      <w:r>
        <w:rPr>
          <w:lang w:val="es-ES_tradnl"/>
        </w:rPr>
        <w:noBreakHyphen/>
      </w:r>
      <w:r w:rsidRPr="0709B9E3">
        <w:rPr>
          <w:lang w:val="es-ES"/>
        </w:rPr>
        <w:t>T y las actividades generales de sus Comisiones de Estudio, incluidos los niveles de asistencia de los Presidentes y Vicepresidentes de conformidad con la Resolución 208 (Rev. Bucarest, 2022) de la Conferencia de Plenipotenciarios y la Resolución 1 (Rev. Ginebra, 2022) de la AMNT;</w:t>
      </w:r>
    </w:p>
    <w:p w14:paraId="2AD34F35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i/>
          <w:iCs/>
          <w:lang w:val="es-ES_tradnl"/>
        </w:rPr>
        <w:t>l)</w:t>
      </w:r>
      <w:r w:rsidRPr="0014777C">
        <w:rPr>
          <w:i/>
          <w:iCs/>
          <w:lang w:val="es-ES_tradnl"/>
        </w:rPr>
        <w:tab/>
      </w:r>
      <w:r w:rsidRPr="0014777C">
        <w:rPr>
          <w:iCs/>
          <w:lang w:val="es-ES_tradnl"/>
        </w:rPr>
        <w:t xml:space="preserve">cooperar y coordinarse con </w:t>
      </w:r>
      <w:r>
        <w:rPr>
          <w:iCs/>
          <w:lang w:val="es-ES_tradnl"/>
        </w:rPr>
        <w:t>el UIT</w:t>
      </w:r>
      <w:r>
        <w:rPr>
          <w:iCs/>
          <w:lang w:val="es-ES_tradnl"/>
        </w:rPr>
        <w:noBreakHyphen/>
      </w:r>
      <w:r w:rsidRPr="0014777C">
        <w:rPr>
          <w:iCs/>
          <w:lang w:val="es-ES_tradnl"/>
        </w:rPr>
        <w:t xml:space="preserve">R y </w:t>
      </w:r>
      <w:r>
        <w:rPr>
          <w:iCs/>
          <w:lang w:val="es-ES_tradnl"/>
        </w:rPr>
        <w:t>el UIT</w:t>
      </w:r>
      <w:r>
        <w:rPr>
          <w:iCs/>
          <w:lang w:val="es-ES_tradnl"/>
        </w:rPr>
        <w:noBreakHyphen/>
      </w:r>
      <w:r w:rsidRPr="0014777C">
        <w:rPr>
          <w:iCs/>
          <w:lang w:val="es-ES_tradnl"/>
        </w:rPr>
        <w:t xml:space="preserve">D, habida cuenta de la </w:t>
      </w:r>
      <w:r>
        <w:rPr>
          <w:iCs/>
          <w:lang w:val="es-ES_tradnl"/>
        </w:rPr>
        <w:t>Resolución </w:t>
      </w:r>
      <w:r w:rsidRPr="0014777C">
        <w:rPr>
          <w:iCs/>
          <w:lang w:val="es-ES_tradnl"/>
        </w:rPr>
        <w:t>18 (</w:t>
      </w:r>
      <w:r>
        <w:rPr>
          <w:iCs/>
          <w:lang w:val="es-ES_tradnl"/>
        </w:rPr>
        <w:t>Rev. Nueva Delhi, 2024</w:t>
      </w:r>
      <w:r w:rsidRPr="0014777C">
        <w:rPr>
          <w:iCs/>
          <w:lang w:val="es-ES_tradnl"/>
        </w:rPr>
        <w:t>) de la presente Asamblea;</w:t>
      </w:r>
    </w:p>
    <w:p w14:paraId="07926B71" w14:textId="77777777" w:rsidR="00931C70" w:rsidRPr="0014777C" w:rsidRDefault="00931C70" w:rsidP="00931C70">
      <w:pPr>
        <w:pStyle w:val="enumlev1"/>
        <w:rPr>
          <w:lang w:val="es-ES"/>
        </w:rPr>
      </w:pPr>
      <w:r w:rsidRPr="0709B9E3">
        <w:rPr>
          <w:i/>
          <w:iCs/>
          <w:lang w:val="es-ES"/>
        </w:rPr>
        <w:t>m)</w:t>
      </w:r>
      <w:r w:rsidRPr="0014777C">
        <w:rPr>
          <w:lang w:val="es-ES_tradnl"/>
        </w:rPr>
        <w:tab/>
      </w:r>
      <w:r w:rsidRPr="0709B9E3">
        <w:rPr>
          <w:lang w:val="es-ES"/>
        </w:rPr>
        <w:t>asesorar al Director de la TSB sobre cuestiones financieras y de otra índole, incluida la mejora de la participación de otras entidades y organizaciones en el UIT</w:t>
      </w:r>
      <w:r>
        <w:rPr>
          <w:lang w:val="es-ES_tradnl"/>
        </w:rPr>
        <w:noBreakHyphen/>
      </w:r>
      <w:r w:rsidRPr="0709B9E3">
        <w:rPr>
          <w:lang w:val="es-ES"/>
        </w:rPr>
        <w:t>T;</w:t>
      </w:r>
    </w:p>
    <w:p w14:paraId="17307098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i/>
          <w:iCs/>
          <w:lang w:val="es-ES_tradnl"/>
        </w:rPr>
        <w:t>n)</w:t>
      </w:r>
      <w:r w:rsidRPr="0014777C">
        <w:rPr>
          <w:lang w:val="es-ES_tradnl"/>
        </w:rPr>
        <w:tab/>
        <w:t>aprobar el programa de trabajo que resulte de la revisión de las Cuestiones existentes y nuevas y determinar la prioridad, la urgencia, las repercusiones financieras estimadas y el calendario para completar su estudio;</w:t>
      </w:r>
    </w:p>
    <w:p w14:paraId="385C46F1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i/>
          <w:iCs/>
          <w:lang w:val="es-ES_tradnl"/>
        </w:rPr>
        <w:t>o)</w:t>
      </w:r>
      <w:r w:rsidRPr="0014777C">
        <w:rPr>
          <w:lang w:val="es-ES_tradnl"/>
        </w:rPr>
        <w:tab/>
        <w:t>agrupar, en la medida de lo posible, Cuestiones de interés para los países en desarrollo</w:t>
      </w:r>
      <w:r>
        <w:rPr>
          <w:rStyle w:val="FootnoteReference"/>
          <w:lang w:val="es-ES_tradnl"/>
        </w:rPr>
        <w:footnoteReference w:customMarkFollows="1" w:id="1"/>
        <w:t>1</w:t>
      </w:r>
      <w:r w:rsidRPr="0014777C">
        <w:rPr>
          <w:lang w:val="es-ES_tradnl"/>
        </w:rPr>
        <w:t>, a fin de facilitar su participación en estos estudios, teniendo en cuenta sus intereses y la necesidad de fomentar y facilitar su participación en estas actividades;</w:t>
      </w:r>
    </w:p>
    <w:p w14:paraId="471A6F94" w14:textId="77777777" w:rsidR="00931C70" w:rsidRPr="0014777C" w:rsidRDefault="00931C70" w:rsidP="00931C70">
      <w:pPr>
        <w:pStyle w:val="enumlev1"/>
        <w:rPr>
          <w:iCs/>
          <w:lang w:val="es-ES_tradnl"/>
        </w:rPr>
      </w:pPr>
      <w:r w:rsidRPr="0014777C">
        <w:rPr>
          <w:i/>
          <w:iCs/>
          <w:lang w:val="es-ES_tradnl"/>
        </w:rPr>
        <w:t>p)</w:t>
      </w:r>
      <w:r w:rsidRPr="0014777C">
        <w:rPr>
          <w:lang w:val="es-ES_tradnl"/>
        </w:rPr>
        <w:tab/>
        <w:t>tratar otros temas específicos dentro de la competencia de la</w:t>
      </w:r>
      <w:r>
        <w:rPr>
          <w:lang w:val="es-ES_tradnl"/>
        </w:rPr>
        <w:t> </w:t>
      </w:r>
      <w:r w:rsidRPr="0014777C">
        <w:rPr>
          <w:lang w:val="es-ES_tradnl"/>
        </w:rPr>
        <w:t>AMNT, previa aprobación de los Estados Miembros, utilizando el procedimiento de aprobación de la Sección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9 de la Resolución 1 </w:t>
      </w:r>
      <w:r>
        <w:rPr>
          <w:lang w:val="es-ES_tradnl"/>
        </w:rPr>
        <w:t>(Rev. Ginebra</w:t>
      </w:r>
      <w:r w:rsidRPr="0014777C">
        <w:rPr>
          <w:lang w:val="es-ES_tradnl"/>
        </w:rPr>
        <w:t>, 2022);</w:t>
      </w:r>
    </w:p>
    <w:p w14:paraId="5C376D69" w14:textId="77777777" w:rsidR="00931C70" w:rsidRPr="0014777C" w:rsidRDefault="00931C70" w:rsidP="00931C70">
      <w:pPr>
        <w:pStyle w:val="enumlev1"/>
        <w:rPr>
          <w:iCs/>
          <w:lang w:val="es-ES_tradnl"/>
        </w:rPr>
      </w:pPr>
      <w:r w:rsidRPr="0014777C">
        <w:rPr>
          <w:i/>
          <w:iCs/>
          <w:lang w:val="es-ES_tradnl"/>
        </w:rPr>
        <w:t>q)</w:t>
      </w:r>
      <w:r w:rsidRPr="0014777C">
        <w:rPr>
          <w:lang w:val="es-ES_tradnl"/>
        </w:rPr>
        <w:tab/>
      </w:r>
      <w:bookmarkStart w:id="3" w:name="_Hlk169600162"/>
      <w:r w:rsidRPr="0014777C">
        <w:rPr>
          <w:lang w:val="es-ES_tradnl"/>
        </w:rPr>
        <w:t>examinar anualmente la utilización de todos los idiomas oficiales de la Unión en igualdad de condiciones en las publicaciones y los sitios web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</w:t>
      </w:r>
      <w:bookmarkEnd w:id="3"/>
      <w:r>
        <w:rPr>
          <w:iCs/>
          <w:lang w:val="es-ES_tradnl"/>
        </w:rPr>
        <w:t>;</w:t>
      </w:r>
    </w:p>
    <w:p w14:paraId="556D3D85" w14:textId="77777777" w:rsidR="00931C70" w:rsidRPr="0014777C" w:rsidRDefault="00931C70" w:rsidP="00931C70">
      <w:pPr>
        <w:rPr>
          <w:lang w:val="es-ES"/>
        </w:rPr>
      </w:pPr>
      <w:r w:rsidRPr="0709B9E3">
        <w:rPr>
          <w:lang w:val="es-ES"/>
        </w:rPr>
        <w:t>2</w:t>
      </w:r>
      <w:r w:rsidRPr="00C4132F">
        <w:rPr>
          <w:lang w:val="es-ES_tradnl"/>
        </w:rPr>
        <w:tab/>
      </w:r>
      <w:r w:rsidRPr="0709B9E3">
        <w:rPr>
          <w:lang w:val="es-ES"/>
        </w:rPr>
        <w:t>que el GANT examine la ejecución de las acciones y el cumplimiento de las metas contenidas en el plan operacional anual del UIT</w:t>
      </w:r>
      <w:r>
        <w:rPr>
          <w:lang w:val="es-ES_tradnl"/>
        </w:rPr>
        <w:noBreakHyphen/>
      </w:r>
      <w:r w:rsidRPr="0709B9E3">
        <w:rPr>
          <w:lang w:val="es-ES"/>
        </w:rPr>
        <w:t>T y en el Plan de Acción de la AMNT-20, que incluye las Resoluciones de la AMNT, con objeto de identificar posibles dificultades y estrategias para la implementación de elementos fundamentales, y recomendar soluciones al respecto al Director de la TSB;</w:t>
      </w:r>
    </w:p>
    <w:p w14:paraId="5ADDF221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>GANT pueda iniciar las revisiones de los procedimientos pertinentes para la adopción de Cuestiones y Recomendaciones por las Comisiones de Estudio, distintos de los que se mencionan en los números 246D, 246F y 246H del Convenio, con miras a su aprobación por los Estados Miembros entre dos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AMNT, utilizando el procedimiento de aprobación que figura en la Sección 9 de la Resolución 1 </w:t>
      </w:r>
      <w:r>
        <w:rPr>
          <w:lang w:val="es-ES_tradnl"/>
        </w:rPr>
        <w:t>(Rev. </w:t>
      </w:r>
      <w:r w:rsidRPr="0014777C">
        <w:rPr>
          <w:lang w:val="es-ES_tradnl"/>
        </w:rPr>
        <w:t>Ginebra, 2022);</w:t>
      </w:r>
    </w:p>
    <w:p w14:paraId="0F9EBB86" w14:textId="77777777" w:rsidR="00931C70" w:rsidRPr="0014777C" w:rsidRDefault="00931C70" w:rsidP="00931C70">
      <w:pPr>
        <w:rPr>
          <w:lang w:val="es-ES"/>
        </w:rPr>
      </w:pPr>
      <w:r w:rsidRPr="0709B9E3">
        <w:rPr>
          <w:lang w:val="es-ES"/>
        </w:rPr>
        <w:t>4</w:t>
      </w:r>
      <w:r w:rsidRPr="00E86DCD">
        <w:rPr>
          <w:lang w:val="es-ES"/>
        </w:rPr>
        <w:tab/>
      </w:r>
      <w:r w:rsidRPr="0709B9E3">
        <w:rPr>
          <w:lang w:val="es-ES"/>
        </w:rPr>
        <w:t>que el GANT fomente la coordinación y la colaboración con otros organismos pertinentes ajenos a la UIT, entre ellos organismos de normalización, foros y consorcios, y coordine sus actividades con dichas organizaciones en consulta con el Director de la TSB, según proceda;</w:t>
      </w:r>
    </w:p>
    <w:p w14:paraId="578CCDDC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t>5</w:t>
      </w:r>
      <w:r w:rsidRPr="0014777C">
        <w:rPr>
          <w:lang w:val="es-ES_tradnl"/>
        </w:rPr>
        <w:tab/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>GANT establezca un mecanismo para facilitar y coordinar las estrategias de desarrollo de la normalización, que facilite en particular:</w:t>
      </w:r>
    </w:p>
    <w:p w14:paraId="4FC24404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lang w:val="es-ES_tradnl"/>
        </w:rPr>
        <w:t>–</w:t>
      </w:r>
      <w:r w:rsidRPr="0014777C">
        <w:rPr>
          <w:lang w:val="es-ES_tradnl"/>
        </w:rPr>
        <w:tab/>
        <w:t>la identificación de las telecomunicaciones/TIC nuevas e incipientes teniendo en cuenta sus factores impulsores en los ámbitos de actividad que corresponden al mandato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T; y</w:t>
      </w:r>
    </w:p>
    <w:p w14:paraId="6AB83826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lang w:val="es-ES_tradnl"/>
        </w:rPr>
        <w:t>–</w:t>
      </w:r>
      <w:r w:rsidRPr="0014777C">
        <w:rPr>
          <w:lang w:val="es-ES_tradnl"/>
        </w:rPr>
        <w:tab/>
        <w:t>la identificación y el examen de posibles temas y cuestiones para su consideración en las estrategias de desarrollo de la normalización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384EFCD2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br w:type="page"/>
      </w:r>
    </w:p>
    <w:p w14:paraId="4945D729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lastRenderedPageBreak/>
        <w:t>6</w:t>
      </w:r>
      <w:r w:rsidRPr="0014777C">
        <w:rPr>
          <w:lang w:val="es-ES_tradnl"/>
        </w:rPr>
        <w:tab/>
        <w:t>que el</w:t>
      </w:r>
      <w:r>
        <w:rPr>
          <w:lang w:val="es-ES_tradnl"/>
        </w:rPr>
        <w:t> </w:t>
      </w:r>
      <w:r w:rsidRPr="0014777C">
        <w:rPr>
          <w:lang w:val="es-ES_tradnl"/>
        </w:rPr>
        <w:t>GANT examine los resultados de la presente Asamblea en lo que se refiere al</w:t>
      </w:r>
      <w:r>
        <w:rPr>
          <w:lang w:val="es-ES_tradnl"/>
        </w:rPr>
        <w:t> </w:t>
      </w:r>
      <w:r w:rsidRPr="0014777C">
        <w:rPr>
          <w:lang w:val="es-ES_tradnl"/>
        </w:rPr>
        <w:t>SMN y adopte las medidas de seguimiento que se consideren apropiadas;</w:t>
      </w:r>
    </w:p>
    <w:p w14:paraId="175C15B1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t>7</w:t>
      </w:r>
      <w:r w:rsidRPr="0014777C">
        <w:rPr>
          <w:lang w:val="es-ES_tradnl"/>
        </w:rPr>
        <w:tab/>
        <w:t>que, en la próxima</w:t>
      </w:r>
      <w:r>
        <w:rPr>
          <w:lang w:val="es-ES_tradnl"/>
        </w:rPr>
        <w:t> </w:t>
      </w:r>
      <w:r w:rsidRPr="0014777C">
        <w:rPr>
          <w:lang w:val="es-ES_tradnl"/>
        </w:rPr>
        <w:t>AMNT, se presente un informe sobre dichas actividades del</w:t>
      </w:r>
      <w:r>
        <w:rPr>
          <w:lang w:val="es-ES_tradnl"/>
        </w:rPr>
        <w:t> </w:t>
      </w:r>
      <w:r w:rsidRPr="0014777C">
        <w:rPr>
          <w:lang w:val="es-ES_tradnl"/>
        </w:rPr>
        <w:t>GANT,</w:t>
      </w:r>
    </w:p>
    <w:p w14:paraId="42B8D9F4" w14:textId="77777777" w:rsidR="00931C70" w:rsidRPr="0014777C" w:rsidRDefault="00931C70" w:rsidP="00931C70">
      <w:pPr>
        <w:pStyle w:val="Call"/>
        <w:rPr>
          <w:lang w:val="es-ES"/>
        </w:rPr>
      </w:pPr>
      <w:r w:rsidRPr="0709B9E3">
        <w:rPr>
          <w:lang w:val="es-ES"/>
        </w:rPr>
        <w:t>encarga al Director de la Oficina de Normalización de las Telecomunicaciones</w:t>
      </w:r>
    </w:p>
    <w:p w14:paraId="488E3763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que tome en consideración el asesoramiento y las orientaciones del</w:t>
      </w:r>
      <w:r>
        <w:rPr>
          <w:lang w:val="es-ES_tradnl"/>
        </w:rPr>
        <w:t> </w:t>
      </w:r>
      <w:r w:rsidRPr="0014777C">
        <w:rPr>
          <w:lang w:val="es-ES_tradnl"/>
        </w:rPr>
        <w:t>GANT, con objeto de mejorar la eficacia y eficiencia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12EFB153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que facilite en cada reunión del</w:t>
      </w:r>
      <w:r>
        <w:rPr>
          <w:lang w:val="es-ES_tradnl"/>
        </w:rPr>
        <w:t> </w:t>
      </w:r>
      <w:r w:rsidRPr="0014777C">
        <w:rPr>
          <w:lang w:val="es-ES_tradnl"/>
        </w:rPr>
        <w:t>GANT un informe sobre:</w:t>
      </w:r>
    </w:p>
    <w:p w14:paraId="10728742" w14:textId="77777777" w:rsidR="00931C70" w:rsidRPr="0014777C" w:rsidRDefault="00931C70" w:rsidP="00931C70">
      <w:pPr>
        <w:pStyle w:val="enumlev1"/>
        <w:rPr>
          <w:lang w:val="es-ES_tradnl"/>
        </w:rPr>
      </w:pPr>
      <w:r w:rsidRPr="0014777C">
        <w:rPr>
          <w:lang w:val="es-ES_tradnl"/>
        </w:rPr>
        <w:t>–</w:t>
      </w:r>
      <w:r w:rsidRPr="0014777C">
        <w:rPr>
          <w:lang w:val="es-ES_tradnl"/>
        </w:rPr>
        <w:tab/>
        <w:t>la aplicación de las Resoluciones de la</w:t>
      </w:r>
      <w:r>
        <w:rPr>
          <w:lang w:val="es-ES_tradnl"/>
        </w:rPr>
        <w:t> </w:t>
      </w:r>
      <w:r w:rsidRPr="0014777C">
        <w:rPr>
          <w:lang w:val="es-ES_tradnl"/>
        </w:rPr>
        <w:t>AMNT y las medidas que se han de tomar con arreglo a las partes dispositivas;</w:t>
      </w:r>
    </w:p>
    <w:p w14:paraId="14BBBB1B" w14:textId="77777777" w:rsidR="00931C70" w:rsidRPr="0014777C" w:rsidRDefault="00931C70" w:rsidP="00931C70">
      <w:pPr>
        <w:pStyle w:val="enumlev1"/>
        <w:rPr>
          <w:lang w:val="es-ES_tradnl"/>
        </w:rPr>
      </w:pPr>
      <w:r w:rsidRPr="00C4132F">
        <w:rPr>
          <w:lang w:val="es-ES_tradnl"/>
        </w:rPr>
        <w:t>–</w:t>
      </w:r>
      <w:r w:rsidRPr="00C4132F">
        <w:rPr>
          <w:lang w:val="es-ES_tradnl"/>
        </w:rPr>
        <w:tab/>
        <w:t>los avances del plan operacional anual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C4132F">
        <w:rPr>
          <w:lang w:val="es-ES_tradnl"/>
        </w:rPr>
        <w:t xml:space="preserve">T y del </w:t>
      </w:r>
      <w:r w:rsidRPr="007E448F">
        <w:rPr>
          <w:lang w:val="es-ES_tradnl"/>
        </w:rPr>
        <w:t>Plan de Acción de la AMNT</w:t>
      </w:r>
      <w:r w:rsidRPr="007E448F">
        <w:rPr>
          <w:lang w:val="es-ES_tradnl"/>
        </w:rPr>
        <w:noBreakHyphen/>
        <w:t>20</w:t>
      </w:r>
      <w:r w:rsidRPr="00C4132F">
        <w:rPr>
          <w:lang w:val="es-ES_tradnl"/>
        </w:rPr>
        <w:t>, identificando las dificultades que obstaculizan el progreso, en su caso, y las posibles soluciones;</w:t>
      </w:r>
    </w:p>
    <w:p w14:paraId="0105C345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>que facilite información sobre los temas de trabajo que no hayan dado lugar a ninguna contribución en el plazo transcurrido entre las dos reuniones anteriores de la Comisión de Estudio interesada, a través de su informe sobre las actividades de las Comisiones de Estudio</w:t>
      </w:r>
      <w:r>
        <w:rPr>
          <w:lang w:val="es-ES_tradnl"/>
        </w:rPr>
        <w:t xml:space="preserve"> del UIT</w:t>
      </w:r>
      <w:r>
        <w:rPr>
          <w:lang w:val="es-ES_tradnl"/>
        </w:rPr>
        <w:noBreakHyphen/>
        <w:t>T</w:t>
      </w:r>
      <w:r w:rsidRPr="0014777C">
        <w:rPr>
          <w:lang w:val="es-ES_tradnl"/>
        </w:rPr>
        <w:t>;</w:t>
      </w:r>
    </w:p>
    <w:p w14:paraId="5520D3FB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  <w:t>que informe al</w:t>
      </w:r>
      <w:r>
        <w:rPr>
          <w:lang w:val="es-ES_tradnl"/>
        </w:rPr>
        <w:t> </w:t>
      </w:r>
      <w:r w:rsidRPr="0014777C">
        <w:rPr>
          <w:lang w:val="es-ES_tradnl"/>
        </w:rPr>
        <w:t>GANT sobre la experiencia adquirida en la aplicación de las Recomendaciones</w:t>
      </w:r>
      <w:r>
        <w:rPr>
          <w:lang w:val="es-ES_tradnl"/>
        </w:rPr>
        <w:t> UIT</w:t>
      </w:r>
      <w:r>
        <w:rPr>
          <w:lang w:val="es-ES_tradnl"/>
        </w:rPr>
        <w:noBreakHyphen/>
      </w:r>
      <w:r w:rsidRPr="0014777C">
        <w:rPr>
          <w:lang w:val="es-ES_tradnl"/>
        </w:rPr>
        <w:t>T de la serie</w:t>
      </w:r>
      <w:r>
        <w:rPr>
          <w:lang w:val="es-ES_tradnl"/>
        </w:rPr>
        <w:t> </w:t>
      </w:r>
      <w:r w:rsidRPr="0014777C">
        <w:rPr>
          <w:lang w:val="es-ES_tradnl"/>
        </w:rPr>
        <w:t>A para su consideración por los Miembros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T;</w:t>
      </w:r>
    </w:p>
    <w:p w14:paraId="67711A93" w14:textId="77777777" w:rsidR="00931C70" w:rsidRPr="0014777C" w:rsidRDefault="00931C70" w:rsidP="00931C70">
      <w:pPr>
        <w:rPr>
          <w:lang w:val="es-ES_tradnl"/>
        </w:rPr>
      </w:pPr>
      <w:r w:rsidRPr="0014777C">
        <w:rPr>
          <w:lang w:val="es-ES_tradnl"/>
        </w:rPr>
        <w:t>5</w:t>
      </w:r>
      <w:r w:rsidRPr="0014777C">
        <w:rPr>
          <w:lang w:val="es-ES_tradnl"/>
        </w:rPr>
        <w:tab/>
        <w:t>que publique los proyectos de informe a más tardar 30</w:t>
      </w:r>
      <w:r>
        <w:rPr>
          <w:lang w:val="es-ES_tradnl"/>
        </w:rPr>
        <w:t> </w:t>
      </w:r>
      <w:r w:rsidRPr="0014777C">
        <w:rPr>
          <w:lang w:val="es-ES_tradnl"/>
        </w:rPr>
        <w:t>días naturales antes de la sesión de apertura del</w:t>
      </w:r>
      <w:r>
        <w:rPr>
          <w:lang w:val="es-ES_tradnl"/>
        </w:rPr>
        <w:t> </w:t>
      </w:r>
      <w:r w:rsidRPr="0014777C">
        <w:rPr>
          <w:lang w:val="es-ES_tradnl"/>
        </w:rPr>
        <w:t>GANT, para que los miembros puedan examinarlos detenidamente.</w:t>
      </w:r>
    </w:p>
    <w:p w14:paraId="79156F43" w14:textId="77777777" w:rsidR="00931C70" w:rsidRDefault="00931C70" w:rsidP="00931C70">
      <w:pPr>
        <w:pStyle w:val="Reasons"/>
        <w:rPr>
          <w:lang w:val="es-ES_tradnl"/>
        </w:rPr>
      </w:pPr>
    </w:p>
    <w:p w14:paraId="2EBE5878" w14:textId="77777777" w:rsidR="00931C70" w:rsidRPr="00931C70" w:rsidRDefault="00931C70" w:rsidP="00931C70">
      <w:pPr>
        <w:rPr>
          <w:lang w:val="es-ES"/>
        </w:rPr>
      </w:pPr>
    </w:p>
    <w:p w14:paraId="272C6E02" w14:textId="77777777" w:rsidR="002A37D9" w:rsidRPr="00931C70" w:rsidRDefault="002A37D9" w:rsidP="002A37D9">
      <w:pPr>
        <w:pStyle w:val="Restitle"/>
        <w:rPr>
          <w:lang w:val="es-ES"/>
        </w:rPr>
      </w:pPr>
    </w:p>
    <w:p w14:paraId="5196721E" w14:textId="77777777" w:rsidR="00E03ABC" w:rsidRPr="00931C70" w:rsidRDefault="00E03ABC" w:rsidP="000E4393">
      <w:pPr>
        <w:rPr>
          <w:lang w:val="es-ES"/>
        </w:rPr>
      </w:pPr>
    </w:p>
    <w:sectPr w:rsidR="00E03ABC" w:rsidRPr="00931C70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F5A07" w14:textId="77777777" w:rsidR="00B2011C" w:rsidRDefault="00B2011C">
      <w:r>
        <w:separator/>
      </w:r>
    </w:p>
  </w:endnote>
  <w:endnote w:type="continuationSeparator" w:id="0">
    <w:p w14:paraId="4E488889" w14:textId="77777777" w:rsidR="00B2011C" w:rsidRDefault="00B2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5ACB" w14:textId="77777777" w:rsidR="00044100" w:rsidRDefault="00044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E6897" w14:textId="77777777" w:rsidR="00044100" w:rsidRDefault="00044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C31B" w14:textId="77777777" w:rsidR="00044100" w:rsidRDefault="000441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4F583004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044100" w:rsidRPr="00044100">
      <w:rPr>
        <w:lang w:val="en-US"/>
      </w:rPr>
      <w:t xml:space="preserve">AMNT-24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81E8E">
      <w:rPr>
        <w:noProof/>
        <w:lang w:val="en-US"/>
      </w:rPr>
      <w:t>22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3817012E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044100" w:rsidRPr="00044100">
      <w:rPr>
        <w:lang w:val="en-US"/>
      </w:rPr>
      <w:t xml:space="preserve">AMNT-24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81E8E">
      <w:rPr>
        <w:noProof/>
        <w:lang w:val="en-US"/>
      </w:rPr>
      <w:t>22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23C53200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</w:t>
    </w:r>
    <w:r w:rsidR="00347EE0">
      <w:rPr>
        <w:lang w:val="en-US"/>
      </w:rPr>
      <w:t>Resolución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81E8E">
      <w:rPr>
        <w:noProof/>
        <w:lang w:val="en-US"/>
      </w:rPr>
      <w:t>22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AF60" w14:textId="77777777" w:rsidR="00B2011C" w:rsidRDefault="00B2011C">
      <w:r>
        <w:t>____________________</w:t>
      </w:r>
    </w:p>
  </w:footnote>
  <w:footnote w:type="continuationSeparator" w:id="0">
    <w:p w14:paraId="18145D86" w14:textId="77777777" w:rsidR="00B2011C" w:rsidRDefault="00B2011C">
      <w:r>
        <w:continuationSeparator/>
      </w:r>
    </w:p>
  </w:footnote>
  <w:footnote w:id="1">
    <w:p w14:paraId="465A52D4" w14:textId="77777777" w:rsidR="00931C70" w:rsidRPr="006B49AF" w:rsidRDefault="00931C70" w:rsidP="00931C70">
      <w:pPr>
        <w:pStyle w:val="FootnoteText"/>
        <w:rPr>
          <w:lang w:val="es-ES"/>
        </w:rPr>
      </w:pPr>
      <w:r w:rsidRPr="006B49AF">
        <w:rPr>
          <w:rStyle w:val="FootnoteReference"/>
          <w:lang w:val="es-ES"/>
        </w:rPr>
        <w:t>1</w:t>
      </w:r>
      <w:r w:rsidRPr="006B49AF">
        <w:rPr>
          <w:lang w:val="es-ES"/>
        </w:rPr>
        <w:t xml:space="preserve"> </w:t>
      </w:r>
      <w:r w:rsidRPr="006B49AF">
        <w:rPr>
          <w:lang w:val="es-ES"/>
        </w:rPr>
        <w:tab/>
      </w:r>
      <w:r w:rsidRPr="008B08E5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AF2C" w14:textId="77777777" w:rsidR="00044100" w:rsidRDefault="000441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44100"/>
    <w:rsid w:val="00051442"/>
    <w:rsid w:val="000A381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B4A76"/>
    <w:rsid w:val="001C0BB8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56336"/>
    <w:rsid w:val="002742C3"/>
    <w:rsid w:val="00277E8E"/>
    <w:rsid w:val="002A37D9"/>
    <w:rsid w:val="002C182C"/>
    <w:rsid w:val="002D5607"/>
    <w:rsid w:val="002E1B7B"/>
    <w:rsid w:val="002E6A20"/>
    <w:rsid w:val="002F389D"/>
    <w:rsid w:val="00331B2F"/>
    <w:rsid w:val="003374BB"/>
    <w:rsid w:val="00347EE0"/>
    <w:rsid w:val="0035222D"/>
    <w:rsid w:val="0038237B"/>
    <w:rsid w:val="003C3FD9"/>
    <w:rsid w:val="003C75AB"/>
    <w:rsid w:val="003D116F"/>
    <w:rsid w:val="003D7A8C"/>
    <w:rsid w:val="003F293E"/>
    <w:rsid w:val="00401308"/>
    <w:rsid w:val="00423BC5"/>
    <w:rsid w:val="00427A7E"/>
    <w:rsid w:val="004568D2"/>
    <w:rsid w:val="004612A7"/>
    <w:rsid w:val="00462F6A"/>
    <w:rsid w:val="00467305"/>
    <w:rsid w:val="0048772A"/>
    <w:rsid w:val="004A1F7E"/>
    <w:rsid w:val="004A58A4"/>
    <w:rsid w:val="004B7CB1"/>
    <w:rsid w:val="004F2E56"/>
    <w:rsid w:val="00501F47"/>
    <w:rsid w:val="00504D1F"/>
    <w:rsid w:val="00514AB2"/>
    <w:rsid w:val="00524FB2"/>
    <w:rsid w:val="0053765D"/>
    <w:rsid w:val="00551B43"/>
    <w:rsid w:val="005569CA"/>
    <w:rsid w:val="00562EF2"/>
    <w:rsid w:val="00574CFF"/>
    <w:rsid w:val="005A48CF"/>
    <w:rsid w:val="005C1951"/>
    <w:rsid w:val="005D1D45"/>
    <w:rsid w:val="00601999"/>
    <w:rsid w:val="00611CD0"/>
    <w:rsid w:val="00625E66"/>
    <w:rsid w:val="00631549"/>
    <w:rsid w:val="006425B4"/>
    <w:rsid w:val="00653C1B"/>
    <w:rsid w:val="00661781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3EB8"/>
    <w:rsid w:val="007958DD"/>
    <w:rsid w:val="007E0240"/>
    <w:rsid w:val="007F32A3"/>
    <w:rsid w:val="008075CD"/>
    <w:rsid w:val="00837339"/>
    <w:rsid w:val="00845E8E"/>
    <w:rsid w:val="00851E30"/>
    <w:rsid w:val="0088751E"/>
    <w:rsid w:val="008968B6"/>
    <w:rsid w:val="00896A35"/>
    <w:rsid w:val="008B4CF6"/>
    <w:rsid w:val="008B7E09"/>
    <w:rsid w:val="008C7FC3"/>
    <w:rsid w:val="008D6D8D"/>
    <w:rsid w:val="00901958"/>
    <w:rsid w:val="009055E3"/>
    <w:rsid w:val="00905B41"/>
    <w:rsid w:val="00916468"/>
    <w:rsid w:val="0092650E"/>
    <w:rsid w:val="00931C08"/>
    <w:rsid w:val="00931C70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E1DCF"/>
    <w:rsid w:val="009F7009"/>
    <w:rsid w:val="00A01A91"/>
    <w:rsid w:val="00A07A58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011C"/>
    <w:rsid w:val="00B23929"/>
    <w:rsid w:val="00B241C9"/>
    <w:rsid w:val="00B25303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C13B0"/>
    <w:rsid w:val="00BE58E6"/>
    <w:rsid w:val="00BF610E"/>
    <w:rsid w:val="00C12E70"/>
    <w:rsid w:val="00C177EE"/>
    <w:rsid w:val="00C32F69"/>
    <w:rsid w:val="00C42785"/>
    <w:rsid w:val="00C64078"/>
    <w:rsid w:val="00C706FC"/>
    <w:rsid w:val="00C72AF4"/>
    <w:rsid w:val="00CD10C2"/>
    <w:rsid w:val="00CD3865"/>
    <w:rsid w:val="00CE767E"/>
    <w:rsid w:val="00CF024D"/>
    <w:rsid w:val="00D20887"/>
    <w:rsid w:val="00D26ECC"/>
    <w:rsid w:val="00D27855"/>
    <w:rsid w:val="00D4292A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350D"/>
    <w:rsid w:val="00DB5592"/>
    <w:rsid w:val="00DE48B4"/>
    <w:rsid w:val="00E03ABC"/>
    <w:rsid w:val="00E154E2"/>
    <w:rsid w:val="00E20918"/>
    <w:rsid w:val="00E300EC"/>
    <w:rsid w:val="00E51820"/>
    <w:rsid w:val="00E56BAB"/>
    <w:rsid w:val="00E67297"/>
    <w:rsid w:val="00E758D6"/>
    <w:rsid w:val="00E81E8E"/>
    <w:rsid w:val="00E82452"/>
    <w:rsid w:val="00E83C1C"/>
    <w:rsid w:val="00E96B11"/>
    <w:rsid w:val="00E96C27"/>
    <w:rsid w:val="00EA12A2"/>
    <w:rsid w:val="00EA2A26"/>
    <w:rsid w:val="00EB3556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7E96"/>
    <w:rsid w:val="00F97F05"/>
    <w:rsid w:val="00FA70B7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31C70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931C70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qFormat/>
    <w:rsid w:val="00931C70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sz w:val="24"/>
      <w:lang w:val="en-GB"/>
    </w:rPr>
  </w:style>
  <w:style w:type="paragraph" w:customStyle="1" w:styleId="Normalaftertitle00">
    <w:name w:val="Normal after title00"/>
    <w:basedOn w:val="Normal"/>
    <w:next w:val="Normal"/>
    <w:rsid w:val="00931C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MS Mincho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10</TotalTime>
  <Pages>7</Pages>
  <Words>2388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22 – Autorización para que el Grupo Asesor de Normalización de las Telecomunicaciones actúe en el periodo entre Asambleas Mundiales de Normalización de las Telecomunicaciones</vt:lpstr>
    </vt:vector>
  </TitlesOfParts>
  <Company>ITU</Company>
  <LinksUpToDate>false</LinksUpToDate>
  <CharactersWithSpaces>15289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22 – Autorización para que el Grupo Asesor de Normalización de las Telecomunicaciones actúe en el periodo entre Asambleas Mundiales de Normalización de las Telecomunicaciones</dc:title>
  <dc:subject>WORLD TELECOMMUNICATION STANDARDIZATION ASSEMBLY - Florianópolis, 5-14 October 2004</dc:subject>
  <dc:creator>ITU-T</dc:creator>
  <cp:keywords>WTSA-24 New Delhi, 15-24 October 2024</cp:keywords>
  <dc:description/>
  <cp:lastModifiedBy>Catalano Moreira, Rossana</cp:lastModifiedBy>
  <cp:revision>12</cp:revision>
  <cp:lastPrinted>2024-11-26T15:12:00Z</cp:lastPrinted>
  <dcterms:created xsi:type="dcterms:W3CDTF">2024-11-26T13:05:00Z</dcterms:created>
  <dcterms:modified xsi:type="dcterms:W3CDTF">2024-11-26T15:14:00Z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