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311BDF95" w:rsidR="003425B8" w:rsidRPr="00E224A1" w:rsidRDefault="003425B8" w:rsidP="00A47684">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C53046">
        <w:t>2</w:t>
      </w:r>
      <w:r w:rsidR="00A47684">
        <w:t>2</w:t>
      </w:r>
      <w:r w:rsidRPr="00E224A1">
        <w:rPr>
          <w:rFonts w:hint="cs"/>
          <w:rtl/>
        </w:rPr>
        <w:t xml:space="preserve"> </w:t>
      </w:r>
      <w:r w:rsidRPr="00E224A1">
        <w:rPr>
          <w:lang w:val="en-GB"/>
        </w:rPr>
        <w:t>–</w:t>
      </w:r>
      <w:r w:rsidRPr="00E224A1">
        <w:rPr>
          <w:rFonts w:hint="cs"/>
          <w:rtl/>
        </w:rPr>
        <w:t xml:space="preserve"> </w:t>
      </w:r>
      <w:bookmarkStart w:id="4" w:name="_Toc111642719"/>
      <w:bookmarkStart w:id="5" w:name="_Toc111646787"/>
      <w:r w:rsidR="00A47684" w:rsidRPr="00A47684">
        <w:rPr>
          <w:rtl/>
        </w:rPr>
        <w:t>تفويض الفريق الاستشاري لتقييس الاتصالات</w:t>
      </w:r>
      <w:r w:rsidR="00A47684">
        <w:t xml:space="preserve"> </w:t>
      </w:r>
      <w:r w:rsidR="00A47684" w:rsidRPr="00A47684">
        <w:rPr>
          <w:rtl/>
        </w:rPr>
        <w:t>بالتصرف بين دورات انعقاد الجمعية العالمية لتقييس الاتصالات</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64108DB"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C53046">
        <w:rPr>
          <w:rStyle w:val="href"/>
          <w:rFonts w:hint="cs"/>
          <w:rtl/>
        </w:rPr>
        <w:t>2</w:t>
      </w:r>
      <w:r w:rsidR="00A47684">
        <w:rPr>
          <w:rStyle w:val="href"/>
        </w:rPr>
        <w:t>2</w:t>
      </w:r>
      <w:r w:rsidRPr="002B66D2">
        <w:rPr>
          <w:rFonts w:hint="cs"/>
          <w:rtl/>
        </w:rPr>
        <w:t xml:space="preserve"> (المراجَع في نيودلهي، 2024)</w:t>
      </w:r>
      <w:bookmarkEnd w:id="6"/>
      <w:bookmarkEnd w:id="7"/>
    </w:p>
    <w:p w14:paraId="4C2463DA" w14:textId="282916C5" w:rsidR="00AF6585" w:rsidRDefault="00A47684" w:rsidP="00A47684">
      <w:pPr>
        <w:pStyle w:val="Restitle"/>
        <w:rPr>
          <w:rtl/>
          <w:lang w:bidi="ar-EG"/>
        </w:rPr>
      </w:pPr>
      <w:r w:rsidRPr="00A47684">
        <w:rPr>
          <w:rtl/>
        </w:rPr>
        <w:t>تفويض الفريق الاستشاري لتقييس الاتصالات</w:t>
      </w:r>
      <w:r w:rsidRPr="00A47684">
        <w:rPr>
          <w:rtl/>
        </w:rPr>
        <w:br/>
        <w:t>بالتصرف بين دورات انعقاد الجمعية العالمية لتقييس الاتصالات</w:t>
      </w:r>
    </w:p>
    <w:p w14:paraId="2DA9C7F2" w14:textId="77777777" w:rsidR="00A47684" w:rsidRPr="00945FF6" w:rsidRDefault="00A47684" w:rsidP="00A47684">
      <w:pPr>
        <w:pStyle w:val="Resref"/>
        <w:rPr>
          <w:rtl/>
        </w:rPr>
      </w:pPr>
      <w:r w:rsidRPr="00945FF6">
        <w:rPr>
          <w:rtl/>
        </w:rPr>
        <w:t xml:space="preserve">(جنيف، </w:t>
      </w:r>
      <w:r w:rsidRPr="00945FF6">
        <w:t>1996</w:t>
      </w:r>
      <w:r w:rsidRPr="00945FF6">
        <w:rPr>
          <w:rtl/>
        </w:rPr>
        <w:t xml:space="preserve">؛ مونتريال، </w:t>
      </w:r>
      <w:r w:rsidRPr="00945FF6">
        <w:t>2000</w:t>
      </w:r>
      <w:r w:rsidRPr="00945FF6">
        <w:rPr>
          <w:rtl/>
        </w:rPr>
        <w:t xml:space="preserve">؛ فلوريانوبوليس، </w:t>
      </w:r>
      <w:r w:rsidRPr="00945FF6">
        <w:t>2004</w:t>
      </w:r>
      <w:r w:rsidRPr="00945FF6">
        <w:rPr>
          <w:rtl/>
        </w:rPr>
        <w:t>؛ جوهانسبرغ، </w:t>
      </w:r>
      <w:r w:rsidRPr="00945FF6">
        <w:t>2008</w:t>
      </w:r>
      <w:r w:rsidRPr="00945FF6">
        <w:rPr>
          <w:rtl/>
        </w:rPr>
        <w:t>؛ دبي، </w:t>
      </w:r>
      <w:r w:rsidRPr="00945FF6">
        <w:t>2012</w:t>
      </w:r>
      <w:r w:rsidRPr="00945FF6">
        <w:rPr>
          <w:rtl/>
        </w:rPr>
        <w:t xml:space="preserve">؛ </w:t>
      </w:r>
      <w:r w:rsidRPr="00945FF6">
        <w:rPr>
          <w:rtl/>
        </w:rPr>
        <w:br/>
      </w:r>
      <w:r w:rsidRPr="00945FF6">
        <w:rPr>
          <w:rtl/>
          <w:lang w:bidi="ar-EG"/>
        </w:rPr>
        <w:t>الحمامات</w:t>
      </w:r>
      <w:r w:rsidRPr="00945FF6">
        <w:rPr>
          <w:rtl/>
        </w:rPr>
        <w:t xml:space="preserve">، </w:t>
      </w:r>
      <w:r w:rsidRPr="00945FF6">
        <w:t>2016</w:t>
      </w:r>
      <w:r w:rsidRPr="00945FF6">
        <w:rPr>
          <w:rtl/>
        </w:rPr>
        <w:t xml:space="preserve">؛ جنيف، </w:t>
      </w:r>
      <w:r w:rsidRPr="00945FF6">
        <w:t>2022</w:t>
      </w:r>
      <w:r w:rsidRPr="00945FF6">
        <w:rPr>
          <w:rtl/>
          <w:lang w:bidi="ar-EG"/>
        </w:rPr>
        <w:t xml:space="preserve">؛ </w:t>
      </w:r>
      <w:r w:rsidRPr="00945FF6">
        <w:rPr>
          <w:rtl/>
          <w:lang w:val="en-GB"/>
        </w:rPr>
        <w:t xml:space="preserve">نيودلهي، </w:t>
      </w:r>
      <w:r w:rsidRPr="00945FF6">
        <w:rPr>
          <w:lang w:val="en-GB"/>
        </w:rPr>
        <w:t>2024</w:t>
      </w:r>
      <w:r w:rsidRPr="00945FF6">
        <w:rPr>
          <w:rtl/>
          <w:lang w:bidi="ar-EG"/>
        </w:rPr>
        <w:t>)</w:t>
      </w:r>
    </w:p>
    <w:p w14:paraId="65685A71" w14:textId="77777777" w:rsidR="00A47684" w:rsidRPr="00945FF6" w:rsidRDefault="00A47684" w:rsidP="00A47684">
      <w:pPr>
        <w:pStyle w:val="Normalaftertitle"/>
        <w:rPr>
          <w:rtl/>
        </w:rPr>
      </w:pPr>
      <w:r w:rsidRPr="00945FF6">
        <w:rPr>
          <w:rtl/>
        </w:rPr>
        <w:t>إن الجمعية العالمية لتقييس الاتصالات (</w:t>
      </w:r>
      <w:r w:rsidRPr="00945FF6">
        <w:rPr>
          <w:rtl/>
          <w:lang w:val="en-GB"/>
        </w:rPr>
        <w:t xml:space="preserve">نيودلهي، </w:t>
      </w:r>
      <w:r w:rsidRPr="00945FF6">
        <w:rPr>
          <w:lang w:val="en-GB"/>
        </w:rPr>
        <w:t>2024</w:t>
      </w:r>
      <w:r w:rsidRPr="00945FF6">
        <w:rPr>
          <w:rtl/>
        </w:rPr>
        <w:t>)،</w:t>
      </w:r>
    </w:p>
    <w:p w14:paraId="6F627E7C" w14:textId="77777777" w:rsidR="00A47684" w:rsidRPr="00945FF6" w:rsidRDefault="00A47684" w:rsidP="00A47684">
      <w:pPr>
        <w:pStyle w:val="Call"/>
        <w:spacing w:before="160"/>
        <w:rPr>
          <w:rtl/>
        </w:rPr>
      </w:pPr>
      <w:r w:rsidRPr="00945FF6">
        <w:rPr>
          <w:rtl/>
        </w:rPr>
        <w:t>إذ تضع في اعتبارها</w:t>
      </w:r>
    </w:p>
    <w:p w14:paraId="309B484B" w14:textId="77777777" w:rsidR="00A47684" w:rsidRPr="00945FF6" w:rsidRDefault="00A47684" w:rsidP="00A47684">
      <w:pPr>
        <w:rPr>
          <w:rtl/>
        </w:rPr>
      </w:pPr>
      <w:r w:rsidRPr="00945FF6">
        <w:rPr>
          <w:i/>
          <w:iCs/>
          <w:rtl/>
          <w:lang w:bidi="ar-EG"/>
        </w:rPr>
        <w:t xml:space="preserve"> </w:t>
      </w:r>
      <w:r w:rsidRPr="00945FF6">
        <w:rPr>
          <w:i/>
          <w:iCs/>
          <w:rtl/>
        </w:rPr>
        <w:t>أ )</w:t>
      </w:r>
      <w:r w:rsidRPr="00945FF6">
        <w:rPr>
          <w:rtl/>
        </w:rPr>
        <w:tab/>
        <w:t xml:space="preserve">أن على الفريق الاستشاري لتقييس الاتصالات </w:t>
      </w:r>
      <w:r>
        <w:t>(TSAG)</w:t>
      </w:r>
      <w:r>
        <w:rPr>
          <w:rFonts w:hint="cs"/>
          <w:rtl/>
          <w:lang w:bidi="ar-EG"/>
        </w:rPr>
        <w:t xml:space="preserve"> </w:t>
      </w:r>
      <w:r w:rsidRPr="00945FF6">
        <w:rPr>
          <w:rtl/>
        </w:rPr>
        <w:t>طبقاً لأحكام المادة </w:t>
      </w:r>
      <w:r w:rsidRPr="00945FF6">
        <w:t>14A</w:t>
      </w:r>
      <w:r w:rsidRPr="00945FF6">
        <w:rPr>
          <w:rtl/>
        </w:rPr>
        <w:t xml:space="preserve"> من اتفاقية</w:t>
      </w:r>
      <w:r w:rsidRPr="00945FF6">
        <w:rPr>
          <w:rtl/>
          <w:lang w:bidi="ar-EG"/>
        </w:rPr>
        <w:t xml:space="preserve"> الاتحاد</w:t>
      </w:r>
      <w:r w:rsidRPr="00945FF6">
        <w:rPr>
          <w:rtl/>
        </w:rPr>
        <w:t xml:space="preserve"> أن يستعرض </w:t>
      </w:r>
      <w:r w:rsidRPr="00945FF6">
        <w:rPr>
          <w:rtl/>
          <w:lang w:val="en-GB" w:bidi="ar-EG"/>
        </w:rPr>
        <w:t>الأولويات والبرامج والعمليات والمسائل المالية والاستراتيجيات</w:t>
      </w:r>
      <w:r>
        <w:rPr>
          <w:rFonts w:hint="cs"/>
          <w:rtl/>
          <w:lang w:val="en-GB" w:bidi="ar-EG"/>
        </w:rPr>
        <w:t xml:space="preserve"> المتعلقة بالأنشطة المضطلع بها في قطاع تقييس الاتصالات بالاتحاد</w:t>
      </w:r>
      <w:r>
        <w:rPr>
          <w:rFonts w:hint="eastAsia"/>
          <w:rtl/>
          <w:lang w:val="en-GB" w:bidi="ar-EG"/>
        </w:rPr>
        <w:t> </w:t>
      </w:r>
      <w:r>
        <w:rPr>
          <w:lang w:bidi="ar-EG"/>
        </w:rPr>
        <w:t>(ITU</w:t>
      </w:r>
      <w:r>
        <w:rPr>
          <w:lang w:bidi="ar-EG"/>
        </w:rPr>
        <w:noBreakHyphen/>
        <w:t>T)</w:t>
      </w:r>
      <w:r w:rsidRPr="00945FF6">
        <w:rPr>
          <w:rtl/>
          <w:lang w:val="en-GB" w:bidi="ar-EG"/>
        </w:rPr>
        <w:t xml:space="preserve"> و</w:t>
      </w:r>
      <w:r w:rsidRPr="00945FF6">
        <w:rPr>
          <w:rtl/>
        </w:rPr>
        <w:t xml:space="preserve">يضع المبادئ التوجيهية اللازمة لأعمال لجان دراسات </w:t>
      </w:r>
      <w:r>
        <w:rPr>
          <w:rFonts w:hint="cs"/>
          <w:rtl/>
        </w:rPr>
        <w:t xml:space="preserve">قطاع تقييس الاتصالات </w:t>
      </w:r>
      <w:r w:rsidRPr="00945FF6">
        <w:rPr>
          <w:rtl/>
        </w:rPr>
        <w:t>ويوصي بالتدابير اللازمة لتعزيز التنسيق والتعاون مع هيئات التقييس الأُخرى؛</w:t>
      </w:r>
    </w:p>
    <w:p w14:paraId="503138CA" w14:textId="77777777" w:rsidR="00A47684" w:rsidRPr="00945FF6" w:rsidRDefault="00A47684" w:rsidP="00A47684">
      <w:pPr>
        <w:rPr>
          <w:rtl/>
        </w:rPr>
      </w:pPr>
      <w:r w:rsidRPr="00945FF6">
        <w:rPr>
          <w:i/>
          <w:iCs/>
          <w:rtl/>
        </w:rPr>
        <w:t>ب)</w:t>
      </w:r>
      <w:r w:rsidRPr="00945FF6">
        <w:rPr>
          <w:rtl/>
        </w:rPr>
        <w:tab/>
        <w:t xml:space="preserve">أن القرار </w:t>
      </w:r>
      <w:r w:rsidRPr="00945FF6">
        <w:t>122</w:t>
      </w:r>
      <w:r w:rsidRPr="00945FF6">
        <w:rPr>
          <w:rtl/>
        </w:rPr>
        <w:t xml:space="preserve"> (المراجَع في غوادالاخارا، </w:t>
      </w:r>
      <w:r w:rsidRPr="00945FF6">
        <w:t>2010</w:t>
      </w:r>
      <w:r w:rsidRPr="00945FF6">
        <w:rPr>
          <w:rtl/>
        </w:rPr>
        <w:t xml:space="preserve">) </w:t>
      </w:r>
      <w:r>
        <w:rPr>
          <w:rFonts w:hint="cs"/>
          <w:rtl/>
        </w:rPr>
        <w:t xml:space="preserve">لمؤتمر المندوبين المفوضين </w:t>
      </w:r>
      <w:r w:rsidRPr="00945FF6">
        <w:rPr>
          <w:rtl/>
        </w:rPr>
        <w:t xml:space="preserve">ينص على أن تقوم الجمعية العالمية لتقييس الاتصالات </w:t>
      </w:r>
      <w:r w:rsidRPr="00945FF6">
        <w:t>(WTSA)</w:t>
      </w:r>
      <w:r w:rsidRPr="00945FF6">
        <w:rPr>
          <w:rtl/>
          <w:lang w:bidi="ar-EG"/>
        </w:rPr>
        <w:t>، وفقاً لمسؤولياتها وشريطة توافر الموارد المالية،</w:t>
      </w:r>
      <w:r w:rsidRPr="00945FF6">
        <w:rPr>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 الحصر، تعزيز الفريق الاستشاري لتقييس الاتصالات؛</w:t>
      </w:r>
    </w:p>
    <w:p w14:paraId="0B5C8B88" w14:textId="77777777" w:rsidR="00A47684" w:rsidRPr="00945FF6" w:rsidRDefault="00A47684" w:rsidP="00A47684">
      <w:pPr>
        <w:rPr>
          <w:spacing w:val="-2"/>
          <w:rtl/>
        </w:rPr>
      </w:pPr>
      <w:r w:rsidRPr="00945FF6">
        <w:rPr>
          <w:i/>
          <w:iCs/>
          <w:spacing w:val="-2"/>
          <w:rtl/>
        </w:rPr>
        <w:t>ج)</w:t>
      </w:r>
      <w:r w:rsidRPr="00945FF6">
        <w:rPr>
          <w:spacing w:val="-2"/>
          <w:rtl/>
        </w:rPr>
        <w:tab/>
        <w:t xml:space="preserve">أن القرار </w:t>
      </w:r>
      <w:r w:rsidRPr="00945FF6">
        <w:rPr>
          <w:spacing w:val="-2"/>
        </w:rPr>
        <w:t>122</w:t>
      </w:r>
      <w:r w:rsidRPr="00945FF6">
        <w:rPr>
          <w:spacing w:val="-2"/>
          <w:rtl/>
        </w:rPr>
        <w:t xml:space="preserve"> (المراجَع في غوادالاخارا، </w:t>
      </w:r>
      <w:r w:rsidRPr="00945FF6">
        <w:rPr>
          <w:spacing w:val="-2"/>
        </w:rPr>
        <w:t>2010</w:t>
      </w:r>
      <w:r w:rsidRPr="00945FF6">
        <w:rPr>
          <w:spacing w:val="-2"/>
          <w:rtl/>
        </w:rPr>
        <w:t>) يكلف مدير مكتب تقييس الاتصالات</w:t>
      </w:r>
      <w:r w:rsidRPr="00945FF6">
        <w:rPr>
          <w:spacing w:val="-2"/>
          <w:rtl/>
          <w:lang w:bidi="ar-EG"/>
        </w:rPr>
        <w:t> </w:t>
      </w:r>
      <w:r w:rsidRPr="00945FF6">
        <w:rPr>
          <w:spacing w:val="-2"/>
          <w:lang w:bidi="ar-EG"/>
        </w:rPr>
        <w:t>(TSB)</w:t>
      </w:r>
      <w:r w:rsidRPr="00945FF6">
        <w:rPr>
          <w:spacing w:val="-2"/>
          <w:rtl/>
        </w:rPr>
        <w:t xml:space="preserve"> بمواصلة تنظيم الندوة العالمية للمعايير </w:t>
      </w:r>
      <w:r w:rsidRPr="00945FF6">
        <w:rPr>
          <w:spacing w:val="-2"/>
        </w:rPr>
        <w:t>(GSS)</w:t>
      </w:r>
      <w:r w:rsidRPr="00945FF6">
        <w:rPr>
          <w:spacing w:val="-2"/>
          <w:rtl/>
        </w:rPr>
        <w:t>، وذلك بالتشاور مع الهيئات ذات الصلة، ومع أعضاء الاتحاد، وبالتنسيق مع قطاع الاتصالات الراديوية </w:t>
      </w:r>
      <w:r>
        <w:rPr>
          <w:rFonts w:hint="cs"/>
          <w:spacing w:val="-2"/>
          <w:rtl/>
        </w:rPr>
        <w:t xml:space="preserve">بالاتحاد </w:t>
      </w:r>
      <w:r w:rsidRPr="00945FF6">
        <w:rPr>
          <w:spacing w:val="-2"/>
        </w:rPr>
        <w:t>(ITU-R)</w:t>
      </w:r>
      <w:r w:rsidRPr="00945FF6">
        <w:rPr>
          <w:spacing w:val="-2"/>
          <w:rtl/>
        </w:rPr>
        <w:t xml:space="preserve"> وقطاع تنمية الاتصالات </w:t>
      </w:r>
      <w:r>
        <w:rPr>
          <w:rFonts w:hint="cs"/>
          <w:spacing w:val="-2"/>
          <w:rtl/>
        </w:rPr>
        <w:t xml:space="preserve">بالاتحاد </w:t>
      </w:r>
      <w:r w:rsidRPr="00945FF6">
        <w:rPr>
          <w:spacing w:val="-2"/>
        </w:rPr>
        <w:t>(ITU-D)</w:t>
      </w:r>
      <w:r w:rsidRPr="00945FF6">
        <w:rPr>
          <w:spacing w:val="-2"/>
          <w:rtl/>
        </w:rPr>
        <w:t>، حسب الاقتضاء؛</w:t>
      </w:r>
    </w:p>
    <w:p w14:paraId="78619454" w14:textId="77777777" w:rsidR="00A47684" w:rsidRPr="00945FF6" w:rsidRDefault="00A47684" w:rsidP="00A47684">
      <w:pPr>
        <w:rPr>
          <w:rtl/>
          <w:lang w:bidi="ar-EG"/>
        </w:rPr>
      </w:pPr>
      <w:r w:rsidRPr="00945FF6">
        <w:rPr>
          <w:i/>
          <w:iCs/>
          <w:rtl/>
        </w:rPr>
        <w:t>د )</w:t>
      </w:r>
      <w:r w:rsidRPr="00945FF6">
        <w:rPr>
          <w:rtl/>
        </w:rPr>
        <w:tab/>
        <w:t xml:space="preserve">أن الندوة العالمية للمعايير </w:t>
      </w:r>
      <w:r w:rsidRPr="00945FF6">
        <w:rPr>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r>
        <w:rPr>
          <w:rFonts w:hint="cs"/>
          <w:rtl/>
          <w:lang w:bidi="ar-EG"/>
        </w:rPr>
        <w:t> </w:t>
      </w:r>
      <w:r>
        <w:rPr>
          <w:lang w:bidi="ar-EG"/>
        </w:rPr>
        <w:t>(ICT)</w:t>
      </w:r>
      <w:r w:rsidRPr="00945FF6">
        <w:rPr>
          <w:rtl/>
          <w:lang w:bidi="ar-EG"/>
        </w:rPr>
        <w:t>؛</w:t>
      </w:r>
    </w:p>
    <w:p w14:paraId="528455FF" w14:textId="77777777" w:rsidR="00A47684" w:rsidRPr="00945FF6" w:rsidRDefault="00A47684" w:rsidP="00A47684">
      <w:pPr>
        <w:rPr>
          <w:rtl/>
        </w:rPr>
      </w:pPr>
      <w:r w:rsidRPr="00945FF6">
        <w:rPr>
          <w:i/>
          <w:iCs/>
          <w:rtl/>
          <w:lang w:bidi="ar-EG"/>
        </w:rPr>
        <w:t>هـ )</w:t>
      </w:r>
      <w:r w:rsidRPr="00945FF6">
        <w:rPr>
          <w:rtl/>
          <w:lang w:bidi="ar-EG"/>
        </w:rPr>
        <w:tab/>
      </w:r>
      <w:r w:rsidRPr="00945FF6">
        <w:rPr>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14:paraId="39E3FEAA" w14:textId="77777777" w:rsidR="00A47684" w:rsidRPr="00945FF6" w:rsidRDefault="00A47684" w:rsidP="00A47684">
      <w:pPr>
        <w:rPr>
          <w:rtl/>
        </w:rPr>
      </w:pPr>
      <w:r w:rsidRPr="00945FF6">
        <w:rPr>
          <w:i/>
          <w:iCs/>
          <w:rtl/>
        </w:rPr>
        <w:t>و )</w:t>
      </w:r>
      <w:r w:rsidRPr="00945FF6">
        <w:rPr>
          <w:rtl/>
        </w:rPr>
        <w:tab/>
        <w:t>أن الفريق الاستشاري لتقييس الاتصالات يساعد في تحسين عملية إجراء الدراسات وتحسين عمليات اتخاذ القرارات في المجالات المهمة من أنشطة قطاع تقييس الاتصالات؛</w:t>
      </w:r>
    </w:p>
    <w:p w14:paraId="7AAD903A" w14:textId="77777777" w:rsidR="00A47684" w:rsidRPr="00945FF6" w:rsidRDefault="00A47684" w:rsidP="00A47684">
      <w:pPr>
        <w:rPr>
          <w:rtl/>
        </w:rPr>
      </w:pPr>
      <w:r w:rsidRPr="00945FF6">
        <w:rPr>
          <w:i/>
          <w:iCs/>
          <w:rtl/>
        </w:rPr>
        <w:t>ز )</w:t>
      </w:r>
      <w:r w:rsidRPr="00945FF6">
        <w:rPr>
          <w:rtl/>
        </w:rPr>
        <w:tab/>
        <w:t>أن من المطلوب وضع إجراءات إدارية مرنة، بما في ذلك ما يتصل منها بالاعتبارات التي تقوم عليها الميزانية، من أجل التأقلم مع التغيرات السريعة في بيئة الاتصالات/تكنولوجيا المعلومات والاتصالات؛</w:t>
      </w:r>
    </w:p>
    <w:p w14:paraId="6F83046B" w14:textId="77777777" w:rsidR="00A47684" w:rsidRDefault="00A47684" w:rsidP="00A47684">
      <w:pPr>
        <w:rPr>
          <w:rtl/>
        </w:rPr>
      </w:pPr>
      <w:r>
        <w:rPr>
          <w:rtl/>
        </w:rPr>
        <w:br w:type="page"/>
      </w:r>
    </w:p>
    <w:p w14:paraId="104D66BF" w14:textId="77777777" w:rsidR="00A47684" w:rsidRPr="00945FF6" w:rsidRDefault="00A47684" w:rsidP="00A47684">
      <w:pPr>
        <w:rPr>
          <w:rtl/>
        </w:rPr>
      </w:pPr>
      <w:r w:rsidRPr="00945FF6">
        <w:rPr>
          <w:i/>
          <w:iCs/>
          <w:rtl/>
        </w:rPr>
        <w:lastRenderedPageBreak/>
        <w:t>ح)</w:t>
      </w:r>
      <w:r w:rsidRPr="00945FF6">
        <w:rPr>
          <w:rtl/>
        </w:rPr>
        <w:tab/>
        <w:t>أن من المستصوب أن يبحث الفريق الاستشاري تأثير التكنولوجيات الجديدة والناشئة لأنشطة التقييس التي يقوم بها القطاع فيما يتعلق بالمسائل التقنية والتشغيلية وتلك المتعلقة بالتعريفات استناداً إلى المساهمات المقدمة من الأعضاء، والطريقة التي يمكن بها إدخال هذه التكنولوجيات في برنامج عمل القطاع؛</w:t>
      </w:r>
    </w:p>
    <w:p w14:paraId="046B7A31" w14:textId="77777777" w:rsidR="00A47684" w:rsidRPr="00945FF6" w:rsidRDefault="00A47684" w:rsidP="00A47684">
      <w:pPr>
        <w:rPr>
          <w:rtl/>
        </w:rPr>
      </w:pPr>
      <w:r w:rsidRPr="00945FF6">
        <w:rPr>
          <w:i/>
          <w:iCs/>
          <w:rtl/>
        </w:rPr>
        <w:t>ط)</w:t>
      </w:r>
      <w:r w:rsidRPr="00945FF6">
        <w:rPr>
          <w:rtl/>
        </w:rPr>
        <w:tab/>
        <w:t>أن الفريق الاستشاري يؤدي دوراً هاماً في كفالة التنسيق بين لجان دراسات</w:t>
      </w:r>
      <w:r w:rsidRPr="00957596">
        <w:rPr>
          <w:rFonts w:hint="cs"/>
          <w:rtl/>
        </w:rPr>
        <w:t xml:space="preserve"> </w:t>
      </w:r>
      <w:r>
        <w:rPr>
          <w:rFonts w:hint="cs"/>
          <w:rtl/>
        </w:rPr>
        <w:t>قطاع تقييس الاتصالات</w:t>
      </w:r>
      <w:r w:rsidRPr="00945FF6">
        <w:rPr>
          <w:rtl/>
        </w:rPr>
        <w:t>، حسب الاقتضاء، بشأن مسائل التقييس بما في ذلك ما يتطلبه الأمر من تجنب ازدواج العمل وتعيين الروابط بين بنود العمل المتصلة واعتماد بعضها على بعضها الآخر؛</w:t>
      </w:r>
    </w:p>
    <w:p w14:paraId="2A3B643F" w14:textId="77777777" w:rsidR="00A47684" w:rsidRPr="00945FF6" w:rsidRDefault="00A47684" w:rsidP="00A47684">
      <w:pPr>
        <w:rPr>
          <w:rtl/>
        </w:rPr>
      </w:pPr>
      <w:r w:rsidRPr="00945FF6">
        <w:rPr>
          <w:i/>
          <w:iCs/>
          <w:rtl/>
        </w:rPr>
        <w:t>ي)</w:t>
      </w:r>
      <w:r w:rsidRPr="00945FF6">
        <w:rPr>
          <w:rtl/>
        </w:rPr>
        <w:tab/>
        <w:t>أن الفريق الاستشاري يستطيع، عند تقديم المشورة إلى لجان دراسات</w:t>
      </w:r>
      <w:r w:rsidRPr="00957596">
        <w:rPr>
          <w:rFonts w:hint="cs"/>
          <w:rtl/>
        </w:rPr>
        <w:t xml:space="preserve"> </w:t>
      </w:r>
      <w:r>
        <w:rPr>
          <w:rFonts w:hint="cs"/>
          <w:rtl/>
        </w:rPr>
        <w:t>قطاع تقييس الاتصالات</w:t>
      </w:r>
      <w:r w:rsidRPr="00945FF6">
        <w:rPr>
          <w:rtl/>
        </w:rPr>
        <w:t>، أن يأخذ في الاعتبار مشورة لجان أُخرى؛</w:t>
      </w:r>
    </w:p>
    <w:p w14:paraId="43819270" w14:textId="77777777" w:rsidR="00A47684" w:rsidRPr="00945FF6" w:rsidRDefault="00A47684" w:rsidP="00A47684">
      <w:pPr>
        <w:rPr>
          <w:rtl/>
        </w:rPr>
      </w:pPr>
      <w:r w:rsidRPr="00945FF6">
        <w:rPr>
          <w:i/>
          <w:iCs/>
          <w:rtl/>
        </w:rPr>
        <w:t>ك)</w:t>
      </w:r>
      <w:r w:rsidRPr="00945FF6">
        <w:rPr>
          <w:rtl/>
        </w:rPr>
        <w:tab/>
        <w:t>أن ثمة حاجة للاستمرار في إدخال تحسينات بالتنسيق والتعاون مع الهيئات الأُخرى المعنية وداخل قطاع تقييس الاتصالات ومع قطاعي الاتصالات الراديوية وتنمية الاتصالات والأمانة العامة ومع منظمات ومنتديات واتحادات التقييس الأُخرى خارج الاتحاد والكيانات ذات الصلة؛</w:t>
      </w:r>
    </w:p>
    <w:p w14:paraId="5CDBAC73" w14:textId="77777777" w:rsidR="00A47684" w:rsidRPr="00945FF6" w:rsidRDefault="00A47684" w:rsidP="00A47684">
      <w:pPr>
        <w:rPr>
          <w:rtl/>
          <w:lang w:val="fr-CH" w:bidi="ar-SY"/>
        </w:rPr>
      </w:pPr>
      <w:r w:rsidRPr="00945FF6">
        <w:rPr>
          <w:i/>
          <w:iCs/>
          <w:rtl/>
        </w:rPr>
        <w:t>ل)</w:t>
      </w:r>
      <w:r w:rsidRPr="00945FF6">
        <w:rPr>
          <w:rtl/>
        </w:rPr>
        <w:tab/>
        <w:t>أن التنسيق الفعّال بين لجان الدراسات أمر حاسم في قدرة قطاع تقييس الاتصالات على مواجهة تحديات التقييس الناشئة وتلبية احتياجات أعضائه،</w:t>
      </w:r>
    </w:p>
    <w:p w14:paraId="7273A8D7" w14:textId="77777777" w:rsidR="00A47684" w:rsidRPr="00945FF6" w:rsidRDefault="00A47684" w:rsidP="00A47684">
      <w:pPr>
        <w:pStyle w:val="Call"/>
        <w:spacing w:before="160"/>
        <w:rPr>
          <w:rtl/>
        </w:rPr>
      </w:pPr>
      <w:r w:rsidRPr="00945FF6">
        <w:rPr>
          <w:rtl/>
        </w:rPr>
        <w:t>وإذ تلاحظ</w:t>
      </w:r>
    </w:p>
    <w:p w14:paraId="5A2143FA" w14:textId="77777777" w:rsidR="00A47684" w:rsidRPr="00945FF6" w:rsidRDefault="00A47684" w:rsidP="00A47684">
      <w:pPr>
        <w:rPr>
          <w:rtl/>
        </w:rPr>
      </w:pPr>
      <w:r w:rsidRPr="00945FF6">
        <w:rPr>
          <w:i/>
          <w:iCs/>
          <w:rtl/>
        </w:rPr>
        <w:t xml:space="preserve"> أ )</w:t>
      </w:r>
      <w:r w:rsidRPr="00945FF6">
        <w:rPr>
          <w:rtl/>
        </w:rPr>
        <w:tab/>
        <w:t>أن قطاع تقييس الاتصالات هو هيئة من هيئات التقييس العالمية البارزة ويتألف من الإدارات وموردي المعدات وهيئات التشغيل والتنظيم والجامعات ومعاهد البحوث؛</w:t>
      </w:r>
    </w:p>
    <w:p w14:paraId="4939C209" w14:textId="77777777" w:rsidR="00A47684" w:rsidRPr="00945FF6" w:rsidRDefault="00A47684" w:rsidP="00A47684">
      <w:pPr>
        <w:rPr>
          <w:rtl/>
        </w:rPr>
      </w:pPr>
      <w:r w:rsidRPr="00945FF6">
        <w:rPr>
          <w:i/>
          <w:iCs/>
          <w:rtl/>
        </w:rPr>
        <w:t>ب)</w:t>
      </w:r>
      <w:r w:rsidRPr="00945FF6">
        <w:rPr>
          <w:rtl/>
        </w:rPr>
        <w:tab/>
        <w:t xml:space="preserve">أن </w:t>
      </w:r>
      <w:r w:rsidRPr="00945FF6">
        <w:rPr>
          <w:rtl/>
          <w:lang w:val="en-GB" w:bidi="ar-EG"/>
        </w:rPr>
        <w:t xml:space="preserve">الرقم </w:t>
      </w:r>
      <w:r w:rsidRPr="00945FF6">
        <w:rPr>
          <w:lang w:val="en-GB" w:bidi="ar-EG"/>
        </w:rPr>
        <w:t>191</w:t>
      </w:r>
      <w:r>
        <w:rPr>
          <w:lang w:bidi="ar-EG"/>
        </w:rPr>
        <w:t>C</w:t>
      </w:r>
      <w:r w:rsidRPr="00945FF6">
        <w:rPr>
          <w:rtl/>
          <w:lang w:val="en-GB" w:bidi="ar-EG"/>
        </w:rPr>
        <w:t xml:space="preserve"> </w:t>
      </w:r>
      <w:r w:rsidRPr="00945FF6">
        <w:rPr>
          <w:rtl/>
        </w:rPr>
        <w:t xml:space="preserve">من اتفاقية الاتحاد </w:t>
      </w:r>
      <w:r w:rsidRPr="00945FF6">
        <w:rPr>
          <w:rtl/>
          <w:lang w:val="en-GB" w:bidi="ar-EG"/>
        </w:rPr>
        <w:t xml:space="preserve">يُجيز </w:t>
      </w:r>
      <w:r w:rsidRPr="00945FF6">
        <w:rPr>
          <w:rtl/>
        </w:rPr>
        <w:t xml:space="preserve">للجمعية العالمية لتقييس الاتصالات أن تكلف الفريق الاستشاري لتقييس الاتصالات بمسائل محددة في إطار اختصاصاته، مع توضيح التدابير المطلوبة بشأن هذه المسائل، </w:t>
      </w:r>
      <w:r>
        <w:rPr>
          <w:rFonts w:hint="cs"/>
          <w:rtl/>
        </w:rPr>
        <w:t>ملاحظةً</w:t>
      </w:r>
      <w:r w:rsidRPr="00945FF6">
        <w:rPr>
          <w:rtl/>
        </w:rPr>
        <w:t xml:space="preserve"> </w:t>
      </w:r>
      <w:r>
        <w:rPr>
          <w:rFonts w:hint="cs"/>
          <w:rtl/>
        </w:rPr>
        <w:t xml:space="preserve">أيضاً </w:t>
      </w:r>
      <w:r w:rsidRPr="00945FF6">
        <w:rPr>
          <w:rtl/>
        </w:rPr>
        <w:t>أهمية عمل الفريق الاستشاري لتقييس الاتصالات في الفترات الفاصلة بين الجمعيات العالمية لتقييس الاتصالات من أجل تلبية احتياجات السوق في الوقت المناسب؛</w:t>
      </w:r>
    </w:p>
    <w:p w14:paraId="47D5A28B" w14:textId="77777777" w:rsidR="00A47684" w:rsidRPr="00945FF6" w:rsidRDefault="00A47684" w:rsidP="00A47684">
      <w:pPr>
        <w:rPr>
          <w:rtl/>
        </w:rPr>
      </w:pPr>
      <w:r w:rsidRPr="00945FF6">
        <w:rPr>
          <w:i/>
          <w:iCs/>
          <w:rtl/>
        </w:rPr>
        <w:t>ج)</w:t>
      </w:r>
      <w:r w:rsidRPr="00945FF6">
        <w:rPr>
          <w:rtl/>
        </w:rPr>
        <w:tab/>
        <w:t>أن الفريق الاستشاري لتقييس الاتصالات يجتمع على أساس سنوي على الأقل؛</w:t>
      </w:r>
    </w:p>
    <w:p w14:paraId="69C98F14" w14:textId="77777777" w:rsidR="00A47684" w:rsidRPr="00945FF6" w:rsidRDefault="00A47684" w:rsidP="00A47684">
      <w:pPr>
        <w:rPr>
          <w:rtl/>
        </w:rPr>
      </w:pPr>
      <w:r w:rsidRPr="00945FF6">
        <w:rPr>
          <w:i/>
          <w:iCs/>
          <w:rtl/>
        </w:rPr>
        <w:t>د )</w:t>
      </w:r>
      <w:r w:rsidRPr="00945FF6">
        <w:rPr>
          <w:rtl/>
        </w:rPr>
        <w:tab/>
      </w:r>
      <w:r w:rsidRPr="00945FF6">
        <w:rPr>
          <w:i/>
          <w:rtl/>
        </w:rPr>
        <w:t xml:space="preserve">أن </w:t>
      </w:r>
      <w:r w:rsidRPr="00945FF6">
        <w:rPr>
          <w:rtl/>
        </w:rPr>
        <w:t>الفريق الاستشاري لتقييس الاتصالات قد أظهر بالفعل قدرته على التصرف بكفاءة في المسائل التي أسندتها إليه الجمعية العالمية لتقييس الاتصالات؛</w:t>
      </w:r>
    </w:p>
    <w:p w14:paraId="7482D146" w14:textId="77777777" w:rsidR="00A47684" w:rsidRPr="00FF626D" w:rsidRDefault="00A47684" w:rsidP="00A47684">
      <w:pPr>
        <w:rPr>
          <w:rtl/>
          <w:lang w:bidi="ar-EG"/>
        </w:rPr>
      </w:pPr>
      <w:r w:rsidRPr="00FF626D">
        <w:rPr>
          <w:i/>
          <w:iCs/>
          <w:rtl/>
          <w:lang w:bidi="ar-LB"/>
        </w:rPr>
        <w:t>هـ </w:t>
      </w:r>
      <w:r w:rsidRPr="00FF626D">
        <w:rPr>
          <w:i/>
          <w:iCs/>
          <w:rtl/>
        </w:rPr>
        <w:t>)</w:t>
      </w:r>
      <w:r w:rsidRPr="00FF626D">
        <w:rPr>
          <w:rtl/>
        </w:rPr>
        <w:tab/>
      </w:r>
      <w:r w:rsidRPr="00FF626D">
        <w:rPr>
          <w:rtl/>
          <w:lang w:bidi="ar-EG"/>
        </w:rPr>
        <w:t xml:space="preserve">أن القرار </w:t>
      </w:r>
      <w:r w:rsidRPr="00FF626D">
        <w:rPr>
          <w:lang w:bidi="ar-EG"/>
        </w:rPr>
        <w:t>68</w:t>
      </w:r>
      <w:r w:rsidRPr="00FF626D">
        <w:rPr>
          <w:rtl/>
          <w:lang w:bidi="ar-EG"/>
        </w:rPr>
        <w:t xml:space="preserve"> (المراجَع في </w:t>
      </w:r>
      <w:r w:rsidRPr="00FF626D">
        <w:rPr>
          <w:rFonts w:hint="cs"/>
          <w:rtl/>
          <w:lang w:bidi="ar-EG"/>
        </w:rPr>
        <w:t>نيودلهي، 2024</w:t>
      </w:r>
      <w:r w:rsidRPr="00FF626D">
        <w:rPr>
          <w:rtl/>
          <w:lang w:bidi="ar-SY"/>
        </w:rPr>
        <w:t>)</w:t>
      </w:r>
      <w:r w:rsidRPr="00FF626D">
        <w:rPr>
          <w:rtl/>
          <w:lang w:bidi="ar-EG"/>
        </w:rPr>
        <w:t xml:space="preserve"> للجمعية العالمية لتقييس الاتصالات يكلف مدير مكتب تقييس الاتصالات </w:t>
      </w:r>
      <w:r w:rsidRPr="00FF626D">
        <w:rPr>
          <w:lang w:bidi="ar-EG"/>
        </w:rPr>
        <w:t>(TSB)</w:t>
      </w:r>
      <w:r w:rsidRPr="00FF626D">
        <w:rPr>
          <w:rtl/>
          <w:lang w:bidi="ar-EG"/>
        </w:rPr>
        <w:t xml:space="preserve"> ب</w:t>
      </w:r>
      <w:r>
        <w:rPr>
          <w:rFonts w:hint="cs"/>
          <w:rtl/>
          <w:lang w:bidi="ar-EG"/>
        </w:rPr>
        <w:t xml:space="preserve">مواصلة </w:t>
      </w:r>
      <w:r w:rsidRPr="00FF626D">
        <w:rPr>
          <w:rtl/>
          <w:lang w:bidi="ar-EG"/>
        </w:rPr>
        <w:t xml:space="preserve">تنظيم اجتماعات لكبار المسؤولين التنفيذيين </w:t>
      </w:r>
      <w:r>
        <w:rPr>
          <w:rFonts w:hint="cs"/>
          <w:rtl/>
          <w:lang w:bidi="ar-EG"/>
        </w:rPr>
        <w:t>من دوائر</w:t>
      </w:r>
      <w:r w:rsidRPr="00FF626D">
        <w:rPr>
          <w:rtl/>
          <w:lang w:bidi="ar-EG"/>
        </w:rPr>
        <w:t xml:space="preserve"> الصناعة، مثل كبار مسؤولي التكنولوجيا </w:t>
      </w:r>
      <w:r>
        <w:rPr>
          <w:rFonts w:hint="cs"/>
          <w:rtl/>
          <w:lang w:bidi="ar-EG"/>
        </w:rPr>
        <w:t>أو الرؤساء</w:t>
      </w:r>
      <w:r w:rsidRPr="007F4B1F">
        <w:rPr>
          <w:rtl/>
        </w:rPr>
        <w:t xml:space="preserve"> </w:t>
      </w:r>
      <w:r>
        <w:rPr>
          <w:rFonts w:hint="cs"/>
          <w:rtl/>
        </w:rPr>
        <w:t>ا</w:t>
      </w:r>
      <w:r w:rsidRPr="007F4B1F">
        <w:rPr>
          <w:rtl/>
          <w:lang w:bidi="ar-EG"/>
        </w:rPr>
        <w:t>لتنفيذي</w:t>
      </w:r>
      <w:r>
        <w:rPr>
          <w:rFonts w:hint="cs"/>
          <w:rtl/>
          <w:lang w:bidi="ar-EG"/>
        </w:rPr>
        <w:t>ين</w:t>
      </w:r>
      <w:r w:rsidRPr="007F4B1F">
        <w:rPr>
          <w:rtl/>
          <w:lang w:bidi="ar-EG"/>
        </w:rPr>
        <w:t xml:space="preserve"> أو المسؤول</w:t>
      </w:r>
      <w:r>
        <w:rPr>
          <w:rFonts w:hint="cs"/>
          <w:rtl/>
          <w:lang w:bidi="ar-EG"/>
        </w:rPr>
        <w:t>ين</w:t>
      </w:r>
      <w:r w:rsidRPr="007F4B1F">
        <w:rPr>
          <w:rtl/>
          <w:lang w:bidi="ar-EG"/>
        </w:rPr>
        <w:t xml:space="preserve"> المالي</w:t>
      </w:r>
      <w:r>
        <w:rPr>
          <w:rFonts w:hint="cs"/>
          <w:rtl/>
          <w:lang w:bidi="ar-EG"/>
        </w:rPr>
        <w:t>ين</w:t>
      </w:r>
      <w:r w:rsidRPr="007F4B1F">
        <w:rPr>
          <w:rtl/>
          <w:lang w:bidi="ar-EG"/>
        </w:rPr>
        <w:t xml:space="preserve"> أو غيره</w:t>
      </w:r>
      <w:r>
        <w:rPr>
          <w:rFonts w:hint="cs"/>
          <w:rtl/>
          <w:lang w:bidi="ar-EG"/>
        </w:rPr>
        <w:t>م</w:t>
      </w:r>
      <w:r w:rsidRPr="007F4B1F">
        <w:rPr>
          <w:rtl/>
          <w:lang w:bidi="ar-EG"/>
        </w:rPr>
        <w:t xml:space="preserve"> من المسؤولين</w:t>
      </w:r>
      <w:r w:rsidRPr="00FF626D">
        <w:rPr>
          <w:rtl/>
          <w:lang w:bidi="ar-EG"/>
        </w:rPr>
        <w:t xml:space="preserve">، </w:t>
      </w:r>
      <w:r w:rsidRPr="00531712">
        <w:rPr>
          <w:rtl/>
          <w:lang w:bidi="ar-EG"/>
        </w:rPr>
        <w:t xml:space="preserve">‏وتوسيع نطاقها لتمثل وجهة نظر </w:t>
      </w:r>
      <w:r w:rsidRPr="00D7418C">
        <w:rPr>
          <w:rtl/>
          <w:lang w:bidi="ar-EG"/>
        </w:rPr>
        <w:t xml:space="preserve">أكثر تنوعاً </w:t>
      </w:r>
      <w:r>
        <w:rPr>
          <w:rFonts w:hint="cs"/>
          <w:rtl/>
          <w:lang w:bidi="ar-EG"/>
        </w:rPr>
        <w:t>ل</w:t>
      </w:r>
      <w:r w:rsidRPr="00531712">
        <w:rPr>
          <w:rtl/>
          <w:lang w:bidi="ar-EG"/>
        </w:rPr>
        <w:t xml:space="preserve">أصحاب المصلحة من وجهة نظر الاجتماعات الحالية، </w:t>
      </w:r>
      <w:r w:rsidRPr="00531712">
        <w:rPr>
          <w:cs/>
          <w:lang w:bidi="ar-EG"/>
        </w:rPr>
        <w:t>‎</w:t>
      </w:r>
      <w:r>
        <w:rPr>
          <w:rFonts w:hint="cs"/>
          <w:rtl/>
          <w:lang w:bidi="ar-EG"/>
        </w:rPr>
        <w:t>من أجل ا</w:t>
      </w:r>
      <w:r w:rsidRPr="00FF626D">
        <w:rPr>
          <w:rtl/>
          <w:lang w:bidi="ar-EG"/>
        </w:rPr>
        <w:t xml:space="preserve">لمساعدة </w:t>
      </w:r>
      <w:r>
        <w:rPr>
          <w:rFonts w:hint="cs"/>
          <w:rtl/>
          <w:lang w:bidi="ar-EG"/>
        </w:rPr>
        <w:t>في</w:t>
      </w:r>
      <w:r w:rsidRPr="00FF626D">
        <w:rPr>
          <w:rtl/>
          <w:lang w:bidi="ar-EG"/>
        </w:rPr>
        <w:t xml:space="preserve"> تحديد وتنسيق الأولويات والمواضيع في مجال التقييس والحد من عدد المنتديات والاتحادات؛</w:t>
      </w:r>
    </w:p>
    <w:p w14:paraId="59A3508E" w14:textId="77777777" w:rsidR="00A47684" w:rsidRPr="00945FF6" w:rsidRDefault="00A47684" w:rsidP="00A47684">
      <w:pPr>
        <w:rPr>
          <w:rtl/>
          <w:lang w:bidi="ar-EG"/>
        </w:rPr>
      </w:pPr>
      <w:r w:rsidRPr="00945FF6">
        <w:rPr>
          <w:i/>
          <w:iCs/>
          <w:rtl/>
          <w:lang w:bidi="ar-EG"/>
        </w:rPr>
        <w:t>و )</w:t>
      </w:r>
      <w:r w:rsidRPr="00945FF6">
        <w:rPr>
          <w:i/>
          <w:iCs/>
          <w:rtl/>
          <w:lang w:bidi="ar-EG"/>
        </w:rPr>
        <w:tab/>
      </w:r>
      <w:r w:rsidRPr="00945FF6">
        <w:rPr>
          <w:rtl/>
        </w:rPr>
        <w:t xml:space="preserve">أن التنسيق الفعّال يمكن أن يتحقق عن طريق أنشطة التنسيق المشتركة </w:t>
      </w:r>
      <w:r w:rsidRPr="00945FF6">
        <w:rPr>
          <w:lang w:bidi="ar-EG"/>
        </w:rPr>
        <w:t>(JCA)</w:t>
      </w:r>
      <w:r w:rsidRPr="00945FF6">
        <w:rPr>
          <w:rtl/>
        </w:rPr>
        <w:t xml:space="preserve"> واجتماعات أفرقة المقرِّرين المشتركة وبيانات الاتصال بين لجان الدراسات واجتماعات رؤساء لجان الدراسات التي ينظمها مدير مكتب تقييس الاتصالات لمواجهة تحديات التقييس الناشئة وتلبية احتياجات أعضاء قطاع تقييس الاتصالات،</w:t>
      </w:r>
    </w:p>
    <w:p w14:paraId="6956479A" w14:textId="77777777" w:rsidR="00A47684" w:rsidRPr="00945FF6" w:rsidRDefault="00A47684" w:rsidP="00A47684">
      <w:pPr>
        <w:pStyle w:val="Call"/>
        <w:spacing w:before="160"/>
        <w:rPr>
          <w:rtl/>
        </w:rPr>
      </w:pPr>
      <w:r w:rsidRPr="00945FF6">
        <w:rPr>
          <w:rtl/>
        </w:rPr>
        <w:t>وإذ تدرك</w:t>
      </w:r>
    </w:p>
    <w:p w14:paraId="2E05CDFE" w14:textId="77777777" w:rsidR="00A47684" w:rsidRPr="00945FF6" w:rsidRDefault="00A47684" w:rsidP="00A47684">
      <w:pPr>
        <w:rPr>
          <w:rtl/>
        </w:rPr>
      </w:pPr>
      <w:r w:rsidRPr="00945FF6">
        <w:rPr>
          <w:i/>
          <w:iCs/>
          <w:rtl/>
        </w:rPr>
        <w:t xml:space="preserve"> أ )</w:t>
      </w:r>
      <w:r w:rsidRPr="00945FF6">
        <w:rPr>
          <w:rtl/>
        </w:rPr>
        <w:tab/>
        <w:t xml:space="preserve">أن الرقمين </w:t>
      </w:r>
      <w:r w:rsidRPr="00945FF6">
        <w:t>191A</w:t>
      </w:r>
      <w:r w:rsidRPr="00945FF6">
        <w:rPr>
          <w:rtl/>
        </w:rPr>
        <w:t xml:space="preserve"> و</w:t>
      </w:r>
      <w:r w:rsidRPr="00945FF6">
        <w:t>191B</w:t>
      </w:r>
      <w:r w:rsidRPr="00945FF6">
        <w:rPr>
          <w:rtl/>
        </w:rPr>
        <w:t xml:space="preserve"> في الاتفاقية يسمحان للجمعية بالإبقاء على الأفرقة أو استحداث أفرقة أُخرى أو حلها، حسب الحاجة، وبتحديد اختصاصات هذه الأفرقة؛</w:t>
      </w:r>
    </w:p>
    <w:p w14:paraId="2FBC4418" w14:textId="77777777" w:rsidR="00A47684" w:rsidRPr="00945FF6" w:rsidRDefault="00A47684" w:rsidP="00A47684">
      <w:pPr>
        <w:rPr>
          <w:rtl/>
          <w:lang w:bidi="ar-EG"/>
        </w:rPr>
      </w:pPr>
      <w:r w:rsidRPr="00945FF6">
        <w:rPr>
          <w:i/>
          <w:iCs/>
          <w:rtl/>
          <w:lang w:bidi="ar-EG"/>
        </w:rPr>
        <w:t>ب)</w:t>
      </w:r>
      <w:r w:rsidRPr="00945FF6">
        <w:rPr>
          <w:rtl/>
          <w:lang w:bidi="ar-EG"/>
        </w:rPr>
        <w:tab/>
        <w:t>أن التنسيق ينبغي أن يؤدي إلى زيادة فعالية أنشطة قطاع تقييس الاتصالات وألا يحصر عمل كل لجنة دراسات في وضع توصيات</w:t>
      </w:r>
      <w:r w:rsidRPr="00957596">
        <w:rPr>
          <w:rFonts w:hint="cs"/>
          <w:rtl/>
        </w:rPr>
        <w:t xml:space="preserve"> </w:t>
      </w:r>
      <w:r>
        <w:rPr>
          <w:rFonts w:hint="cs"/>
          <w:rtl/>
        </w:rPr>
        <w:t>قطاع تقييس الاتصالات</w:t>
      </w:r>
      <w:r w:rsidRPr="00945FF6">
        <w:rPr>
          <w:rtl/>
          <w:lang w:bidi="ar-EG"/>
        </w:rPr>
        <w:t>؛</w:t>
      </w:r>
    </w:p>
    <w:p w14:paraId="648D16BF" w14:textId="77777777" w:rsidR="00A47684" w:rsidRPr="00945FF6" w:rsidRDefault="00A47684" w:rsidP="00A47684">
      <w:pPr>
        <w:rPr>
          <w:spacing w:val="2"/>
        </w:rPr>
      </w:pPr>
      <w:r w:rsidRPr="00945FF6">
        <w:rPr>
          <w:i/>
          <w:iCs/>
          <w:rtl/>
          <w:lang w:bidi="ar-EG"/>
        </w:rPr>
        <w:t>ج)</w:t>
      </w:r>
      <w:r w:rsidRPr="00945FF6">
        <w:rPr>
          <w:rtl/>
          <w:lang w:bidi="ar-EG"/>
        </w:rPr>
        <w:tab/>
      </w:r>
      <w:r w:rsidRPr="00945FF6">
        <w:rPr>
          <w:spacing w:val="2"/>
          <w:rtl/>
          <w:lang w:bidi="ar-EG"/>
        </w:rPr>
        <w:t xml:space="preserve">أن المهام </w:t>
      </w:r>
      <w:r w:rsidRPr="00945FF6">
        <w:rPr>
          <w:spacing w:val="2"/>
          <w:rtl/>
        </w:rPr>
        <w:t>التي تنفذ في قطاع تقييس الاتصالات</w:t>
      </w:r>
      <w:r w:rsidRPr="00945FF6">
        <w:rPr>
          <w:spacing w:val="2"/>
          <w:rtl/>
          <w:lang w:bidi="ar-EG"/>
        </w:rPr>
        <w:t xml:space="preserve"> في الاتحاد</w:t>
      </w:r>
      <w:r w:rsidRPr="00945FF6">
        <w:rPr>
          <w:spacing w:val="2"/>
          <w:rtl/>
        </w:rPr>
        <w:t xml:space="preserve"> </w:t>
      </w:r>
      <w:r w:rsidRPr="00945FF6">
        <w:rPr>
          <w:spacing w:val="2"/>
          <w:lang w:val="en-GB" w:bidi="ar-EG"/>
        </w:rPr>
        <w:t>(ITU</w:t>
      </w:r>
      <w:r w:rsidRPr="00945FF6">
        <w:rPr>
          <w:spacing w:val="2"/>
          <w:lang w:val="en-GB" w:bidi="ar-EG"/>
        </w:rPr>
        <w:noBreakHyphen/>
        <w:t>T)</w:t>
      </w:r>
      <w:r w:rsidRPr="00945FF6">
        <w:rPr>
          <w:spacing w:val="2"/>
          <w:rtl/>
        </w:rPr>
        <w:t xml:space="preserve"> تغطي المسائل التقنية والتشغيلية وتلك المتعلقة بالتعريفات،</w:t>
      </w:r>
    </w:p>
    <w:p w14:paraId="13AE88E9" w14:textId="77777777" w:rsidR="00A47684" w:rsidRDefault="00A47684" w:rsidP="00A47684">
      <w:pPr>
        <w:rPr>
          <w:rtl/>
        </w:rPr>
      </w:pPr>
      <w:r>
        <w:rPr>
          <w:rtl/>
        </w:rPr>
        <w:br w:type="page"/>
      </w:r>
    </w:p>
    <w:p w14:paraId="29C71F39" w14:textId="77777777" w:rsidR="00A47684" w:rsidRPr="00945FF6" w:rsidRDefault="00A47684" w:rsidP="00A47684">
      <w:pPr>
        <w:pStyle w:val="Call"/>
        <w:spacing w:before="160"/>
        <w:rPr>
          <w:rtl/>
        </w:rPr>
      </w:pPr>
      <w:r w:rsidRPr="00945FF6">
        <w:rPr>
          <w:rtl/>
        </w:rPr>
        <w:lastRenderedPageBreak/>
        <w:t>تقرر</w:t>
      </w:r>
    </w:p>
    <w:p w14:paraId="5705999C" w14:textId="77777777" w:rsidR="00A47684" w:rsidRPr="00945FF6" w:rsidRDefault="00A47684" w:rsidP="00A47684">
      <w:pPr>
        <w:keepNext/>
        <w:keepLines/>
        <w:rPr>
          <w:rtl/>
          <w:lang w:bidi="ar-EG"/>
        </w:rPr>
      </w:pPr>
      <w:r w:rsidRPr="00945FF6">
        <w:rPr>
          <w:spacing w:val="-2"/>
        </w:rPr>
        <w:t>1</w:t>
      </w:r>
      <w:r w:rsidRPr="00945FF6">
        <w:rPr>
          <w:spacing w:val="-2"/>
          <w:rtl/>
          <w:lang w:bidi="ar-EG"/>
        </w:rPr>
        <w:tab/>
      </w:r>
      <w:r w:rsidRPr="00945FF6">
        <w:rPr>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w:t>
      </w:r>
    </w:p>
    <w:p w14:paraId="0CE2CF97" w14:textId="77777777" w:rsidR="00A47684" w:rsidRPr="00945FF6" w:rsidRDefault="00A47684" w:rsidP="00A47684">
      <w:pPr>
        <w:pStyle w:val="enumlev1"/>
        <w:rPr>
          <w:rtl/>
          <w:lang w:bidi="ar-EG"/>
        </w:rPr>
      </w:pPr>
      <w:r w:rsidRPr="00945FF6">
        <w:rPr>
          <w:i/>
          <w:iCs/>
          <w:rtl/>
        </w:rPr>
        <w:t> أ )</w:t>
      </w:r>
      <w:r w:rsidRPr="00945FF6">
        <w:rPr>
          <w:rtl/>
        </w:rPr>
        <w:tab/>
        <w:t>العمل على توفير مبادئ توجيهية خاصة بالعمل تكون محدّثة وتتسم بالكفاءة والمرونة؛</w:t>
      </w:r>
    </w:p>
    <w:p w14:paraId="74428621" w14:textId="77777777" w:rsidR="00A47684" w:rsidRPr="00945FF6" w:rsidRDefault="00A47684" w:rsidP="00A47684">
      <w:pPr>
        <w:pStyle w:val="enumlev1"/>
        <w:rPr>
          <w:rtl/>
        </w:rPr>
      </w:pPr>
      <w:r w:rsidRPr="00945FF6">
        <w:rPr>
          <w:i/>
          <w:iCs/>
          <w:rtl/>
        </w:rPr>
        <w:t>ب)</w:t>
      </w:r>
      <w:r w:rsidRPr="00945FF6">
        <w:rPr>
          <w:rtl/>
        </w:rPr>
        <w:tab/>
        <w:t>تعزيز أنشطة التقييس ذات الأولوية العالية المتعلقة بالمسائل التقنية والتشغيلية وتلك المتعلقة بالتعريفات، استناداً إلى المساهمات المقدمة من الأعضاء، من منظور عالمي، والتنسيق فيما بين لجان دراسات قطاع تقييس الاتصالات في هذا الصدد؛</w:t>
      </w:r>
    </w:p>
    <w:p w14:paraId="37209B9F" w14:textId="77777777" w:rsidR="00A47684" w:rsidRPr="00945FF6" w:rsidRDefault="00A47684" w:rsidP="00A47684">
      <w:pPr>
        <w:pStyle w:val="enumlev1"/>
        <w:rPr>
          <w:rtl/>
        </w:rPr>
      </w:pPr>
      <w:r w:rsidRPr="00945FF6">
        <w:rPr>
          <w:i/>
          <w:iCs/>
          <w:rtl/>
        </w:rPr>
        <w:t>ج)</w:t>
      </w:r>
      <w:r w:rsidRPr="00945FF6">
        <w:rPr>
          <w:rtl/>
        </w:rPr>
        <w:tab/>
        <w:t xml:space="preserve">الاضطلاع بالمسؤولية عن </w:t>
      </w:r>
      <w:r w:rsidRPr="00945FF6">
        <w:rPr>
          <w:rtl/>
          <w:lang w:bidi="ar-EG"/>
        </w:rPr>
        <w:t xml:space="preserve">توصيات السلسلة </w:t>
      </w:r>
      <w:r w:rsidRPr="00945FF6">
        <w:rPr>
          <w:lang w:val="fr-CH" w:bidi="ar-EG"/>
        </w:rPr>
        <w:t>ITU</w:t>
      </w:r>
      <w:r w:rsidRPr="00945FF6">
        <w:rPr>
          <w:lang w:bidi="ar-EG"/>
        </w:rPr>
        <w:noBreakHyphen/>
        <w:t>T A</w:t>
      </w:r>
      <w:r w:rsidRPr="00945FF6">
        <w:rPr>
          <w:rtl/>
        </w:rPr>
        <w:t>،</w:t>
      </w:r>
      <w:r w:rsidRPr="00945FF6">
        <w:rPr>
          <w:rtl/>
          <w:lang w:bidi="ar-EG"/>
        </w:rPr>
        <w:t xml:space="preserve"> </w:t>
      </w:r>
      <w:r w:rsidRPr="00945FF6">
        <w:rPr>
          <w:rtl/>
        </w:rPr>
        <w:t xml:space="preserve">والإضافات الملحقة بها بما في ذلك إعداد هذه التوصيات وتقديمها </w:t>
      </w:r>
      <w:r w:rsidRPr="00945FF6">
        <w:rPr>
          <w:rtl/>
          <w:lang w:bidi="ar-EG"/>
        </w:rPr>
        <w:t>للموافقة عليها</w:t>
      </w:r>
      <w:r w:rsidRPr="00945FF6">
        <w:rPr>
          <w:rtl/>
        </w:rPr>
        <w:t xml:space="preserve"> بموجب الإجراءات الملائمة؛</w:t>
      </w:r>
    </w:p>
    <w:p w14:paraId="78FEF182" w14:textId="77777777" w:rsidR="00A47684" w:rsidRPr="00945FF6" w:rsidRDefault="00A47684" w:rsidP="00A47684">
      <w:pPr>
        <w:pStyle w:val="enumlev1"/>
        <w:rPr>
          <w:rtl/>
          <w:lang w:bidi="ar-EG"/>
        </w:rPr>
      </w:pPr>
      <w:r w:rsidRPr="00945FF6">
        <w:rPr>
          <w:i/>
          <w:iCs/>
          <w:rtl/>
          <w:lang w:bidi="ar-EG"/>
        </w:rPr>
        <w:t>د )</w:t>
      </w:r>
      <w:r w:rsidRPr="00945FF6">
        <w:rPr>
          <w:rtl/>
          <w:lang w:bidi="ar-EG"/>
        </w:rPr>
        <w:tab/>
      </w:r>
      <w:r w:rsidRPr="00945FF6">
        <w:rPr>
          <w:rtl/>
        </w:rPr>
        <w:t>إعادة هيكلة لجان دراسات قطاع تقييس الاتصالات وإنشاءها مع مراعاة احتياجات أعضاء قطاع تقييس الاتصالات واستجابةً للتغيرات التي تطرأ على سوق الاتصالات/تكنولوجيا المعلومات والاتصالات، وتعيين الرؤساء ونوابهم للتصرف إلى حين انعقاد الجمعية العالمية التالية لتقييس الاتصالات عملاً بالقرار </w:t>
      </w:r>
      <w:r w:rsidRPr="00945FF6">
        <w:t>208</w:t>
      </w:r>
      <w:r w:rsidRPr="00945FF6">
        <w:rPr>
          <w:rtl/>
          <w:lang w:bidi="ar-EG"/>
        </w:rPr>
        <w:t xml:space="preserve"> (المراجَع في بوخارست، </w:t>
      </w:r>
      <w:r w:rsidRPr="00945FF6">
        <w:rPr>
          <w:lang w:bidi="ar-EG"/>
        </w:rPr>
        <w:t>2022</w:t>
      </w:r>
      <w:r w:rsidRPr="00945FF6">
        <w:rPr>
          <w:rtl/>
          <w:lang w:bidi="ar-EG"/>
        </w:rPr>
        <w:t>) لمؤتمر المندوبين المفوضين</w:t>
      </w:r>
      <w:r w:rsidRPr="00945FF6">
        <w:rPr>
          <w:rtl/>
        </w:rPr>
        <w:t>؛</w:t>
      </w:r>
    </w:p>
    <w:p w14:paraId="678404C1" w14:textId="77777777" w:rsidR="00A47684" w:rsidRPr="00945FF6" w:rsidRDefault="00A47684" w:rsidP="00A47684">
      <w:pPr>
        <w:pStyle w:val="enumlev1"/>
        <w:rPr>
          <w:rtl/>
          <w:lang w:bidi="ar-EG"/>
        </w:rPr>
      </w:pPr>
      <w:r w:rsidRPr="00945FF6">
        <w:rPr>
          <w:i/>
          <w:iCs/>
          <w:rtl/>
        </w:rPr>
        <w:t>هـ )</w:t>
      </w:r>
      <w:r w:rsidRPr="00945FF6">
        <w:rPr>
          <w:rtl/>
        </w:rPr>
        <w:tab/>
        <w:t>إسداء المشورة بشأن برامج عمل لجان الدراسات بما يلبي أولويات التقييس؛</w:t>
      </w:r>
    </w:p>
    <w:p w14:paraId="4EB75C1E" w14:textId="77777777" w:rsidR="00A47684" w:rsidRPr="00945FF6" w:rsidRDefault="00A47684" w:rsidP="00A47684">
      <w:pPr>
        <w:pStyle w:val="enumlev1"/>
        <w:rPr>
          <w:rtl/>
        </w:rPr>
      </w:pPr>
      <w:r w:rsidRPr="00945FF6">
        <w:rPr>
          <w:i/>
          <w:iCs/>
          <w:rtl/>
        </w:rPr>
        <w:t>و )</w:t>
      </w:r>
      <w:r w:rsidRPr="00945FF6">
        <w:rPr>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945FF6">
        <w:t>191A</w:t>
      </w:r>
      <w:r w:rsidRPr="00945FF6">
        <w:rPr>
          <w:rtl/>
        </w:rPr>
        <w:t xml:space="preserve"> و</w:t>
      </w:r>
      <w:r w:rsidRPr="00945FF6">
        <w:t>191B</w:t>
      </w:r>
      <w:r w:rsidRPr="00945FF6">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 </w:t>
      </w:r>
      <w:r w:rsidRPr="00945FF6">
        <w:t>14A</w:t>
      </w:r>
      <w:r w:rsidRPr="00945FF6">
        <w:rPr>
          <w:rtl/>
        </w:rPr>
        <w:t xml:space="preserve"> من </w:t>
      </w:r>
      <w:r w:rsidRPr="00945FF6">
        <w:rPr>
          <w:rtl/>
          <w:lang w:bidi="ar-EG"/>
        </w:rPr>
        <w:t>الاتفاقية</w:t>
      </w:r>
      <w:r w:rsidRPr="00945FF6">
        <w:rPr>
          <w:rtl/>
        </w:rPr>
        <w:t>، بل تعمل على أساس ولاية محددة؛</w:t>
      </w:r>
    </w:p>
    <w:p w14:paraId="6B55DC56" w14:textId="77777777" w:rsidR="00A47684" w:rsidRPr="00945FF6" w:rsidRDefault="00A47684" w:rsidP="00A47684">
      <w:pPr>
        <w:pStyle w:val="enumlev1"/>
        <w:rPr>
          <w:rtl/>
        </w:rPr>
      </w:pPr>
      <w:r w:rsidRPr="00945FF6">
        <w:rPr>
          <w:i/>
          <w:iCs/>
          <w:rtl/>
          <w:lang w:bidi="ar-LB"/>
        </w:rPr>
        <w:t xml:space="preserve">ز </w:t>
      </w:r>
      <w:r w:rsidRPr="00945FF6">
        <w:rPr>
          <w:i/>
          <w:iCs/>
          <w:rtl/>
        </w:rPr>
        <w:t>)</w:t>
      </w:r>
      <w:r w:rsidRPr="00945FF6">
        <w:rPr>
          <w:rtl/>
        </w:rPr>
        <w:tab/>
      </w:r>
      <w:r w:rsidRPr="009B6330">
        <w:rPr>
          <w:rtl/>
        </w:rPr>
        <w:t>تحديد المتطلبات المتغيرة وتقديم المشورة بشأن التغييرات المناسبة الواجب إدخالها على أولويات عمل لجان دراسات قطاع تقييس الاتصالات، وتخطيط الأعمال وتوزيعها بين لجان الدراسات، مع المراعاة الواجبة للتكاليف والموارد المتاحة؛</w:t>
      </w:r>
    </w:p>
    <w:p w14:paraId="57F2CF98" w14:textId="77777777" w:rsidR="00A47684" w:rsidRPr="00945FF6" w:rsidRDefault="00A47684" w:rsidP="00A47684">
      <w:pPr>
        <w:pStyle w:val="enumlev1"/>
        <w:rPr>
          <w:rtl/>
        </w:rPr>
      </w:pPr>
      <w:r w:rsidRPr="00945FF6">
        <w:rPr>
          <w:i/>
          <w:iCs/>
          <w:rtl/>
        </w:rPr>
        <w:t>ح)</w:t>
      </w:r>
      <w:r w:rsidRPr="00945FF6">
        <w:rPr>
          <w:i/>
          <w:iCs/>
          <w:rtl/>
        </w:rPr>
        <w:tab/>
      </w:r>
      <w:r w:rsidRPr="00945FF6">
        <w:rPr>
          <w:rtl/>
        </w:rPr>
        <w:t>أداء دور فعّال في كفالة التنسيق بين أنشطة قطاع تقييس الاتصالات، بما يشمل تحديد متطلبات</w:t>
      </w:r>
      <w:r>
        <w:rPr>
          <w:rFonts w:hint="cs"/>
          <w:rtl/>
        </w:rPr>
        <w:t>ها</w:t>
      </w:r>
      <w:r w:rsidRPr="00945FF6">
        <w:rPr>
          <w:rtl/>
        </w:rPr>
        <w:t xml:space="preserve"> </w:t>
      </w:r>
      <w:r>
        <w:rPr>
          <w:rFonts w:hint="cs"/>
          <w:rtl/>
        </w:rPr>
        <w:t>و</w:t>
      </w:r>
      <w:r w:rsidRPr="00945FF6">
        <w:rPr>
          <w:rtl/>
        </w:rPr>
        <w:t>التغييرات الملائمة التي يتعين إحداثها عند نشوء تداخل تشمل على سبيل الذكر لا الحصر إسناد ولاية إلى إحدى لجان الدراسات لقيادة أعمال التنسيق؛</w:t>
      </w:r>
    </w:p>
    <w:p w14:paraId="1912D9E8" w14:textId="77777777" w:rsidR="00A47684" w:rsidRPr="00945FF6" w:rsidRDefault="00A47684" w:rsidP="00A47684">
      <w:pPr>
        <w:pStyle w:val="enumlev1"/>
        <w:rPr>
          <w:rtl/>
        </w:rPr>
      </w:pPr>
      <w:r w:rsidRPr="00945FF6">
        <w:rPr>
          <w:i/>
          <w:iCs/>
          <w:rtl/>
        </w:rPr>
        <w:t>ط)</w:t>
      </w:r>
      <w:r w:rsidRPr="00945FF6">
        <w:rPr>
          <w:rtl/>
        </w:rPr>
        <w:tab/>
        <w:t>استعراض ما تقدمه أفرقة التنسيق والأفرقة الأُخرى من تقارير ودراسة ا</w:t>
      </w:r>
      <w:r>
        <w:rPr>
          <w:rFonts w:hint="cs"/>
          <w:rtl/>
        </w:rPr>
        <w:t>لا</w:t>
      </w:r>
      <w:r w:rsidRPr="00945FF6">
        <w:rPr>
          <w:rtl/>
        </w:rPr>
        <w:t>قتراحات الملائمة</w:t>
      </w:r>
      <w:r>
        <w:rPr>
          <w:rFonts w:hint="cs"/>
          <w:rtl/>
          <w:lang w:bidi="ar-EG"/>
        </w:rPr>
        <w:t xml:space="preserve"> المقدَمة من تلك الأفرقة،</w:t>
      </w:r>
      <w:r w:rsidRPr="00945FF6">
        <w:rPr>
          <w:rtl/>
        </w:rPr>
        <w:t xml:space="preserve"> بما في ذلك تنفيذ ما يتم الاتفاق عليه؛</w:t>
      </w:r>
    </w:p>
    <w:p w14:paraId="033E4B0A" w14:textId="77777777" w:rsidR="00A47684" w:rsidRPr="00945FF6" w:rsidRDefault="00A47684" w:rsidP="00A47684">
      <w:pPr>
        <w:pStyle w:val="enumlev1"/>
        <w:rPr>
          <w:rtl/>
        </w:rPr>
      </w:pPr>
      <w:r w:rsidRPr="00945FF6">
        <w:rPr>
          <w:i/>
          <w:iCs/>
          <w:rtl/>
        </w:rPr>
        <w:t>ي)</w:t>
      </w:r>
      <w:r w:rsidRPr="00945FF6">
        <w:rPr>
          <w:rtl/>
        </w:rPr>
        <w:tab/>
        <w:t>إنشاء الآلية المناسبة وتشجيع استعمالها، مثل أفرقة التنسيق أو أي أفرقة أُخرى، لمعالجة المواضيع الرئيسية التي تهتم بها عدة لجان دراسات بغية كفالة التنسيق الفعّال في مواضيع التقييس للتوصل إلى حلول عالمية مناسبة؛</w:t>
      </w:r>
    </w:p>
    <w:p w14:paraId="07D16320" w14:textId="77777777" w:rsidR="00A47684" w:rsidRDefault="00A47684" w:rsidP="00A47684">
      <w:pPr>
        <w:rPr>
          <w:rtl/>
        </w:rPr>
      </w:pPr>
      <w:r>
        <w:rPr>
          <w:rtl/>
        </w:rPr>
        <w:br w:type="page"/>
      </w:r>
    </w:p>
    <w:p w14:paraId="06D487B7" w14:textId="77777777" w:rsidR="00A47684" w:rsidRPr="006257FD" w:rsidRDefault="00A47684" w:rsidP="00A47684">
      <w:pPr>
        <w:pStyle w:val="enumlev1"/>
        <w:rPr>
          <w:rtl/>
        </w:rPr>
      </w:pPr>
      <w:r w:rsidRPr="006257FD">
        <w:rPr>
          <w:i/>
          <w:iCs/>
          <w:rtl/>
        </w:rPr>
        <w:lastRenderedPageBreak/>
        <w:t>ك)</w:t>
      </w:r>
      <w:r w:rsidRPr="006257FD">
        <w:rPr>
          <w:rtl/>
        </w:rPr>
        <w:tab/>
        <w:t xml:space="preserve">استعراض التقدم المحرز في تنفيذ برنامج عمل قطاع تقييس الاتصالات، ‏وإجمالي أنشطة لجان الدراسات بقطاع تقييس الاتصالات بما في ذلك حالة حضور الرؤساء ونواب الرؤساء </w:t>
      </w:r>
      <w:r w:rsidRPr="006257FD">
        <w:rPr>
          <w:rFonts w:hint="cs"/>
          <w:rtl/>
        </w:rPr>
        <w:t>وفقاً للقرار</w:t>
      </w:r>
      <w:r w:rsidRPr="006257FD">
        <w:rPr>
          <w:rtl/>
        </w:rPr>
        <w:t xml:space="preserve"> </w:t>
      </w:r>
      <w:r w:rsidRPr="006257FD">
        <w:rPr>
          <w:cs/>
        </w:rPr>
        <w:t>‎</w:t>
      </w:r>
      <w:r w:rsidRPr="006257FD">
        <w:t>208</w:t>
      </w:r>
      <w:r w:rsidRPr="006257FD">
        <w:rPr>
          <w:rtl/>
        </w:rPr>
        <w:t xml:space="preserve"> (‏المراج</w:t>
      </w:r>
      <w:r w:rsidRPr="006257FD">
        <w:rPr>
          <w:rFonts w:hint="cs"/>
          <w:rtl/>
        </w:rPr>
        <w:t>َ</w:t>
      </w:r>
      <w:r w:rsidRPr="006257FD">
        <w:rPr>
          <w:rtl/>
        </w:rPr>
        <w:t xml:space="preserve">ع في بوخارست، </w:t>
      </w:r>
      <w:r w:rsidRPr="006257FD">
        <w:rPr>
          <w:cs/>
        </w:rPr>
        <w:t>‎</w:t>
      </w:r>
      <w:r w:rsidRPr="006257FD">
        <w:t>2022</w:t>
      </w:r>
      <w:r w:rsidRPr="006257FD">
        <w:rPr>
          <w:rtl/>
        </w:rPr>
        <w:t xml:space="preserve">) ‏لمؤتمر المندوبين المفوضين والقرار </w:t>
      </w:r>
      <w:r w:rsidRPr="006257FD">
        <w:rPr>
          <w:cs/>
        </w:rPr>
        <w:t>‎</w:t>
      </w:r>
      <w:r w:rsidRPr="006257FD">
        <w:t>1</w:t>
      </w:r>
      <w:r w:rsidRPr="006257FD">
        <w:rPr>
          <w:rtl/>
        </w:rPr>
        <w:t xml:space="preserve"> (‏المراج</w:t>
      </w:r>
      <w:r w:rsidRPr="006257FD">
        <w:rPr>
          <w:rFonts w:hint="cs"/>
          <w:rtl/>
        </w:rPr>
        <w:t>َ</w:t>
      </w:r>
      <w:r w:rsidRPr="006257FD">
        <w:rPr>
          <w:rtl/>
        </w:rPr>
        <w:t xml:space="preserve">ع في جنيف، </w:t>
      </w:r>
      <w:r w:rsidRPr="006257FD">
        <w:rPr>
          <w:cs/>
        </w:rPr>
        <w:t>‎</w:t>
      </w:r>
      <w:r w:rsidRPr="006257FD">
        <w:t>2022</w:t>
      </w:r>
      <w:r w:rsidRPr="006257FD">
        <w:rPr>
          <w:rtl/>
        </w:rPr>
        <w:t>) ‏للجمعية العالمية لتقييس الاتصالات</w:t>
      </w:r>
      <w:r w:rsidRPr="006257FD">
        <w:rPr>
          <w:cs/>
        </w:rPr>
        <w:t>‎</w:t>
      </w:r>
      <w:r w:rsidRPr="006257FD">
        <w:rPr>
          <w:rtl/>
        </w:rPr>
        <w:t>؛</w:t>
      </w:r>
    </w:p>
    <w:p w14:paraId="22672DB9" w14:textId="77777777" w:rsidR="00A47684" w:rsidRPr="00945FF6" w:rsidRDefault="00A47684" w:rsidP="00A47684">
      <w:pPr>
        <w:pStyle w:val="enumlev1"/>
        <w:rPr>
          <w:rtl/>
        </w:rPr>
      </w:pPr>
      <w:r w:rsidRPr="00945FF6">
        <w:rPr>
          <w:i/>
          <w:iCs/>
          <w:rtl/>
        </w:rPr>
        <w:t>ل)</w:t>
      </w:r>
      <w:r w:rsidRPr="00945FF6">
        <w:rPr>
          <w:rtl/>
        </w:rPr>
        <w:tab/>
        <w:t xml:space="preserve">التعاون والتنسيق مع قطاعي الاتصالات الراديوية وتنمية الاتصالات بالاتحاد، مع أخذ القرار </w:t>
      </w:r>
      <w:r w:rsidRPr="00945FF6">
        <w:t>18</w:t>
      </w:r>
      <w:r w:rsidRPr="00945FF6">
        <w:rPr>
          <w:rtl/>
        </w:rPr>
        <w:t xml:space="preserve"> (المراجَع في </w:t>
      </w:r>
      <w:r>
        <w:rPr>
          <w:rFonts w:hint="cs"/>
          <w:rtl/>
        </w:rPr>
        <w:t>نيودلهي</w:t>
      </w:r>
      <w:r w:rsidRPr="00945FF6">
        <w:rPr>
          <w:rtl/>
        </w:rPr>
        <w:t xml:space="preserve">، </w:t>
      </w:r>
      <w:r>
        <w:rPr>
          <w:rFonts w:hint="cs"/>
          <w:rtl/>
        </w:rPr>
        <w:t xml:space="preserve">2024) </w:t>
      </w:r>
      <w:r>
        <w:rPr>
          <w:rFonts w:hint="cs"/>
          <w:rtl/>
          <w:lang w:bidi="ar-EG"/>
        </w:rPr>
        <w:t>ل</w:t>
      </w:r>
      <w:r w:rsidRPr="00945FF6">
        <w:rPr>
          <w:rtl/>
        </w:rPr>
        <w:t>هذه الجمعية في الاعتبار؛</w:t>
      </w:r>
    </w:p>
    <w:p w14:paraId="6B51C9E8" w14:textId="77777777" w:rsidR="00A47684" w:rsidRPr="00945FF6" w:rsidRDefault="00A47684" w:rsidP="00A47684">
      <w:pPr>
        <w:pStyle w:val="enumlev1"/>
        <w:rPr>
          <w:rtl/>
          <w:lang w:bidi="ar-EG"/>
        </w:rPr>
      </w:pPr>
      <w:r w:rsidRPr="00945FF6">
        <w:rPr>
          <w:i/>
          <w:iCs/>
          <w:rtl/>
        </w:rPr>
        <w:t>م )</w:t>
      </w:r>
      <w:r w:rsidRPr="00945FF6">
        <w:rPr>
          <w:rtl/>
        </w:rPr>
        <w:tab/>
        <w:t>إسداء المشورة إلى مدير مكتب تقييس الاتصالات في المسائل المالية وغيرها من المسائل، ومن ذلك تعزيز مشاركة الكيانات و</w:t>
      </w:r>
      <w:r>
        <w:rPr>
          <w:rFonts w:hint="cs"/>
          <w:rtl/>
        </w:rPr>
        <w:t>ا</w:t>
      </w:r>
      <w:r w:rsidRPr="00945FF6">
        <w:rPr>
          <w:rtl/>
        </w:rPr>
        <w:t>لمنظمات في قطاع تقييس الاتصالات؛</w:t>
      </w:r>
    </w:p>
    <w:p w14:paraId="3BBBA8F7" w14:textId="77777777" w:rsidR="00A47684" w:rsidRPr="00945FF6" w:rsidRDefault="00A47684" w:rsidP="00A47684">
      <w:pPr>
        <w:pStyle w:val="enumlev1"/>
        <w:rPr>
          <w:rtl/>
        </w:rPr>
      </w:pPr>
      <w:r w:rsidRPr="00945FF6">
        <w:rPr>
          <w:i/>
          <w:iCs/>
          <w:rtl/>
        </w:rPr>
        <w:t>ن)</w:t>
      </w:r>
      <w:r w:rsidRPr="00945FF6">
        <w:rPr>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14:paraId="294DE3EC" w14:textId="77777777" w:rsidR="00A47684" w:rsidRPr="00945FF6" w:rsidRDefault="00A47684" w:rsidP="00A47684">
      <w:pPr>
        <w:pStyle w:val="enumlev1"/>
        <w:rPr>
          <w:rtl/>
          <w:lang w:bidi="ar-EG"/>
        </w:rPr>
      </w:pPr>
      <w:r w:rsidRPr="00945FF6">
        <w:rPr>
          <w:i/>
          <w:iCs/>
          <w:rtl/>
        </w:rPr>
        <w:t>س)</w:t>
      </w:r>
      <w:r w:rsidRPr="00945FF6">
        <w:rPr>
          <w:rtl/>
        </w:rPr>
        <w:tab/>
        <w:t>القيام قدر الإمكان عملياً بتجميع المسائل التي تهم البلدان النامية</w:t>
      </w:r>
      <w:r w:rsidRPr="00945FF6">
        <w:rPr>
          <w:rStyle w:val="FootnoteReference"/>
        </w:rPr>
        <w:footnoteReference w:customMarkFollows="1" w:id="1"/>
        <w:t>1</w:t>
      </w:r>
      <w:r w:rsidRPr="00945FF6">
        <w:rPr>
          <w:rtl/>
        </w:rPr>
        <w:t>، من أجل تسهيل مشاركتها في هذه الدراسات، مع مراعاة مصالحها وضرورة تشجيع وتيسير انخراطها في هذه الأنشطة؛</w:t>
      </w:r>
    </w:p>
    <w:p w14:paraId="2C2DA68F" w14:textId="77777777" w:rsidR="00A47684" w:rsidRPr="00945FF6" w:rsidRDefault="00A47684" w:rsidP="00A47684">
      <w:pPr>
        <w:pStyle w:val="enumlev1"/>
        <w:rPr>
          <w:rtl/>
        </w:rPr>
      </w:pPr>
      <w:r w:rsidRPr="00945FF6">
        <w:rPr>
          <w:i/>
          <w:iCs/>
          <w:rtl/>
        </w:rPr>
        <w:t>ع)</w:t>
      </w:r>
      <w:r w:rsidRPr="00945FF6">
        <w:rPr>
          <w:rtl/>
        </w:rPr>
        <w:tab/>
        <w:t>تناول مسائل محددة أُخرى التي تدخل ضمن اختصاص الجمعية العالمية لتقييس الاتصالات، بشرط موافقة الدول الأعضاء عليها، مع تطبيق إجراء الموافقة الوارد في القسم </w:t>
      </w:r>
      <w:r w:rsidRPr="00945FF6">
        <w:t>9</w:t>
      </w:r>
      <w:r w:rsidRPr="00945FF6">
        <w:rPr>
          <w:rtl/>
        </w:rPr>
        <w:t xml:space="preserve"> من القرار </w:t>
      </w:r>
      <w:r w:rsidRPr="00945FF6">
        <w:t>1</w:t>
      </w:r>
      <w:r w:rsidRPr="00945FF6">
        <w:rPr>
          <w:rtl/>
        </w:rPr>
        <w:t xml:space="preserve"> (المراجَع في جنيف،</w:t>
      </w:r>
      <w:r w:rsidRPr="00945FF6">
        <w:rPr>
          <w:rtl/>
          <w:lang w:bidi="ar-EG"/>
        </w:rPr>
        <w:t xml:space="preserve"> </w:t>
      </w:r>
      <w:r w:rsidRPr="00945FF6">
        <w:rPr>
          <w:lang w:bidi="ar-EG"/>
        </w:rPr>
        <w:t>2022</w:t>
      </w:r>
      <w:r w:rsidRPr="00945FF6">
        <w:rPr>
          <w:rtl/>
        </w:rPr>
        <w:t>)؛</w:t>
      </w:r>
    </w:p>
    <w:p w14:paraId="6E5B7CE9" w14:textId="77777777" w:rsidR="00A47684" w:rsidRPr="00EF6676" w:rsidRDefault="00A47684" w:rsidP="00A47684">
      <w:pPr>
        <w:pStyle w:val="enumlev1"/>
        <w:rPr>
          <w:rtl/>
        </w:rPr>
      </w:pPr>
      <w:r>
        <w:rPr>
          <w:rFonts w:hint="cs"/>
          <w:i/>
          <w:iCs/>
          <w:rtl/>
        </w:rPr>
        <w:t>ف)</w:t>
      </w:r>
      <w:r>
        <w:rPr>
          <w:i/>
          <w:iCs/>
          <w:rtl/>
        </w:rPr>
        <w:tab/>
      </w:r>
      <w:r w:rsidRPr="006257FD">
        <w:rPr>
          <w:rtl/>
        </w:rPr>
        <w:t xml:space="preserve">إجراء استعراض سنوي </w:t>
      </w:r>
      <w:r>
        <w:rPr>
          <w:rFonts w:hint="cs"/>
          <w:rtl/>
        </w:rPr>
        <w:t xml:space="preserve">لاستعمال </w:t>
      </w:r>
      <w:r w:rsidRPr="006257FD">
        <w:rPr>
          <w:rtl/>
        </w:rPr>
        <w:t>جميع اللغات الرسمية</w:t>
      </w:r>
      <w:r>
        <w:rPr>
          <w:rFonts w:hint="cs"/>
          <w:rtl/>
        </w:rPr>
        <w:t xml:space="preserve"> الست</w:t>
      </w:r>
      <w:r w:rsidRPr="006257FD">
        <w:rPr>
          <w:rtl/>
        </w:rPr>
        <w:t xml:space="preserve"> للاتحاد على قدم المساواة في منشورات </w:t>
      </w:r>
      <w:r>
        <w:rPr>
          <w:rFonts w:hint="cs"/>
          <w:rtl/>
        </w:rPr>
        <w:t>قطاع تقييس الاتصالات</w:t>
      </w:r>
      <w:r w:rsidRPr="006257FD">
        <w:rPr>
          <w:rtl/>
        </w:rPr>
        <w:t xml:space="preserve"> وعلى مواقعه الإلكترونية</w:t>
      </w:r>
      <w:r>
        <w:rPr>
          <w:rFonts w:hint="cs"/>
          <w:rtl/>
        </w:rPr>
        <w:t>؛</w:t>
      </w:r>
    </w:p>
    <w:p w14:paraId="46D3E2FE" w14:textId="77777777" w:rsidR="00A47684" w:rsidRPr="00945FF6" w:rsidRDefault="00A47684" w:rsidP="00A47684">
      <w:pPr>
        <w:rPr>
          <w:rtl/>
          <w:lang w:bidi="ar-EG"/>
        </w:rPr>
      </w:pPr>
      <w:r w:rsidRPr="00945FF6">
        <w:t>2</w:t>
      </w:r>
      <w:r w:rsidRPr="00945FF6">
        <w:rPr>
          <w:rtl/>
        </w:rPr>
        <w:tab/>
      </w:r>
      <w:r w:rsidRPr="00945FF6">
        <w:rPr>
          <w:rtl/>
          <w:lang w:bidi="ar-EG"/>
        </w:rPr>
        <w:t>أن يقوم الفريق الاستشاري لتقييس الاتصالات بدراسة تنفيذ الإجراءات وتحقيق الأهداف المبيّنة في الخطة التشغيلية السنوية لقطاع تقييس الاتصالات وفي خطة عمل الجمعية العالمية لتقييس الاتصالات</w:t>
      </w:r>
      <w:r>
        <w:rPr>
          <w:rFonts w:hint="cs"/>
          <w:rtl/>
          <w:lang w:bidi="ar-EG"/>
        </w:rPr>
        <w:t xml:space="preserve"> عام 2020 </w:t>
      </w:r>
      <w:r w:rsidRPr="00945FF6">
        <w:rPr>
          <w:rtl/>
          <w:lang w:bidi="ar-EG"/>
        </w:rPr>
        <w:t xml:space="preserve">التي تشمل قرارات الجمعية، لغرض تحديد الصعوبات المحتملة والاستراتيجيات المحتملة لتنفيذ العناصر الرئيسية، وتقديم توصيات إلى مدير مكتب تقييس الاتصالات بالحلول المتعلقة </w:t>
      </w:r>
      <w:proofErr w:type="gramStart"/>
      <w:r w:rsidRPr="00945FF6">
        <w:rPr>
          <w:rtl/>
          <w:lang w:bidi="ar-EG"/>
        </w:rPr>
        <w:t>بها؛</w:t>
      </w:r>
      <w:proofErr w:type="gramEnd"/>
    </w:p>
    <w:p w14:paraId="49B7F6ED" w14:textId="77777777" w:rsidR="00A47684" w:rsidRPr="00945FF6" w:rsidRDefault="00A47684" w:rsidP="00A47684">
      <w:pPr>
        <w:rPr>
          <w:spacing w:val="-2"/>
          <w:rtl/>
        </w:rPr>
      </w:pPr>
      <w:r w:rsidRPr="00945FF6">
        <w:rPr>
          <w:spacing w:val="-2"/>
        </w:rPr>
        <w:t>3</w:t>
      </w:r>
      <w:r w:rsidRPr="00945FF6">
        <w:rPr>
          <w:spacing w:val="-2"/>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945FF6">
        <w:rPr>
          <w:spacing w:val="-2"/>
        </w:rPr>
        <w:t>246D</w:t>
      </w:r>
      <w:r w:rsidRPr="00945FF6">
        <w:rPr>
          <w:spacing w:val="-2"/>
          <w:rtl/>
        </w:rPr>
        <w:t xml:space="preserve"> و</w:t>
      </w:r>
      <w:r w:rsidRPr="00945FF6">
        <w:rPr>
          <w:spacing w:val="-2"/>
        </w:rPr>
        <w:t>246F</w:t>
      </w:r>
      <w:r w:rsidRPr="00945FF6">
        <w:rPr>
          <w:spacing w:val="-2"/>
          <w:rtl/>
        </w:rPr>
        <w:t xml:space="preserve"> و</w:t>
      </w:r>
      <w:r w:rsidRPr="00945FF6">
        <w:rPr>
          <w:spacing w:val="-2"/>
        </w:rPr>
        <w:t>246H</w:t>
      </w:r>
      <w:r w:rsidRPr="00945FF6">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 </w:t>
      </w:r>
      <w:r w:rsidRPr="00945FF6">
        <w:rPr>
          <w:spacing w:val="-2"/>
        </w:rPr>
        <w:t>9</w:t>
      </w:r>
      <w:r w:rsidRPr="00945FF6">
        <w:rPr>
          <w:spacing w:val="-2"/>
          <w:rtl/>
        </w:rPr>
        <w:t xml:space="preserve"> من القرار </w:t>
      </w:r>
      <w:r w:rsidRPr="00945FF6">
        <w:rPr>
          <w:spacing w:val="-2"/>
        </w:rPr>
        <w:t>1</w:t>
      </w:r>
      <w:r w:rsidRPr="00945FF6">
        <w:rPr>
          <w:spacing w:val="-2"/>
          <w:rtl/>
        </w:rPr>
        <w:t xml:space="preserve"> (المراجَع في جنيف، </w:t>
      </w:r>
      <w:proofErr w:type="gramStart"/>
      <w:r w:rsidRPr="00945FF6">
        <w:rPr>
          <w:spacing w:val="-2"/>
        </w:rPr>
        <w:t>2022</w:t>
      </w:r>
      <w:r w:rsidRPr="00945FF6">
        <w:rPr>
          <w:spacing w:val="-2"/>
          <w:rtl/>
          <w:lang w:bidi="ar-SY"/>
        </w:rPr>
        <w:t>)</w:t>
      </w:r>
      <w:r w:rsidRPr="00945FF6">
        <w:rPr>
          <w:spacing w:val="-2"/>
          <w:rtl/>
        </w:rPr>
        <w:t>؛</w:t>
      </w:r>
      <w:proofErr w:type="gramEnd"/>
    </w:p>
    <w:p w14:paraId="3188B4F8" w14:textId="77777777" w:rsidR="00A47684" w:rsidRPr="00945FF6" w:rsidRDefault="00A47684" w:rsidP="00A47684">
      <w:pPr>
        <w:rPr>
          <w:rtl/>
        </w:rPr>
      </w:pPr>
      <w:r w:rsidRPr="00945FF6">
        <w:t>4</w:t>
      </w:r>
      <w:r w:rsidRPr="00945FF6">
        <w:rPr>
          <w:rtl/>
        </w:rPr>
        <w:tab/>
        <w:t xml:space="preserve">أن يشجع الفريق الاستشاري التنسيق والتعاون مع سائر الهيئات المعنية خارج الاتحاد كمنظمات ومنتديات واتحادات التقييس ويُجري اتصالات مع هذه المنظمات بشأن أنشطته بالتشاور مع مدير مكتب تقييس الاتصالات، حسب مقتضى </w:t>
      </w:r>
      <w:proofErr w:type="gramStart"/>
      <w:r w:rsidRPr="00945FF6">
        <w:rPr>
          <w:rtl/>
        </w:rPr>
        <w:t>الحال؛</w:t>
      </w:r>
      <w:proofErr w:type="gramEnd"/>
    </w:p>
    <w:p w14:paraId="649363E2" w14:textId="77777777" w:rsidR="00A47684" w:rsidRDefault="00A47684" w:rsidP="00A47684">
      <w:pPr>
        <w:rPr>
          <w:spacing w:val="-4"/>
          <w:lang w:bidi="ar-EG"/>
        </w:rPr>
      </w:pPr>
      <w:r>
        <w:rPr>
          <w:spacing w:val="-4"/>
        </w:rPr>
        <w:t>5</w:t>
      </w:r>
      <w:r w:rsidRPr="00945FF6">
        <w:rPr>
          <w:spacing w:val="-4"/>
        </w:rPr>
        <w:tab/>
      </w:r>
      <w:r w:rsidRPr="00945FF6">
        <w:rPr>
          <w:rtl/>
        </w:rPr>
        <w:t xml:space="preserve">أن يُنشئ </w:t>
      </w:r>
      <w:r w:rsidRPr="00945FF6">
        <w:rPr>
          <w:rtl/>
          <w:lang w:bidi="ar-EG"/>
        </w:rPr>
        <w:t xml:space="preserve">الفريق الاستشاري </w:t>
      </w:r>
      <w:r>
        <w:rPr>
          <w:rFonts w:hint="cs"/>
          <w:rtl/>
        </w:rPr>
        <w:t>آلية</w:t>
      </w:r>
      <w:r w:rsidRPr="00945FF6">
        <w:rPr>
          <w:rtl/>
        </w:rPr>
        <w:t xml:space="preserve"> لتسهيل </w:t>
      </w:r>
      <w:r>
        <w:rPr>
          <w:rFonts w:hint="cs"/>
          <w:rtl/>
        </w:rPr>
        <w:t xml:space="preserve">وتنسيق </w:t>
      </w:r>
      <w:r w:rsidRPr="00945FF6">
        <w:rPr>
          <w:rtl/>
        </w:rPr>
        <w:t xml:space="preserve">استراتيجيات </w:t>
      </w:r>
      <w:r>
        <w:rPr>
          <w:rFonts w:hint="cs"/>
          <w:rtl/>
        </w:rPr>
        <w:t xml:space="preserve">إعداد أعمال </w:t>
      </w:r>
      <w:r w:rsidRPr="00945FF6">
        <w:rPr>
          <w:rtl/>
        </w:rPr>
        <w:t>التقييس</w:t>
      </w:r>
      <w:r>
        <w:rPr>
          <w:rFonts w:hint="cs"/>
          <w:spacing w:val="-4"/>
          <w:rtl/>
          <w:lang w:bidi="ar-EG"/>
        </w:rPr>
        <w:t xml:space="preserve"> تدعم على وجه الخصوص ما</w:t>
      </w:r>
      <w:r>
        <w:rPr>
          <w:rFonts w:hint="eastAsia"/>
          <w:spacing w:val="-4"/>
          <w:rtl/>
          <w:lang w:bidi="ar-EG"/>
        </w:rPr>
        <w:t> </w:t>
      </w:r>
      <w:r>
        <w:rPr>
          <w:rFonts w:hint="cs"/>
          <w:spacing w:val="-4"/>
          <w:rtl/>
          <w:lang w:bidi="ar-EG"/>
        </w:rPr>
        <w:t>يلي:</w:t>
      </w:r>
    </w:p>
    <w:p w14:paraId="056BD47C" w14:textId="33FA76B1" w:rsidR="00A47684" w:rsidRDefault="00A47684" w:rsidP="00A47684">
      <w:pPr>
        <w:pStyle w:val="enumlev1"/>
        <w:rPr>
          <w:rtl/>
          <w:lang w:bidi="ar-EG"/>
        </w:rPr>
      </w:pPr>
      <w:r>
        <w:rPr>
          <w:rFonts w:hint="eastAsia"/>
          <w:rtl/>
          <w:lang w:bidi="ar-EG"/>
        </w:rPr>
        <w:t>–</w:t>
      </w:r>
      <w:r>
        <w:rPr>
          <w:rtl/>
          <w:lang w:bidi="ar-EG"/>
        </w:rPr>
        <w:tab/>
      </w:r>
      <w:r w:rsidRPr="00301A5F">
        <w:rPr>
          <w:rtl/>
          <w:lang w:bidi="ar-EG"/>
        </w:rPr>
        <w:t>تحديد الاتصالات/تكنولوجيا المعلومات والاتصالات الجديدة والناشئة مع مراعاة محركاتها في مجالات النشاط ذات الصلة بولاية قطاع تقييس الاتصالات؛</w:t>
      </w:r>
    </w:p>
    <w:p w14:paraId="14C3446F" w14:textId="1A5633BB" w:rsidR="00A47684" w:rsidRPr="00D16A88" w:rsidRDefault="00A47684" w:rsidP="00A47684">
      <w:pPr>
        <w:pStyle w:val="enumlev1"/>
        <w:rPr>
          <w:spacing w:val="-6"/>
          <w:rtl/>
          <w:lang w:bidi="ar-EG"/>
        </w:rPr>
      </w:pPr>
      <w:r>
        <w:rPr>
          <w:rFonts w:hint="eastAsia"/>
          <w:spacing w:val="-6"/>
          <w:rtl/>
          <w:lang w:bidi="ar-EG"/>
        </w:rPr>
        <w:t>–</w:t>
      </w:r>
      <w:r w:rsidRPr="00D16A88">
        <w:rPr>
          <w:spacing w:val="-6"/>
          <w:rtl/>
          <w:lang w:bidi="ar-EG"/>
        </w:rPr>
        <w:tab/>
        <w:t xml:space="preserve">‏تحديد ودراسة المواضيع والقضايا التي يمكن النظر فيها ضمن استراتيجيات إعداد </w:t>
      </w:r>
      <w:r w:rsidRPr="00D16A88">
        <w:rPr>
          <w:rFonts w:hint="cs"/>
          <w:spacing w:val="-6"/>
          <w:rtl/>
          <w:lang w:bidi="ar-EG"/>
        </w:rPr>
        <w:t xml:space="preserve">أعمال </w:t>
      </w:r>
      <w:r w:rsidRPr="00D16A88">
        <w:rPr>
          <w:spacing w:val="-6"/>
          <w:rtl/>
          <w:lang w:bidi="ar-EG"/>
        </w:rPr>
        <w:t xml:space="preserve">التقييس </w:t>
      </w:r>
      <w:r w:rsidRPr="00D16A88">
        <w:rPr>
          <w:rFonts w:hint="cs"/>
          <w:spacing w:val="-6"/>
          <w:rtl/>
          <w:lang w:bidi="ar-EG"/>
        </w:rPr>
        <w:t>في</w:t>
      </w:r>
      <w:r w:rsidRPr="00D16A88">
        <w:rPr>
          <w:spacing w:val="-6"/>
          <w:rtl/>
          <w:lang w:bidi="ar-EG"/>
        </w:rPr>
        <w:t xml:space="preserve"> قطاع تقييس الاتصالات؛</w:t>
      </w:r>
    </w:p>
    <w:p w14:paraId="22251052" w14:textId="77777777" w:rsidR="00A47684" w:rsidRDefault="00A47684" w:rsidP="00A47684">
      <w:r>
        <w:rPr>
          <w:rtl/>
        </w:rPr>
        <w:br w:type="page"/>
      </w:r>
    </w:p>
    <w:p w14:paraId="02EFE3E6" w14:textId="77777777" w:rsidR="00A47684" w:rsidRPr="00945FF6" w:rsidRDefault="00A47684" w:rsidP="00A47684">
      <w:pPr>
        <w:rPr>
          <w:rtl/>
        </w:rPr>
      </w:pPr>
      <w:r>
        <w:lastRenderedPageBreak/>
        <w:t>6</w:t>
      </w:r>
      <w:r w:rsidRPr="00945FF6">
        <w:rPr>
          <w:rtl/>
        </w:rPr>
        <w:tab/>
        <w:t xml:space="preserve">أن ينظر الفريق الاستشاري لتقييس الاتصالات في نتائج هذه الجمعية فيما يتعلق بالندوة العالمية للمعايير وأن يتخذ تدابير للمتابعة، حسب </w:t>
      </w:r>
      <w:proofErr w:type="gramStart"/>
      <w:r w:rsidRPr="00945FF6">
        <w:rPr>
          <w:rtl/>
        </w:rPr>
        <w:t>الاقتضاء؛</w:t>
      </w:r>
      <w:proofErr w:type="gramEnd"/>
    </w:p>
    <w:p w14:paraId="48069452" w14:textId="77777777" w:rsidR="00A47684" w:rsidRPr="00945FF6" w:rsidRDefault="00A47684" w:rsidP="00A47684">
      <w:pPr>
        <w:rPr>
          <w:spacing w:val="2"/>
          <w:rtl/>
        </w:rPr>
      </w:pPr>
      <w:r>
        <w:rPr>
          <w:spacing w:val="2"/>
        </w:rPr>
        <w:t>7</w:t>
      </w:r>
      <w:r w:rsidRPr="00945FF6">
        <w:rPr>
          <w:spacing w:val="2"/>
          <w:rtl/>
        </w:rPr>
        <w:tab/>
        <w:t>أن يُعرض تقرير عن أنشطة الفريق الاستشاري المشار إليها آنفاً على الجمعية العالمية لتقييس الاتصالات في دورتها المقبلة،</w:t>
      </w:r>
    </w:p>
    <w:p w14:paraId="3F74D63F" w14:textId="77777777" w:rsidR="00A47684" w:rsidRPr="00945FF6" w:rsidRDefault="00A47684" w:rsidP="00A47684">
      <w:pPr>
        <w:pStyle w:val="Call"/>
        <w:spacing w:before="160"/>
        <w:rPr>
          <w:rtl/>
          <w:lang w:bidi="ar-EG"/>
        </w:rPr>
      </w:pPr>
      <w:r>
        <w:rPr>
          <w:rFonts w:hint="cs"/>
          <w:rtl/>
        </w:rPr>
        <w:t>تكلف</w:t>
      </w:r>
      <w:r w:rsidRPr="00945FF6">
        <w:rPr>
          <w:rtl/>
        </w:rPr>
        <w:t xml:space="preserve"> مدير مكتب تقييس الاتصالات</w:t>
      </w:r>
    </w:p>
    <w:p w14:paraId="004C122C" w14:textId="77777777" w:rsidR="00A47684" w:rsidRPr="00945FF6" w:rsidRDefault="00A47684" w:rsidP="00A47684">
      <w:pPr>
        <w:rPr>
          <w:rtl/>
        </w:rPr>
      </w:pPr>
      <w:r w:rsidRPr="00945FF6">
        <w:t>1</w:t>
      </w:r>
      <w:r w:rsidRPr="00945FF6">
        <w:rPr>
          <w:rtl/>
        </w:rPr>
        <w:tab/>
        <w:t xml:space="preserve">بأن يأخذ مشورة الفريق الاستشاري لتقييس الاتصالات وإرشاداته بعين الاعتبار لتحسين فعالية قطاع تقييس الاتصالات </w:t>
      </w:r>
      <w:proofErr w:type="gramStart"/>
      <w:r w:rsidRPr="00945FF6">
        <w:rPr>
          <w:rtl/>
        </w:rPr>
        <w:t>وكفاءته؛</w:t>
      </w:r>
      <w:proofErr w:type="gramEnd"/>
    </w:p>
    <w:p w14:paraId="0161C8F4" w14:textId="77777777" w:rsidR="00A47684" w:rsidRPr="00945FF6" w:rsidRDefault="00A47684" w:rsidP="00A47684">
      <w:pPr>
        <w:rPr>
          <w:rtl/>
          <w:lang w:val="fr-FR" w:bidi="ar-EG"/>
        </w:rPr>
      </w:pPr>
      <w:r w:rsidRPr="00945FF6">
        <w:rPr>
          <w:lang w:val="fr-FR"/>
        </w:rPr>
        <w:t>2</w:t>
      </w:r>
      <w:r w:rsidRPr="00945FF6">
        <w:rPr>
          <w:rtl/>
          <w:lang w:val="fr-FR"/>
        </w:rPr>
        <w:tab/>
        <w:t>بأن يقدّ</w:t>
      </w:r>
      <w:r>
        <w:rPr>
          <w:rFonts w:hint="cs"/>
          <w:rtl/>
          <w:lang w:val="fr-FR"/>
        </w:rPr>
        <w:t>ِ</w:t>
      </w:r>
      <w:r w:rsidRPr="00945FF6">
        <w:rPr>
          <w:rtl/>
          <w:lang w:val="fr-FR"/>
        </w:rPr>
        <w:t xml:space="preserve">م في كل اجتماع من اجتماعات الفريق الاستشاري هذا تقريراً </w:t>
      </w:r>
      <w:proofErr w:type="gramStart"/>
      <w:r w:rsidRPr="00945FF6">
        <w:rPr>
          <w:rtl/>
          <w:lang w:val="fr-FR"/>
        </w:rPr>
        <w:t>عن</w:t>
      </w:r>
      <w:r w:rsidRPr="00945FF6">
        <w:rPr>
          <w:rtl/>
        </w:rPr>
        <w:t>:</w:t>
      </w:r>
      <w:proofErr w:type="gramEnd"/>
    </w:p>
    <w:p w14:paraId="1F66D724" w14:textId="4A1D54F7" w:rsidR="00A47684" w:rsidRPr="00945FF6" w:rsidRDefault="00A47684" w:rsidP="00A47684">
      <w:pPr>
        <w:pStyle w:val="enumlev1"/>
        <w:rPr>
          <w:rtl/>
          <w:lang w:val="fr-FR"/>
        </w:rPr>
      </w:pPr>
      <w:r>
        <w:rPr>
          <w:rFonts w:hint="eastAsia"/>
          <w:rtl/>
          <w:lang w:val="fr-FR"/>
        </w:rPr>
        <w:t>–</w:t>
      </w:r>
      <w:r w:rsidRPr="00945FF6">
        <w:rPr>
          <w:rtl/>
          <w:lang w:val="fr-FR"/>
        </w:rPr>
        <w:tab/>
        <w:t xml:space="preserve">تنفيذ القرارات الصادرة عن الجمعية والتدابير الواجب اتخاذها عملاً بأحكام فقرات </w:t>
      </w:r>
      <w:r w:rsidRPr="00945FF6">
        <w:rPr>
          <w:rtl/>
          <w:lang w:val="fr-FR" w:bidi="ar-EG"/>
        </w:rPr>
        <w:t>منطوق القرار</w:t>
      </w:r>
      <w:r w:rsidRPr="00945FF6">
        <w:rPr>
          <w:rtl/>
          <w:lang w:val="fr-FR"/>
        </w:rPr>
        <w:t>؛</w:t>
      </w:r>
    </w:p>
    <w:p w14:paraId="47583F28" w14:textId="64B52F52" w:rsidR="00A47684" w:rsidRPr="00945FF6" w:rsidRDefault="00A47684" w:rsidP="00A47684">
      <w:pPr>
        <w:pStyle w:val="enumlev1"/>
        <w:rPr>
          <w:rtl/>
        </w:rPr>
      </w:pPr>
      <w:r>
        <w:rPr>
          <w:rFonts w:hint="eastAsia"/>
          <w:rtl/>
        </w:rPr>
        <w:t>–</w:t>
      </w:r>
      <w:r w:rsidRPr="00945FF6">
        <w:rPr>
          <w:rtl/>
        </w:rPr>
        <w:tab/>
      </w:r>
      <w:r w:rsidRPr="00945FF6">
        <w:rPr>
          <w:rtl/>
          <w:lang w:bidi="ar-EG"/>
        </w:rPr>
        <w:t>التقدم المحرز في الخطة التشغيلية السنوية لقطاع تقييس الاتصالات وخطة عمل الجمعية العالمية لتقييس الاتصالات</w:t>
      </w:r>
      <w:r>
        <w:rPr>
          <w:rFonts w:hint="cs"/>
          <w:rtl/>
          <w:lang w:bidi="ar-EG"/>
        </w:rPr>
        <w:t> </w:t>
      </w:r>
      <w:r>
        <w:rPr>
          <w:rFonts w:hint="cs"/>
          <w:rtl/>
        </w:rPr>
        <w:t>عام 2020</w:t>
      </w:r>
      <w:r w:rsidRPr="00945FF6">
        <w:rPr>
          <w:rtl/>
          <w:lang w:bidi="ar-EG"/>
        </w:rPr>
        <w:t>، مع تحديد الصعوبات التي تعيق التقدم، إن وجدت، والحلول الممكنة؛</w:t>
      </w:r>
    </w:p>
    <w:p w14:paraId="1F7BADBC" w14:textId="77777777" w:rsidR="00A47684" w:rsidRPr="00945FF6" w:rsidRDefault="00A47684" w:rsidP="00A47684">
      <w:pPr>
        <w:rPr>
          <w:color w:val="000000"/>
          <w:rtl/>
        </w:rPr>
      </w:pPr>
      <w:r w:rsidRPr="00945FF6">
        <w:t>3</w:t>
      </w:r>
      <w:r w:rsidRPr="00945FF6">
        <w:rPr>
          <w:i/>
          <w:iCs/>
          <w:rtl/>
          <w:lang w:bidi="ar-EG"/>
        </w:rPr>
        <w:tab/>
      </w:r>
      <w:r w:rsidRPr="00945FF6">
        <w:rPr>
          <w:rtl/>
          <w:lang w:bidi="ar-EG"/>
        </w:rPr>
        <w:t xml:space="preserve">بتقديم معلومات، في تقرير المدير عن أنشطة لجان الدراسات، عن أي بند من بنود العمل </w:t>
      </w:r>
      <w:r w:rsidRPr="00945FF6">
        <w:rPr>
          <w:color w:val="000000"/>
          <w:rtl/>
        </w:rPr>
        <w:t>لم يحصل على أي مساهمة في الفترة الفاصلة بين الاجتماعين السابقين للجان دراسات</w:t>
      </w:r>
      <w:r w:rsidRPr="00957596">
        <w:rPr>
          <w:rFonts w:hint="cs"/>
          <w:rtl/>
        </w:rPr>
        <w:t xml:space="preserve"> </w:t>
      </w:r>
      <w:r>
        <w:rPr>
          <w:rFonts w:hint="cs"/>
          <w:rtl/>
        </w:rPr>
        <w:t xml:space="preserve">قطاع تقييس </w:t>
      </w:r>
      <w:proofErr w:type="gramStart"/>
      <w:r>
        <w:rPr>
          <w:rFonts w:hint="cs"/>
          <w:rtl/>
        </w:rPr>
        <w:t>الاتصالات</w:t>
      </w:r>
      <w:r w:rsidRPr="00945FF6">
        <w:rPr>
          <w:color w:val="000000"/>
          <w:rtl/>
        </w:rPr>
        <w:t>؛</w:t>
      </w:r>
      <w:proofErr w:type="gramEnd"/>
    </w:p>
    <w:p w14:paraId="66C4D4B8" w14:textId="77777777" w:rsidR="00A47684" w:rsidRDefault="00A47684" w:rsidP="00A47684">
      <w:pPr>
        <w:rPr>
          <w:rtl/>
        </w:rPr>
      </w:pPr>
      <w:r w:rsidRPr="00945FF6">
        <w:t>4</w:t>
      </w:r>
      <w:r w:rsidRPr="00945FF6">
        <w:tab/>
      </w:r>
      <w:r w:rsidRPr="00945FF6">
        <w:rPr>
          <w:rtl/>
        </w:rPr>
        <w:t xml:space="preserve">بإبلاغ الفريق الاستشاري لتقييس الاتصالات عن تجربة تنفيذ توصيات السلسلة </w:t>
      </w:r>
      <w:r w:rsidRPr="00945FF6">
        <w:t>A</w:t>
      </w:r>
      <w:r w:rsidRPr="00945FF6">
        <w:rPr>
          <w:rtl/>
        </w:rPr>
        <w:t xml:space="preserve"> </w:t>
      </w:r>
      <w:r>
        <w:rPr>
          <w:rFonts w:hint="cs"/>
          <w:rtl/>
        </w:rPr>
        <w:t xml:space="preserve">الصادرة عن قطاع تقييس الاتصالات </w:t>
      </w:r>
      <w:r w:rsidRPr="00945FF6">
        <w:rPr>
          <w:rtl/>
        </w:rPr>
        <w:t xml:space="preserve">كي ينظر فيها أعضاء </w:t>
      </w:r>
      <w:proofErr w:type="gramStart"/>
      <w:r w:rsidRPr="00945FF6">
        <w:rPr>
          <w:rtl/>
        </w:rPr>
        <w:t>الاتحاد</w:t>
      </w:r>
      <w:r>
        <w:rPr>
          <w:rFonts w:hint="cs"/>
          <w:rtl/>
        </w:rPr>
        <w:t>؛</w:t>
      </w:r>
      <w:proofErr w:type="gramEnd"/>
    </w:p>
    <w:p w14:paraId="2821855D" w14:textId="77777777" w:rsidR="00A47684" w:rsidRDefault="00A47684" w:rsidP="00A47684">
      <w:r>
        <w:rPr>
          <w:rFonts w:hint="cs"/>
          <w:rtl/>
        </w:rPr>
        <w:t>5</w:t>
      </w:r>
      <w:r>
        <w:rPr>
          <w:rtl/>
        </w:rPr>
        <w:tab/>
      </w:r>
      <w:r w:rsidRPr="00301A5F">
        <w:rPr>
          <w:rtl/>
        </w:rPr>
        <w:t xml:space="preserve">بنشر </w:t>
      </w:r>
      <w:r>
        <w:rPr>
          <w:rFonts w:hint="cs"/>
          <w:rtl/>
        </w:rPr>
        <w:t>مشاريع ال</w:t>
      </w:r>
      <w:r w:rsidRPr="00301A5F">
        <w:rPr>
          <w:rtl/>
        </w:rPr>
        <w:t>تقارير قبل افتتاح اجتماع الفريق الاستشاري</w:t>
      </w:r>
      <w:r>
        <w:rPr>
          <w:rFonts w:hint="cs"/>
          <w:rtl/>
        </w:rPr>
        <w:t xml:space="preserve"> لتقييس الاتصالات</w:t>
      </w:r>
      <w:r w:rsidRPr="00301A5F">
        <w:rPr>
          <w:rtl/>
        </w:rPr>
        <w:t xml:space="preserve"> بفترة لا تقل عن 30 يوماً تقويمياً </w:t>
      </w:r>
      <w:r>
        <w:rPr>
          <w:rFonts w:hint="cs"/>
          <w:rtl/>
        </w:rPr>
        <w:t>ل</w:t>
      </w:r>
      <w:r w:rsidRPr="00301A5F">
        <w:rPr>
          <w:rtl/>
        </w:rPr>
        <w:t xml:space="preserve">ضمان نظر </w:t>
      </w:r>
      <w:r>
        <w:rPr>
          <w:rFonts w:hint="cs"/>
          <w:rtl/>
        </w:rPr>
        <w:t>الأعضاء</w:t>
      </w:r>
      <w:r w:rsidRPr="00301A5F">
        <w:rPr>
          <w:rtl/>
        </w:rPr>
        <w:t xml:space="preserve"> فيها </w:t>
      </w:r>
      <w:r>
        <w:rPr>
          <w:rFonts w:hint="cs"/>
          <w:rtl/>
        </w:rPr>
        <w:t>ملياً.</w:t>
      </w:r>
    </w:p>
    <w:p w14:paraId="4D879A28" w14:textId="77777777" w:rsidR="00C53046" w:rsidRDefault="00C53046" w:rsidP="00C53046">
      <w:pPr>
        <w:rPr>
          <w:rtl/>
          <w:lang w:bidi="ar-EG"/>
        </w:rPr>
      </w:pPr>
    </w:p>
    <w:p w14:paraId="2A691891" w14:textId="77777777" w:rsidR="00AB43A5" w:rsidRDefault="00AB43A5" w:rsidP="00C53046">
      <w:pPr>
        <w:rPr>
          <w:rtl/>
          <w:lang w:bidi="ar-EG"/>
        </w:rPr>
      </w:pPr>
    </w:p>
    <w:p w14:paraId="65842BE4" w14:textId="77777777" w:rsidR="00AB43A5" w:rsidRDefault="00AB43A5" w:rsidP="00C53046">
      <w:pPr>
        <w:rPr>
          <w:rtl/>
          <w:lang w:bidi="ar-EG"/>
        </w:rPr>
      </w:pPr>
    </w:p>
    <w:p w14:paraId="01C66733" w14:textId="77777777" w:rsidR="00AB43A5" w:rsidRDefault="00AB43A5" w:rsidP="00C53046">
      <w:pPr>
        <w:rPr>
          <w:rtl/>
          <w:lang w:bidi="ar-EG"/>
        </w:rPr>
      </w:pPr>
    </w:p>
    <w:p w14:paraId="38A09F1F" w14:textId="77777777" w:rsidR="00AB43A5" w:rsidRDefault="00AB43A5" w:rsidP="00C53046">
      <w:pPr>
        <w:rPr>
          <w:rtl/>
          <w:lang w:bidi="ar-EG"/>
        </w:rPr>
      </w:pPr>
    </w:p>
    <w:p w14:paraId="545AD060" w14:textId="77777777" w:rsidR="00AB43A5" w:rsidRDefault="00AB43A5" w:rsidP="00C53046">
      <w:pPr>
        <w:rPr>
          <w:rtl/>
          <w:lang w:bidi="ar-EG"/>
        </w:rPr>
      </w:pPr>
    </w:p>
    <w:p w14:paraId="668A9EEA" w14:textId="77777777" w:rsidR="00AB43A5" w:rsidRDefault="00AB43A5" w:rsidP="00C53046">
      <w:pPr>
        <w:rPr>
          <w:rtl/>
          <w:lang w:bidi="ar-EG"/>
        </w:rPr>
      </w:pPr>
    </w:p>
    <w:p w14:paraId="79BF21E6" w14:textId="77777777" w:rsidR="00AB43A5" w:rsidRDefault="00AB43A5" w:rsidP="00C53046">
      <w:pPr>
        <w:rPr>
          <w:rtl/>
          <w:lang w:bidi="ar-EG"/>
        </w:rPr>
      </w:pPr>
    </w:p>
    <w:p w14:paraId="49944FEF" w14:textId="77777777" w:rsidR="00AB43A5" w:rsidRDefault="00AB43A5" w:rsidP="00C53046">
      <w:pPr>
        <w:rPr>
          <w:rtl/>
          <w:lang w:bidi="ar-EG"/>
        </w:rPr>
      </w:pPr>
    </w:p>
    <w:p w14:paraId="708C848C" w14:textId="77777777" w:rsidR="00AB43A5" w:rsidRDefault="00AB43A5" w:rsidP="00C53046">
      <w:pPr>
        <w:rPr>
          <w:rtl/>
          <w:lang w:bidi="ar-EG"/>
        </w:rPr>
      </w:pPr>
    </w:p>
    <w:p w14:paraId="0F840E1B" w14:textId="77777777" w:rsidR="00AB43A5" w:rsidRDefault="00AB43A5" w:rsidP="00C53046">
      <w:pPr>
        <w:rPr>
          <w:rtl/>
          <w:lang w:bidi="ar-EG"/>
        </w:rPr>
      </w:pPr>
    </w:p>
    <w:p w14:paraId="0279FBE0" w14:textId="77777777" w:rsidR="00AB43A5" w:rsidRDefault="00AB43A5" w:rsidP="00C53046">
      <w:pPr>
        <w:rPr>
          <w:rtl/>
          <w:lang w:bidi="ar-EG"/>
        </w:rPr>
      </w:pPr>
    </w:p>
    <w:p w14:paraId="13200172" w14:textId="77777777" w:rsidR="00AB43A5" w:rsidRDefault="00AB43A5" w:rsidP="00C53046">
      <w:pPr>
        <w:rPr>
          <w:rtl/>
          <w:lang w:bidi="ar-EG"/>
        </w:rPr>
      </w:pPr>
    </w:p>
    <w:p w14:paraId="39B88CDF" w14:textId="77777777" w:rsidR="00AB43A5" w:rsidRDefault="00AB43A5" w:rsidP="00C53046">
      <w:pPr>
        <w:rPr>
          <w:rtl/>
          <w:lang w:bidi="ar-EG"/>
        </w:rPr>
      </w:pPr>
    </w:p>
    <w:p w14:paraId="59D8A0AB" w14:textId="77777777" w:rsidR="00AB43A5" w:rsidRDefault="00AB43A5" w:rsidP="00C53046">
      <w:pPr>
        <w:rPr>
          <w:rtl/>
          <w:lang w:bidi="ar-EG"/>
        </w:rPr>
      </w:pPr>
    </w:p>
    <w:p w14:paraId="7A86551B" w14:textId="77777777" w:rsidR="00AB43A5" w:rsidRDefault="00AB43A5" w:rsidP="00C53046">
      <w:pPr>
        <w:rPr>
          <w:rtl/>
          <w:lang w:bidi="ar-EG"/>
        </w:rPr>
      </w:pPr>
    </w:p>
    <w:p w14:paraId="4F91CD8E" w14:textId="77777777" w:rsidR="00AB43A5" w:rsidRDefault="00AB43A5" w:rsidP="00C53046">
      <w:pPr>
        <w:rPr>
          <w:rtl/>
          <w:lang w:bidi="ar-EG"/>
        </w:rPr>
      </w:pPr>
    </w:p>
    <w:p w14:paraId="75A79851" w14:textId="77777777" w:rsidR="00AB43A5" w:rsidRDefault="00AB43A5" w:rsidP="00C53046">
      <w:pPr>
        <w:rPr>
          <w:rtl/>
          <w:lang w:bidi="ar-EG"/>
        </w:rPr>
      </w:pPr>
    </w:p>
    <w:p w14:paraId="41D68F15" w14:textId="77777777" w:rsidR="00AB43A5" w:rsidRDefault="00AB43A5" w:rsidP="00C53046">
      <w:pPr>
        <w:rPr>
          <w:rtl/>
          <w:lang w:bidi="ar-EG"/>
        </w:rPr>
      </w:pPr>
    </w:p>
    <w:p w14:paraId="03FB0827" w14:textId="77777777" w:rsidR="00AB43A5" w:rsidRPr="00C53046" w:rsidRDefault="00AB43A5" w:rsidP="00C53046">
      <w:pPr>
        <w:rPr>
          <w:rFonts w:hint="cs"/>
          <w:lang w:bidi="ar-EG"/>
        </w:rPr>
      </w:pPr>
    </w:p>
    <w:sectPr w:rsidR="00AB43A5" w:rsidRPr="00C53046" w:rsidSect="00AB43A5">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630941A"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9809A8">
      <w:rPr>
        <w:b/>
        <w:bCs/>
        <w:noProof/>
      </w:rPr>
      <w:t>22</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622648A9"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9809A8">
      <w:rPr>
        <w:b/>
        <w:bCs/>
        <w:noProof/>
        <w:rtl/>
        <w:lang w:bidi="ar-EG"/>
      </w:rPr>
      <w:t>22</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2EE6E450"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w:t>
    </w:r>
    <w:r w:rsidRPr="00A76C6F">
      <w:rPr>
        <w:b/>
        <w:bCs/>
        <w:rtl/>
        <w:lang w:bidi="ar-EG"/>
      </w:rPr>
      <w:t xml:space="preserve">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9809A8">
      <w:rPr>
        <w:b/>
        <w:bCs/>
        <w:noProof/>
        <w:rtl/>
        <w:lang w:bidi="ar-EG"/>
      </w:rPr>
      <w:t>22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49753025"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9809A8">
      <w:rPr>
        <w:b/>
        <w:bCs/>
        <w:noProof/>
        <w:rtl/>
        <w:lang w:bidi="ar-EG"/>
      </w:rPr>
      <w:t>22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2906178E" w14:textId="77777777" w:rsidR="00A47684" w:rsidRDefault="00A47684" w:rsidP="00A47684">
      <w:pPr>
        <w:pStyle w:val="FootnoteText"/>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52FC"/>
    <w:rsid w:val="001B5953"/>
    <w:rsid w:val="001B6830"/>
    <w:rsid w:val="001D41C7"/>
    <w:rsid w:val="001D746E"/>
    <w:rsid w:val="001E190C"/>
    <w:rsid w:val="001E51EE"/>
    <w:rsid w:val="001E54F6"/>
    <w:rsid w:val="001E5A8C"/>
    <w:rsid w:val="00201A0A"/>
    <w:rsid w:val="002057E9"/>
    <w:rsid w:val="002075D4"/>
    <w:rsid w:val="00211B2A"/>
    <w:rsid w:val="00213171"/>
    <w:rsid w:val="002138BD"/>
    <w:rsid w:val="002145C6"/>
    <w:rsid w:val="00223C6C"/>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53585"/>
    <w:rsid w:val="00654230"/>
    <w:rsid w:val="0065562F"/>
    <w:rsid w:val="0066267D"/>
    <w:rsid w:val="00664B01"/>
    <w:rsid w:val="00665832"/>
    <w:rsid w:val="00670C11"/>
    <w:rsid w:val="006779A4"/>
    <w:rsid w:val="00680A38"/>
    <w:rsid w:val="00680A66"/>
    <w:rsid w:val="00680FB1"/>
    <w:rsid w:val="00681391"/>
    <w:rsid w:val="006819AB"/>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50655"/>
    <w:rsid w:val="00854407"/>
    <w:rsid w:val="0085569D"/>
    <w:rsid w:val="00855B59"/>
    <w:rsid w:val="00855D57"/>
    <w:rsid w:val="0085774F"/>
    <w:rsid w:val="008614B8"/>
    <w:rsid w:val="00863FEE"/>
    <w:rsid w:val="008657CB"/>
    <w:rsid w:val="00873A6F"/>
    <w:rsid w:val="0088384B"/>
    <w:rsid w:val="00884282"/>
    <w:rsid w:val="008879AE"/>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AF0"/>
    <w:rsid w:val="008E1A32"/>
    <w:rsid w:val="008E2CBE"/>
    <w:rsid w:val="008E32DD"/>
    <w:rsid w:val="008F4626"/>
    <w:rsid w:val="009004DF"/>
    <w:rsid w:val="00902E2A"/>
    <w:rsid w:val="00903DB9"/>
    <w:rsid w:val="00904AA5"/>
    <w:rsid w:val="009151F1"/>
    <w:rsid w:val="00917DC9"/>
    <w:rsid w:val="009234D3"/>
    <w:rsid w:val="0093046E"/>
    <w:rsid w:val="00941CDF"/>
    <w:rsid w:val="00951718"/>
    <w:rsid w:val="009536BA"/>
    <w:rsid w:val="009538F2"/>
    <w:rsid w:val="00960962"/>
    <w:rsid w:val="00966FA2"/>
    <w:rsid w:val="00972CE0"/>
    <w:rsid w:val="00972F79"/>
    <w:rsid w:val="0097742C"/>
    <w:rsid w:val="009809A8"/>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4AF9"/>
    <w:rsid w:val="00AA6493"/>
    <w:rsid w:val="00AA6EF1"/>
    <w:rsid w:val="00AB2A33"/>
    <w:rsid w:val="00AB43A5"/>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71759"/>
    <w:rsid w:val="00C8199C"/>
    <w:rsid w:val="00C84112"/>
    <w:rsid w:val="00C841EB"/>
    <w:rsid w:val="00C8665F"/>
    <w:rsid w:val="00C917B5"/>
    <w:rsid w:val="00C94DFA"/>
    <w:rsid w:val="00CA0B64"/>
    <w:rsid w:val="00CA14FD"/>
    <w:rsid w:val="00CA298C"/>
    <w:rsid w:val="00CB05C2"/>
    <w:rsid w:val="00CB2BF9"/>
    <w:rsid w:val="00CB33CC"/>
    <w:rsid w:val="00CB4300"/>
    <w:rsid w:val="00CB454E"/>
    <w:rsid w:val="00CB49A1"/>
    <w:rsid w:val="00CB64DC"/>
    <w:rsid w:val="00CC030E"/>
    <w:rsid w:val="00CC115E"/>
    <w:rsid w:val="00CC164B"/>
    <w:rsid w:val="00CC68C4"/>
    <w:rsid w:val="00CC79A4"/>
    <w:rsid w:val="00CD0FDE"/>
    <w:rsid w:val="00CD1CC7"/>
    <w:rsid w:val="00CE0E68"/>
    <w:rsid w:val="00CE3E10"/>
    <w:rsid w:val="00CE5BA4"/>
    <w:rsid w:val="00CF2A40"/>
    <w:rsid w:val="00CF2EDE"/>
    <w:rsid w:val="00CF45F6"/>
    <w:rsid w:val="00CF4B03"/>
    <w:rsid w:val="00CF7931"/>
    <w:rsid w:val="00D06528"/>
    <w:rsid w:val="00D1576B"/>
    <w:rsid w:val="00D179AA"/>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C0E"/>
    <w:rsid w:val="00DE1E82"/>
    <w:rsid w:val="00DE7387"/>
    <w:rsid w:val="00DF1928"/>
    <w:rsid w:val="00DF2A6A"/>
    <w:rsid w:val="00DF3B72"/>
    <w:rsid w:val="00E01DFD"/>
    <w:rsid w:val="00E04E88"/>
    <w:rsid w:val="00E0566F"/>
    <w:rsid w:val="00E10821"/>
    <w:rsid w:val="00E1093A"/>
    <w:rsid w:val="00E12CA3"/>
    <w:rsid w:val="00E16E67"/>
    <w:rsid w:val="00E21DF0"/>
    <w:rsid w:val="00E224A1"/>
    <w:rsid w:val="00E2489D"/>
    <w:rsid w:val="00E26520"/>
    <w:rsid w:val="00E30733"/>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958"/>
    <w:rsid w:val="00F900C9"/>
    <w:rsid w:val="00F92C96"/>
    <w:rsid w:val="00F97D1C"/>
    <w:rsid w:val="00FA0D4E"/>
    <w:rsid w:val="00FA30DA"/>
    <w:rsid w:val="00FA41B7"/>
    <w:rsid w:val="00FB0753"/>
    <w:rsid w:val="00FB3E8D"/>
    <w:rsid w:val="00FB4581"/>
    <w:rsid w:val="00FB5CC8"/>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bf6fb32c-fdd7-4c1d-9827-aab97e27f707"/>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1897</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القـرار 20 – إجراءات تخصيص وإدارة الموارد الدولية للترقيم والتسمية والعنونة وتحديد الهوية في مجال الاتصالات</vt:lpstr>
    </vt:vector>
  </TitlesOfParts>
  <Manager>General Secretariat - Pool</Manager>
  <Company>International Telecommunication Union (ITU)</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22 – تفويض الفريق الاستشاري لتقييس الاتصالات بالتصرف بين دورات انعقاد الجمعية العالمية لتقييس الاتصالات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49</cp:revision>
  <cp:lastPrinted>2024-11-26T12:33:00Z</cp:lastPrinted>
  <dcterms:created xsi:type="dcterms:W3CDTF">2024-11-08T10:24:00Z</dcterms:created>
  <dcterms:modified xsi:type="dcterms:W3CDTF">2024-11-26T12:34:00Z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