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Start w:id="1" w:name="_GoBack"/>
            <w:bookmarkEnd w:id="0"/>
            <w:r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-778510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2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3" w:name="ddatee" w:colFirst="1" w:colLast="1"/>
            <w:bookmarkEnd w:id="2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AB5AD8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4" w:name="dsece" w:colFirst="1" w:colLast="1"/>
            <w:bookmarkEnd w:id="3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54644C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>Дубай, 20–29 ноября 2012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AB5AD8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5" w:name="c1tite" w:colFirst="1" w:colLast="1"/>
            <w:bookmarkEnd w:id="4"/>
          </w:p>
        </w:tc>
        <w:tc>
          <w:tcPr>
            <w:tcW w:w="8530" w:type="dxa"/>
            <w:gridSpan w:val="4"/>
          </w:tcPr>
          <w:p w:rsidR="009663D2" w:rsidRPr="000E3B4E" w:rsidRDefault="009663D2" w:rsidP="00ED3EEC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0E3B4E" w:rsidRPr="000E3B4E">
              <w:rPr>
                <w:rFonts w:ascii="Arial" w:hAnsi="Arial"/>
                <w:b/>
                <w:bCs/>
                <w:sz w:val="36"/>
                <w:lang w:val="ru-RU"/>
              </w:rPr>
              <w:t>22</w:t>
            </w:r>
            <w:r w:rsidR="00F90058"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>–</w:t>
            </w:r>
            <w:r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bookmarkStart w:id="6" w:name="_Toc349120771"/>
            <w:r w:rsidR="000E3B4E" w:rsidRPr="000E3B4E">
              <w:rPr>
                <w:rFonts w:ascii="Arial" w:hAnsi="Arial"/>
                <w:b/>
                <w:bCs/>
                <w:sz w:val="36"/>
                <w:lang w:val="ru-RU"/>
              </w:rPr>
              <w:t>Санкционирование деятельности Консультативной группы по стандартизации электросвязи в периоды между всемирными</w:t>
            </w:r>
            <w:r w:rsidR="00ED3EEC" w:rsidRPr="00ED3EEC"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="000E3B4E" w:rsidRPr="000E3B4E">
              <w:rPr>
                <w:rFonts w:ascii="Arial" w:hAnsi="Arial"/>
                <w:b/>
                <w:bCs/>
                <w:sz w:val="36"/>
                <w:lang w:val="ru-RU"/>
              </w:rPr>
              <w:t>ассамблеями по стандартизации электросвязи</w:t>
            </w:r>
            <w:bookmarkEnd w:id="6"/>
          </w:p>
        </w:tc>
      </w:tr>
      <w:bookmarkEnd w:id="5"/>
      <w:tr w:rsidR="009663D2" w:rsidRPr="00AB5AD8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311D18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7" w:name="dnum2e"/>
            <w:bookmarkEnd w:id="7"/>
            <w:r w:rsidRPr="002352B3">
              <w:rPr>
                <w:noProof/>
                <w:lang w:val="ru-RU"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311D18" w:rsidRDefault="009663D2" w:rsidP="00F90058">
      <w:pPr>
        <w:spacing w:before="0"/>
        <w:jc w:val="right"/>
        <w:rPr>
          <w:lang w:val="ru-RU"/>
        </w:rPr>
      </w:pPr>
      <w:bookmarkStart w:id="8" w:name="c2tope"/>
      <w:bookmarkStart w:id="9" w:name="irecnoe"/>
      <w:bookmarkStart w:id="10" w:name="p1rectexte"/>
      <w:bookmarkEnd w:id="8"/>
      <w:bookmarkEnd w:id="9"/>
      <w:bookmarkEnd w:id="10"/>
    </w:p>
    <w:p w:rsidR="00B31B8D" w:rsidRPr="00F55D44" w:rsidRDefault="00B31B8D" w:rsidP="00AF663A">
      <w:pPr>
        <w:rPr>
          <w:lang w:val="ru-RU"/>
        </w:rPr>
        <w:sectPr w:rsidR="00B31B8D" w:rsidRPr="00F55D44" w:rsidSect="00ED3EEC">
          <w:footerReference w:type="even" r:id="rId11"/>
          <w:footnotePr>
            <w:numRestart w:val="eachSect"/>
          </w:footnotePr>
          <w:type w:val="continuous"/>
          <w:pgSz w:w="11907" w:h="16840" w:code="9"/>
          <w:pgMar w:top="1134" w:right="1134" w:bottom="1134" w:left="1077" w:header="567" w:footer="567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AF663A" w:rsidRPr="00F55D44" w:rsidRDefault="00AF663A" w:rsidP="0042255F">
      <w:pPr>
        <w:pStyle w:val="Normalaftertitle"/>
        <w:rPr>
          <w:sz w:val="20"/>
          <w:lang w:val="ru-RU"/>
        </w:rPr>
      </w:pPr>
      <w:r w:rsidRPr="00F55D44">
        <w:rPr>
          <w:sz w:val="20"/>
          <w:lang w:val="ru-RU"/>
        </w:rPr>
        <w:t xml:space="preserve">Международный союз электросвязи (МСЭ) является специализированным учреждением Организации Объединенных Наций в области электросвязи. Сектор стандартизации электросвязи </w:t>
      </w:r>
      <w:r w:rsidR="0042255F" w:rsidRPr="00F55D44">
        <w:rPr>
          <w:sz w:val="20"/>
          <w:lang w:val="ru-RU"/>
        </w:rPr>
        <w:t xml:space="preserve">МСЭ </w:t>
      </w:r>
      <w:r w:rsidRPr="00F55D44">
        <w:rPr>
          <w:sz w:val="20"/>
          <w:lang w:val="ru-RU"/>
        </w:rPr>
        <w:t xml:space="preserve">(МСЭ-Т) – постоянный орган МСЭ. МСЭ-Т отвечает за </w:t>
      </w:r>
      <w:r w:rsidR="0042255F" w:rsidRPr="00F55D44">
        <w:rPr>
          <w:sz w:val="20"/>
          <w:lang w:val="ru-RU"/>
        </w:rPr>
        <w:t>исследование</w:t>
      </w:r>
      <w:r w:rsidRPr="00F55D44">
        <w:rPr>
          <w:sz w:val="20"/>
          <w:lang w:val="ru-RU"/>
        </w:rPr>
        <w:t xml:space="preserve">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AF663A" w:rsidRPr="00F55D44" w:rsidRDefault="00AF663A" w:rsidP="00AF663A">
      <w:pPr>
        <w:rPr>
          <w:sz w:val="20"/>
          <w:lang w:val="ru-RU"/>
        </w:rPr>
      </w:pPr>
      <w:r w:rsidRPr="00F55D44">
        <w:rPr>
          <w:sz w:val="20"/>
          <w:lang w:val="ru-RU"/>
        </w:rPr>
        <w:t>Всемирная ассамблея по стандартизации электросвязи (ВАСЭ), которая проводится каждые четыре года, определяет темы для изучения Исследовательскими комиссиями МСЭ-Т, которые, в свою очередь, разрабатывают Рекомендации по этим темам.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311D18" w:rsidRDefault="00AF663A" w:rsidP="0054644C">
      <w:pPr>
        <w:jc w:val="center"/>
        <w:rPr>
          <w:sz w:val="20"/>
          <w:lang w:val="ru-RU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11" w:name="iiannee"/>
      <w:bookmarkEnd w:id="11"/>
      <w:r w:rsidRPr="00F55D44">
        <w:rPr>
          <w:sz w:val="20"/>
          <w:lang w:val="ru-RU"/>
        </w:rPr>
        <w:t>20</w:t>
      </w:r>
      <w:r w:rsidR="0054644C" w:rsidRPr="00311D18">
        <w:rPr>
          <w:sz w:val="20"/>
          <w:lang w:val="ru-RU"/>
        </w:rPr>
        <w:t>13</w:t>
      </w:r>
    </w:p>
    <w:p w:rsidR="00AF663A" w:rsidRPr="00F55D44" w:rsidRDefault="00AF663A" w:rsidP="00F90058">
      <w:pPr>
        <w:rPr>
          <w:sz w:val="20"/>
          <w:lang w:val="ru-RU"/>
        </w:rPr>
      </w:pPr>
      <w:r w:rsidRPr="00F55D44">
        <w:rPr>
          <w:sz w:val="20"/>
          <w:lang w:val="ru-RU"/>
        </w:rPr>
        <w:t xml:space="preserve">Все права сохранены. </w:t>
      </w:r>
      <w:r w:rsidR="00F90058" w:rsidRPr="0054644C">
        <w:rPr>
          <w:sz w:val="20"/>
          <w:lang w:val="ru-RU"/>
        </w:rPr>
        <w:t xml:space="preserve">Ни одна из частей данной </w:t>
      </w:r>
      <w:r w:rsidRPr="00F55D44">
        <w:rPr>
          <w:sz w:val="20"/>
          <w:lang w:val="ru-RU"/>
        </w:rPr>
        <w:t>публикации не может быть</w:t>
      </w:r>
      <w:r w:rsidR="0042255F" w:rsidRPr="00F55D44">
        <w:rPr>
          <w:sz w:val="20"/>
          <w:lang w:val="ru-RU"/>
        </w:rPr>
        <w:t xml:space="preserve"> воспроизведена с помощью каких бы то ни было</w:t>
      </w:r>
      <w:r w:rsidRPr="00F55D44">
        <w:rPr>
          <w:sz w:val="20"/>
          <w:lang w:val="ru-RU"/>
        </w:rPr>
        <w:t xml:space="preserve">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ED3EEC">
          <w:foot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134" w:right="1077" w:bottom="1134" w:left="1077" w:header="567" w:footer="567" w:gutter="0"/>
          <w:pgNumType w:fmt="lowerRoman"/>
          <w:cols w:space="720"/>
          <w:vAlign w:val="both"/>
        </w:sectPr>
      </w:pPr>
    </w:p>
    <w:p w:rsidR="000E3B4E" w:rsidRPr="001663CF" w:rsidRDefault="000E3B4E" w:rsidP="000E3B4E">
      <w:pPr>
        <w:pStyle w:val="ResNo"/>
        <w:spacing w:before="0"/>
      </w:pPr>
      <w:r w:rsidRPr="00A524B6">
        <w:lastRenderedPageBreak/>
        <w:t xml:space="preserve">Резолюция </w:t>
      </w:r>
      <w:r w:rsidRPr="00E10BC6">
        <w:rPr>
          <w:rStyle w:val="href"/>
        </w:rPr>
        <w:t>22</w:t>
      </w:r>
      <w:r w:rsidRPr="001663CF">
        <w:t xml:space="preserve"> (</w:t>
      </w:r>
      <w:r>
        <w:rPr>
          <w:caps w:val="0"/>
        </w:rPr>
        <w:t>Пересм</w:t>
      </w:r>
      <w:r>
        <w:t xml:space="preserve">. </w:t>
      </w:r>
      <w:r>
        <w:rPr>
          <w:caps w:val="0"/>
        </w:rPr>
        <w:t>Дубай</w:t>
      </w:r>
      <w:r>
        <w:t xml:space="preserve">, 2012 </w:t>
      </w:r>
      <w:r>
        <w:rPr>
          <w:caps w:val="0"/>
        </w:rPr>
        <w:t>г</w:t>
      </w:r>
      <w:r>
        <w:t>.</w:t>
      </w:r>
      <w:r w:rsidRPr="001663CF">
        <w:t>)</w:t>
      </w:r>
    </w:p>
    <w:p w:rsidR="000E3B4E" w:rsidRPr="000E3B4E" w:rsidRDefault="000E3B4E" w:rsidP="000E3B4E">
      <w:pPr>
        <w:pStyle w:val="Restitle"/>
        <w:rPr>
          <w:lang w:val="ru-RU"/>
        </w:rPr>
      </w:pPr>
      <w:r w:rsidRPr="000E3B4E">
        <w:rPr>
          <w:lang w:val="ru-RU"/>
        </w:rPr>
        <w:t>Санкционирование деятельности Консультативной группы по стандартизации электросвязи в периоды между всемирными</w:t>
      </w:r>
      <w:r>
        <w:rPr>
          <w:rFonts w:asciiTheme="minorHAnsi" w:hAnsiTheme="minorHAnsi"/>
          <w:lang w:val="ru-RU"/>
        </w:rPr>
        <w:br/>
      </w:r>
      <w:r w:rsidRPr="000E3B4E">
        <w:rPr>
          <w:lang w:val="ru-RU"/>
        </w:rPr>
        <w:t>ассамблеями по стандартизации электросвязи</w:t>
      </w:r>
    </w:p>
    <w:p w:rsidR="000E3B4E" w:rsidRPr="000E3B4E" w:rsidRDefault="000E3B4E" w:rsidP="000E3B4E">
      <w:pPr>
        <w:pStyle w:val="Resref"/>
        <w:rPr>
          <w:lang w:val="ru-RU"/>
        </w:rPr>
      </w:pPr>
      <w:r w:rsidRPr="000E3B4E">
        <w:rPr>
          <w:lang w:val="ru-RU"/>
        </w:rPr>
        <w:t xml:space="preserve">(Женева, 1996 г.; Монреаль, 2000 г.; Флорианополис, 2004 г.; </w:t>
      </w:r>
      <w:r w:rsidRPr="000E3B4E">
        <w:rPr>
          <w:lang w:val="ru-RU"/>
        </w:rPr>
        <w:br/>
        <w:t>Йоханнесбург 2008 г.; Дубай, 2012 г.)</w:t>
      </w:r>
    </w:p>
    <w:p w:rsidR="000E3B4E" w:rsidRPr="000E3B4E" w:rsidRDefault="000E3B4E" w:rsidP="000E3B4E">
      <w:pPr>
        <w:pStyle w:val="Normalaftertitle"/>
        <w:rPr>
          <w:lang w:val="ru-RU"/>
        </w:rPr>
      </w:pPr>
      <w:r w:rsidRPr="000E3B4E">
        <w:rPr>
          <w:lang w:val="ru-RU"/>
        </w:rPr>
        <w:t>Всемирная ассамблея по стандартизации электросвязи (Дубай, 2012 г.),</w:t>
      </w:r>
    </w:p>
    <w:p w:rsidR="000E3B4E" w:rsidRPr="000E3B4E" w:rsidRDefault="000E3B4E" w:rsidP="000E3B4E">
      <w:pPr>
        <w:pStyle w:val="Call"/>
        <w:rPr>
          <w:lang w:val="ru-RU"/>
        </w:rPr>
      </w:pPr>
      <w:r w:rsidRPr="000E3B4E">
        <w:rPr>
          <w:lang w:val="ru-RU"/>
        </w:rPr>
        <w:t>учитывая</w:t>
      </w:r>
      <w:r w:rsidRPr="000E3B4E">
        <w:rPr>
          <w:i w:val="0"/>
          <w:iCs/>
          <w:lang w:val="ru-RU"/>
        </w:rPr>
        <w:t>,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i/>
          <w:iCs/>
          <w:lang w:val="ru-RU"/>
        </w:rPr>
        <w:t>а)</w:t>
      </w:r>
      <w:r w:rsidRPr="000E3B4E">
        <w:rPr>
          <w:lang w:val="ru-RU"/>
        </w:rPr>
        <w:tab/>
        <w:t>что согласно положениям Статьи 14А Конвенции МСЭ Консультативная группа по стандартизации электросвязи (КГСЭ) обеспечивает руководящие указания для работы исследовательских комиссий и рекомендует меры по улучшению координации работы и сотрудничества с другими органами по стандартизации;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b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быстрые темпы изменений в среде электросвязи и в отраслевых группах, занимающихся электросвязью, требуют, чтобы Сектор стандартизации электросвязи МСЭ (МСЭ-Т) в период между всемирными ассамблеями по стандартизации электросвязи (ВАСЭ) в целях поддержания своего авторитета и оперативности реагирования на возникающие проблемы принимал решения по таким вопросам, как приоритеты в работе, структура исследовательских комиссий и расписания собраний, в более короткие сроки;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c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в Резолюции 122 (Пересм.</w:t>
      </w:r>
      <w:r>
        <w:rPr>
          <w:lang w:val="ru-RU"/>
        </w:rPr>
        <w:t> </w:t>
      </w:r>
      <w:r w:rsidRPr="000E3B4E">
        <w:rPr>
          <w:lang w:val="ru-RU"/>
        </w:rPr>
        <w:t>Гвадалахара, 2010</w:t>
      </w:r>
      <w:r>
        <w:rPr>
          <w:lang w:val="ru-RU"/>
        </w:rPr>
        <w:t> </w:t>
      </w:r>
      <w:r w:rsidRPr="000E3B4E">
        <w:rPr>
          <w:lang w:val="ru-RU"/>
        </w:rPr>
        <w:t>г.) Полномочной конференции предусматривается, что ВАСЭ должна по-прежнему, в соответствии со своими обязанностями и при наличии финансовых средств, содействовать дальнейшему развитию сектора стандартизации и</w:t>
      </w:r>
      <w:r w:rsidRPr="00A524B6">
        <w:t> </w:t>
      </w:r>
      <w:r w:rsidRPr="000E3B4E">
        <w:rPr>
          <w:lang w:val="ru-RU"/>
        </w:rPr>
        <w:t>адекватно определять стратегические вопросы в области стандартизации, например с помощью укрепления КГСЭ, но не ограничиваясь этим;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  <w:lang w:eastAsia="ko-KR"/>
        </w:rPr>
        <w:t>d</w:t>
      </w:r>
      <w:r w:rsidRPr="000E3B4E">
        <w:rPr>
          <w:i/>
          <w:iCs/>
          <w:lang w:val="ru-RU" w:eastAsia="ko-KR"/>
        </w:rPr>
        <w:t>)</w:t>
      </w:r>
      <w:r w:rsidRPr="000E3B4E">
        <w:rPr>
          <w:lang w:val="ru-RU" w:eastAsia="ko-KR"/>
        </w:rPr>
        <w:tab/>
        <w:t>что в Резолюции 122 (Пересм.</w:t>
      </w:r>
      <w:r>
        <w:rPr>
          <w:lang w:val="ru-RU" w:eastAsia="ko-KR"/>
        </w:rPr>
        <w:t> </w:t>
      </w:r>
      <w:r w:rsidRPr="000E3B4E">
        <w:rPr>
          <w:lang w:val="ru-RU"/>
        </w:rPr>
        <w:t>Гвадалахара, 2010</w:t>
      </w:r>
      <w:r>
        <w:rPr>
          <w:lang w:val="ru-RU"/>
        </w:rPr>
        <w:t> </w:t>
      </w:r>
      <w:r w:rsidRPr="000E3B4E">
        <w:rPr>
          <w:lang w:val="ru-RU"/>
        </w:rPr>
        <w:t>г.</w:t>
      </w:r>
      <w:r w:rsidRPr="000E3B4E">
        <w:rPr>
          <w:lang w:val="ru-RU" w:eastAsia="ko-KR"/>
        </w:rPr>
        <w:t xml:space="preserve">) Директору Бюро стандартизации электросвязи (БСЭ) поручается продолжать, </w:t>
      </w:r>
      <w:r w:rsidRPr="000E3B4E">
        <w:rPr>
          <w:lang w:val="ru-RU"/>
        </w:rPr>
        <w:t>по согласованию с соответствующими органами, а также Членами МСЭ и при координации, в надлежащих случаях, с Сектором радиосвязи МСЭ и Сектором развития электросвязи МСЭ, организовывать Глобальный симпозиум по стандартам (ГСС);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  <w:lang w:eastAsia="ko-KR"/>
        </w:rPr>
        <w:t>e</w:t>
      </w:r>
      <w:r w:rsidRPr="000E3B4E">
        <w:rPr>
          <w:i/>
          <w:iCs/>
          <w:lang w:val="ru-RU" w:eastAsia="ko-KR"/>
        </w:rPr>
        <w:t>)</w:t>
      </w:r>
      <w:r w:rsidRPr="000E3B4E">
        <w:rPr>
          <w:lang w:val="ru-RU" w:eastAsia="ko-KR"/>
        </w:rPr>
        <w:tab/>
        <w:t>что ГСС проводился совместно со Всемирной ассамблеей по стандартизации электросвязи с целью рассмотрения вопроса о преодолении разрыва в</w:t>
      </w:r>
      <w:r w:rsidRPr="00A524B6">
        <w:rPr>
          <w:lang w:eastAsia="ko-KR"/>
        </w:rPr>
        <w:t> </w:t>
      </w:r>
      <w:r w:rsidRPr="000E3B4E">
        <w:rPr>
          <w:lang w:val="ru-RU" w:eastAsia="ko-KR"/>
        </w:rPr>
        <w:t>стандартизации и изучения вопросов, связанных с глобальными стандартами в области ИКТ;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f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КГСЭ продолжает вносить предложения по повышению эффективности работы МСЭ-Т, повышению качества Рекомендаций МСЭ-Т, а также по методам координации работы и сотрудничества;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g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КГСЭ может оказать помощь в совершенствовании координации процесса исследований и подготовить усовершенствованные процедуры принятия решений по важнейшим областям деятельности МСЭ-Т;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h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для адаптации к быстрым изменениям в среде электросвязи необходимы гибкие административные процедуры, в том числе и процедуры, касающиеся бюджетных вопросов;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i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для своевременного учета потребностей рынка желательно, чтобы КГСЭ принимала решения в течение четырехгодичного периода между ВАСЭ;</w:t>
      </w:r>
    </w:p>
    <w:p w:rsidR="000E3B4E" w:rsidRPr="000E3B4E" w:rsidRDefault="000E3B4E" w:rsidP="000E3B4E">
      <w:pPr>
        <w:pageBreakBefore/>
        <w:rPr>
          <w:lang w:val="ru-RU"/>
        </w:rPr>
      </w:pPr>
      <w:r w:rsidRPr="00A524B6">
        <w:rPr>
          <w:i/>
          <w:iCs/>
        </w:rPr>
        <w:lastRenderedPageBreak/>
        <w:t>j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желательно, чтобы КГСЭ рассматривала вопрос о последствиях новых технологий для деятельности МСЭ-Т в области стандартизации, а также о том, как такие технологии могут быть включены в программу работы МСЭ-Т;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k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КГСЭ может играть важную роль в обеспечении надлежащей координации между исследовательскими комиссиями по вопросам стандартизации, включая, в случае необходимости, предотвращение дублирования работы, и в установлении связей и взаимозависимости между соответствующими направлениями работы;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l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в процессе предоставления консультаций исследовательским комиссиям КГСЭ может принимать во внимание рекомендации других групп,</w:t>
      </w:r>
    </w:p>
    <w:p w:rsidR="000E3B4E" w:rsidRPr="000E3B4E" w:rsidRDefault="000E3B4E" w:rsidP="000E3B4E">
      <w:pPr>
        <w:pStyle w:val="Call"/>
        <w:rPr>
          <w:lang w:val="ru-RU"/>
        </w:rPr>
      </w:pPr>
      <w:r w:rsidRPr="000E3B4E">
        <w:rPr>
          <w:lang w:val="ru-RU"/>
        </w:rPr>
        <w:t>отмечая</w:t>
      </w:r>
      <w:r w:rsidRPr="000E3B4E">
        <w:rPr>
          <w:i w:val="0"/>
          <w:iCs/>
          <w:lang w:val="ru-RU"/>
        </w:rPr>
        <w:t>,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i/>
          <w:iCs/>
          <w:lang w:val="ru-RU"/>
        </w:rPr>
        <w:t>а)</w:t>
      </w:r>
      <w:r w:rsidRPr="000E3B4E">
        <w:rPr>
          <w:lang w:val="ru-RU"/>
        </w:rPr>
        <w:tab/>
        <w:t>что в Статье 13 Конвенции говорится, что ВАСЭ может поручать КГСЭ конкретные вопросы, относящиеся к ее компетенции, с указанием мер, которые необходимо принять для их решения;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b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обязанности ВАСЭ определены в Конвенции;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i/>
          <w:iCs/>
          <w:lang w:val="ru-RU"/>
        </w:rPr>
        <w:t>с)</w:t>
      </w:r>
      <w:r w:rsidRPr="000E3B4E">
        <w:rPr>
          <w:lang w:val="ru-RU"/>
        </w:rPr>
        <w:tab/>
        <w:t>что существующий четырехгодичный цикл проведения ВАСЭ в значительной степени затрудняет возможность рассмотрения непредвиденных вопросов, требующих принятия срочных мер в промежуточный период между ассамблеями;</w:t>
      </w:r>
    </w:p>
    <w:p w:rsidR="000E3B4E" w:rsidRPr="000E3B4E" w:rsidRDefault="000E3B4E" w:rsidP="000E3B4E">
      <w:pPr>
        <w:rPr>
          <w:lang w:val="ru-RU"/>
        </w:rPr>
      </w:pPr>
      <w:r w:rsidRPr="00A524B6">
        <w:rPr>
          <w:i/>
          <w:iCs/>
        </w:rPr>
        <w:t>d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что собрания КГСЭ проводятся по крайней мере ежегодно;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i/>
          <w:iCs/>
          <w:lang w:val="ru-RU"/>
        </w:rPr>
        <w:t>е)</w:t>
      </w:r>
      <w:r w:rsidRPr="000E3B4E">
        <w:rPr>
          <w:lang w:val="ru-RU"/>
        </w:rPr>
        <w:tab/>
        <w:t>что КГСЭ уже продемонстрировала свою способность к эффективным действиям по вопросам, порученным ей ВАСЭ,</w:t>
      </w:r>
    </w:p>
    <w:p w:rsidR="000E3B4E" w:rsidRPr="000E3B4E" w:rsidRDefault="000E3B4E" w:rsidP="000E3B4E">
      <w:pPr>
        <w:pStyle w:val="Call"/>
        <w:rPr>
          <w:lang w:val="ru-RU"/>
        </w:rPr>
      </w:pPr>
      <w:r w:rsidRPr="000E3B4E">
        <w:rPr>
          <w:lang w:val="ru-RU"/>
        </w:rPr>
        <w:t>признавая</w:t>
      </w:r>
      <w:r w:rsidRPr="000E3B4E">
        <w:rPr>
          <w:i w:val="0"/>
          <w:iCs/>
          <w:lang w:val="ru-RU"/>
        </w:rPr>
        <w:t>,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lang w:val="ru-RU"/>
        </w:rPr>
        <w:t>что Полномочная конференция (Марракеш, 2002 г.) приняла пп.</w:t>
      </w:r>
      <w:r>
        <w:t> </w:t>
      </w:r>
      <w:r w:rsidRPr="000E3B4E">
        <w:rPr>
          <w:lang w:val="ru-RU"/>
        </w:rPr>
        <w:t>191А и 191В Конвенции, в которых ВАСЭ разрешается учреждать другие группы и прекращать их деятельность,</w:t>
      </w:r>
    </w:p>
    <w:p w:rsidR="000E3B4E" w:rsidRPr="000E3B4E" w:rsidRDefault="000E3B4E" w:rsidP="000E3B4E">
      <w:pPr>
        <w:pStyle w:val="Call"/>
        <w:rPr>
          <w:lang w:val="ru-RU"/>
        </w:rPr>
      </w:pPr>
      <w:r w:rsidRPr="000E3B4E">
        <w:rPr>
          <w:lang w:val="ru-RU"/>
        </w:rPr>
        <w:t>решает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lang w:val="ru-RU"/>
        </w:rPr>
        <w:t>1</w:t>
      </w:r>
      <w:r w:rsidRPr="000E3B4E">
        <w:rPr>
          <w:lang w:val="ru-RU"/>
        </w:rPr>
        <w:tab/>
        <w:t>поручить КГСЭ в период между настоящей и последующей ассамблеями рассмотрение следующих относящихся к ее компетенции конкретных вопросов и выполнение соответствующих видов работы, при консультациях в необходимых случаях с Директором БСЭ: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0E3B4E">
        <w:rPr>
          <w:i/>
          <w:iCs/>
          <w:lang w:val="ru-RU"/>
        </w:rPr>
        <w:t>а)</w:t>
      </w:r>
      <w:r w:rsidRPr="000E3B4E">
        <w:rPr>
          <w:lang w:val="ru-RU"/>
        </w:rPr>
        <w:tab/>
        <w:t>обеспечение современных, эффективных и гибких руководящих указаний по выполнению работы;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A524B6">
        <w:rPr>
          <w:i/>
          <w:iCs/>
        </w:rPr>
        <w:t>b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принятие на себя обязательств в отношении Рекомендаций МСЭ-Т серии А (Организация работы МСЭ</w:t>
      </w:r>
      <w:r w:rsidRPr="000E3B4E">
        <w:rPr>
          <w:lang w:val="ru-RU"/>
        </w:rPr>
        <w:noBreakHyphen/>
        <w:t>Т), включая их разработку и представление на утверждение в соответствии с установленными процедурами;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0E3B4E">
        <w:rPr>
          <w:i/>
          <w:iCs/>
          <w:lang w:val="ru-RU"/>
        </w:rPr>
        <w:t>с)</w:t>
      </w:r>
      <w:r w:rsidRPr="000E3B4E">
        <w:rPr>
          <w:lang w:val="ru-RU"/>
        </w:rPr>
        <w:tab/>
        <w:t>реорганизация и создание исследовательских комиссий МСЭ-Т и назначение их председателей и заместителей председателей на период до следующей ВАСЭ в целях реагирования на изменения на рынке электросвязи;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A524B6">
        <w:rPr>
          <w:i/>
          <w:iCs/>
        </w:rPr>
        <w:t>d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выдача рекомендаций по составлению расписаний работы исследовательских комиссий в целях соблюдения приоритетов по вопросам стандартизации;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A524B6">
        <w:rPr>
          <w:i/>
          <w:iCs/>
        </w:rPr>
        <w:t>e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наряду с признанием преимущественной роли исследовательских комиссий в осуществлении деятельности МСЭ-Т создание, прекращение деятельности или поддержание других групп, включая оперативные группы, назначение их председателей и заместителей председателей и определение круга их ведения с указанием определенного срока в соответствии с пп.</w:t>
      </w:r>
      <w:r>
        <w:t> </w:t>
      </w:r>
      <w:r w:rsidRPr="000E3B4E">
        <w:rPr>
          <w:lang w:val="ru-RU"/>
        </w:rPr>
        <w:t>191А и 191В Конвенции в целях усовершенствования и повышения эффективности деятельности МСЭ-Т, а также обеспечения гибкости в оперативном реагировании на вопросы первостепенной важности; согласно Статье 14А Устава, в компетенцию таких групп не входит принятие Вопросов или Рекомендаций, но они должны работать в соответствии с конкретным мандатом;</w:t>
      </w:r>
    </w:p>
    <w:p w:rsidR="000E3B4E" w:rsidRPr="000E3B4E" w:rsidRDefault="000E3B4E" w:rsidP="000E3B4E">
      <w:pPr>
        <w:pStyle w:val="enumlev1"/>
        <w:pageBreakBefore/>
        <w:rPr>
          <w:lang w:val="ru-RU"/>
        </w:rPr>
      </w:pPr>
      <w:r w:rsidRPr="00A524B6">
        <w:rPr>
          <w:i/>
          <w:iCs/>
        </w:rPr>
        <w:lastRenderedPageBreak/>
        <w:t>f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обзор отчетов и рассмотрение соответствующих предложений, сделанных координационными группами и другими группами, и реализация тех из них, по которым достигнуто согласие;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A524B6">
        <w:rPr>
          <w:i/>
          <w:iCs/>
        </w:rPr>
        <w:t>g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создание и содействие использованию надлежащего механизма, например координационных групп или других групп для рассмотрения ключевых направлений работы, являющихся предметом деятельности нескольких исследовательских комиссий, с</w:t>
      </w:r>
      <w:r w:rsidRPr="00A524B6">
        <w:t> </w:t>
      </w:r>
      <w:r w:rsidRPr="000E3B4E">
        <w:rPr>
          <w:lang w:val="ru-RU"/>
        </w:rPr>
        <w:t>целью обеспечения эффективной координации тематики в области стандартизации для принятия приемлемых глобальных решений;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A524B6">
        <w:rPr>
          <w:i/>
          <w:iCs/>
        </w:rPr>
        <w:t>h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предоставление Директору БСЭ рекомендаций по финансовым и другим вопросам;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A524B6">
        <w:rPr>
          <w:i/>
          <w:iCs/>
        </w:rPr>
        <w:t>i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утверждение программы работы, являющейся результатом рассмотрения существующих и новых Вопросов, и определение приоритетности, срочности, ожидаемых финансовых последствий и периодов времени, необходимых для завершения их изучения;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A524B6">
        <w:rPr>
          <w:i/>
          <w:iCs/>
        </w:rPr>
        <w:t>j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группирование, насколько это возможно, Вопросов, представляющих интерес для развивающихся стран, включая наименее развитые страны, малые островные развивающиеся государства, развивающиеся страны, не имеющие выхода к морю, и страны с переходной экономикой, с тем чтобы содействовать их участию в этих исследованиях;</w:t>
      </w:r>
    </w:p>
    <w:p w:rsidR="000E3B4E" w:rsidRPr="000E3B4E" w:rsidRDefault="000E3B4E" w:rsidP="000E3B4E">
      <w:pPr>
        <w:pStyle w:val="enumlev1"/>
        <w:rPr>
          <w:lang w:val="ru-RU"/>
        </w:rPr>
      </w:pPr>
      <w:r w:rsidRPr="00A524B6">
        <w:rPr>
          <w:i/>
          <w:iCs/>
        </w:rPr>
        <w:t>k</w:t>
      </w:r>
      <w:r w:rsidRPr="000E3B4E">
        <w:rPr>
          <w:i/>
          <w:iCs/>
          <w:lang w:val="ru-RU"/>
        </w:rPr>
        <w:t>)</w:t>
      </w:r>
      <w:r w:rsidRPr="000E3B4E">
        <w:rPr>
          <w:lang w:val="ru-RU"/>
        </w:rPr>
        <w:tab/>
        <w:t>рассмотрение других конкретных вопросов, входящих в компетенцию ВАСЭ, которые подлежат утверждению Государствами-Членами с использованием процедуры утверждения, изложенной в разделе 9 Резолюции 1 (Пересм. Дубай, 2012 г.) настоящей Ассамблеи;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lang w:val="ru-RU"/>
        </w:rPr>
        <w:t>2</w:t>
      </w:r>
      <w:r w:rsidRPr="000E3B4E">
        <w:rPr>
          <w:lang w:val="ru-RU"/>
        </w:rPr>
        <w:tab/>
        <w:t>что КГСЭ может предложить начать пересмотр соответствующих процедур принятия Вопросов и Рекомендаций исследовательскими комиссиями, не относящихся к процедурам, упомянутым в пп.</w:t>
      </w:r>
      <w:r>
        <w:t> </w:t>
      </w:r>
      <w:r w:rsidRPr="000E3B4E">
        <w:rPr>
          <w:lang w:val="ru-RU"/>
        </w:rPr>
        <w:t>246</w:t>
      </w:r>
      <w:r w:rsidRPr="00A524B6">
        <w:t>D</w:t>
      </w:r>
      <w:r w:rsidRPr="000E3B4E">
        <w:rPr>
          <w:lang w:val="ru-RU"/>
        </w:rPr>
        <w:t>, 246</w:t>
      </w:r>
      <w:r w:rsidRPr="00A524B6">
        <w:t>F</w:t>
      </w:r>
      <w:r w:rsidRPr="000E3B4E">
        <w:rPr>
          <w:lang w:val="ru-RU"/>
        </w:rPr>
        <w:t xml:space="preserve"> и 246</w:t>
      </w:r>
      <w:r w:rsidRPr="00A524B6">
        <w:t>H</w:t>
      </w:r>
      <w:r w:rsidRPr="000E3B4E">
        <w:rPr>
          <w:lang w:val="ru-RU"/>
        </w:rPr>
        <w:t xml:space="preserve"> Конвенции, подлежащий утверждению Государствами-Членами в период между ВАСЭ с использованием процедуры утверждения, изложенной в разделе</w:t>
      </w:r>
      <w:r w:rsidRPr="00A524B6">
        <w:t> </w:t>
      </w:r>
      <w:r w:rsidRPr="000E3B4E">
        <w:rPr>
          <w:lang w:val="ru-RU"/>
        </w:rPr>
        <w:t>9 Резолюции</w:t>
      </w:r>
      <w:r w:rsidRPr="00A524B6">
        <w:t> </w:t>
      </w:r>
      <w:r w:rsidRPr="000E3B4E">
        <w:rPr>
          <w:lang w:val="ru-RU"/>
        </w:rPr>
        <w:t>1 (Пересм. Дубай, 2012 г.) настоящей Ассамблеи;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lang w:val="ru-RU"/>
        </w:rPr>
        <w:t>3</w:t>
      </w:r>
      <w:r w:rsidRPr="000E3B4E">
        <w:rPr>
          <w:lang w:val="ru-RU"/>
        </w:rPr>
        <w:tab/>
        <w:t>что КГСЭ при осуществлении своей деятельности обеспечивает взаимодействие с организациями вне МСЭ, в надлежащих случаях консультируясь с Директором БСЭ;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lang w:val="ru-RU"/>
        </w:rPr>
        <w:t>4</w:t>
      </w:r>
      <w:r w:rsidRPr="000E3B4E">
        <w:rPr>
          <w:lang w:val="ru-RU"/>
        </w:rPr>
        <w:tab/>
        <w:t>что КГСЭ рассматривает вопрос о последствиях для МСЭ-Т рыночных потребностей и новых появляющихся технологий, которые еще не были учтены МСЭ-Т в области стандартизации, и создает соответствующий механизм, способствующий изучению этих последствий, например, передачу Вопросов, координацию работы исследовательских комиссий или создание координационных групп либо других групп, и назначает их председателей и заместителей председателей;</w:t>
      </w:r>
    </w:p>
    <w:p w:rsidR="000E3B4E" w:rsidRPr="000E3B4E" w:rsidRDefault="000E3B4E" w:rsidP="000E3B4E">
      <w:pPr>
        <w:rPr>
          <w:lang w:val="ru-RU"/>
        </w:rPr>
      </w:pPr>
      <w:r w:rsidRPr="000E3B4E">
        <w:rPr>
          <w:lang w:val="ru-RU" w:eastAsia="ko-KR"/>
        </w:rPr>
        <w:t>5</w:t>
      </w:r>
      <w:r w:rsidRPr="000E3B4E">
        <w:rPr>
          <w:lang w:val="ru-RU" w:eastAsia="ko-KR"/>
        </w:rPr>
        <w:tab/>
        <w:t>что КГСЭ рассматривает результаты настоящей Ассамблеи, касающиеся ГСС, и, в соответствующих случаях, принимает последующие меры;</w:t>
      </w:r>
    </w:p>
    <w:p w:rsidR="009D584F" w:rsidRPr="00950570" w:rsidRDefault="000E3B4E" w:rsidP="00ED3EEC">
      <w:pPr>
        <w:rPr>
          <w:lang w:val="ru-RU"/>
        </w:rPr>
      </w:pPr>
      <w:r w:rsidRPr="000E3B4E">
        <w:rPr>
          <w:lang w:val="ru-RU"/>
        </w:rPr>
        <w:t>6</w:t>
      </w:r>
      <w:r w:rsidRPr="000E3B4E">
        <w:rPr>
          <w:lang w:val="ru-RU"/>
        </w:rPr>
        <w:tab/>
        <w:t>что отчет о вышеупомянутой деятельности КГСЭ должен быть представлен на следующей</w:t>
      </w:r>
      <w:r>
        <w:rPr>
          <w:lang w:val="ru-RU"/>
        </w:rPr>
        <w:t> </w:t>
      </w:r>
      <w:r w:rsidRPr="000E3B4E">
        <w:rPr>
          <w:lang w:val="ru-RU"/>
        </w:rPr>
        <w:t>ВАСЭ.</w:t>
      </w:r>
    </w:p>
    <w:sectPr w:rsidR="009D584F" w:rsidRPr="00950570" w:rsidSect="00ED3EEC">
      <w:footerReference w:type="even" r:id="rId14"/>
      <w:footerReference w:type="default" r:id="rId15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B" w:rsidRDefault="00E61B7B">
      <w:r>
        <w:separator/>
      </w:r>
    </w:p>
  </w:endnote>
  <w:endnote w:type="continuationSeparator" w:id="0">
    <w:p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39T36Lf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950570" w:rsidRDefault="00E61B7B" w:rsidP="009505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70" w:rsidRPr="00ED3EEC" w:rsidRDefault="00950570" w:rsidP="00ED3EEC">
    <w:pPr>
      <w:pStyle w:val="Footer"/>
      <w:tabs>
        <w:tab w:val="left" w:pos="1134"/>
      </w:tabs>
      <w:rPr>
        <w:sz w:val="22"/>
        <w:szCs w:val="22"/>
      </w:rPr>
    </w:pPr>
    <w:r w:rsidRPr="00ED3EEC">
      <w:rPr>
        <w:bCs/>
        <w:sz w:val="22"/>
        <w:szCs w:val="22"/>
      </w:rPr>
      <w:fldChar w:fldCharType="begin"/>
    </w:r>
    <w:r w:rsidRPr="00ED3EEC">
      <w:rPr>
        <w:bCs/>
        <w:sz w:val="22"/>
        <w:szCs w:val="22"/>
      </w:rPr>
      <w:instrText xml:space="preserve"> PAGE </w:instrText>
    </w:r>
    <w:r w:rsidRPr="00ED3EEC">
      <w:rPr>
        <w:bCs/>
        <w:sz w:val="22"/>
        <w:szCs w:val="22"/>
      </w:rPr>
      <w:fldChar w:fldCharType="separate"/>
    </w:r>
    <w:r w:rsidR="00AB5AD8">
      <w:rPr>
        <w:bCs/>
        <w:sz w:val="22"/>
        <w:szCs w:val="22"/>
      </w:rPr>
      <w:t>2</w:t>
    </w:r>
    <w:r w:rsidRPr="00ED3EEC">
      <w:rPr>
        <w:sz w:val="22"/>
        <w:szCs w:val="22"/>
      </w:rPr>
      <w:fldChar w:fldCharType="end"/>
    </w:r>
    <w:r w:rsidRPr="00ED3EEC">
      <w:rPr>
        <w:b/>
        <w:sz w:val="22"/>
        <w:szCs w:val="22"/>
        <w:lang w:val="ru-RU"/>
      </w:rPr>
      <w:tab/>
    </w:r>
    <w:r w:rsidRPr="00ED3EEC">
      <w:rPr>
        <w:b/>
        <w:sz w:val="22"/>
        <w:szCs w:val="22"/>
      </w:rPr>
      <w:t>ВАСЭ-</w:t>
    </w:r>
    <w:r w:rsidRPr="00ED3EEC">
      <w:rPr>
        <w:b/>
        <w:sz w:val="22"/>
        <w:szCs w:val="22"/>
        <w:lang w:val="ru-RU"/>
      </w:rPr>
      <w:t>12</w:t>
    </w:r>
    <w:r w:rsidRPr="00ED3EEC">
      <w:rPr>
        <w:b/>
        <w:sz w:val="22"/>
        <w:szCs w:val="22"/>
      </w:rPr>
      <w:t xml:space="preserve"> </w:t>
    </w:r>
    <w:r w:rsidRPr="00ED3EEC">
      <w:rPr>
        <w:b/>
        <w:sz w:val="22"/>
        <w:szCs w:val="22"/>
      </w:rPr>
      <w:sym w:font="Symbol" w:char="F02D"/>
    </w:r>
    <w:r w:rsidRPr="00ED3EEC">
      <w:rPr>
        <w:b/>
        <w:sz w:val="22"/>
        <w:szCs w:val="22"/>
      </w:rPr>
      <w:t xml:space="preserve"> </w:t>
    </w:r>
    <w:r w:rsidRPr="00ED3EEC">
      <w:rPr>
        <w:b/>
        <w:caps w:val="0"/>
        <w:sz w:val="22"/>
        <w:szCs w:val="22"/>
        <w:lang w:val="ru-RU"/>
      </w:rPr>
      <w:t xml:space="preserve">Резолюция </w:t>
    </w:r>
    <w:r w:rsidRPr="00ED3EEC">
      <w:rPr>
        <w:b/>
        <w:sz w:val="22"/>
        <w:szCs w:val="22"/>
      </w:rPr>
      <w:fldChar w:fldCharType="begin"/>
    </w:r>
    <w:r w:rsidRPr="00ED3EEC">
      <w:rPr>
        <w:b/>
        <w:sz w:val="22"/>
        <w:szCs w:val="22"/>
      </w:rPr>
      <w:instrText xml:space="preserve"> STYLEREF  href  \* MERGEFORMAT </w:instrText>
    </w:r>
    <w:r w:rsidRPr="00ED3EEC">
      <w:rPr>
        <w:b/>
        <w:sz w:val="22"/>
        <w:szCs w:val="22"/>
      </w:rPr>
      <w:fldChar w:fldCharType="separate"/>
    </w:r>
    <w:r w:rsidR="00AB5AD8">
      <w:rPr>
        <w:b/>
        <w:sz w:val="22"/>
        <w:szCs w:val="22"/>
      </w:rPr>
      <w:t>22</w:t>
    </w:r>
    <w:r w:rsidRPr="00ED3EEC"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EC" w:rsidRPr="007053F5" w:rsidRDefault="00ED3EEC" w:rsidP="00ED3EEC">
    <w:pPr>
      <w:pStyle w:val="Footer"/>
      <w:tabs>
        <w:tab w:val="left" w:pos="851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>
      <w:rPr>
        <w:b/>
        <w:bCs/>
        <w:sz w:val="22"/>
        <w:szCs w:val="22"/>
        <w:lang w:val="ru-RU"/>
      </w:rPr>
      <w:t>12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305D4">
      <w:rPr>
        <w:sz w:val="22"/>
        <w:szCs w:val="22"/>
      </w:rPr>
      <w:fldChar w:fldCharType="begin"/>
    </w:r>
    <w:r w:rsidRPr="00E305D4">
      <w:rPr>
        <w:sz w:val="22"/>
        <w:szCs w:val="22"/>
      </w:rPr>
      <w:instrText xml:space="preserve"> STYLEREF  href  \* MERGEFORMAT </w:instrText>
    </w:r>
    <w:r w:rsidRPr="00E305D4">
      <w:rPr>
        <w:sz w:val="22"/>
        <w:szCs w:val="22"/>
      </w:rPr>
      <w:fldChar w:fldCharType="separate"/>
    </w:r>
    <w:r w:rsidR="00AB5AD8" w:rsidRPr="00AB5AD8">
      <w:rPr>
        <w:b/>
        <w:bCs/>
        <w:sz w:val="22"/>
        <w:szCs w:val="22"/>
        <w:lang w:val="en-US"/>
      </w:rPr>
      <w:t>22</w:t>
    </w:r>
    <w:r w:rsidRPr="00E305D4">
      <w:rPr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 w:rsidR="00AB5AD8">
      <w:rPr>
        <w:sz w:val="22"/>
        <w:szCs w:val="22"/>
      </w:rPr>
      <w:t>3</w:t>
    </w:r>
    <w:r w:rsidRPr="007053F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B" w:rsidRDefault="00E61B7B">
      <w:r>
        <w:t>____________________</w:t>
      </w:r>
    </w:p>
  </w:footnote>
  <w:footnote w:type="continuationSeparator" w:id="0">
    <w:p w:rsidR="00E61B7B" w:rsidRDefault="00E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7AC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CA52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BAB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2EF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9E9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00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92D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780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AA5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3B4E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314C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3C00"/>
    <w:rsid w:val="001C64E1"/>
    <w:rsid w:val="001E5203"/>
    <w:rsid w:val="001F1762"/>
    <w:rsid w:val="00200641"/>
    <w:rsid w:val="0023239A"/>
    <w:rsid w:val="002324E8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D3CD1"/>
    <w:rsid w:val="002E050D"/>
    <w:rsid w:val="002F2D60"/>
    <w:rsid w:val="002F63E7"/>
    <w:rsid w:val="00303218"/>
    <w:rsid w:val="00307059"/>
    <w:rsid w:val="00311D18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6961"/>
    <w:rsid w:val="006805E6"/>
    <w:rsid w:val="00695542"/>
    <w:rsid w:val="00695ADF"/>
    <w:rsid w:val="00695C2A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34DA"/>
    <w:rsid w:val="007D75E7"/>
    <w:rsid w:val="007E0808"/>
    <w:rsid w:val="0080038E"/>
    <w:rsid w:val="00800856"/>
    <w:rsid w:val="008013B2"/>
    <w:rsid w:val="00802698"/>
    <w:rsid w:val="00803372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B0204"/>
    <w:rsid w:val="008B215F"/>
    <w:rsid w:val="008B2326"/>
    <w:rsid w:val="008B2877"/>
    <w:rsid w:val="008B32EF"/>
    <w:rsid w:val="008C61D2"/>
    <w:rsid w:val="008C7B09"/>
    <w:rsid w:val="008D03E7"/>
    <w:rsid w:val="008D0AB8"/>
    <w:rsid w:val="008D5202"/>
    <w:rsid w:val="008D6320"/>
    <w:rsid w:val="008D6C04"/>
    <w:rsid w:val="008E7D3A"/>
    <w:rsid w:val="008E7F44"/>
    <w:rsid w:val="008F0853"/>
    <w:rsid w:val="008F11E8"/>
    <w:rsid w:val="00900C9B"/>
    <w:rsid w:val="00922905"/>
    <w:rsid w:val="0093002E"/>
    <w:rsid w:val="00935AC0"/>
    <w:rsid w:val="00940E58"/>
    <w:rsid w:val="009436FB"/>
    <w:rsid w:val="00947CB3"/>
    <w:rsid w:val="00950570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584F"/>
    <w:rsid w:val="009D7987"/>
    <w:rsid w:val="009E207E"/>
    <w:rsid w:val="009E2DD1"/>
    <w:rsid w:val="009E504F"/>
    <w:rsid w:val="009F57AD"/>
    <w:rsid w:val="00A0515C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AD8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E77D8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05D4"/>
    <w:rsid w:val="00E3295A"/>
    <w:rsid w:val="00E34E42"/>
    <w:rsid w:val="00E35445"/>
    <w:rsid w:val="00E37981"/>
    <w:rsid w:val="00E6075E"/>
    <w:rsid w:val="00E6102F"/>
    <w:rsid w:val="00E61B7B"/>
    <w:rsid w:val="00E63185"/>
    <w:rsid w:val="00E67314"/>
    <w:rsid w:val="00E71BE5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26E7"/>
    <w:rsid w:val="00ED3601"/>
    <w:rsid w:val="00ED3EEC"/>
    <w:rsid w:val="00ED6BE1"/>
    <w:rsid w:val="00ED769D"/>
    <w:rsid w:val="00EE0E29"/>
    <w:rsid w:val="00EE2FF8"/>
    <w:rsid w:val="00EF1294"/>
    <w:rsid w:val="00EF3267"/>
    <w:rsid w:val="00F00B27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121C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21C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21C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21C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uiPriority w:val="39"/>
    <w:rsid w:val="00121C02"/>
  </w:style>
  <w:style w:type="paragraph" w:styleId="TOC4">
    <w:name w:val="toc 4"/>
    <w:basedOn w:val="TOC3"/>
    <w:uiPriority w:val="39"/>
    <w:rsid w:val="00121C02"/>
    <w:pPr>
      <w:spacing w:before="80"/>
    </w:pPr>
  </w:style>
  <w:style w:type="paragraph" w:styleId="TOC3">
    <w:name w:val="toc 3"/>
    <w:basedOn w:val="TOC2"/>
    <w:uiPriority w:val="39"/>
    <w:rsid w:val="00121C02"/>
  </w:style>
  <w:style w:type="paragraph" w:styleId="TOC2">
    <w:name w:val="toc 2"/>
    <w:basedOn w:val="TOC1"/>
    <w:uiPriority w:val="39"/>
    <w:rsid w:val="00121C02"/>
    <w:pPr>
      <w:spacing w:before="160"/>
    </w:pPr>
  </w:style>
  <w:style w:type="paragraph" w:styleId="TOC1">
    <w:name w:val="toc 1"/>
    <w:basedOn w:val="Normal"/>
    <w:uiPriority w:val="39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uiPriority w:val="39"/>
    <w:rsid w:val="00121C02"/>
  </w:style>
  <w:style w:type="paragraph" w:styleId="TOC6">
    <w:name w:val="toc 6"/>
    <w:basedOn w:val="TOC4"/>
    <w:uiPriority w:val="39"/>
    <w:rsid w:val="00121C02"/>
  </w:style>
  <w:style w:type="paragraph" w:styleId="TOC5">
    <w:name w:val="toc 5"/>
    <w:basedOn w:val="TOC4"/>
    <w:uiPriority w:val="39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link w:val="EquationChar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link w:val="Title1Char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link w:val="Art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link w:val="ArttitleCar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link w:val="ChaptitleChar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uiPriority w:val="59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uiPriority w:val="39"/>
    <w:rsid w:val="00121C02"/>
  </w:style>
  <w:style w:type="paragraph" w:customStyle="1" w:styleId="Headingb0">
    <w:name w:val="Heading_b"/>
    <w:basedOn w:val="Heading3"/>
    <w:next w:val="Normal"/>
    <w:link w:val="HeadingbChar"/>
    <w:qFormat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link w:val="Section1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link w:val="BodyText2Char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uiPriority w:val="99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AnnextitleChar1">
    <w:name w:val="Annex_title Char1"/>
    <w:basedOn w:val="DefaultParagraphFont"/>
    <w:locked/>
    <w:rsid w:val="00311D18"/>
    <w:rPr>
      <w:rFonts w:ascii="Times New Roman Bold" w:hAnsi="Times New Roman Bold"/>
      <w:b/>
      <w:sz w:val="26"/>
      <w:lang w:val="ru-RU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311D18"/>
    <w:rPr>
      <w:rFonts w:ascii="Times New Roman" w:hAnsi="Times New Roman"/>
      <w:lang w:val="fr-FR" w:eastAsia="en-US"/>
    </w:rPr>
  </w:style>
  <w:style w:type="character" w:customStyle="1" w:styleId="ReasonsChar">
    <w:name w:val="Reasons Char"/>
    <w:basedOn w:val="DefaultParagraphFont"/>
    <w:link w:val="Reasons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311D18"/>
    <w:rPr>
      <w:rFonts w:ascii="Times New Roman" w:hAnsi="Times New Roman"/>
      <w:b/>
      <w:lang w:val="fr-FR" w:eastAsia="en-US"/>
    </w:rPr>
  </w:style>
  <w:style w:type="paragraph" w:customStyle="1" w:styleId="Opinionref">
    <w:name w:val="Opinion_ref"/>
    <w:basedOn w:val="Normal"/>
    <w:next w:val="Normalafter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Proposal">
    <w:name w:val="Proposal"/>
    <w:basedOn w:val="Normal"/>
    <w:next w:val="Normal"/>
    <w:link w:val="ProposalChar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311D18"/>
    <w:rPr>
      <w:rFonts w:ascii="Times New Roman" w:hAnsi="Times New Roman"/>
      <w:sz w:val="22"/>
      <w:lang w:eastAsia="en-US"/>
    </w:rPr>
  </w:style>
  <w:style w:type="paragraph" w:customStyle="1" w:styleId="Sujet">
    <w:name w:val="Sujet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ind w:left="1418"/>
      <w:jc w:val="left"/>
    </w:pPr>
    <w:rPr>
      <w:rFonts w:ascii="Arial" w:eastAsia="MS Mincho" w:hAnsi="Arial"/>
      <w:sz w:val="32"/>
      <w:lang w:val="en-GB"/>
    </w:rPr>
  </w:style>
  <w:style w:type="paragraph" w:customStyle="1" w:styleId="Blanc0">
    <w:name w:val="Blanc"/>
    <w:basedOn w:val="Tabletitle"/>
    <w:next w:val="Tabletext"/>
    <w:rsid w:val="00311D18"/>
    <w:pPr>
      <w:tabs>
        <w:tab w:val="clear" w:pos="794"/>
        <w:tab w:val="clear" w:pos="1191"/>
        <w:tab w:val="clear" w:pos="1588"/>
        <w:tab w:val="clear" w:pos="1985"/>
      </w:tabs>
      <w:spacing w:after="57" w:line="12" w:lineRule="exact"/>
    </w:pPr>
    <w:rPr>
      <w:rFonts w:ascii="Times New Roman" w:eastAsia="MS Mincho" w:hAnsi="Times New Roman"/>
      <w:b w:val="0"/>
      <w:sz w:val="8"/>
      <w:lang w:val="en-GB"/>
    </w:rPr>
  </w:style>
  <w:style w:type="paragraph" w:customStyle="1" w:styleId="Tablefin">
    <w:name w:val="Table_fin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MS Mincho"/>
      <w:sz w:val="12"/>
      <w:lang w:val="en-GB"/>
    </w:rPr>
  </w:style>
  <w:style w:type="paragraph" w:customStyle="1" w:styleId="CouvrecNo">
    <w:name w:val="Couv_rec_No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"/>
      <w:ind w:left="1418"/>
    </w:pPr>
    <w:rPr>
      <w:rFonts w:ascii="Arial" w:eastAsia="MS Mincho" w:hAnsi="Arial"/>
      <w:sz w:val="32"/>
      <w:lang w:val="en-GB"/>
    </w:rPr>
  </w:style>
  <w:style w:type="paragraph" w:customStyle="1" w:styleId="Couvrectitle">
    <w:name w:val="Couv_rec_title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ind w:left="1418"/>
      <w:jc w:val="left"/>
    </w:pPr>
    <w:rPr>
      <w:rFonts w:ascii="Arial" w:eastAsia="MS Mincho" w:hAnsi="Arial"/>
      <w:b/>
      <w:sz w:val="36"/>
      <w:lang w:val="en-GB"/>
    </w:rPr>
  </w:style>
  <w:style w:type="paragraph" w:customStyle="1" w:styleId="RecCCITTNo">
    <w:name w:val="Rec_CCITT_No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eastAsia="MS Mincho"/>
      <w:b/>
      <w:sz w:val="24"/>
      <w:lang w:val="en-GB"/>
    </w:rPr>
  </w:style>
  <w:style w:type="paragraph" w:customStyle="1" w:styleId="ASN1continue">
    <w:name w:val="ASN.1_continue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418"/>
      </w:tabs>
      <w:spacing w:before="200"/>
    </w:pPr>
    <w:rPr>
      <w:rFonts w:ascii="Arial" w:eastAsia="MS Mincho" w:hAnsi="Arial"/>
      <w:lang w:val="en-GB"/>
    </w:rPr>
  </w:style>
  <w:style w:type="paragraph" w:styleId="Title">
    <w:name w:val="Title"/>
    <w:basedOn w:val="Normal"/>
    <w:next w:val="Normal"/>
    <w:link w:val="TitleChar"/>
    <w:qFormat/>
    <w:rsid w:val="00311D18"/>
    <w:pPr>
      <w:spacing w:before="840" w:after="480"/>
      <w:jc w:val="center"/>
    </w:pPr>
    <w:rPr>
      <w:rFonts w:eastAsia="MS Mincho"/>
      <w:b/>
      <w:sz w:val="26"/>
      <w:lang w:val="en-GB"/>
    </w:rPr>
  </w:style>
  <w:style w:type="character" w:customStyle="1" w:styleId="TitleChar">
    <w:name w:val="Title Char"/>
    <w:basedOn w:val="DefaultParagraphFont"/>
    <w:link w:val="Title"/>
    <w:rsid w:val="00311D18"/>
    <w:rPr>
      <w:rFonts w:ascii="Times New Roman" w:eastAsia="MS Mincho" w:hAnsi="Times New Roman"/>
      <w:b/>
      <w:sz w:val="26"/>
      <w:lang w:val="en-GB" w:eastAsia="en-US"/>
    </w:rPr>
  </w:style>
  <w:style w:type="paragraph" w:customStyle="1" w:styleId="SAP">
    <w:name w:val="SAP"/>
    <w:basedOn w:val="Normal"/>
    <w:rsid w:val="00311D18"/>
    <w:pPr>
      <w:spacing w:before="960" w:after="240"/>
      <w:jc w:val="right"/>
    </w:pPr>
    <w:rPr>
      <w:rFonts w:ascii="C39T36Lfz" w:eastAsia="MS Mincho" w:hAnsi="C39T36Lfz"/>
      <w:sz w:val="104"/>
      <w:lang w:val="en-GB"/>
    </w:rPr>
  </w:style>
  <w:style w:type="paragraph" w:customStyle="1" w:styleId="ASN1italic">
    <w:name w:val="ASN.1_italic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311D18"/>
    <w:pPr>
      <w:spacing w:before="0"/>
    </w:pPr>
    <w:rPr>
      <w:rFonts w:eastAsia="MS Mincho"/>
      <w:color w:val="FF0000"/>
      <w:lang w:val="en-GB"/>
    </w:rPr>
  </w:style>
  <w:style w:type="paragraph" w:customStyle="1" w:styleId="Note1">
    <w:name w:val="Note 1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0" w:line="199" w:lineRule="exact"/>
      <w:ind w:left="284"/>
    </w:pPr>
    <w:rPr>
      <w:rFonts w:eastAsia="MS Mincho"/>
      <w:sz w:val="20"/>
      <w:lang w:val="en-GB"/>
    </w:rPr>
  </w:style>
  <w:style w:type="paragraph" w:customStyle="1" w:styleId="Note2">
    <w:name w:val="Note 2"/>
    <w:basedOn w:val="Note1"/>
    <w:rsid w:val="00311D18"/>
    <w:pPr>
      <w:ind w:left="1077"/>
    </w:pPr>
  </w:style>
  <w:style w:type="paragraph" w:customStyle="1" w:styleId="Note3">
    <w:name w:val="Note 3"/>
    <w:basedOn w:val="Note1"/>
    <w:rsid w:val="00311D18"/>
    <w:pPr>
      <w:ind w:left="1474"/>
    </w:pPr>
  </w:style>
  <w:style w:type="paragraph" w:customStyle="1" w:styleId="RecISONo">
    <w:name w:val="Rec_ISO_No"/>
    <w:basedOn w:val="Normal"/>
    <w:rsid w:val="00311D18"/>
    <w:pPr>
      <w:keepNext/>
      <w:keepLines/>
      <w:spacing w:before="720"/>
      <w:jc w:val="left"/>
    </w:pPr>
    <w:rPr>
      <w:rFonts w:eastAsia="MS Mincho"/>
      <w:b/>
      <w:lang w:val="en-GB"/>
    </w:rPr>
  </w:style>
  <w:style w:type="paragraph" w:customStyle="1" w:styleId="TableLegend0">
    <w:name w:val="Table_Legend"/>
    <w:basedOn w:val="Normal"/>
    <w:next w:val="Normal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454"/>
      </w:tabs>
      <w:overflowPunct/>
      <w:autoSpaceDE/>
      <w:autoSpaceDN/>
      <w:adjustRightInd/>
      <w:spacing w:before="86"/>
      <w:textAlignment w:val="auto"/>
    </w:pPr>
    <w:rPr>
      <w:rFonts w:eastAsia="MS Mincho"/>
      <w:sz w:val="18"/>
      <w:lang w:val="en-GB"/>
    </w:rPr>
  </w:style>
  <w:style w:type="paragraph" w:customStyle="1" w:styleId="AnnexRef0">
    <w:name w:val="Annex_Ref"/>
    <w:basedOn w:val="Normal"/>
    <w:next w:val="Normal"/>
    <w:rsid w:val="00311D18"/>
    <w:pPr>
      <w:overflowPunct/>
      <w:autoSpaceDE/>
      <w:autoSpaceDN/>
      <w:adjustRightInd/>
      <w:spacing w:before="0"/>
      <w:jc w:val="center"/>
      <w:textAlignment w:val="auto"/>
    </w:pPr>
    <w:rPr>
      <w:rFonts w:eastAsia="MS Mincho"/>
      <w:lang w:val="en-GB"/>
    </w:rPr>
  </w:style>
  <w:style w:type="character" w:customStyle="1" w:styleId="italic">
    <w:name w:val="italic"/>
    <w:basedOn w:val="DefaultParagraphFont"/>
    <w:uiPriority w:val="99"/>
    <w:rsid w:val="00311D18"/>
    <w:rPr>
      <w:rFonts w:cs="Times New Roman"/>
      <w:i/>
    </w:rPr>
  </w:style>
  <w:style w:type="paragraph" w:customStyle="1" w:styleId="NormalITU">
    <w:name w:val="Normal_ITU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jc w:val="left"/>
      <w:textAlignment w:val="auto"/>
    </w:pPr>
    <w:rPr>
      <w:rFonts w:eastAsia="MS Mincho" w:cs="Arial"/>
      <w:sz w:val="24"/>
      <w:lang w:val="en-US"/>
    </w:rPr>
  </w:style>
  <w:style w:type="character" w:customStyle="1" w:styleId="BalloonTextChar">
    <w:name w:val="Balloon Text Char"/>
    <w:basedOn w:val="DefaultParagraphFont"/>
    <w:link w:val="BalloonText"/>
    <w:rsid w:val="00311D18"/>
    <w:rPr>
      <w:rFonts w:ascii="Tahoma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rsid w:val="00311D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1D18"/>
    <w:pPr>
      <w:overflowPunct/>
      <w:autoSpaceDE/>
      <w:autoSpaceDN/>
      <w:adjustRightInd/>
      <w:textAlignment w:val="auto"/>
    </w:pPr>
    <w:rPr>
      <w:rFonts w:eastAsia="MS Mincho"/>
      <w:b/>
      <w:bCs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311D18"/>
    <w:rPr>
      <w:rFonts w:ascii="Times New Roman" w:eastAsia="MS Mincho" w:hAnsi="Times New Roman"/>
      <w:b/>
      <w:bCs/>
      <w:sz w:val="22"/>
      <w:lang w:val="en-GB" w:eastAsia="en-US"/>
    </w:rPr>
  </w:style>
  <w:style w:type="paragraph" w:customStyle="1" w:styleId="Figurelegend08">
    <w:name w:val="Стиль Figure_legend + Слева:  08 см"/>
    <w:basedOn w:val="Figurelegend"/>
    <w:rsid w:val="00311D18"/>
    <w:pPr>
      <w:keepLines w:val="0"/>
      <w:tabs>
        <w:tab w:val="left" w:pos="454"/>
      </w:tabs>
      <w:spacing w:before="80" w:after="0"/>
      <w:ind w:left="454"/>
    </w:pPr>
    <w:rPr>
      <w:sz w:val="16"/>
      <w:lang w:val="ru-RU"/>
    </w:rPr>
  </w:style>
  <w:style w:type="paragraph" w:styleId="TableofFigures">
    <w:name w:val="table of figures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="MS Mincho"/>
      <w:lang w:val="en-GB"/>
    </w:rPr>
  </w:style>
  <w:style w:type="character" w:customStyle="1" w:styleId="BodyText2Char">
    <w:name w:val="Body Text 2 Char"/>
    <w:basedOn w:val="DefaultParagraphFont"/>
    <w:link w:val="BodyText2"/>
    <w:rsid w:val="00311D18"/>
    <w:rPr>
      <w:rFonts w:ascii="Arial" w:hAnsi="Arial" w:cs="Arial"/>
      <w:b/>
      <w:bCs/>
      <w:sz w:val="36"/>
      <w:lang w:val="fr-FR" w:eastAsia="en-US"/>
    </w:rPr>
  </w:style>
  <w:style w:type="paragraph" w:styleId="EndnoteText">
    <w:name w:val="endnote text"/>
    <w:basedOn w:val="Normal"/>
    <w:link w:val="EndnoteTextChar"/>
    <w:rsid w:val="00311D18"/>
    <w:pPr>
      <w:overflowPunct/>
      <w:autoSpaceDE/>
      <w:autoSpaceDN/>
      <w:adjustRightInd/>
      <w:spacing w:before="0"/>
      <w:textAlignment w:val="auto"/>
    </w:pPr>
    <w:rPr>
      <w:rFonts w:eastAsia="MS Mincho"/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311D18"/>
    <w:rPr>
      <w:rFonts w:ascii="Times New Roman" w:eastAsia="MS Mincho" w:hAnsi="Times New Roman"/>
      <w:lang w:val="en-GB" w:eastAsia="en-US"/>
    </w:rPr>
  </w:style>
  <w:style w:type="character" w:customStyle="1" w:styleId="apple-style-span">
    <w:name w:val="apple-style-span"/>
    <w:rsid w:val="00311D18"/>
  </w:style>
  <w:style w:type="table" w:customStyle="1" w:styleId="TableGrid1">
    <w:name w:val="Table Grid1"/>
    <w:basedOn w:val="TableNormal"/>
    <w:next w:val="TableGrid"/>
    <w:uiPriority w:val="59"/>
    <w:rsid w:val="00311D18"/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Char">
    <w:name w:val="Title 1 Char"/>
    <w:basedOn w:val="DefaultParagraphFont"/>
    <w:link w:val="Title1"/>
    <w:locked/>
    <w:rsid w:val="00311D18"/>
    <w:rPr>
      <w:rFonts w:ascii="Times New Roman" w:hAnsi="Times New Roman"/>
      <w:caps/>
      <w:sz w:val="26"/>
      <w:lang w:val="fr-FR" w:eastAsia="en-US"/>
    </w:rPr>
  </w:style>
  <w:style w:type="paragraph" w:customStyle="1" w:styleId="Agendaitem">
    <w:name w:val="Agenda_item"/>
    <w:basedOn w:val="Title3"/>
    <w:next w:val="Normal"/>
    <w:qFormat/>
    <w:rsid w:val="00311D18"/>
    <w:pPr>
      <w:tabs>
        <w:tab w:val="left" w:pos="1134"/>
        <w:tab w:val="left" w:pos="1871"/>
        <w:tab w:val="left" w:pos="2268"/>
      </w:tabs>
    </w:pPr>
    <w:rPr>
      <w:szCs w:val="22"/>
      <w:lang w:val="en-US"/>
    </w:rPr>
  </w:style>
  <w:style w:type="paragraph" w:customStyle="1" w:styleId="ApptoAnnex">
    <w:name w:val="App_to_Annex"/>
    <w:basedOn w:val="Appendix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GB"/>
    </w:rPr>
  </w:style>
  <w:style w:type="character" w:customStyle="1" w:styleId="ArtNoChar">
    <w:name w:val="Art_No Char"/>
    <w:basedOn w:val="DefaultParagraphFont"/>
    <w:link w:val="ArtNo"/>
    <w:locked/>
    <w:rsid w:val="00311D18"/>
    <w:rPr>
      <w:rFonts w:ascii="Times New Roman" w:hAnsi="Times New Roman"/>
      <w:caps/>
      <w:sz w:val="26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311D18"/>
    <w:rPr>
      <w:rFonts w:ascii="Times New Roman" w:hAnsi="Times New Roman"/>
      <w:b/>
      <w:sz w:val="26"/>
      <w:lang w:val="fr-FR" w:eastAsia="en-US"/>
    </w:rPr>
  </w:style>
  <w:style w:type="paragraph" w:customStyle="1" w:styleId="Normalend">
    <w:name w:val="Normal_end"/>
    <w:basedOn w:val="Normal"/>
    <w:next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Booktitle">
    <w:name w:val="Book_title"/>
    <w:basedOn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311D18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18"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311D18"/>
    <w:rPr>
      <w:rFonts w:ascii="Times New Roman" w:hAnsi="Times New Roman"/>
      <w:b/>
      <w:sz w:val="26"/>
      <w:lang w:val="fr-FR" w:eastAsia="en-US"/>
    </w:rPr>
  </w:style>
  <w:style w:type="character" w:customStyle="1" w:styleId="EquationChar">
    <w:name w:val="Equation Char"/>
    <w:basedOn w:val="DefaultParagraphFont"/>
    <w:link w:val="Equation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Section1Char">
    <w:name w:val="Section_1 Char"/>
    <w:basedOn w:val="DefaultParagraphFont"/>
    <w:link w:val="Section1"/>
    <w:locked/>
    <w:rsid w:val="00311D18"/>
    <w:rPr>
      <w:rFonts w:ascii="Times New Roman" w:hAnsi="Times New Roman"/>
      <w:b/>
      <w:sz w:val="22"/>
      <w:lang w:val="fr-FR" w:eastAsia="en-US"/>
    </w:rPr>
  </w:style>
  <w:style w:type="character" w:customStyle="1" w:styleId="Section2Char">
    <w:name w:val="Section_2 Char"/>
    <w:basedOn w:val="Section1Char"/>
    <w:link w:val="Section2"/>
    <w:locked/>
    <w:rsid w:val="00311D18"/>
    <w:rPr>
      <w:rFonts w:ascii="Times New Roman" w:hAnsi="Times New Roman"/>
      <w:b w:val="0"/>
      <w:i/>
      <w:sz w:val="22"/>
      <w:lang w:val="fr-FR" w:eastAsia="en-US"/>
    </w:rPr>
  </w:style>
  <w:style w:type="paragraph" w:customStyle="1" w:styleId="Section3">
    <w:name w:val="Section_3"/>
    <w:basedOn w:val="Section1"/>
    <w:link w:val="Section3Char"/>
    <w:rsid w:val="00311D18"/>
    <w:pPr>
      <w:tabs>
        <w:tab w:val="center" w:pos="4820"/>
      </w:tabs>
      <w:spacing w:before="360"/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311D18"/>
    <w:rPr>
      <w:rFonts w:ascii="Times New Roman" w:eastAsia="SimSun" w:hAnsi="Times New Roman"/>
      <w:b w:val="0"/>
      <w:sz w:val="22"/>
      <w:lang w:val="fr-FR" w:eastAsia="en-US"/>
    </w:rPr>
  </w:style>
  <w:style w:type="paragraph" w:customStyle="1" w:styleId="Subsection1">
    <w:name w:val="Subsection_1"/>
    <w:basedOn w:val="Section1"/>
    <w:next w:val="Section1"/>
    <w:qFormat/>
    <w:rsid w:val="00311D18"/>
    <w:pPr>
      <w:tabs>
        <w:tab w:val="center" w:pos="4820"/>
      </w:tabs>
      <w:spacing w:before="360"/>
    </w:pPr>
    <w:rPr>
      <w:lang w:val="en-GB"/>
    </w:rPr>
  </w:style>
  <w:style w:type="paragraph" w:customStyle="1" w:styleId="TableTextS5">
    <w:name w:val="Table_TextS5"/>
    <w:basedOn w:val="Normal"/>
    <w:link w:val="TableTextS5Char"/>
    <w:rsid w:val="00311D18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  <w:jc w:val="left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311D18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311D1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left"/>
    </w:pPr>
  </w:style>
  <w:style w:type="paragraph" w:customStyle="1" w:styleId="Volumetitle">
    <w:name w:val="Volume_title"/>
    <w:basedOn w:val="Art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AppArtNo">
    <w:name w:val="App_Art_No"/>
    <w:basedOn w:val="ArtNo"/>
    <w:next w:val="AppArt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Part1">
    <w:name w:val="Part_1"/>
    <w:basedOn w:val="Subsection1"/>
    <w:next w:val="Section1"/>
    <w:qFormat/>
    <w:rsid w:val="00311D18"/>
  </w:style>
  <w:style w:type="table" w:customStyle="1" w:styleId="TableGrid2">
    <w:name w:val="Table Grid2"/>
    <w:basedOn w:val="TableNormal"/>
    <w:next w:val="TableGrid"/>
    <w:rsid w:val="00311D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121C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21C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21C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21C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uiPriority w:val="39"/>
    <w:rsid w:val="00121C02"/>
  </w:style>
  <w:style w:type="paragraph" w:styleId="TOC4">
    <w:name w:val="toc 4"/>
    <w:basedOn w:val="TOC3"/>
    <w:uiPriority w:val="39"/>
    <w:rsid w:val="00121C02"/>
    <w:pPr>
      <w:spacing w:before="80"/>
    </w:pPr>
  </w:style>
  <w:style w:type="paragraph" w:styleId="TOC3">
    <w:name w:val="toc 3"/>
    <w:basedOn w:val="TOC2"/>
    <w:uiPriority w:val="39"/>
    <w:rsid w:val="00121C02"/>
  </w:style>
  <w:style w:type="paragraph" w:styleId="TOC2">
    <w:name w:val="toc 2"/>
    <w:basedOn w:val="TOC1"/>
    <w:uiPriority w:val="39"/>
    <w:rsid w:val="00121C02"/>
    <w:pPr>
      <w:spacing w:before="160"/>
    </w:pPr>
  </w:style>
  <w:style w:type="paragraph" w:styleId="TOC1">
    <w:name w:val="toc 1"/>
    <w:basedOn w:val="Normal"/>
    <w:uiPriority w:val="39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uiPriority w:val="39"/>
    <w:rsid w:val="00121C02"/>
  </w:style>
  <w:style w:type="paragraph" w:styleId="TOC6">
    <w:name w:val="toc 6"/>
    <w:basedOn w:val="TOC4"/>
    <w:uiPriority w:val="39"/>
    <w:rsid w:val="00121C02"/>
  </w:style>
  <w:style w:type="paragraph" w:styleId="TOC5">
    <w:name w:val="toc 5"/>
    <w:basedOn w:val="TOC4"/>
    <w:uiPriority w:val="39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link w:val="EquationChar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link w:val="Title1Char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link w:val="Art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link w:val="ArttitleCar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link w:val="ChaptitleChar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uiPriority w:val="59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uiPriority w:val="39"/>
    <w:rsid w:val="00121C02"/>
  </w:style>
  <w:style w:type="paragraph" w:customStyle="1" w:styleId="Headingb0">
    <w:name w:val="Heading_b"/>
    <w:basedOn w:val="Heading3"/>
    <w:next w:val="Normal"/>
    <w:link w:val="HeadingbChar"/>
    <w:qFormat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link w:val="Section1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link w:val="BodyText2Char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uiPriority w:val="99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AnnextitleChar1">
    <w:name w:val="Annex_title Char1"/>
    <w:basedOn w:val="DefaultParagraphFont"/>
    <w:locked/>
    <w:rsid w:val="00311D18"/>
    <w:rPr>
      <w:rFonts w:ascii="Times New Roman Bold" w:hAnsi="Times New Roman Bold"/>
      <w:b/>
      <w:sz w:val="26"/>
      <w:lang w:val="ru-RU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311D18"/>
    <w:rPr>
      <w:rFonts w:ascii="Times New Roman" w:hAnsi="Times New Roman"/>
      <w:lang w:val="fr-FR" w:eastAsia="en-US"/>
    </w:rPr>
  </w:style>
  <w:style w:type="character" w:customStyle="1" w:styleId="ReasonsChar">
    <w:name w:val="Reasons Char"/>
    <w:basedOn w:val="DefaultParagraphFont"/>
    <w:link w:val="Reasons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311D18"/>
    <w:rPr>
      <w:rFonts w:ascii="Times New Roman" w:hAnsi="Times New Roman"/>
      <w:b/>
      <w:lang w:val="fr-FR" w:eastAsia="en-US"/>
    </w:rPr>
  </w:style>
  <w:style w:type="paragraph" w:customStyle="1" w:styleId="Opinionref">
    <w:name w:val="Opinion_ref"/>
    <w:basedOn w:val="Normal"/>
    <w:next w:val="Normalafter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Proposal">
    <w:name w:val="Proposal"/>
    <w:basedOn w:val="Normal"/>
    <w:next w:val="Normal"/>
    <w:link w:val="ProposalChar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311D18"/>
    <w:rPr>
      <w:rFonts w:ascii="Times New Roman" w:hAnsi="Times New Roman"/>
      <w:sz w:val="22"/>
      <w:lang w:eastAsia="en-US"/>
    </w:rPr>
  </w:style>
  <w:style w:type="paragraph" w:customStyle="1" w:styleId="Sujet">
    <w:name w:val="Sujet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ind w:left="1418"/>
      <w:jc w:val="left"/>
    </w:pPr>
    <w:rPr>
      <w:rFonts w:ascii="Arial" w:eastAsia="MS Mincho" w:hAnsi="Arial"/>
      <w:sz w:val="32"/>
      <w:lang w:val="en-GB"/>
    </w:rPr>
  </w:style>
  <w:style w:type="paragraph" w:customStyle="1" w:styleId="Blanc0">
    <w:name w:val="Blanc"/>
    <w:basedOn w:val="Tabletitle"/>
    <w:next w:val="Tabletext"/>
    <w:rsid w:val="00311D18"/>
    <w:pPr>
      <w:tabs>
        <w:tab w:val="clear" w:pos="794"/>
        <w:tab w:val="clear" w:pos="1191"/>
        <w:tab w:val="clear" w:pos="1588"/>
        <w:tab w:val="clear" w:pos="1985"/>
      </w:tabs>
      <w:spacing w:after="57" w:line="12" w:lineRule="exact"/>
    </w:pPr>
    <w:rPr>
      <w:rFonts w:ascii="Times New Roman" w:eastAsia="MS Mincho" w:hAnsi="Times New Roman"/>
      <w:b w:val="0"/>
      <w:sz w:val="8"/>
      <w:lang w:val="en-GB"/>
    </w:rPr>
  </w:style>
  <w:style w:type="paragraph" w:customStyle="1" w:styleId="Tablefin">
    <w:name w:val="Table_fin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MS Mincho"/>
      <w:sz w:val="12"/>
      <w:lang w:val="en-GB"/>
    </w:rPr>
  </w:style>
  <w:style w:type="paragraph" w:customStyle="1" w:styleId="CouvrecNo">
    <w:name w:val="Couv_rec_No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"/>
      <w:ind w:left="1418"/>
    </w:pPr>
    <w:rPr>
      <w:rFonts w:ascii="Arial" w:eastAsia="MS Mincho" w:hAnsi="Arial"/>
      <w:sz w:val="32"/>
      <w:lang w:val="en-GB"/>
    </w:rPr>
  </w:style>
  <w:style w:type="paragraph" w:customStyle="1" w:styleId="Couvrectitle">
    <w:name w:val="Couv_rec_title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ind w:left="1418"/>
      <w:jc w:val="left"/>
    </w:pPr>
    <w:rPr>
      <w:rFonts w:ascii="Arial" w:eastAsia="MS Mincho" w:hAnsi="Arial"/>
      <w:b/>
      <w:sz w:val="36"/>
      <w:lang w:val="en-GB"/>
    </w:rPr>
  </w:style>
  <w:style w:type="paragraph" w:customStyle="1" w:styleId="RecCCITTNo">
    <w:name w:val="Rec_CCITT_No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eastAsia="MS Mincho"/>
      <w:b/>
      <w:sz w:val="24"/>
      <w:lang w:val="en-GB"/>
    </w:rPr>
  </w:style>
  <w:style w:type="paragraph" w:customStyle="1" w:styleId="ASN1continue">
    <w:name w:val="ASN.1_continue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418"/>
      </w:tabs>
      <w:spacing w:before="200"/>
    </w:pPr>
    <w:rPr>
      <w:rFonts w:ascii="Arial" w:eastAsia="MS Mincho" w:hAnsi="Arial"/>
      <w:lang w:val="en-GB"/>
    </w:rPr>
  </w:style>
  <w:style w:type="paragraph" w:styleId="Title">
    <w:name w:val="Title"/>
    <w:basedOn w:val="Normal"/>
    <w:next w:val="Normal"/>
    <w:link w:val="TitleChar"/>
    <w:qFormat/>
    <w:rsid w:val="00311D18"/>
    <w:pPr>
      <w:spacing w:before="840" w:after="480"/>
      <w:jc w:val="center"/>
    </w:pPr>
    <w:rPr>
      <w:rFonts w:eastAsia="MS Mincho"/>
      <w:b/>
      <w:sz w:val="26"/>
      <w:lang w:val="en-GB"/>
    </w:rPr>
  </w:style>
  <w:style w:type="character" w:customStyle="1" w:styleId="TitleChar">
    <w:name w:val="Title Char"/>
    <w:basedOn w:val="DefaultParagraphFont"/>
    <w:link w:val="Title"/>
    <w:rsid w:val="00311D18"/>
    <w:rPr>
      <w:rFonts w:ascii="Times New Roman" w:eastAsia="MS Mincho" w:hAnsi="Times New Roman"/>
      <w:b/>
      <w:sz w:val="26"/>
      <w:lang w:val="en-GB" w:eastAsia="en-US"/>
    </w:rPr>
  </w:style>
  <w:style w:type="paragraph" w:customStyle="1" w:styleId="SAP">
    <w:name w:val="SAP"/>
    <w:basedOn w:val="Normal"/>
    <w:rsid w:val="00311D18"/>
    <w:pPr>
      <w:spacing w:before="960" w:after="240"/>
      <w:jc w:val="right"/>
    </w:pPr>
    <w:rPr>
      <w:rFonts w:ascii="C39T36Lfz" w:eastAsia="MS Mincho" w:hAnsi="C39T36Lfz"/>
      <w:sz w:val="104"/>
      <w:lang w:val="en-GB"/>
    </w:rPr>
  </w:style>
  <w:style w:type="paragraph" w:customStyle="1" w:styleId="ASN1italic">
    <w:name w:val="ASN.1_italic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311D18"/>
    <w:pPr>
      <w:spacing w:before="0"/>
    </w:pPr>
    <w:rPr>
      <w:rFonts w:eastAsia="MS Mincho"/>
      <w:color w:val="FF0000"/>
      <w:lang w:val="en-GB"/>
    </w:rPr>
  </w:style>
  <w:style w:type="paragraph" w:customStyle="1" w:styleId="Note1">
    <w:name w:val="Note 1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0" w:line="199" w:lineRule="exact"/>
      <w:ind w:left="284"/>
    </w:pPr>
    <w:rPr>
      <w:rFonts w:eastAsia="MS Mincho"/>
      <w:sz w:val="20"/>
      <w:lang w:val="en-GB"/>
    </w:rPr>
  </w:style>
  <w:style w:type="paragraph" w:customStyle="1" w:styleId="Note2">
    <w:name w:val="Note 2"/>
    <w:basedOn w:val="Note1"/>
    <w:rsid w:val="00311D18"/>
    <w:pPr>
      <w:ind w:left="1077"/>
    </w:pPr>
  </w:style>
  <w:style w:type="paragraph" w:customStyle="1" w:styleId="Note3">
    <w:name w:val="Note 3"/>
    <w:basedOn w:val="Note1"/>
    <w:rsid w:val="00311D18"/>
    <w:pPr>
      <w:ind w:left="1474"/>
    </w:pPr>
  </w:style>
  <w:style w:type="paragraph" w:customStyle="1" w:styleId="RecISONo">
    <w:name w:val="Rec_ISO_No"/>
    <w:basedOn w:val="Normal"/>
    <w:rsid w:val="00311D18"/>
    <w:pPr>
      <w:keepNext/>
      <w:keepLines/>
      <w:spacing w:before="720"/>
      <w:jc w:val="left"/>
    </w:pPr>
    <w:rPr>
      <w:rFonts w:eastAsia="MS Mincho"/>
      <w:b/>
      <w:lang w:val="en-GB"/>
    </w:rPr>
  </w:style>
  <w:style w:type="paragraph" w:customStyle="1" w:styleId="TableLegend0">
    <w:name w:val="Table_Legend"/>
    <w:basedOn w:val="Normal"/>
    <w:next w:val="Normal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454"/>
      </w:tabs>
      <w:overflowPunct/>
      <w:autoSpaceDE/>
      <w:autoSpaceDN/>
      <w:adjustRightInd/>
      <w:spacing w:before="86"/>
      <w:textAlignment w:val="auto"/>
    </w:pPr>
    <w:rPr>
      <w:rFonts w:eastAsia="MS Mincho"/>
      <w:sz w:val="18"/>
      <w:lang w:val="en-GB"/>
    </w:rPr>
  </w:style>
  <w:style w:type="paragraph" w:customStyle="1" w:styleId="AnnexRef0">
    <w:name w:val="Annex_Ref"/>
    <w:basedOn w:val="Normal"/>
    <w:next w:val="Normal"/>
    <w:rsid w:val="00311D18"/>
    <w:pPr>
      <w:overflowPunct/>
      <w:autoSpaceDE/>
      <w:autoSpaceDN/>
      <w:adjustRightInd/>
      <w:spacing w:before="0"/>
      <w:jc w:val="center"/>
      <w:textAlignment w:val="auto"/>
    </w:pPr>
    <w:rPr>
      <w:rFonts w:eastAsia="MS Mincho"/>
      <w:lang w:val="en-GB"/>
    </w:rPr>
  </w:style>
  <w:style w:type="character" w:customStyle="1" w:styleId="italic">
    <w:name w:val="italic"/>
    <w:basedOn w:val="DefaultParagraphFont"/>
    <w:uiPriority w:val="99"/>
    <w:rsid w:val="00311D18"/>
    <w:rPr>
      <w:rFonts w:cs="Times New Roman"/>
      <w:i/>
    </w:rPr>
  </w:style>
  <w:style w:type="paragraph" w:customStyle="1" w:styleId="NormalITU">
    <w:name w:val="Normal_ITU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jc w:val="left"/>
      <w:textAlignment w:val="auto"/>
    </w:pPr>
    <w:rPr>
      <w:rFonts w:eastAsia="MS Mincho" w:cs="Arial"/>
      <w:sz w:val="24"/>
      <w:lang w:val="en-US"/>
    </w:rPr>
  </w:style>
  <w:style w:type="character" w:customStyle="1" w:styleId="BalloonTextChar">
    <w:name w:val="Balloon Text Char"/>
    <w:basedOn w:val="DefaultParagraphFont"/>
    <w:link w:val="BalloonText"/>
    <w:rsid w:val="00311D18"/>
    <w:rPr>
      <w:rFonts w:ascii="Tahoma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rsid w:val="00311D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1D18"/>
    <w:pPr>
      <w:overflowPunct/>
      <w:autoSpaceDE/>
      <w:autoSpaceDN/>
      <w:adjustRightInd/>
      <w:textAlignment w:val="auto"/>
    </w:pPr>
    <w:rPr>
      <w:rFonts w:eastAsia="MS Mincho"/>
      <w:b/>
      <w:bCs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311D18"/>
    <w:rPr>
      <w:rFonts w:ascii="Times New Roman" w:eastAsia="MS Mincho" w:hAnsi="Times New Roman"/>
      <w:b/>
      <w:bCs/>
      <w:sz w:val="22"/>
      <w:lang w:val="en-GB" w:eastAsia="en-US"/>
    </w:rPr>
  </w:style>
  <w:style w:type="paragraph" w:customStyle="1" w:styleId="Figurelegend08">
    <w:name w:val="Стиль Figure_legend + Слева:  08 см"/>
    <w:basedOn w:val="Figurelegend"/>
    <w:rsid w:val="00311D18"/>
    <w:pPr>
      <w:keepLines w:val="0"/>
      <w:tabs>
        <w:tab w:val="left" w:pos="454"/>
      </w:tabs>
      <w:spacing w:before="80" w:after="0"/>
      <w:ind w:left="454"/>
    </w:pPr>
    <w:rPr>
      <w:sz w:val="16"/>
      <w:lang w:val="ru-RU"/>
    </w:rPr>
  </w:style>
  <w:style w:type="paragraph" w:styleId="TableofFigures">
    <w:name w:val="table of figures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="MS Mincho"/>
      <w:lang w:val="en-GB"/>
    </w:rPr>
  </w:style>
  <w:style w:type="character" w:customStyle="1" w:styleId="BodyText2Char">
    <w:name w:val="Body Text 2 Char"/>
    <w:basedOn w:val="DefaultParagraphFont"/>
    <w:link w:val="BodyText2"/>
    <w:rsid w:val="00311D18"/>
    <w:rPr>
      <w:rFonts w:ascii="Arial" w:hAnsi="Arial" w:cs="Arial"/>
      <w:b/>
      <w:bCs/>
      <w:sz w:val="36"/>
      <w:lang w:val="fr-FR" w:eastAsia="en-US"/>
    </w:rPr>
  </w:style>
  <w:style w:type="paragraph" w:styleId="EndnoteText">
    <w:name w:val="endnote text"/>
    <w:basedOn w:val="Normal"/>
    <w:link w:val="EndnoteTextChar"/>
    <w:rsid w:val="00311D18"/>
    <w:pPr>
      <w:overflowPunct/>
      <w:autoSpaceDE/>
      <w:autoSpaceDN/>
      <w:adjustRightInd/>
      <w:spacing w:before="0"/>
      <w:textAlignment w:val="auto"/>
    </w:pPr>
    <w:rPr>
      <w:rFonts w:eastAsia="MS Mincho"/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311D18"/>
    <w:rPr>
      <w:rFonts w:ascii="Times New Roman" w:eastAsia="MS Mincho" w:hAnsi="Times New Roman"/>
      <w:lang w:val="en-GB" w:eastAsia="en-US"/>
    </w:rPr>
  </w:style>
  <w:style w:type="character" w:customStyle="1" w:styleId="apple-style-span">
    <w:name w:val="apple-style-span"/>
    <w:rsid w:val="00311D18"/>
  </w:style>
  <w:style w:type="table" w:customStyle="1" w:styleId="TableGrid1">
    <w:name w:val="Table Grid1"/>
    <w:basedOn w:val="TableNormal"/>
    <w:next w:val="TableGrid"/>
    <w:uiPriority w:val="59"/>
    <w:rsid w:val="00311D18"/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Char">
    <w:name w:val="Title 1 Char"/>
    <w:basedOn w:val="DefaultParagraphFont"/>
    <w:link w:val="Title1"/>
    <w:locked/>
    <w:rsid w:val="00311D18"/>
    <w:rPr>
      <w:rFonts w:ascii="Times New Roman" w:hAnsi="Times New Roman"/>
      <w:caps/>
      <w:sz w:val="26"/>
      <w:lang w:val="fr-FR" w:eastAsia="en-US"/>
    </w:rPr>
  </w:style>
  <w:style w:type="paragraph" w:customStyle="1" w:styleId="Agendaitem">
    <w:name w:val="Agenda_item"/>
    <w:basedOn w:val="Title3"/>
    <w:next w:val="Normal"/>
    <w:qFormat/>
    <w:rsid w:val="00311D18"/>
    <w:pPr>
      <w:tabs>
        <w:tab w:val="left" w:pos="1134"/>
        <w:tab w:val="left" w:pos="1871"/>
        <w:tab w:val="left" w:pos="2268"/>
      </w:tabs>
    </w:pPr>
    <w:rPr>
      <w:szCs w:val="22"/>
      <w:lang w:val="en-US"/>
    </w:rPr>
  </w:style>
  <w:style w:type="paragraph" w:customStyle="1" w:styleId="ApptoAnnex">
    <w:name w:val="App_to_Annex"/>
    <w:basedOn w:val="Appendix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GB"/>
    </w:rPr>
  </w:style>
  <w:style w:type="character" w:customStyle="1" w:styleId="ArtNoChar">
    <w:name w:val="Art_No Char"/>
    <w:basedOn w:val="DefaultParagraphFont"/>
    <w:link w:val="ArtNo"/>
    <w:locked/>
    <w:rsid w:val="00311D18"/>
    <w:rPr>
      <w:rFonts w:ascii="Times New Roman" w:hAnsi="Times New Roman"/>
      <w:caps/>
      <w:sz w:val="26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311D18"/>
    <w:rPr>
      <w:rFonts w:ascii="Times New Roman" w:hAnsi="Times New Roman"/>
      <w:b/>
      <w:sz w:val="26"/>
      <w:lang w:val="fr-FR" w:eastAsia="en-US"/>
    </w:rPr>
  </w:style>
  <w:style w:type="paragraph" w:customStyle="1" w:styleId="Normalend">
    <w:name w:val="Normal_end"/>
    <w:basedOn w:val="Normal"/>
    <w:next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Booktitle">
    <w:name w:val="Book_title"/>
    <w:basedOn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311D18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18"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311D18"/>
    <w:rPr>
      <w:rFonts w:ascii="Times New Roman" w:hAnsi="Times New Roman"/>
      <w:b/>
      <w:sz w:val="26"/>
      <w:lang w:val="fr-FR" w:eastAsia="en-US"/>
    </w:rPr>
  </w:style>
  <w:style w:type="character" w:customStyle="1" w:styleId="EquationChar">
    <w:name w:val="Equation Char"/>
    <w:basedOn w:val="DefaultParagraphFont"/>
    <w:link w:val="Equation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Section1Char">
    <w:name w:val="Section_1 Char"/>
    <w:basedOn w:val="DefaultParagraphFont"/>
    <w:link w:val="Section1"/>
    <w:locked/>
    <w:rsid w:val="00311D18"/>
    <w:rPr>
      <w:rFonts w:ascii="Times New Roman" w:hAnsi="Times New Roman"/>
      <w:b/>
      <w:sz w:val="22"/>
      <w:lang w:val="fr-FR" w:eastAsia="en-US"/>
    </w:rPr>
  </w:style>
  <w:style w:type="character" w:customStyle="1" w:styleId="Section2Char">
    <w:name w:val="Section_2 Char"/>
    <w:basedOn w:val="Section1Char"/>
    <w:link w:val="Section2"/>
    <w:locked/>
    <w:rsid w:val="00311D18"/>
    <w:rPr>
      <w:rFonts w:ascii="Times New Roman" w:hAnsi="Times New Roman"/>
      <w:b w:val="0"/>
      <w:i/>
      <w:sz w:val="22"/>
      <w:lang w:val="fr-FR" w:eastAsia="en-US"/>
    </w:rPr>
  </w:style>
  <w:style w:type="paragraph" w:customStyle="1" w:styleId="Section3">
    <w:name w:val="Section_3"/>
    <w:basedOn w:val="Section1"/>
    <w:link w:val="Section3Char"/>
    <w:rsid w:val="00311D18"/>
    <w:pPr>
      <w:tabs>
        <w:tab w:val="center" w:pos="4820"/>
      </w:tabs>
      <w:spacing w:before="360"/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311D18"/>
    <w:rPr>
      <w:rFonts w:ascii="Times New Roman" w:eastAsia="SimSun" w:hAnsi="Times New Roman"/>
      <w:b w:val="0"/>
      <w:sz w:val="22"/>
      <w:lang w:val="fr-FR" w:eastAsia="en-US"/>
    </w:rPr>
  </w:style>
  <w:style w:type="paragraph" w:customStyle="1" w:styleId="Subsection1">
    <w:name w:val="Subsection_1"/>
    <w:basedOn w:val="Section1"/>
    <w:next w:val="Section1"/>
    <w:qFormat/>
    <w:rsid w:val="00311D18"/>
    <w:pPr>
      <w:tabs>
        <w:tab w:val="center" w:pos="4820"/>
      </w:tabs>
      <w:spacing w:before="360"/>
    </w:pPr>
    <w:rPr>
      <w:lang w:val="en-GB"/>
    </w:rPr>
  </w:style>
  <w:style w:type="paragraph" w:customStyle="1" w:styleId="TableTextS5">
    <w:name w:val="Table_TextS5"/>
    <w:basedOn w:val="Normal"/>
    <w:link w:val="TableTextS5Char"/>
    <w:rsid w:val="00311D18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  <w:jc w:val="left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311D18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311D1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left"/>
    </w:pPr>
  </w:style>
  <w:style w:type="paragraph" w:customStyle="1" w:styleId="Volumetitle">
    <w:name w:val="Volume_title"/>
    <w:basedOn w:val="Art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AppArtNo">
    <w:name w:val="App_Art_No"/>
    <w:basedOn w:val="ArtNo"/>
    <w:next w:val="AppArt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Part1">
    <w:name w:val="Part_1"/>
    <w:basedOn w:val="Subsection1"/>
    <w:next w:val="Section1"/>
    <w:qFormat/>
    <w:rsid w:val="00311D18"/>
  </w:style>
  <w:style w:type="table" w:customStyle="1" w:styleId="TableGrid2">
    <w:name w:val="Table Grid2"/>
    <w:basedOn w:val="TableNormal"/>
    <w:next w:val="TableGrid"/>
    <w:rsid w:val="00311D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B5E0-560B-40FB-BB81-7204F6FD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1189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9559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6</cp:revision>
  <cp:lastPrinted>2009-01-30T13:07:00Z</cp:lastPrinted>
  <dcterms:created xsi:type="dcterms:W3CDTF">2013-04-22T15:27:00Z</dcterms:created>
  <dcterms:modified xsi:type="dcterms:W3CDTF">2013-04-24T13:35:00Z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