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8" w:type="dxa"/>
        <w:tblLayout w:type="fixed"/>
        <w:tblLook w:val="0000" w:firstRow="0" w:lastRow="0" w:firstColumn="0" w:lastColumn="0" w:noHBand="0" w:noVBand="0"/>
      </w:tblPr>
      <w:tblGrid>
        <w:gridCol w:w="1418"/>
        <w:gridCol w:w="10"/>
        <w:gridCol w:w="2508"/>
        <w:gridCol w:w="2041"/>
        <w:gridCol w:w="3971"/>
      </w:tblGrid>
      <w:tr w:rsidR="004E489E">
        <w:trPr>
          <w:trHeight w:hRule="exact" w:val="1418"/>
        </w:trPr>
        <w:tc>
          <w:tcPr>
            <w:tcW w:w="1428" w:type="dxa"/>
            <w:gridSpan w:val="2"/>
          </w:tcPr>
          <w:p w:rsidR="004E489E" w:rsidRDefault="00935D28">
            <w:r>
              <w:rPr>
                <w:noProof/>
                <w:lang w:val="en-US" w:eastAsia="zh-CN"/>
              </w:rPr>
              <w:drawing>
                <wp:anchor distT="0" distB="0" distL="114300" distR="114300" simplePos="0" relativeHeight="251659264" behindDoc="0" locked="0" layoutInCell="0" allowOverlap="1">
                  <wp:simplePos x="0" y="0"/>
                  <wp:positionH relativeFrom="column">
                    <wp:posOffset>-982980</wp:posOffset>
                  </wp:positionH>
                  <wp:positionV relativeFrom="paragraph">
                    <wp:posOffset>-688975</wp:posOffset>
                  </wp:positionV>
                  <wp:extent cx="1609090" cy="1080389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9090" cy="10803890"/>
                          </a:xfrm>
                          <a:prstGeom prst="rect">
                            <a:avLst/>
                          </a:prstGeom>
                          <a:noFill/>
                          <a:ln>
                            <a:noFill/>
                          </a:ln>
                        </pic:spPr>
                      </pic:pic>
                    </a:graphicData>
                  </a:graphic>
                </wp:anchor>
              </w:drawing>
            </w:r>
          </w:p>
          <w:p w:rsidR="004E489E" w:rsidRDefault="004E489E">
            <w:pPr>
              <w:spacing w:before="0"/>
              <w:rPr>
                <w:bCs/>
                <w:sz w:val="16"/>
              </w:rPr>
            </w:pPr>
          </w:p>
        </w:tc>
        <w:tc>
          <w:tcPr>
            <w:tcW w:w="8520" w:type="dxa"/>
            <w:gridSpan w:val="3"/>
          </w:tcPr>
          <w:p w:rsidR="004E489E" w:rsidRDefault="004E489E">
            <w:pPr>
              <w:spacing w:before="0"/>
              <w:rPr>
                <w:rFonts w:ascii="Arial" w:hAnsi="Arial" w:cs="Arial"/>
                <w:b/>
                <w:bCs/>
                <w:spacing w:val="70"/>
              </w:rPr>
            </w:pPr>
          </w:p>
          <w:p w:rsidR="004E489E" w:rsidRDefault="004E489E">
            <w:pPr>
              <w:spacing w:before="284"/>
              <w:rPr>
                <w:rFonts w:ascii="Arial" w:hAnsi="Arial" w:cs="Arial"/>
                <w:b/>
                <w:bCs/>
                <w:spacing w:val="72"/>
              </w:rPr>
            </w:pPr>
            <w:r>
              <w:rPr>
                <w:rFonts w:ascii="Arial" w:hAnsi="Arial" w:cs="Arial"/>
                <w:b/>
                <w:bCs/>
                <w:color w:val="808080"/>
                <w:spacing w:val="72"/>
                <w:lang w:val="fr-CH"/>
              </w:rPr>
              <w:t>Union internationale des télécommunications</w:t>
            </w:r>
          </w:p>
        </w:tc>
      </w:tr>
      <w:tr w:rsidR="004E489E">
        <w:trPr>
          <w:trHeight w:hRule="exact" w:val="992"/>
        </w:trPr>
        <w:tc>
          <w:tcPr>
            <w:tcW w:w="1428" w:type="dxa"/>
            <w:gridSpan w:val="2"/>
          </w:tcPr>
          <w:p w:rsidR="004E489E" w:rsidRDefault="004E489E">
            <w:pPr>
              <w:spacing w:before="0"/>
            </w:pPr>
          </w:p>
        </w:tc>
        <w:tc>
          <w:tcPr>
            <w:tcW w:w="8520" w:type="dxa"/>
            <w:gridSpan w:val="3"/>
          </w:tcPr>
          <w:p w:rsidR="004E489E" w:rsidRDefault="004E489E"/>
        </w:tc>
      </w:tr>
      <w:tr w:rsidR="004E489E">
        <w:tblPrEx>
          <w:tblCellMar>
            <w:left w:w="85" w:type="dxa"/>
            <w:right w:w="85" w:type="dxa"/>
          </w:tblCellMar>
        </w:tblPrEx>
        <w:trPr>
          <w:gridBefore w:val="2"/>
          <w:wBefore w:w="1428" w:type="dxa"/>
        </w:trPr>
        <w:tc>
          <w:tcPr>
            <w:tcW w:w="2508" w:type="dxa"/>
          </w:tcPr>
          <w:p w:rsidR="004E489E" w:rsidRDefault="004E489E">
            <w:pPr>
              <w:rPr>
                <w:b/>
                <w:sz w:val="18"/>
              </w:rPr>
            </w:pPr>
            <w:bookmarkStart w:id="0" w:name="dnumf" w:colFirst="1" w:colLast="1"/>
            <w:r>
              <w:rPr>
                <w:rFonts w:ascii="Arial" w:hAnsi="Arial"/>
                <w:b/>
                <w:spacing w:val="40"/>
                <w:sz w:val="72"/>
              </w:rPr>
              <w:t>UIT-T</w:t>
            </w:r>
          </w:p>
        </w:tc>
        <w:tc>
          <w:tcPr>
            <w:tcW w:w="6012" w:type="dxa"/>
            <w:gridSpan w:val="2"/>
          </w:tcPr>
          <w:p w:rsidR="004E489E" w:rsidRPr="004E489E" w:rsidRDefault="004E489E">
            <w:pPr>
              <w:spacing w:before="240"/>
              <w:jc w:val="right"/>
              <w:rPr>
                <w:rFonts w:ascii="Arial" w:hAnsi="Arial" w:cs="Arial"/>
                <w:b/>
                <w:sz w:val="60"/>
              </w:rPr>
            </w:pPr>
          </w:p>
        </w:tc>
      </w:tr>
      <w:tr w:rsidR="004E489E">
        <w:tblPrEx>
          <w:tblCellMar>
            <w:left w:w="85" w:type="dxa"/>
            <w:right w:w="85" w:type="dxa"/>
          </w:tblCellMar>
        </w:tblPrEx>
        <w:trPr>
          <w:gridBefore w:val="2"/>
          <w:wBefore w:w="1428" w:type="dxa"/>
          <w:trHeight w:val="974"/>
        </w:trPr>
        <w:tc>
          <w:tcPr>
            <w:tcW w:w="4549" w:type="dxa"/>
            <w:gridSpan w:val="2"/>
          </w:tcPr>
          <w:p w:rsidR="004E489E" w:rsidRDefault="004E489E">
            <w:pPr>
              <w:jc w:val="left"/>
              <w:rPr>
                <w:b/>
                <w:sz w:val="18"/>
              </w:rPr>
            </w:pPr>
            <w:bookmarkStart w:id="1" w:name="ddatef" w:colFirst="1" w:colLast="1"/>
            <w:bookmarkEnd w:id="0"/>
            <w:r>
              <w:rPr>
                <w:rFonts w:ascii="Arial" w:hAnsi="Arial"/>
                <w:sz w:val="20"/>
              </w:rPr>
              <w:t>SECTEUR  DE  LA  NORMALISATION</w:t>
            </w:r>
            <w:r>
              <w:rPr>
                <w:rFonts w:ascii="Arial" w:hAnsi="Arial" w:cs="Arial"/>
                <w:sz w:val="20"/>
              </w:rPr>
              <w:br/>
            </w:r>
            <w:r>
              <w:rPr>
                <w:rFonts w:ascii="Arial" w:hAnsi="Arial"/>
                <w:sz w:val="20"/>
              </w:rPr>
              <w:t>DES  TÉLÉCOMMUNICATIONS</w:t>
            </w:r>
            <w:r>
              <w:rPr>
                <w:rFonts w:ascii="Arial" w:hAnsi="Arial"/>
                <w:sz w:val="20"/>
              </w:rPr>
              <w:br/>
              <w:t>DE  L'UIT</w:t>
            </w:r>
          </w:p>
        </w:tc>
        <w:tc>
          <w:tcPr>
            <w:tcW w:w="3971" w:type="dxa"/>
          </w:tcPr>
          <w:p w:rsidR="004E489E" w:rsidRPr="004E489E" w:rsidRDefault="004E489E" w:rsidP="004E489E">
            <w:pPr>
              <w:spacing w:before="0"/>
              <w:jc w:val="right"/>
              <w:rPr>
                <w:rFonts w:ascii="Arial" w:hAnsi="Arial" w:cs="Arial"/>
                <w:sz w:val="28"/>
              </w:rPr>
            </w:pPr>
            <w:r w:rsidRPr="004E489E">
              <w:rPr>
                <w:rFonts w:ascii="Arial" w:hAnsi="Arial" w:cs="Arial"/>
                <w:sz w:val="28"/>
              </w:rPr>
              <w:t xml:space="preserve">   </w:t>
            </w:r>
          </w:p>
        </w:tc>
      </w:tr>
      <w:tr w:rsidR="004E489E">
        <w:trPr>
          <w:cantSplit/>
          <w:trHeight w:hRule="exact" w:val="3402"/>
        </w:trPr>
        <w:tc>
          <w:tcPr>
            <w:tcW w:w="1418" w:type="dxa"/>
          </w:tcPr>
          <w:p w:rsidR="004E489E" w:rsidRDefault="004E489E">
            <w:pPr>
              <w:tabs>
                <w:tab w:val="right" w:pos="9639"/>
              </w:tabs>
              <w:rPr>
                <w:rFonts w:ascii="Arial" w:hAnsi="Arial"/>
                <w:sz w:val="18"/>
              </w:rPr>
            </w:pPr>
            <w:bookmarkStart w:id="2" w:name="dsecf" w:colFirst="1" w:colLast="1"/>
            <w:bookmarkEnd w:id="1"/>
          </w:p>
        </w:tc>
        <w:tc>
          <w:tcPr>
            <w:tcW w:w="8530" w:type="dxa"/>
            <w:gridSpan w:val="4"/>
            <w:tcBorders>
              <w:bottom w:val="single" w:sz="12" w:space="0" w:color="auto"/>
            </w:tcBorders>
            <w:vAlign w:val="bottom"/>
          </w:tcPr>
          <w:p w:rsidR="004E489E" w:rsidRPr="00EB6BEB" w:rsidRDefault="00311F37" w:rsidP="00311F37">
            <w:pPr>
              <w:tabs>
                <w:tab w:val="right" w:pos="9639"/>
              </w:tabs>
              <w:jc w:val="left"/>
              <w:rPr>
                <w:rFonts w:ascii="Arial" w:hAnsi="Arial" w:cs="Arial"/>
                <w:sz w:val="32"/>
                <w:lang w:val="fr-CH"/>
              </w:rPr>
            </w:pPr>
            <w:r w:rsidRPr="00311F37">
              <w:rPr>
                <w:rFonts w:ascii="Arial" w:hAnsi="Arial"/>
                <w:sz w:val="32"/>
              </w:rPr>
              <w:t>ASSEMBLÉE</w:t>
            </w:r>
            <w:r w:rsidRPr="00311F37">
              <w:rPr>
                <w:rFonts w:ascii="Arial" w:hAnsi="Arial"/>
                <w:sz w:val="32"/>
                <w:lang w:val="fr-CH"/>
              </w:rPr>
              <w:t xml:space="preserve"> MONDIALE DE NORMALISATION DES TÉLÉCOMMUNICATIONS</w:t>
            </w:r>
            <w:r w:rsidRPr="00EB6BEB">
              <w:rPr>
                <w:rFonts w:ascii="Arial" w:hAnsi="Arial"/>
                <w:sz w:val="32"/>
                <w:lang w:val="fr-CH"/>
              </w:rPr>
              <w:t xml:space="preserve"> </w:t>
            </w:r>
            <w:r w:rsidRPr="00EB6BEB">
              <w:rPr>
                <w:rFonts w:ascii="Arial" w:hAnsi="Arial"/>
                <w:sz w:val="32"/>
                <w:lang w:val="fr-CH"/>
              </w:rPr>
              <w:br/>
            </w:r>
            <w:r w:rsidR="00EB6BEB" w:rsidRPr="00EB6BEB">
              <w:rPr>
                <w:rFonts w:ascii="Arial" w:hAnsi="Arial"/>
                <w:sz w:val="32"/>
                <w:lang w:val="fr-CH"/>
              </w:rPr>
              <w:t>Dubaï, 20-29 novembre 2012</w:t>
            </w:r>
          </w:p>
          <w:p w:rsidR="004E489E" w:rsidRPr="004E489E" w:rsidRDefault="004E489E" w:rsidP="004E489E">
            <w:pPr>
              <w:tabs>
                <w:tab w:val="right" w:pos="9639"/>
              </w:tabs>
              <w:jc w:val="left"/>
              <w:rPr>
                <w:rFonts w:ascii="Arial" w:hAnsi="Arial" w:cs="Arial"/>
                <w:sz w:val="32"/>
              </w:rPr>
            </w:pPr>
          </w:p>
        </w:tc>
      </w:tr>
      <w:tr w:rsidR="004E489E">
        <w:trPr>
          <w:cantSplit/>
          <w:trHeight w:hRule="exact" w:val="4536"/>
        </w:trPr>
        <w:tc>
          <w:tcPr>
            <w:tcW w:w="1418" w:type="dxa"/>
          </w:tcPr>
          <w:p w:rsidR="004E489E" w:rsidRDefault="004E489E">
            <w:pPr>
              <w:tabs>
                <w:tab w:val="right" w:pos="9639"/>
              </w:tabs>
              <w:rPr>
                <w:rFonts w:ascii="Arial" w:hAnsi="Arial"/>
                <w:sz w:val="18"/>
              </w:rPr>
            </w:pPr>
            <w:bookmarkStart w:id="3" w:name="c1titf" w:colFirst="1" w:colLast="1"/>
            <w:bookmarkEnd w:id="2"/>
          </w:p>
        </w:tc>
        <w:tc>
          <w:tcPr>
            <w:tcW w:w="8530" w:type="dxa"/>
            <w:gridSpan w:val="4"/>
          </w:tcPr>
          <w:p w:rsidR="004E489E" w:rsidRPr="00D43879" w:rsidRDefault="00AC6AA3" w:rsidP="00CC4881">
            <w:pPr>
              <w:tabs>
                <w:tab w:val="right" w:pos="9639"/>
              </w:tabs>
              <w:jc w:val="left"/>
              <w:rPr>
                <w:rFonts w:ascii="Arial" w:hAnsi="Arial"/>
                <w:b/>
                <w:bCs/>
                <w:sz w:val="36"/>
                <w:lang w:val="fr-CH"/>
              </w:rPr>
            </w:pPr>
            <w:r>
              <w:rPr>
                <w:rFonts w:ascii="Arial" w:hAnsi="Arial"/>
                <w:b/>
                <w:bCs/>
                <w:sz w:val="36"/>
                <w:lang w:val="fr-CH"/>
              </w:rPr>
              <w:t xml:space="preserve">Résolution </w:t>
            </w:r>
            <w:r w:rsidR="00CC4881">
              <w:rPr>
                <w:rFonts w:ascii="Arial" w:hAnsi="Arial"/>
                <w:b/>
                <w:bCs/>
                <w:sz w:val="36"/>
                <w:lang w:val="fr-CH"/>
              </w:rPr>
              <w:t>22</w:t>
            </w:r>
            <w:r>
              <w:rPr>
                <w:rFonts w:ascii="Arial" w:hAnsi="Arial"/>
                <w:b/>
                <w:bCs/>
                <w:sz w:val="36"/>
                <w:lang w:val="fr-CH"/>
              </w:rPr>
              <w:t xml:space="preserve"> – </w:t>
            </w:r>
            <w:r w:rsidR="00B85D56" w:rsidRPr="00B85D56">
              <w:rPr>
                <w:rFonts w:ascii="Arial" w:hAnsi="Arial"/>
                <w:b/>
                <w:bCs/>
                <w:sz w:val="36"/>
                <w:lang w:val="fr-CH"/>
              </w:rPr>
              <w:t xml:space="preserve">Pouvoir </w:t>
            </w:r>
            <w:proofErr w:type="gramStart"/>
            <w:r w:rsidR="00B85D56" w:rsidRPr="00B85D56">
              <w:rPr>
                <w:rFonts w:ascii="Arial" w:hAnsi="Arial"/>
                <w:b/>
                <w:bCs/>
                <w:sz w:val="36"/>
                <w:lang w:val="fr-CH"/>
              </w:rPr>
              <w:t>conféré</w:t>
            </w:r>
            <w:proofErr w:type="gramEnd"/>
            <w:r w:rsidR="00B85D56" w:rsidRPr="00B85D56">
              <w:rPr>
                <w:rFonts w:ascii="Arial" w:hAnsi="Arial"/>
                <w:b/>
                <w:bCs/>
                <w:sz w:val="36"/>
                <w:lang w:val="fr-CH"/>
              </w:rPr>
              <w:t xml:space="preserve"> au Groupe consultatif de la normalisation des</w:t>
            </w:r>
            <w:r w:rsidR="00B85D56" w:rsidRPr="00B85D56">
              <w:rPr>
                <w:rFonts w:ascii="Arial" w:hAnsi="Arial"/>
                <w:b/>
                <w:bCs/>
                <w:sz w:val="36"/>
                <w:lang w:val="fr-CH"/>
              </w:rPr>
              <w:br/>
              <w:t>télécommunications d'agir entre les assemblées mondiales</w:t>
            </w:r>
            <w:r w:rsidR="00B85D56">
              <w:rPr>
                <w:rFonts w:ascii="Arial" w:hAnsi="Arial"/>
                <w:b/>
                <w:bCs/>
                <w:sz w:val="36"/>
                <w:lang w:val="fr-CH"/>
              </w:rPr>
              <w:t xml:space="preserve"> </w:t>
            </w:r>
            <w:r w:rsidR="00B85D56" w:rsidRPr="00B85D56">
              <w:rPr>
                <w:rFonts w:ascii="Arial" w:hAnsi="Arial"/>
                <w:b/>
                <w:bCs/>
                <w:sz w:val="36"/>
                <w:lang w:val="fr-CH"/>
              </w:rPr>
              <w:t>de normalisation</w:t>
            </w:r>
            <w:r w:rsidR="00B85D56">
              <w:rPr>
                <w:rFonts w:ascii="Arial" w:hAnsi="Arial"/>
                <w:b/>
                <w:bCs/>
                <w:sz w:val="36"/>
                <w:lang w:val="fr-CH"/>
              </w:rPr>
              <w:br/>
            </w:r>
            <w:r w:rsidR="00B85D56" w:rsidRPr="00B85D56">
              <w:rPr>
                <w:rFonts w:ascii="Arial" w:hAnsi="Arial"/>
                <w:b/>
                <w:bCs/>
                <w:sz w:val="36"/>
                <w:lang w:val="fr-CH"/>
              </w:rPr>
              <w:t>des télécommunications</w:t>
            </w:r>
            <w:bookmarkStart w:id="4" w:name="_GoBack"/>
            <w:bookmarkEnd w:id="4"/>
          </w:p>
        </w:tc>
      </w:tr>
      <w:bookmarkEnd w:id="3"/>
      <w:tr w:rsidR="004E489E">
        <w:trPr>
          <w:cantSplit/>
          <w:trHeight w:hRule="exact" w:val="1418"/>
        </w:trPr>
        <w:tc>
          <w:tcPr>
            <w:tcW w:w="1418" w:type="dxa"/>
          </w:tcPr>
          <w:p w:rsidR="004E489E" w:rsidRDefault="004E489E">
            <w:pPr>
              <w:tabs>
                <w:tab w:val="right" w:pos="9639"/>
              </w:tabs>
              <w:rPr>
                <w:rFonts w:ascii="Arial" w:hAnsi="Arial"/>
                <w:sz w:val="18"/>
              </w:rPr>
            </w:pPr>
          </w:p>
        </w:tc>
        <w:tc>
          <w:tcPr>
            <w:tcW w:w="8530" w:type="dxa"/>
            <w:gridSpan w:val="4"/>
            <w:vAlign w:val="bottom"/>
          </w:tcPr>
          <w:p w:rsidR="004E489E" w:rsidRDefault="004E489E" w:rsidP="00A8419C">
            <w:pPr>
              <w:tabs>
                <w:tab w:val="right" w:pos="9639"/>
              </w:tabs>
              <w:spacing w:before="0"/>
              <w:jc w:val="left"/>
              <w:rPr>
                <w:rFonts w:ascii="Arial" w:hAnsi="Arial" w:cs="Arial"/>
                <w:sz w:val="32"/>
              </w:rPr>
            </w:pPr>
            <w:bookmarkStart w:id="5" w:name="dnum2f"/>
            <w:bookmarkEnd w:id="5"/>
          </w:p>
          <w:p w:rsidR="004E489E" w:rsidRPr="004E489E" w:rsidRDefault="004E489E" w:rsidP="004E489E">
            <w:pPr>
              <w:tabs>
                <w:tab w:val="right" w:pos="9639"/>
              </w:tabs>
              <w:spacing w:before="60"/>
              <w:jc w:val="left"/>
              <w:rPr>
                <w:rFonts w:ascii="Arial" w:hAnsi="Arial" w:cs="Arial"/>
                <w:sz w:val="32"/>
              </w:rPr>
            </w:pPr>
          </w:p>
        </w:tc>
      </w:tr>
    </w:tbl>
    <w:p w:rsidR="004E489E" w:rsidRDefault="00EB6BEB" w:rsidP="00A8419C">
      <w:pPr>
        <w:spacing w:before="0"/>
        <w:jc w:val="right"/>
      </w:pPr>
      <w:r>
        <w:rPr>
          <w:noProof/>
          <w:lang w:val="en-US" w:eastAsia="zh-CN"/>
        </w:rPr>
        <w:drawing>
          <wp:inline distT="0" distB="0" distL="0" distR="0">
            <wp:extent cx="664845" cy="735965"/>
            <wp:effectExtent l="0" t="0" r="1905" b="6985"/>
            <wp:docPr id="238"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4845" cy="735965"/>
                    </a:xfrm>
                    <a:prstGeom prst="rect">
                      <a:avLst/>
                    </a:prstGeom>
                    <a:noFill/>
                    <a:ln>
                      <a:noFill/>
                    </a:ln>
                  </pic:spPr>
                </pic:pic>
              </a:graphicData>
            </a:graphic>
          </wp:inline>
        </w:drawing>
      </w:r>
    </w:p>
    <w:p w:rsidR="004E489E" w:rsidRDefault="004E489E">
      <w:pPr>
        <w:spacing w:before="80"/>
        <w:jc w:val="left"/>
        <w:rPr>
          <w:i/>
          <w:sz w:val="20"/>
        </w:rPr>
      </w:pPr>
      <w:bookmarkStart w:id="6" w:name="c2topf"/>
      <w:bookmarkEnd w:id="6"/>
    </w:p>
    <w:p w:rsidR="00A8419C" w:rsidRDefault="00A8419C">
      <w:pPr>
        <w:spacing w:before="480"/>
        <w:jc w:val="center"/>
        <w:rPr>
          <w:sz w:val="22"/>
        </w:rPr>
        <w:sectPr w:rsidR="00A8419C" w:rsidSect="00F51075">
          <w:headerReference w:type="even" r:id="rId11"/>
          <w:type w:val="oddPage"/>
          <w:pgSz w:w="11907" w:h="16834" w:code="9"/>
          <w:pgMar w:top="1089" w:right="1089" w:bottom="284" w:left="1089" w:header="284" w:footer="284" w:gutter="0"/>
          <w:paperSrc w:first="15" w:other="15"/>
          <w:cols w:space="720"/>
          <w:docGrid w:linePitch="326"/>
        </w:sectPr>
      </w:pPr>
      <w:bookmarkStart w:id="7" w:name="irecnof"/>
      <w:bookmarkEnd w:id="7"/>
    </w:p>
    <w:p w:rsidR="004E489E" w:rsidRDefault="004E489E">
      <w:pPr>
        <w:spacing w:before="480"/>
        <w:jc w:val="center"/>
        <w:rPr>
          <w:sz w:val="22"/>
        </w:rPr>
      </w:pPr>
      <w:r>
        <w:rPr>
          <w:sz w:val="22"/>
        </w:rPr>
        <w:lastRenderedPageBreak/>
        <w:t>AVANT-PROPOS</w:t>
      </w:r>
    </w:p>
    <w:p w:rsidR="00EB6BEB" w:rsidRDefault="00EB6BEB" w:rsidP="00EB6BEB">
      <w:pPr>
        <w:pStyle w:val="Normalaftertitle"/>
        <w:spacing w:line="240" w:lineRule="exact"/>
        <w:rPr>
          <w:sz w:val="20"/>
        </w:rPr>
      </w:pPr>
      <w:bookmarkStart w:id="8" w:name="iitextf"/>
      <w:r w:rsidRPr="004325AC">
        <w:rPr>
          <w:sz w:val="20"/>
        </w:rPr>
        <w:t>L'Union internationale des télécommunications (UIT) est une institution spécialisée des Nations Unies dans le domaine des télé</w:t>
      </w:r>
      <w:r w:rsidRPr="004325AC">
        <w:rPr>
          <w:sz w:val="20"/>
        </w:rPr>
        <w:softHyphen/>
        <w:t>com</w:t>
      </w:r>
      <w:r w:rsidRPr="004325AC">
        <w:rPr>
          <w:sz w:val="20"/>
        </w:rPr>
        <w:softHyphen/>
        <w:t>mu</w:t>
      </w:r>
      <w:r w:rsidRPr="004325AC">
        <w:rPr>
          <w:sz w:val="20"/>
        </w:rPr>
        <w:softHyphen/>
        <w:t>ni</w:t>
      </w:r>
      <w:r w:rsidRPr="004325AC">
        <w:rPr>
          <w:sz w:val="20"/>
        </w:rPr>
        <w:softHyphen/>
        <w:t>ca</w:t>
      </w:r>
      <w:r w:rsidRPr="004325AC">
        <w:rPr>
          <w:sz w:val="20"/>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4325AC">
        <w:rPr>
          <w:sz w:val="20"/>
        </w:rPr>
        <w:softHyphen/>
        <w:t>com</w:t>
      </w:r>
      <w:r w:rsidRPr="004325AC">
        <w:rPr>
          <w:sz w:val="20"/>
        </w:rPr>
        <w:softHyphen/>
        <w:t>mu</w:t>
      </w:r>
      <w:r w:rsidRPr="004325AC">
        <w:rPr>
          <w:sz w:val="20"/>
        </w:rPr>
        <w:softHyphen/>
        <w:t>ni</w:t>
      </w:r>
      <w:r w:rsidRPr="004325AC">
        <w:rPr>
          <w:sz w:val="20"/>
        </w:rPr>
        <w:softHyphen/>
        <w:t>ca</w:t>
      </w:r>
      <w:r w:rsidRPr="004325AC">
        <w:rPr>
          <w:sz w:val="20"/>
        </w:rPr>
        <w:softHyphen/>
        <w:t>tions à l'échelle mondiale.</w:t>
      </w:r>
    </w:p>
    <w:p w:rsidR="00EB6BEB" w:rsidRDefault="00EB6BEB" w:rsidP="00EB6BEB">
      <w:pPr>
        <w:spacing w:line="240" w:lineRule="exact"/>
        <w:rPr>
          <w:sz w:val="20"/>
        </w:rPr>
      </w:pPr>
      <w:r w:rsidRPr="004325AC">
        <w:rPr>
          <w:sz w:val="20"/>
        </w:rPr>
        <w:t>L'Assemblée mondiale de normalisation des télécommunications (AMNT), qui se réunit tous les quatre ans, détermine les thèmes d'étude à traiter par les Commissions d'études de l'UIT</w:t>
      </w:r>
      <w:r w:rsidRPr="004325AC">
        <w:rPr>
          <w:sz w:val="20"/>
        </w:rPr>
        <w:noBreakHyphen/>
        <w:t>T, lesquelles élaborent en retour des Recommandations sur ces thèmes.</w:t>
      </w:r>
    </w:p>
    <w:p w:rsidR="00EB6BEB" w:rsidRPr="00E83AC8" w:rsidRDefault="00EB6BEB" w:rsidP="00EB6BEB">
      <w:pPr>
        <w:spacing w:line="240" w:lineRule="exact"/>
        <w:rPr>
          <w:sz w:val="20"/>
          <w:lang w:val="fr-CH"/>
        </w:rPr>
      </w:pPr>
      <w:r w:rsidRPr="004325AC">
        <w:rPr>
          <w:sz w:val="20"/>
        </w:rPr>
        <w:t>L'approbation des Recommandations par les Membres de l'UIT</w:t>
      </w:r>
      <w:r w:rsidRPr="004325AC">
        <w:rPr>
          <w:sz w:val="20"/>
        </w:rPr>
        <w:noBreakHyphen/>
        <w:t>T s'effectue selon la procédure définie dans la Résolution 1 de l'AMNT.</w:t>
      </w:r>
    </w:p>
    <w:p w:rsidR="004E489E" w:rsidRDefault="00EB6BEB" w:rsidP="00EB6BEB">
      <w:pPr>
        <w:rPr>
          <w:sz w:val="22"/>
        </w:rPr>
      </w:pPr>
      <w:r w:rsidRPr="004325AC">
        <w:rPr>
          <w:sz w:val="20"/>
        </w:rPr>
        <w:t>Dans certains secteurs des technologies de l'information qui correspondent à la sphère de compétence de l'UIT-T, les normes nécessaires se préparent en collaboration avec l'ISO et la CEI</w:t>
      </w:r>
      <w:r>
        <w:rPr>
          <w:sz w:val="20"/>
        </w:rPr>
        <w:t>.</w:t>
      </w:r>
    </w:p>
    <w:bookmarkEnd w:id="8"/>
    <w:p w:rsidR="004E489E" w:rsidRDefault="004E489E">
      <w:pPr>
        <w:jc w:val="center"/>
        <w:rPr>
          <w:sz w:val="22"/>
        </w:rPr>
      </w:pPr>
    </w:p>
    <w:p w:rsidR="004E489E" w:rsidRDefault="004E489E">
      <w:pPr>
        <w:jc w:val="center"/>
        <w:rPr>
          <w:sz w:val="22"/>
        </w:rPr>
      </w:pPr>
    </w:p>
    <w:p w:rsidR="004E489E" w:rsidRDefault="004E489E">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927BFB" w:rsidRDefault="00927BFB">
      <w:pPr>
        <w:jc w:val="center"/>
        <w:rPr>
          <w:sz w:val="22"/>
        </w:rPr>
      </w:pPr>
    </w:p>
    <w:p w:rsidR="00927BFB" w:rsidRDefault="00927BFB">
      <w:pPr>
        <w:jc w:val="center"/>
        <w:rPr>
          <w:sz w:val="22"/>
        </w:rPr>
      </w:pPr>
    </w:p>
    <w:p w:rsidR="004E489E" w:rsidRDefault="004E489E" w:rsidP="00EB6BEB">
      <w:pPr>
        <w:jc w:val="center"/>
        <w:rPr>
          <w:sz w:val="22"/>
        </w:rPr>
      </w:pPr>
      <w:r>
        <w:rPr>
          <w:rFonts w:ascii="Symbol" w:hAnsi="Symbol"/>
          <w:sz w:val="22"/>
        </w:rPr>
        <w:t></w:t>
      </w:r>
      <w:r>
        <w:rPr>
          <w:sz w:val="22"/>
        </w:rPr>
        <w:t>  UIT  </w:t>
      </w:r>
      <w:bookmarkStart w:id="9" w:name="iiannef"/>
      <w:bookmarkEnd w:id="9"/>
      <w:r w:rsidR="001055F6">
        <w:rPr>
          <w:sz w:val="22"/>
        </w:rPr>
        <w:t>20</w:t>
      </w:r>
      <w:r w:rsidR="00EB6BEB">
        <w:rPr>
          <w:sz w:val="22"/>
        </w:rPr>
        <w:t>13</w:t>
      </w:r>
    </w:p>
    <w:p w:rsidR="00AE3ADA" w:rsidRPr="00311F37" w:rsidRDefault="00EB6BEB" w:rsidP="00311F37">
      <w:pPr>
        <w:tabs>
          <w:tab w:val="clear" w:pos="794"/>
          <w:tab w:val="clear" w:pos="1191"/>
          <w:tab w:val="clear" w:pos="1588"/>
          <w:tab w:val="clear" w:pos="1985"/>
        </w:tabs>
        <w:overflowPunct/>
        <w:textAlignment w:val="auto"/>
        <w:rPr>
          <w:sz w:val="22"/>
        </w:rPr>
      </w:pPr>
      <w:r w:rsidRPr="00E83AC8">
        <w:rPr>
          <w:sz w:val="20"/>
        </w:rPr>
        <w:t>Tous droits réservés. Aucune partie de cette publication ne peut être reproduite, par quelque procédé que ce soit, sans l'accord écrit préalable de l'UIT</w:t>
      </w:r>
      <w:r w:rsidRPr="00E83AC8">
        <w:rPr>
          <w:sz w:val="20"/>
          <w:lang w:val="fr-CH"/>
        </w:rPr>
        <w:t>.</w:t>
      </w:r>
    </w:p>
    <w:p w:rsidR="00A8419C" w:rsidRDefault="00A8419C" w:rsidP="004A196C">
      <w:pPr>
        <w:pStyle w:val="ResNo"/>
        <w:jc w:val="center"/>
        <w:rPr>
          <w:b w:val="0"/>
          <w:bCs/>
        </w:rPr>
        <w:sectPr w:rsidR="00A8419C" w:rsidSect="00A8419C">
          <w:headerReference w:type="even" r:id="rId12"/>
          <w:footerReference w:type="default" r:id="rId13"/>
          <w:pgSz w:w="11907" w:h="16834" w:code="9"/>
          <w:pgMar w:top="1089" w:right="1089" w:bottom="1089" w:left="1089" w:header="482" w:footer="482" w:gutter="0"/>
          <w:paperSrc w:first="15" w:other="15"/>
          <w:cols w:space="720"/>
          <w:docGrid w:linePitch="326"/>
        </w:sectPr>
      </w:pPr>
      <w:bookmarkStart w:id="10" w:name="p1rectextf"/>
      <w:bookmarkEnd w:id="10"/>
    </w:p>
    <w:p w:rsidR="00B85D56" w:rsidRPr="00CA354B" w:rsidRDefault="00B85D56" w:rsidP="00B85D56">
      <w:pPr>
        <w:pStyle w:val="enumlev1"/>
        <w:rPr>
          <w:lang w:val="fr-CH" w:eastAsia="it-IT"/>
        </w:rPr>
      </w:pPr>
    </w:p>
    <w:p w:rsidR="00B85D56" w:rsidRPr="00B85D56" w:rsidRDefault="00B85D56" w:rsidP="00B85D56">
      <w:pPr>
        <w:pStyle w:val="ResNo"/>
        <w:jc w:val="center"/>
        <w:rPr>
          <w:b w:val="0"/>
          <w:lang w:val="fr-CH"/>
        </w:rPr>
      </w:pPr>
      <w:r w:rsidRPr="00B85D56">
        <w:rPr>
          <w:b w:val="0"/>
          <w:lang w:val="fr-CH"/>
        </w:rPr>
        <w:t>Résolution </w:t>
      </w:r>
      <w:r w:rsidRPr="00B85D56">
        <w:rPr>
          <w:b w:val="0"/>
        </w:rPr>
        <w:t>22</w:t>
      </w:r>
      <w:r w:rsidRPr="00B85D56">
        <w:rPr>
          <w:b w:val="0"/>
          <w:lang w:val="fr-CH"/>
        </w:rPr>
        <w:t xml:space="preserve"> (</w:t>
      </w:r>
      <w:proofErr w:type="spellStart"/>
      <w:r w:rsidRPr="00B85D56">
        <w:rPr>
          <w:b w:val="0"/>
          <w:lang w:val="fr-CH"/>
        </w:rPr>
        <w:t>Rév</w:t>
      </w:r>
      <w:proofErr w:type="spellEnd"/>
      <w:r w:rsidRPr="00B85D56">
        <w:rPr>
          <w:b w:val="0"/>
          <w:lang w:val="fr-CH"/>
        </w:rPr>
        <w:t>. Dubaï, 2012)</w:t>
      </w:r>
    </w:p>
    <w:p w:rsidR="00B85D56" w:rsidRPr="005515DB" w:rsidRDefault="00B85D56" w:rsidP="00B85D56">
      <w:pPr>
        <w:pStyle w:val="Restitle"/>
      </w:pPr>
      <w:r w:rsidRPr="005515DB">
        <w:t>Pouvoir conféré au Groupe consultatif de la normalisation des</w:t>
      </w:r>
      <w:r w:rsidRPr="005515DB">
        <w:br/>
        <w:t>télécommunications d'agir entre les assemblées mondiales</w:t>
      </w:r>
      <w:r w:rsidRPr="005515DB">
        <w:br/>
        <w:t>de normalisation des télécommunications</w:t>
      </w:r>
    </w:p>
    <w:p w:rsidR="00B85D56" w:rsidRPr="00CA3431" w:rsidRDefault="00B85D56" w:rsidP="00B85D56">
      <w:pPr>
        <w:pStyle w:val="Resref"/>
        <w:rPr>
          <w:sz w:val="22"/>
          <w:szCs w:val="22"/>
        </w:rPr>
      </w:pPr>
      <w:r w:rsidRPr="00CA3431">
        <w:rPr>
          <w:sz w:val="22"/>
          <w:szCs w:val="22"/>
        </w:rPr>
        <w:t>(Genève, 1996; Montréal, 2000; Florianópolis, 2004; Johannesburg, 2008; Dubaï, 2012)</w:t>
      </w:r>
    </w:p>
    <w:p w:rsidR="00B85D56" w:rsidRPr="00CA3431" w:rsidRDefault="00B85D56" w:rsidP="00B85D56">
      <w:pPr>
        <w:pStyle w:val="Normalaftertitle0"/>
        <w:rPr>
          <w:szCs w:val="22"/>
          <w:lang w:val="fr-CH"/>
        </w:rPr>
      </w:pPr>
      <w:r w:rsidRPr="00CA3431">
        <w:rPr>
          <w:szCs w:val="22"/>
          <w:lang w:val="fr-CH"/>
        </w:rPr>
        <w:t>L'Assemblée mondiale de normalisation des télécommunications (Dubaï, 2012),</w:t>
      </w:r>
    </w:p>
    <w:p w:rsidR="00B85D56" w:rsidRPr="00CA3431" w:rsidRDefault="00B85D56" w:rsidP="00B85D56">
      <w:pPr>
        <w:pStyle w:val="Call"/>
        <w:rPr>
          <w:sz w:val="22"/>
          <w:szCs w:val="22"/>
        </w:rPr>
      </w:pPr>
      <w:proofErr w:type="gramStart"/>
      <w:r w:rsidRPr="00CA3431">
        <w:rPr>
          <w:sz w:val="22"/>
          <w:szCs w:val="22"/>
        </w:rPr>
        <w:t>considérant</w:t>
      </w:r>
      <w:proofErr w:type="gramEnd"/>
    </w:p>
    <w:p w:rsidR="00B85D56" w:rsidRPr="00CA3431" w:rsidRDefault="00B85D56" w:rsidP="00B85D56">
      <w:pPr>
        <w:rPr>
          <w:sz w:val="22"/>
          <w:szCs w:val="22"/>
        </w:rPr>
      </w:pPr>
      <w:r w:rsidRPr="00CA3431">
        <w:rPr>
          <w:i/>
          <w:iCs/>
          <w:sz w:val="22"/>
          <w:szCs w:val="22"/>
        </w:rPr>
        <w:t>a)</w:t>
      </w:r>
      <w:r w:rsidRPr="00CA3431">
        <w:rPr>
          <w:sz w:val="22"/>
          <w:szCs w:val="22"/>
        </w:rPr>
        <w:tab/>
        <w:t xml:space="preserve">que, conformément aux dispositions de l'article 14A de la Convention, le Groupe consultatif de la normalisation des télécommunications (GCNT) doit fournir des lignes directrices relatives aux travaux des commissions d'études et recommander des mesures visant à favoriser la coopération et la coordination avec d'autres organes de normalisation; </w:t>
      </w:r>
    </w:p>
    <w:p w:rsidR="00B85D56" w:rsidRPr="00CA3431" w:rsidRDefault="00B85D56" w:rsidP="00B85D56">
      <w:pPr>
        <w:rPr>
          <w:sz w:val="22"/>
          <w:szCs w:val="22"/>
        </w:rPr>
      </w:pPr>
      <w:r w:rsidRPr="00CA3431">
        <w:rPr>
          <w:i/>
          <w:iCs/>
          <w:sz w:val="22"/>
          <w:szCs w:val="22"/>
        </w:rPr>
        <w:t>b)</w:t>
      </w:r>
      <w:r w:rsidRPr="00CA3431">
        <w:rPr>
          <w:sz w:val="22"/>
          <w:szCs w:val="22"/>
        </w:rPr>
        <w:tab/>
        <w:t xml:space="preserve">que l'évolution rapide de l'environnement des télécommunications et du secteur industriel lié aux télécommunications impose au Secteur de la normalisation des télécommunications de l'UIT (UIT-T), s'il veut conserver sa pertinence et sa réactivité, de prendre des décisions sur des questions comme les priorités de travail, la structure des commissions d'études et les calendriers des réunions, à intervalles plus rapprochés dans le temps entre les assemblées mondiales de normalisation des télécommunications (AMNT); </w:t>
      </w:r>
    </w:p>
    <w:p w:rsidR="00B85D56" w:rsidRPr="00CA3431" w:rsidRDefault="00B85D56" w:rsidP="00B85D56">
      <w:pPr>
        <w:rPr>
          <w:sz w:val="22"/>
          <w:szCs w:val="22"/>
        </w:rPr>
      </w:pPr>
      <w:r w:rsidRPr="00CA3431">
        <w:rPr>
          <w:i/>
          <w:iCs/>
          <w:sz w:val="22"/>
          <w:szCs w:val="22"/>
        </w:rPr>
        <w:t>c)</w:t>
      </w:r>
      <w:r w:rsidRPr="00CA3431">
        <w:rPr>
          <w:sz w:val="22"/>
          <w:szCs w:val="22"/>
        </w:rPr>
        <w:tab/>
        <w:t>que, par sa Résolution 122 (</w:t>
      </w:r>
      <w:proofErr w:type="spellStart"/>
      <w:r w:rsidRPr="00CA3431">
        <w:rPr>
          <w:sz w:val="22"/>
          <w:szCs w:val="22"/>
        </w:rPr>
        <w:t>Rév</w:t>
      </w:r>
      <w:proofErr w:type="spellEnd"/>
      <w:r w:rsidRPr="00CA3431">
        <w:rPr>
          <w:sz w:val="22"/>
          <w:szCs w:val="22"/>
        </w:rPr>
        <w:t>. Guadalajara, 2010), la Conférence de plénipotentiaires a décidé que l'AMNT devait continuer, conformément aux responsabilités qui sont les siennes, et sous réserve des ressources financières disponibles, à favoriser l'évolution constante du secteur de la normalisation et étudier comme il convient les questions stratégiques de normalisation, notamment, mais sans se borner à cela, en renforçant le GCNT;</w:t>
      </w:r>
    </w:p>
    <w:p w:rsidR="00B85D56" w:rsidRPr="00CA3431" w:rsidRDefault="00B85D56" w:rsidP="00B85D56">
      <w:pPr>
        <w:rPr>
          <w:sz w:val="22"/>
          <w:szCs w:val="22"/>
        </w:rPr>
      </w:pPr>
      <w:r w:rsidRPr="00CA3431">
        <w:rPr>
          <w:i/>
          <w:iCs/>
          <w:sz w:val="22"/>
          <w:szCs w:val="22"/>
        </w:rPr>
        <w:t>d)</w:t>
      </w:r>
      <w:r w:rsidRPr="00CA3431">
        <w:rPr>
          <w:sz w:val="22"/>
          <w:szCs w:val="22"/>
        </w:rPr>
        <w:tab/>
        <w:t>que, par la Résolution 122 (</w:t>
      </w:r>
      <w:proofErr w:type="spellStart"/>
      <w:r w:rsidRPr="00CA3431">
        <w:rPr>
          <w:sz w:val="22"/>
          <w:szCs w:val="22"/>
        </w:rPr>
        <w:t>Rév</w:t>
      </w:r>
      <w:proofErr w:type="spellEnd"/>
      <w:r w:rsidRPr="00CA3431">
        <w:rPr>
          <w:sz w:val="22"/>
          <w:szCs w:val="22"/>
        </w:rPr>
        <w:t>. Guadalajara, 2010), le Directeur du Bureau de la normalisation des télécommunications (TSB) a été chargé, en consultation avec les organismes compétents et avec les membres de l'UIT, ainsi qu'en collaboration avec le Secteur des radiocommunications et le Secteur du développement des télécommunications de l'UIT, le cas échéant, de continuer d'organiser un colloque mondial sur la normalisation (GSS);</w:t>
      </w:r>
    </w:p>
    <w:p w:rsidR="00B85D56" w:rsidRPr="00CA3431" w:rsidRDefault="00B85D56" w:rsidP="00B85D56">
      <w:pPr>
        <w:rPr>
          <w:sz w:val="22"/>
          <w:szCs w:val="22"/>
        </w:rPr>
      </w:pPr>
      <w:r w:rsidRPr="00CA3431">
        <w:rPr>
          <w:i/>
          <w:iCs/>
          <w:sz w:val="22"/>
          <w:szCs w:val="22"/>
        </w:rPr>
        <w:t>e)</w:t>
      </w:r>
      <w:r w:rsidRPr="00CA3431">
        <w:rPr>
          <w:sz w:val="22"/>
          <w:szCs w:val="22"/>
        </w:rPr>
        <w:tab/>
        <w:t>que le GSS s'est tenu à l'occasion de la présente Assemblée afin d'étudier la possibilité de réduire l'écart qui existe en matière de normalisation et d'examiner les enjeux à l'échelle mondiale des normes relatives aux technologies de l'information et de la communication (TIC);</w:t>
      </w:r>
    </w:p>
    <w:p w:rsidR="00B85D56" w:rsidRPr="00CA3431" w:rsidRDefault="00B85D56" w:rsidP="00B85D56">
      <w:pPr>
        <w:rPr>
          <w:sz w:val="22"/>
          <w:szCs w:val="22"/>
        </w:rPr>
      </w:pPr>
      <w:r w:rsidRPr="00CA3431">
        <w:rPr>
          <w:i/>
          <w:iCs/>
          <w:sz w:val="22"/>
          <w:szCs w:val="22"/>
        </w:rPr>
        <w:t>f)</w:t>
      </w:r>
      <w:r w:rsidRPr="00CA3431">
        <w:rPr>
          <w:sz w:val="22"/>
          <w:szCs w:val="22"/>
        </w:rPr>
        <w:tab/>
        <w:t>que le GCNT continue de soumettre des propositions visant à améliorer l'efficacité de fonctionnement de l'UIT</w:t>
      </w:r>
      <w:r w:rsidRPr="00CA3431">
        <w:rPr>
          <w:sz w:val="22"/>
          <w:szCs w:val="22"/>
        </w:rPr>
        <w:noBreakHyphen/>
        <w:t>T et la qualité des Recommandations UIT</w:t>
      </w:r>
      <w:r w:rsidRPr="00CA3431">
        <w:rPr>
          <w:sz w:val="22"/>
          <w:szCs w:val="22"/>
        </w:rPr>
        <w:noBreakHyphen/>
        <w:t>T et préconisant des méthodes de coordination et de coopération;</w:t>
      </w:r>
    </w:p>
    <w:p w:rsidR="00B85D56" w:rsidRPr="00CA3431" w:rsidRDefault="00B85D56" w:rsidP="00B85D56">
      <w:pPr>
        <w:rPr>
          <w:sz w:val="22"/>
          <w:szCs w:val="22"/>
        </w:rPr>
      </w:pPr>
      <w:r w:rsidRPr="00CA3431">
        <w:rPr>
          <w:i/>
          <w:iCs/>
          <w:sz w:val="22"/>
          <w:szCs w:val="22"/>
        </w:rPr>
        <w:t>g)</w:t>
      </w:r>
      <w:r w:rsidRPr="00CA3431">
        <w:rPr>
          <w:sz w:val="22"/>
          <w:szCs w:val="22"/>
        </w:rPr>
        <w:tab/>
        <w:t>que le GCNT peut contribuer à améliorer la coordination du processus d'étude et à mettre sur pied des processus de prise de décisions améliorés pour les domaines d'activité importants de l'UIT</w:t>
      </w:r>
      <w:r w:rsidRPr="00CA3431">
        <w:rPr>
          <w:sz w:val="22"/>
          <w:szCs w:val="22"/>
        </w:rPr>
        <w:noBreakHyphen/>
        <w:t>T;</w:t>
      </w:r>
    </w:p>
    <w:p w:rsidR="00B85D56" w:rsidRPr="00CA3431" w:rsidRDefault="00B85D56" w:rsidP="00B85D56">
      <w:pPr>
        <w:rPr>
          <w:sz w:val="22"/>
          <w:szCs w:val="22"/>
        </w:rPr>
      </w:pPr>
      <w:r w:rsidRPr="00CA3431">
        <w:rPr>
          <w:i/>
          <w:iCs/>
          <w:sz w:val="22"/>
          <w:szCs w:val="22"/>
        </w:rPr>
        <w:t>h)</w:t>
      </w:r>
      <w:r w:rsidRPr="00CA3431">
        <w:rPr>
          <w:sz w:val="22"/>
          <w:szCs w:val="22"/>
        </w:rPr>
        <w:tab/>
        <w:t>que des procédures administratives souples, y compris celles relatives à des considérations budgétaires, sont nécessaires pour s'adapter à l'évolution rapide de l'environnement des télécommunications;</w:t>
      </w:r>
    </w:p>
    <w:p w:rsidR="00B85D56" w:rsidRPr="00CA3431" w:rsidRDefault="00B85D56" w:rsidP="00B85D56">
      <w:pPr>
        <w:rPr>
          <w:sz w:val="22"/>
          <w:szCs w:val="22"/>
        </w:rPr>
      </w:pPr>
      <w:r w:rsidRPr="00CA3431">
        <w:rPr>
          <w:i/>
          <w:iCs/>
          <w:sz w:val="22"/>
          <w:szCs w:val="22"/>
        </w:rPr>
        <w:t>i)</w:t>
      </w:r>
      <w:r w:rsidRPr="00CA3431">
        <w:rPr>
          <w:sz w:val="22"/>
          <w:szCs w:val="22"/>
        </w:rPr>
        <w:tab/>
        <w:t>qu'il est souhaitable que le GCNT agisse pendant les quatre années qui séparent les AMNT pour répondre en temps voulu aux besoins du marché;</w:t>
      </w:r>
    </w:p>
    <w:p w:rsidR="00B85D56" w:rsidRPr="00CA3431" w:rsidRDefault="00B85D56" w:rsidP="00B85D56">
      <w:pPr>
        <w:rPr>
          <w:sz w:val="22"/>
          <w:szCs w:val="22"/>
        </w:rPr>
      </w:pPr>
      <w:r w:rsidRPr="00CA3431">
        <w:rPr>
          <w:i/>
          <w:iCs/>
          <w:sz w:val="22"/>
          <w:szCs w:val="22"/>
        </w:rPr>
        <w:br w:type="page"/>
      </w:r>
      <w:r w:rsidRPr="00CA3431">
        <w:rPr>
          <w:i/>
          <w:iCs/>
          <w:sz w:val="22"/>
          <w:szCs w:val="22"/>
        </w:rPr>
        <w:lastRenderedPageBreak/>
        <w:t>j)</w:t>
      </w:r>
      <w:r w:rsidRPr="00CA3431">
        <w:rPr>
          <w:sz w:val="22"/>
          <w:szCs w:val="22"/>
        </w:rPr>
        <w:tab/>
        <w:t>qu'il est souhaitable que le GCNT examine les incidences des nouvelles technologies sur les activités de normalisation de l'UIT-T et la manière dont ces technologies peuvent figurer dans le programme de travail de l'UIT-T;</w:t>
      </w:r>
    </w:p>
    <w:p w:rsidR="00B85D56" w:rsidRPr="00CA3431" w:rsidRDefault="00B85D56" w:rsidP="00B85D56">
      <w:pPr>
        <w:rPr>
          <w:sz w:val="22"/>
          <w:szCs w:val="22"/>
        </w:rPr>
      </w:pPr>
      <w:r w:rsidRPr="00CA3431">
        <w:rPr>
          <w:i/>
          <w:iCs/>
          <w:sz w:val="22"/>
          <w:szCs w:val="22"/>
        </w:rPr>
        <w:t>k)</w:t>
      </w:r>
      <w:r w:rsidRPr="00CA3431">
        <w:rPr>
          <w:sz w:val="22"/>
          <w:szCs w:val="22"/>
        </w:rPr>
        <w:tab/>
        <w:t>que le GCNT peut jouer un rôle important en assurant, selon les besoins, une coordination entre les commissions d'études en matière de normalisation, notamment en évitant la redondance des tâches et en identifiant les liens et les dépendances entre les activités apparentées;</w:t>
      </w:r>
    </w:p>
    <w:p w:rsidR="00B85D56" w:rsidRPr="00CA3431" w:rsidRDefault="00B85D56" w:rsidP="00B85D56">
      <w:pPr>
        <w:rPr>
          <w:sz w:val="22"/>
          <w:szCs w:val="22"/>
        </w:rPr>
      </w:pPr>
      <w:r w:rsidRPr="00CA3431">
        <w:rPr>
          <w:i/>
          <w:iCs/>
          <w:sz w:val="22"/>
          <w:szCs w:val="22"/>
        </w:rPr>
        <w:t>l)</w:t>
      </w:r>
      <w:r w:rsidRPr="00CA3431">
        <w:rPr>
          <w:sz w:val="22"/>
          <w:szCs w:val="22"/>
        </w:rPr>
        <w:tab/>
        <w:t>que le GCNT, lorsqu'il fournit des avis aux commissions d'études, peut tenir compte des avis d'autres groupes,</w:t>
      </w:r>
    </w:p>
    <w:p w:rsidR="00B85D56" w:rsidRPr="00CA3431" w:rsidRDefault="00B85D56" w:rsidP="00B85D56">
      <w:pPr>
        <w:pStyle w:val="Call"/>
        <w:rPr>
          <w:sz w:val="22"/>
          <w:szCs w:val="22"/>
        </w:rPr>
      </w:pPr>
      <w:proofErr w:type="gramStart"/>
      <w:r w:rsidRPr="00CA3431">
        <w:rPr>
          <w:sz w:val="22"/>
          <w:szCs w:val="22"/>
        </w:rPr>
        <w:t>notant</w:t>
      </w:r>
      <w:proofErr w:type="gramEnd"/>
    </w:p>
    <w:p w:rsidR="00B85D56" w:rsidRPr="00CA3431" w:rsidRDefault="00B85D56" w:rsidP="00B85D56">
      <w:pPr>
        <w:rPr>
          <w:sz w:val="22"/>
          <w:szCs w:val="22"/>
        </w:rPr>
      </w:pPr>
      <w:r w:rsidRPr="00CA3431">
        <w:rPr>
          <w:i/>
          <w:iCs/>
          <w:sz w:val="22"/>
          <w:szCs w:val="22"/>
        </w:rPr>
        <w:t>a)</w:t>
      </w:r>
      <w:r w:rsidRPr="00CA3431">
        <w:rPr>
          <w:sz w:val="22"/>
          <w:szCs w:val="22"/>
        </w:rPr>
        <w:tab/>
        <w:t>que l'article 13 de la Convention dispose qu'une AMNT peut confier des questions spécifiques relevant de son domaine de compétence au GCNT en indiquant les mesures à prendre concernant ces questions;</w:t>
      </w:r>
    </w:p>
    <w:p w:rsidR="00B85D56" w:rsidRPr="00CA3431" w:rsidRDefault="00B85D56" w:rsidP="00B85D56">
      <w:pPr>
        <w:rPr>
          <w:sz w:val="22"/>
          <w:szCs w:val="22"/>
        </w:rPr>
      </w:pPr>
      <w:r w:rsidRPr="00CA3431">
        <w:rPr>
          <w:i/>
          <w:iCs/>
          <w:sz w:val="22"/>
          <w:szCs w:val="22"/>
        </w:rPr>
        <w:t>b)</w:t>
      </w:r>
      <w:r w:rsidRPr="00CA3431">
        <w:rPr>
          <w:sz w:val="22"/>
          <w:szCs w:val="22"/>
        </w:rPr>
        <w:tab/>
        <w:t>que les fonctions de l'AMNT sont précisées dans la Convention;</w:t>
      </w:r>
    </w:p>
    <w:p w:rsidR="00B85D56" w:rsidRPr="00CA3431" w:rsidRDefault="00B85D56" w:rsidP="00B85D56">
      <w:pPr>
        <w:rPr>
          <w:sz w:val="22"/>
          <w:szCs w:val="22"/>
        </w:rPr>
      </w:pPr>
      <w:r w:rsidRPr="00CA3431">
        <w:rPr>
          <w:i/>
          <w:iCs/>
          <w:sz w:val="22"/>
          <w:szCs w:val="22"/>
        </w:rPr>
        <w:t>c)</w:t>
      </w:r>
      <w:r w:rsidRPr="00CA3431">
        <w:rPr>
          <w:sz w:val="22"/>
          <w:szCs w:val="22"/>
        </w:rPr>
        <w:tab/>
        <w:t>que le cycle actuel de quatre ans pour les AMNT exclut de fait la possibilité d'examiner des questions imprévues nécessitant l'adoption de mesures urgentes entre les assemblées;</w:t>
      </w:r>
    </w:p>
    <w:p w:rsidR="00B85D56" w:rsidRPr="00CA3431" w:rsidRDefault="00B85D56" w:rsidP="00B85D56">
      <w:pPr>
        <w:rPr>
          <w:sz w:val="22"/>
          <w:szCs w:val="22"/>
        </w:rPr>
      </w:pPr>
      <w:r w:rsidRPr="00CA3431">
        <w:rPr>
          <w:i/>
          <w:iCs/>
          <w:sz w:val="22"/>
          <w:szCs w:val="22"/>
        </w:rPr>
        <w:t>d)</w:t>
      </w:r>
      <w:r w:rsidRPr="00CA3431">
        <w:rPr>
          <w:sz w:val="22"/>
          <w:szCs w:val="22"/>
        </w:rPr>
        <w:tab/>
        <w:t>que le GCNT se réunit au moins une fois par an;</w:t>
      </w:r>
    </w:p>
    <w:p w:rsidR="00B85D56" w:rsidRPr="00CA3431" w:rsidRDefault="00B85D56" w:rsidP="00B85D56">
      <w:pPr>
        <w:rPr>
          <w:sz w:val="22"/>
          <w:szCs w:val="22"/>
        </w:rPr>
      </w:pPr>
      <w:r w:rsidRPr="00CA3431">
        <w:rPr>
          <w:i/>
          <w:iCs/>
          <w:sz w:val="22"/>
          <w:szCs w:val="22"/>
        </w:rPr>
        <w:t>e)</w:t>
      </w:r>
      <w:r w:rsidRPr="00CA3431">
        <w:rPr>
          <w:sz w:val="22"/>
          <w:szCs w:val="22"/>
        </w:rPr>
        <w:tab/>
        <w:t>que le GCNT a déjà prouvé qu'il savait être efficace sur des questions que lui a confiées l'AMNT,</w:t>
      </w:r>
    </w:p>
    <w:p w:rsidR="00B85D56" w:rsidRPr="00CA3431" w:rsidRDefault="00B85D56" w:rsidP="00B85D56">
      <w:pPr>
        <w:pStyle w:val="Call"/>
        <w:rPr>
          <w:sz w:val="22"/>
          <w:szCs w:val="22"/>
        </w:rPr>
      </w:pPr>
      <w:proofErr w:type="gramStart"/>
      <w:r w:rsidRPr="00CA3431">
        <w:rPr>
          <w:sz w:val="22"/>
          <w:szCs w:val="22"/>
        </w:rPr>
        <w:t>reconnaissant</w:t>
      </w:r>
      <w:proofErr w:type="gramEnd"/>
    </w:p>
    <w:p w:rsidR="00B85D56" w:rsidRPr="00CA3431" w:rsidRDefault="00B85D56" w:rsidP="00B85D56">
      <w:pPr>
        <w:rPr>
          <w:sz w:val="22"/>
          <w:szCs w:val="22"/>
        </w:rPr>
      </w:pPr>
      <w:proofErr w:type="gramStart"/>
      <w:r w:rsidRPr="00CA3431">
        <w:rPr>
          <w:sz w:val="22"/>
          <w:szCs w:val="22"/>
        </w:rPr>
        <w:t>que</w:t>
      </w:r>
      <w:proofErr w:type="gramEnd"/>
      <w:r w:rsidRPr="00CA3431">
        <w:rPr>
          <w:sz w:val="22"/>
          <w:szCs w:val="22"/>
        </w:rPr>
        <w:t xml:space="preserve"> la Conférence de plénipotentiaires (Marrakech, 2002) a adopté les numéros 191A et 191B de la Convention, en vertu desquels l'AMNT peut décider de créer ou de dissoudre d'autres groupes,</w:t>
      </w:r>
    </w:p>
    <w:p w:rsidR="00B85D56" w:rsidRPr="00CA3431" w:rsidRDefault="00B85D56" w:rsidP="00B85D56">
      <w:pPr>
        <w:pStyle w:val="Call"/>
        <w:rPr>
          <w:sz w:val="22"/>
          <w:szCs w:val="22"/>
        </w:rPr>
      </w:pPr>
      <w:proofErr w:type="gramStart"/>
      <w:r w:rsidRPr="00CA3431">
        <w:rPr>
          <w:sz w:val="22"/>
          <w:szCs w:val="22"/>
        </w:rPr>
        <w:t>décide</w:t>
      </w:r>
      <w:proofErr w:type="gramEnd"/>
    </w:p>
    <w:p w:rsidR="00B85D56" w:rsidRPr="00CA3431" w:rsidRDefault="00B85D56" w:rsidP="00B85D56">
      <w:pPr>
        <w:rPr>
          <w:sz w:val="22"/>
          <w:szCs w:val="22"/>
        </w:rPr>
      </w:pPr>
      <w:r w:rsidRPr="00CA3431">
        <w:rPr>
          <w:sz w:val="22"/>
          <w:szCs w:val="22"/>
        </w:rPr>
        <w:t>1</w:t>
      </w:r>
      <w:r w:rsidRPr="00CA3431">
        <w:rPr>
          <w:sz w:val="22"/>
          <w:szCs w:val="22"/>
        </w:rPr>
        <w:tab/>
        <w:t>de confier au GCNT les questions spécifiques suivantes relevant de sa compétence entre la présente Assemblée et la prochaine pour agir dans les domaines suivants, en consultation avec le Directeur du TSB, si nécessaire:</w:t>
      </w:r>
    </w:p>
    <w:p w:rsidR="00B85D56" w:rsidRPr="00CA3431" w:rsidRDefault="00B85D56" w:rsidP="00B85D56">
      <w:pPr>
        <w:pStyle w:val="enumlev1"/>
        <w:rPr>
          <w:sz w:val="22"/>
          <w:szCs w:val="22"/>
        </w:rPr>
      </w:pPr>
      <w:r w:rsidRPr="00CA3431">
        <w:rPr>
          <w:i/>
          <w:iCs/>
          <w:sz w:val="22"/>
          <w:szCs w:val="22"/>
        </w:rPr>
        <w:t>a)</w:t>
      </w:r>
      <w:r w:rsidRPr="00CA3431">
        <w:rPr>
          <w:sz w:val="22"/>
          <w:szCs w:val="22"/>
        </w:rPr>
        <w:tab/>
        <w:t>s'assurer que les lignes directrices du travail sont efficaces, souples et à jour;</w:t>
      </w:r>
    </w:p>
    <w:p w:rsidR="00B85D56" w:rsidRPr="00CA3431" w:rsidRDefault="00B85D56" w:rsidP="00B85D56">
      <w:pPr>
        <w:pStyle w:val="enumlev1"/>
        <w:rPr>
          <w:sz w:val="22"/>
          <w:szCs w:val="22"/>
        </w:rPr>
      </w:pPr>
      <w:r w:rsidRPr="00CA3431">
        <w:rPr>
          <w:i/>
          <w:iCs/>
          <w:sz w:val="22"/>
          <w:szCs w:val="22"/>
        </w:rPr>
        <w:t>b)</w:t>
      </w:r>
      <w:r w:rsidRPr="00CA3431">
        <w:rPr>
          <w:sz w:val="22"/>
          <w:szCs w:val="22"/>
        </w:rPr>
        <w:tab/>
        <w:t>assumer la responsabilité des Recommandations UIT</w:t>
      </w:r>
      <w:r w:rsidRPr="00CA3431">
        <w:rPr>
          <w:sz w:val="22"/>
          <w:szCs w:val="22"/>
        </w:rPr>
        <w:noBreakHyphen/>
        <w:t>T de la série A (organisation du travail de l'UIT-T), et notamment celle de leur élaboration et de leur soumission pour approbation selon les procédures appropriées;</w:t>
      </w:r>
    </w:p>
    <w:p w:rsidR="00B85D56" w:rsidRPr="00CA3431" w:rsidRDefault="00B85D56" w:rsidP="00B85D56">
      <w:pPr>
        <w:pStyle w:val="enumlev1"/>
        <w:rPr>
          <w:sz w:val="22"/>
          <w:szCs w:val="22"/>
        </w:rPr>
      </w:pPr>
      <w:r w:rsidRPr="00CA3431">
        <w:rPr>
          <w:i/>
          <w:iCs/>
          <w:sz w:val="22"/>
          <w:szCs w:val="22"/>
        </w:rPr>
        <w:t>c)</w:t>
      </w:r>
      <w:r w:rsidRPr="00CA3431">
        <w:rPr>
          <w:sz w:val="22"/>
          <w:szCs w:val="22"/>
        </w:rPr>
        <w:tab/>
        <w:t>restructurer et créer des commissions d'études de l'UIT</w:t>
      </w:r>
      <w:r w:rsidRPr="00CA3431">
        <w:rPr>
          <w:sz w:val="22"/>
          <w:szCs w:val="22"/>
        </w:rPr>
        <w:noBreakHyphen/>
        <w:t>T et désigner les présidents et les vice</w:t>
      </w:r>
      <w:r w:rsidRPr="00CA3431">
        <w:rPr>
          <w:sz w:val="22"/>
          <w:szCs w:val="22"/>
        </w:rPr>
        <w:noBreakHyphen/>
        <w:t>présidents qui agiront jusqu'à la prochaine AMNT pour répondre à l'évolution du marché des télécommunications;</w:t>
      </w:r>
    </w:p>
    <w:p w:rsidR="00B85D56" w:rsidRPr="00CA3431" w:rsidRDefault="00B85D56" w:rsidP="00B85D56">
      <w:pPr>
        <w:pStyle w:val="enumlev1"/>
        <w:rPr>
          <w:sz w:val="22"/>
          <w:szCs w:val="22"/>
        </w:rPr>
      </w:pPr>
      <w:r w:rsidRPr="00CA3431">
        <w:rPr>
          <w:i/>
          <w:iCs/>
          <w:sz w:val="22"/>
          <w:szCs w:val="22"/>
        </w:rPr>
        <w:t>d)</w:t>
      </w:r>
      <w:r w:rsidRPr="00CA3431">
        <w:rPr>
          <w:sz w:val="22"/>
          <w:szCs w:val="22"/>
        </w:rPr>
        <w:tab/>
        <w:t>formuler des avis sur les calendriers de travail des commissions d'études pour respecter les priorités dans le domaine de la normalisation;</w:t>
      </w:r>
    </w:p>
    <w:p w:rsidR="00B85D56" w:rsidRPr="00CA3431" w:rsidRDefault="00B85D56" w:rsidP="00B85D56">
      <w:pPr>
        <w:pStyle w:val="enumlev1"/>
        <w:rPr>
          <w:sz w:val="22"/>
          <w:szCs w:val="22"/>
        </w:rPr>
      </w:pPr>
      <w:r w:rsidRPr="00CA3431">
        <w:rPr>
          <w:i/>
          <w:iCs/>
          <w:sz w:val="22"/>
          <w:szCs w:val="22"/>
        </w:rPr>
        <w:t>e)</w:t>
      </w:r>
      <w:r w:rsidRPr="00CA3431">
        <w:rPr>
          <w:sz w:val="22"/>
          <w:szCs w:val="22"/>
        </w:rPr>
        <w:tab/>
        <w:t>tout en reconnaissant que les commissions d'études sont responsables au premier chef de la réalisation des activités de l'UIT-T, créer, dissoudre ou maintenir d'autres groupes, y compris des groupes spécialisés, en désigner les présidents et vice</w:t>
      </w:r>
      <w:r w:rsidRPr="00CA3431">
        <w:rPr>
          <w:sz w:val="22"/>
          <w:szCs w:val="22"/>
        </w:rPr>
        <w:noBreakHyphen/>
        <w:t>présidents, en établir le mandat et ce, pour une durée définie, conformément aux numéros 191A et 191B de la Convention, afin de renforcer et d'améliorer l'efficacité des travaux de l'UIT-T et de ménager davantage de souplesse pour trouver rapidement une réponse aux questions hautement prioritaires. Ces groupes n'adoptent ni Questions ni Recommandations, conformément aux dispositions de l'article 14A de la Convention, mais ont un mandat précis;</w:t>
      </w:r>
    </w:p>
    <w:p w:rsidR="00B85D56" w:rsidRPr="00CA3431" w:rsidRDefault="00B85D56" w:rsidP="00B85D56">
      <w:pPr>
        <w:pStyle w:val="enumlev1"/>
        <w:rPr>
          <w:sz w:val="22"/>
          <w:szCs w:val="22"/>
        </w:rPr>
      </w:pPr>
      <w:r w:rsidRPr="00CA3431">
        <w:rPr>
          <w:i/>
          <w:iCs/>
          <w:sz w:val="22"/>
          <w:szCs w:val="22"/>
        </w:rPr>
        <w:t>f)</w:t>
      </w:r>
      <w:r w:rsidRPr="00CA3431">
        <w:rPr>
          <w:sz w:val="22"/>
          <w:szCs w:val="22"/>
        </w:rPr>
        <w:tab/>
        <w:t>examiner les rapports et les propositions appropriées soumis par les groupes de coordination et les autres groupes, et mettre en œuvre ceux qui sont approuvés;</w:t>
      </w:r>
    </w:p>
    <w:p w:rsidR="00B85D56" w:rsidRPr="00CA3431" w:rsidRDefault="00B85D56" w:rsidP="00B85D56">
      <w:pPr>
        <w:pStyle w:val="enumlev1"/>
        <w:rPr>
          <w:sz w:val="22"/>
          <w:szCs w:val="22"/>
        </w:rPr>
      </w:pPr>
      <w:r w:rsidRPr="00CA3431">
        <w:rPr>
          <w:i/>
          <w:iCs/>
          <w:sz w:val="22"/>
          <w:szCs w:val="22"/>
        </w:rPr>
        <w:t>g)</w:t>
      </w:r>
      <w:r w:rsidRPr="00CA3431">
        <w:rPr>
          <w:sz w:val="22"/>
          <w:szCs w:val="22"/>
        </w:rPr>
        <w:tab/>
        <w:t>établir le mécanisme approprié et encourager l'utilisation, par exemple, des groupes de coordination ou d'autres groupes, pour l'examen de sujets d'étude de première importance intéressant plusieurs commissions d'études, afin d'assurer une coordination efficace des questions de normalisation et de trouver ainsi des solutions appropriées à l'échelle mondiale;</w:t>
      </w:r>
    </w:p>
    <w:p w:rsidR="00B85D56" w:rsidRPr="00CA3431" w:rsidRDefault="00B85D56" w:rsidP="00B85D56">
      <w:pPr>
        <w:pStyle w:val="enumlev1"/>
        <w:rPr>
          <w:sz w:val="22"/>
          <w:szCs w:val="22"/>
        </w:rPr>
      </w:pPr>
      <w:r w:rsidRPr="00CA3431">
        <w:rPr>
          <w:i/>
          <w:iCs/>
          <w:sz w:val="22"/>
          <w:szCs w:val="22"/>
        </w:rPr>
        <w:t>h)</w:t>
      </w:r>
      <w:r w:rsidRPr="00CA3431">
        <w:rPr>
          <w:sz w:val="22"/>
          <w:szCs w:val="22"/>
        </w:rPr>
        <w:tab/>
        <w:t>donner des avis au Directeur du TSB sur les questions financières et autres;</w:t>
      </w:r>
    </w:p>
    <w:p w:rsidR="00B85D56" w:rsidRPr="00CA3431" w:rsidRDefault="00B85D56" w:rsidP="00B85D56">
      <w:pPr>
        <w:pStyle w:val="enumlev1"/>
        <w:rPr>
          <w:sz w:val="22"/>
          <w:szCs w:val="22"/>
        </w:rPr>
      </w:pPr>
      <w:r w:rsidRPr="00CA3431">
        <w:rPr>
          <w:i/>
          <w:iCs/>
          <w:sz w:val="22"/>
          <w:szCs w:val="22"/>
        </w:rPr>
        <w:lastRenderedPageBreak/>
        <w:t>i)</w:t>
      </w:r>
      <w:r w:rsidRPr="00CA3431">
        <w:rPr>
          <w:sz w:val="22"/>
          <w:szCs w:val="22"/>
        </w:rPr>
        <w:tab/>
        <w:t>approuver le programme de travail découlant de l'examen de Questions existantes ou nouvelles et déterminer la priorité, l'urgence, les incidences financières estimées et le délai imparti pour l'achèvement de leur étude;</w:t>
      </w:r>
    </w:p>
    <w:p w:rsidR="00B85D56" w:rsidRPr="00CA3431" w:rsidRDefault="00B85D56" w:rsidP="00B85D56">
      <w:pPr>
        <w:pStyle w:val="enumlev1"/>
        <w:rPr>
          <w:sz w:val="22"/>
          <w:szCs w:val="22"/>
        </w:rPr>
      </w:pPr>
      <w:r w:rsidRPr="00CA3431">
        <w:rPr>
          <w:i/>
          <w:iCs/>
          <w:sz w:val="22"/>
          <w:szCs w:val="22"/>
        </w:rPr>
        <w:t>j)</w:t>
      </w:r>
      <w:r w:rsidRPr="00CA3431">
        <w:rPr>
          <w:sz w:val="22"/>
          <w:szCs w:val="22"/>
        </w:rPr>
        <w:tab/>
        <w:t>regrouper, dans la mesure du possible, les Questions présentant de l'intérêt pour les pays en développement, y compris les pays les moins avancés, les petits Etats insulaires en développement, les pays en développement sans littoral et les pays dont l'économie est en transition, afin de faciliter leur participation à ces études;</w:t>
      </w:r>
    </w:p>
    <w:p w:rsidR="00B85D56" w:rsidRPr="00CA3431" w:rsidRDefault="00B85D56" w:rsidP="00B85D56">
      <w:pPr>
        <w:pStyle w:val="enumlev1"/>
        <w:rPr>
          <w:sz w:val="22"/>
          <w:szCs w:val="22"/>
        </w:rPr>
      </w:pPr>
      <w:r w:rsidRPr="00CA3431">
        <w:rPr>
          <w:i/>
          <w:iCs/>
          <w:sz w:val="22"/>
          <w:szCs w:val="22"/>
        </w:rPr>
        <w:t>k)</w:t>
      </w:r>
      <w:r w:rsidRPr="00CA3431">
        <w:rPr>
          <w:sz w:val="22"/>
          <w:szCs w:val="22"/>
        </w:rPr>
        <w:tab/>
        <w:t>d'examiner d'autres questions particulières relevant de la compétence de l'AMNT, sous réserve de l'approbation des Etats Membres, moyennant l'application de la procédure d'approbation figurant dans la section 9 de la Résolution 1 (</w:t>
      </w:r>
      <w:proofErr w:type="spellStart"/>
      <w:r w:rsidRPr="00CA3431">
        <w:rPr>
          <w:sz w:val="22"/>
          <w:szCs w:val="22"/>
        </w:rPr>
        <w:t>Rév</w:t>
      </w:r>
      <w:proofErr w:type="spellEnd"/>
      <w:r w:rsidRPr="00CA3431">
        <w:rPr>
          <w:sz w:val="22"/>
          <w:szCs w:val="22"/>
        </w:rPr>
        <w:t>. Dubaï, 2012) de la présente Assemblée;</w:t>
      </w:r>
    </w:p>
    <w:p w:rsidR="00B85D56" w:rsidRPr="00CA3431" w:rsidRDefault="00B85D56" w:rsidP="00B85D56">
      <w:pPr>
        <w:rPr>
          <w:sz w:val="22"/>
          <w:szCs w:val="22"/>
        </w:rPr>
      </w:pPr>
      <w:r w:rsidRPr="00CA3431">
        <w:rPr>
          <w:sz w:val="22"/>
          <w:szCs w:val="22"/>
        </w:rPr>
        <w:t>2</w:t>
      </w:r>
      <w:r w:rsidRPr="00CA3431">
        <w:rPr>
          <w:sz w:val="22"/>
          <w:szCs w:val="22"/>
        </w:rPr>
        <w:tab/>
        <w:t>que des révisions des procédures pertinentes d'adoption par les commissions d'études des Questions et des Recommandations autres que celles visées aux numéros 246D, 246F et 246H de la Convention, peuvent être entreprises par le GCNT, en vue de leur approbation par les Etats Membres entre deux AMNT, moyennant l'application de la procédure d'approbation figurant dans la section 9 de la Résolution 1 (</w:t>
      </w:r>
      <w:proofErr w:type="spellStart"/>
      <w:r w:rsidRPr="00CA3431">
        <w:rPr>
          <w:sz w:val="22"/>
          <w:szCs w:val="22"/>
        </w:rPr>
        <w:t>Rév</w:t>
      </w:r>
      <w:proofErr w:type="spellEnd"/>
      <w:r w:rsidRPr="00CA3431">
        <w:rPr>
          <w:sz w:val="22"/>
          <w:szCs w:val="22"/>
        </w:rPr>
        <w:t>. Dubaï, 2012) de la présente Assemblée;</w:t>
      </w:r>
    </w:p>
    <w:p w:rsidR="00B85D56" w:rsidRPr="00CA3431" w:rsidRDefault="00B85D56" w:rsidP="00B85D56">
      <w:pPr>
        <w:rPr>
          <w:sz w:val="22"/>
          <w:szCs w:val="22"/>
        </w:rPr>
      </w:pPr>
      <w:r w:rsidRPr="00CA3431">
        <w:rPr>
          <w:sz w:val="22"/>
          <w:szCs w:val="22"/>
        </w:rPr>
        <w:t>3</w:t>
      </w:r>
      <w:r w:rsidRPr="00CA3431">
        <w:rPr>
          <w:sz w:val="22"/>
          <w:szCs w:val="22"/>
        </w:rPr>
        <w:tab/>
        <w:t>que le GCNT assurera la liaison avec des organisations extérieures à l'UIT pour ce qui est de ses propres activités, en consultation avec le Directeur du TSB, si nécessaire;</w:t>
      </w:r>
    </w:p>
    <w:p w:rsidR="00B85D56" w:rsidRPr="00CA3431" w:rsidRDefault="00B85D56" w:rsidP="00B85D56">
      <w:pPr>
        <w:rPr>
          <w:sz w:val="22"/>
          <w:szCs w:val="22"/>
        </w:rPr>
      </w:pPr>
      <w:r w:rsidRPr="00CA3431">
        <w:rPr>
          <w:sz w:val="22"/>
          <w:szCs w:val="22"/>
        </w:rPr>
        <w:t>4</w:t>
      </w:r>
      <w:r w:rsidRPr="00CA3431">
        <w:rPr>
          <w:sz w:val="22"/>
          <w:szCs w:val="22"/>
        </w:rPr>
        <w:tab/>
        <w:t>que le GCNT examinera les incidences pour l'UIT-T des besoins du marché et des nouvelles technologies émergentes qui n'ont pas encore été pris en compte aux fins de normalisation par l'UIT</w:t>
      </w:r>
      <w:r w:rsidRPr="00CA3431">
        <w:rPr>
          <w:sz w:val="22"/>
          <w:szCs w:val="22"/>
        </w:rPr>
        <w:noBreakHyphen/>
        <w:t>T, établira un mécanisme approprié permettant de faciliter l'examen de leur possible prise en compte, par exemple en attribuant des Questions, en assurant la coordination des travaux des commissions d'études ou en créant des groupes de coordination ou d'autres groupes et désignera leurs présidents et vice-présidents;</w:t>
      </w:r>
    </w:p>
    <w:p w:rsidR="00B85D56" w:rsidRPr="00CA3431" w:rsidRDefault="00B85D56" w:rsidP="00B85D56">
      <w:pPr>
        <w:keepNext/>
        <w:keepLines/>
        <w:rPr>
          <w:sz w:val="22"/>
          <w:szCs w:val="22"/>
        </w:rPr>
      </w:pPr>
      <w:r w:rsidRPr="00CA3431">
        <w:rPr>
          <w:sz w:val="22"/>
          <w:szCs w:val="22"/>
        </w:rPr>
        <w:t>5</w:t>
      </w:r>
      <w:r w:rsidRPr="00CA3431">
        <w:rPr>
          <w:sz w:val="22"/>
          <w:szCs w:val="22"/>
        </w:rPr>
        <w:tab/>
        <w:t>que le GCNT examinera les résultats de la présente Assemblée en ce qui concerne le Colloque mondial sur la normalisation et prendra des mesures de suivi, s'il y a lieu;</w:t>
      </w:r>
    </w:p>
    <w:p w:rsidR="00B85D56" w:rsidRPr="00CA3431" w:rsidRDefault="00B85D56" w:rsidP="00B85D56">
      <w:pPr>
        <w:rPr>
          <w:sz w:val="22"/>
          <w:szCs w:val="22"/>
          <w:lang w:val="fr-CH"/>
        </w:rPr>
      </w:pPr>
      <w:r w:rsidRPr="00CA3431">
        <w:rPr>
          <w:sz w:val="22"/>
          <w:szCs w:val="22"/>
        </w:rPr>
        <w:t>6</w:t>
      </w:r>
      <w:r w:rsidRPr="00CA3431">
        <w:rPr>
          <w:sz w:val="22"/>
          <w:szCs w:val="22"/>
        </w:rPr>
        <w:tab/>
        <w:t>que le GCNT devra faire rapport à la prochaine AMNT sur les activités énumérées ci</w:t>
      </w:r>
      <w:r w:rsidRPr="00CA3431">
        <w:rPr>
          <w:sz w:val="22"/>
          <w:szCs w:val="22"/>
        </w:rPr>
        <w:noBreakHyphen/>
        <w:t>dessus.</w:t>
      </w:r>
    </w:p>
    <w:p w:rsidR="00B85D56" w:rsidRDefault="00B85D56" w:rsidP="00B85D56">
      <w:pPr>
        <w:rPr>
          <w:lang w:val="fr-CH"/>
        </w:rPr>
      </w:pPr>
    </w:p>
    <w:p w:rsidR="00CA3431" w:rsidRDefault="00CA3431" w:rsidP="00B85D56">
      <w:pPr>
        <w:rPr>
          <w:lang w:val="fr-CH"/>
        </w:rPr>
      </w:pPr>
    </w:p>
    <w:p w:rsidR="00CA3431" w:rsidRDefault="00CA3431" w:rsidP="00B85D56">
      <w:pPr>
        <w:rPr>
          <w:lang w:val="fr-CH"/>
        </w:rPr>
      </w:pPr>
    </w:p>
    <w:p w:rsidR="00CA3431" w:rsidRDefault="00CA3431" w:rsidP="00B85D56">
      <w:pPr>
        <w:rPr>
          <w:lang w:val="fr-CH"/>
        </w:rPr>
      </w:pPr>
    </w:p>
    <w:p w:rsidR="00CA3431" w:rsidRDefault="00CA3431" w:rsidP="00B85D56">
      <w:pPr>
        <w:rPr>
          <w:lang w:val="fr-CH"/>
        </w:rPr>
      </w:pPr>
    </w:p>
    <w:p w:rsidR="00CA3431" w:rsidRDefault="00CA3431" w:rsidP="00B85D56">
      <w:pPr>
        <w:rPr>
          <w:lang w:val="fr-CH"/>
        </w:rPr>
      </w:pPr>
    </w:p>
    <w:p w:rsidR="00CA3431" w:rsidRDefault="00CA3431" w:rsidP="00B85D56">
      <w:pPr>
        <w:rPr>
          <w:lang w:val="fr-CH"/>
        </w:rPr>
      </w:pPr>
    </w:p>
    <w:p w:rsidR="00CA3431" w:rsidRDefault="00CA3431" w:rsidP="00B85D56">
      <w:pPr>
        <w:rPr>
          <w:lang w:val="fr-CH"/>
        </w:rPr>
      </w:pPr>
    </w:p>
    <w:p w:rsidR="00CA3431" w:rsidRDefault="00CA3431" w:rsidP="00B85D56">
      <w:pPr>
        <w:rPr>
          <w:lang w:val="fr-CH"/>
        </w:rPr>
      </w:pPr>
    </w:p>
    <w:p w:rsidR="00CA3431" w:rsidRDefault="00CA3431" w:rsidP="00B85D56">
      <w:pPr>
        <w:rPr>
          <w:lang w:val="fr-CH"/>
        </w:rPr>
      </w:pPr>
    </w:p>
    <w:p w:rsidR="00CA3431" w:rsidRDefault="00CA3431" w:rsidP="00B85D56">
      <w:pPr>
        <w:rPr>
          <w:lang w:val="fr-CH"/>
        </w:rPr>
      </w:pPr>
    </w:p>
    <w:p w:rsidR="00CA3431" w:rsidRDefault="00CA3431" w:rsidP="00B85D56">
      <w:pPr>
        <w:rPr>
          <w:lang w:val="fr-CH"/>
        </w:rPr>
      </w:pPr>
    </w:p>
    <w:p w:rsidR="00CA3431" w:rsidRDefault="00CA3431" w:rsidP="00B85D56">
      <w:pPr>
        <w:rPr>
          <w:lang w:val="fr-CH"/>
        </w:rPr>
      </w:pPr>
    </w:p>
    <w:p w:rsidR="00CA3431" w:rsidRDefault="00CA3431" w:rsidP="00B85D56">
      <w:pPr>
        <w:rPr>
          <w:lang w:val="fr-CH"/>
        </w:rPr>
      </w:pPr>
    </w:p>
    <w:p w:rsidR="00B85D56" w:rsidRDefault="00B85D56" w:rsidP="00B85D56">
      <w:pPr>
        <w:rPr>
          <w:lang w:val="fr-CH"/>
        </w:rPr>
      </w:pPr>
    </w:p>
    <w:p w:rsidR="00B85D56" w:rsidRDefault="00B85D56" w:rsidP="00B85D56">
      <w:pPr>
        <w:rPr>
          <w:lang w:val="fr-CH"/>
        </w:rPr>
      </w:pPr>
    </w:p>
    <w:p w:rsidR="00311F37" w:rsidRPr="001B4BEB" w:rsidRDefault="00311F37" w:rsidP="00EB6BEB">
      <w:pPr>
        <w:spacing w:before="160" w:line="280" w:lineRule="exact"/>
      </w:pPr>
    </w:p>
    <w:sectPr w:rsidR="00311F37" w:rsidRPr="001B4BEB" w:rsidSect="0060631F">
      <w:headerReference w:type="default" r:id="rId14"/>
      <w:footerReference w:type="even" r:id="rId15"/>
      <w:footerReference w:type="default" r:id="rId16"/>
      <w:footnotePr>
        <w:pos w:val="beneathText"/>
        <w:numRestart w:val="eachSect"/>
      </w:footnotePr>
      <w:pgSz w:w="11907" w:h="16834" w:code="9"/>
      <w:pgMar w:top="1134" w:right="1134" w:bottom="1134" w:left="1134" w:header="567" w:footer="567" w:gutter="0"/>
      <w:paperSrc w:first="15" w:other="15"/>
      <w:pgNumType w:start="1"/>
      <w:cols w:space="720"/>
      <w:vAlign w:val="both"/>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CB1" w:rsidRDefault="00C53CB1">
      <w:r>
        <w:separator/>
      </w:r>
    </w:p>
  </w:endnote>
  <w:endnote w:type="continuationSeparator" w:id="0">
    <w:p w:rsidR="00C53CB1" w:rsidRDefault="00C53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19C" w:rsidRDefault="00A8419C" w:rsidP="00A8419C">
    <w:pPr>
      <w:pStyle w:val="FooterQP"/>
      <w:rPr>
        <w:b w:val="0"/>
        <w:lang w:val="en-US"/>
      </w:rPr>
    </w:pPr>
    <w:r>
      <w:tab/>
    </w:r>
    <w:r>
      <w:tab/>
      <w:t>AMNT</w:t>
    </w:r>
    <w:r>
      <w:rPr>
        <w:lang w:val="en-US"/>
      </w:rPr>
      <w:t xml:space="preserve">-12 – </w:t>
    </w:r>
    <w:proofErr w:type="spellStart"/>
    <w:r>
      <w:rPr>
        <w:lang w:val="en-US"/>
      </w:rPr>
      <w:t>Résolution</w:t>
    </w:r>
    <w:proofErr w:type="spellEnd"/>
    <w:r>
      <w:rPr>
        <w:lang w:val="en-US"/>
      </w:rPr>
      <w:t xml:space="preserve"> 1</w:t>
    </w:r>
    <w:r>
      <w:rPr>
        <w:lang w:val="en-US"/>
      </w:rPr>
      <w:tab/>
    </w:r>
    <w:r w:rsidR="00381E47">
      <w:rPr>
        <w:b w:val="0"/>
        <w:lang w:val="en-US"/>
      </w:rPr>
      <w:fldChar w:fldCharType="begin"/>
    </w:r>
    <w:r>
      <w:rPr>
        <w:b w:val="0"/>
        <w:lang w:val="en-US"/>
      </w:rPr>
      <w:instrText xml:space="preserve"> PAGE  \* MERGEFORMAT </w:instrText>
    </w:r>
    <w:r w:rsidR="00381E47">
      <w:rPr>
        <w:b w:val="0"/>
        <w:lang w:val="en-US"/>
      </w:rPr>
      <w:fldChar w:fldCharType="separate"/>
    </w:r>
    <w:r w:rsidR="00F51075">
      <w:rPr>
        <w:b w:val="0"/>
        <w:noProof/>
        <w:lang w:val="en-US"/>
      </w:rPr>
      <w:t>3</w:t>
    </w:r>
    <w:r w:rsidR="00381E47">
      <w:rPr>
        <w:b w:val="0"/>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A8D" w:rsidRPr="00B155BB" w:rsidRDefault="00381E47" w:rsidP="00B155BB">
    <w:pPr>
      <w:pStyle w:val="FooterQP"/>
      <w:tabs>
        <w:tab w:val="clear" w:pos="907"/>
        <w:tab w:val="left" w:pos="851"/>
      </w:tabs>
      <w:rPr>
        <w:lang w:val="fr-CH"/>
      </w:rPr>
    </w:pPr>
    <w:r>
      <w:rPr>
        <w:b w:val="0"/>
      </w:rPr>
      <w:fldChar w:fldCharType="begin"/>
    </w:r>
    <w:r w:rsidR="00F179EC" w:rsidRPr="00B155BB">
      <w:rPr>
        <w:b w:val="0"/>
        <w:lang w:val="fr-CH"/>
      </w:rPr>
      <w:instrText xml:space="preserve"> PAGE  \* MERGEFORMAT </w:instrText>
    </w:r>
    <w:r>
      <w:rPr>
        <w:b w:val="0"/>
      </w:rPr>
      <w:fldChar w:fldCharType="separate"/>
    </w:r>
    <w:r w:rsidR="00CC4881">
      <w:rPr>
        <w:b w:val="0"/>
        <w:noProof/>
        <w:lang w:val="fr-CH"/>
      </w:rPr>
      <w:t>2</w:t>
    </w:r>
    <w:r>
      <w:rPr>
        <w:b w:val="0"/>
      </w:rPr>
      <w:fldChar w:fldCharType="end"/>
    </w:r>
    <w:r w:rsidR="00F179EC" w:rsidRPr="00B155BB">
      <w:rPr>
        <w:lang w:val="fr-CH"/>
      </w:rPr>
      <w:tab/>
    </w:r>
    <w:r w:rsidR="00F179EC">
      <w:rPr>
        <w:lang w:val="fr-CH"/>
      </w:rPr>
      <w:t>AMNT-12</w:t>
    </w:r>
    <w:r w:rsidR="00F179EC" w:rsidRPr="00415608">
      <w:rPr>
        <w:lang w:val="fr-CH"/>
      </w:rPr>
      <w:t xml:space="preserve"> – </w:t>
    </w:r>
    <w:r w:rsidR="00F179EC">
      <w:rPr>
        <w:lang w:val="fr-CH"/>
      </w:rPr>
      <w:t>Résolution 22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A8D" w:rsidRPr="00415608" w:rsidRDefault="00F179EC" w:rsidP="00415608">
    <w:pPr>
      <w:pStyle w:val="FooterQP"/>
      <w:rPr>
        <w:b w:val="0"/>
        <w:lang w:val="fr-CH"/>
      </w:rPr>
    </w:pPr>
    <w:r>
      <w:tab/>
    </w:r>
    <w:r>
      <w:tab/>
    </w:r>
    <w:r>
      <w:rPr>
        <w:lang w:val="fr-CH"/>
      </w:rPr>
      <w:t>AMNT-12</w:t>
    </w:r>
    <w:r w:rsidRPr="00415608">
      <w:rPr>
        <w:lang w:val="fr-CH"/>
      </w:rPr>
      <w:t xml:space="preserve"> – </w:t>
    </w:r>
    <w:r>
      <w:rPr>
        <w:lang w:val="fr-CH"/>
      </w:rPr>
      <w:t>Résolution 22</w:t>
    </w:r>
    <w:r w:rsidRPr="00415608">
      <w:rPr>
        <w:lang w:val="fr-CH"/>
      </w:rPr>
      <w:tab/>
    </w:r>
    <w:r w:rsidR="00381E47">
      <w:rPr>
        <w:b w:val="0"/>
      </w:rPr>
      <w:fldChar w:fldCharType="begin"/>
    </w:r>
    <w:r w:rsidRPr="00415608">
      <w:rPr>
        <w:b w:val="0"/>
        <w:lang w:val="fr-CH"/>
      </w:rPr>
      <w:instrText xml:space="preserve"> PAGE  \* MERGEFORMAT </w:instrText>
    </w:r>
    <w:r w:rsidR="00381E47">
      <w:rPr>
        <w:b w:val="0"/>
      </w:rPr>
      <w:fldChar w:fldCharType="separate"/>
    </w:r>
    <w:r w:rsidR="00CC4881">
      <w:rPr>
        <w:b w:val="0"/>
        <w:noProof/>
        <w:lang w:val="fr-CH"/>
      </w:rPr>
      <w:t>1</w:t>
    </w:r>
    <w:r w:rsidR="00381E47">
      <w:rPr>
        <w:b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CB1" w:rsidRDefault="00C53CB1">
      <w:r>
        <w:t>____________________</w:t>
      </w:r>
    </w:p>
  </w:footnote>
  <w:footnote w:type="continuationSeparator" w:id="0">
    <w:p w:rsidR="00C53CB1" w:rsidRDefault="00C53C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075" w:rsidRDefault="00CC4881">
    <w:pPr>
      <w:pStyle w:val="Header"/>
    </w:pPr>
    <w:r>
      <w:rPr>
        <w:noProof/>
        <w:lang w:val="en-US" w:eastAsia="zh-CN"/>
      </w:rPr>
      <w:pict>
        <v:shapetype id="_x0000_t202" coordsize="21600,21600" o:spt="202" path="m,l,21600r21600,l21600,xe">
          <v:stroke joinstyle="miter"/>
          <v:path gradientshapeok="t" o:connecttype="rect"/>
        </v:shapetype>
        <v:shape id="Text Box 6" o:spid="_x0000_s4099" type="#_x0000_t202" style="position:absolute;left:0;text-align:left;margin-left:-43.2pt;margin-top:29.6pt;width:40.85pt;height:497.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" stroked="f">
          <v:textbox style="layout-flow:vertical-ideographic">
            <w:txbxContent>
              <w:p w:rsidR="00F51075" w:rsidRPr="008B3C20" w:rsidRDefault="00381E47" w:rsidP="00F51075">
                <w:pPr>
                  <w:pStyle w:val="FooterQP"/>
                  <w:rPr>
                    <w:lang w:val="fr-CH"/>
                  </w:rPr>
                </w:pPr>
                <w:r w:rsidRPr="002D6EB1">
                  <w:rPr>
                    <w:b w:val="0"/>
                  </w:rPr>
                  <w:fldChar w:fldCharType="begin"/>
                </w:r>
                <w:r w:rsidR="00F51075"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00F51075" w:rsidRPr="008B3C20">
                  <w:rPr>
                    <w:b w:val="0"/>
                    <w:lang w:val="fr-CH"/>
                  </w:rPr>
                  <w:t xml:space="preserve">           </w:t>
                </w:r>
                <w:r w:rsidR="00F51075" w:rsidRPr="008B3C20">
                  <w:rPr>
                    <w:lang w:val="fr-CH"/>
                  </w:rPr>
                  <w:t xml:space="preserve">AMNT-12 – Actes – Partie </w:t>
                </w:r>
                <w:r w:rsidR="00F51075">
                  <w:rPr>
                    <w:lang w:val="fr-CH"/>
                  </w:rPr>
                  <w:t>1</w:t>
                </w:r>
                <w:r w:rsidR="00F51075" w:rsidRPr="008B3C20">
                  <w:rPr>
                    <w:lang w:val="fr-CH"/>
                  </w:rPr>
                  <w:t xml:space="preserve"> – Résolution</w:t>
                </w:r>
                <w:r w:rsidR="00F51075">
                  <w:rPr>
                    <w:lang w:val="fr-CH"/>
                  </w:rPr>
                  <w:t xml:space="preserve"> 1</w:t>
                </w:r>
                <w:r w:rsidR="00F51075" w:rsidRPr="008B3C20">
                  <w:rPr>
                    <w:lang w:val="fr-CH"/>
                  </w:rPr>
                  <w:t xml:space="preserve">      </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B10" w:rsidRDefault="00C42B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A8D" w:rsidRPr="009702EA" w:rsidRDefault="00CC4881" w:rsidP="009702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5C92"/>
    <w:multiLevelType w:val="hybridMultilevel"/>
    <w:tmpl w:val="4F98DD66"/>
    <w:lvl w:ilvl="0" w:tplc="C6BA6F22">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065863"/>
    <w:multiLevelType w:val="hybridMultilevel"/>
    <w:tmpl w:val="36527874"/>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F72F17"/>
    <w:multiLevelType w:val="hybridMultilevel"/>
    <w:tmpl w:val="9CFAC4A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543B86"/>
    <w:multiLevelType w:val="hybridMultilevel"/>
    <w:tmpl w:val="650253C0"/>
    <w:lvl w:ilvl="0" w:tplc="BF7A34CE">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0B4AA1"/>
    <w:multiLevelType w:val="hybridMultilevel"/>
    <w:tmpl w:val="958E07B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C62240D"/>
    <w:multiLevelType w:val="hybridMultilevel"/>
    <w:tmpl w:val="7C0C7DA2"/>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223EB4"/>
    <w:multiLevelType w:val="hybridMultilevel"/>
    <w:tmpl w:val="76225E68"/>
    <w:lvl w:ilvl="0" w:tplc="0C26801C">
      <w:start w:val="10"/>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221169D"/>
    <w:multiLevelType w:val="hybridMultilevel"/>
    <w:tmpl w:val="83B2AF3A"/>
    <w:lvl w:ilvl="0" w:tplc="0980CDD6">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65E14E5"/>
    <w:multiLevelType w:val="hybridMultilevel"/>
    <w:tmpl w:val="A60EF316"/>
    <w:lvl w:ilvl="0" w:tplc="1048F9A8">
      <w:start w:val="1"/>
      <w:numFmt w:val="decimal"/>
      <w:lvlText w:val="(%1)"/>
      <w:lvlJc w:val="left"/>
      <w:pPr>
        <w:tabs>
          <w:tab w:val="num" w:pos="794"/>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666495E"/>
    <w:multiLevelType w:val="hybridMultilevel"/>
    <w:tmpl w:val="A8347968"/>
    <w:lvl w:ilvl="0" w:tplc="1BDC0ED6">
      <w:start w:val="1"/>
      <w:numFmt w:val="lowerLetter"/>
      <w:lvlText w:val="%1)"/>
      <w:lvlJc w:val="left"/>
      <w:pPr>
        <w:tabs>
          <w:tab w:val="num" w:pos="794"/>
        </w:tabs>
      </w:pPr>
      <w:rPr>
        <w:rFonts w:cs="Times New Roman" w:hint="default"/>
      </w:rPr>
    </w:lvl>
    <w:lvl w:ilvl="1" w:tplc="62E0906E">
      <w:start w:val="1"/>
      <w:numFmt w:val="bullet"/>
      <w:lvlText w:val=""/>
      <w:lvlJc w:val="left"/>
      <w:pPr>
        <w:tabs>
          <w:tab w:val="num" w:pos="624"/>
        </w:tabs>
        <w:ind w:left="1418" w:hanging="624"/>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68F0686"/>
    <w:multiLevelType w:val="hybridMultilevel"/>
    <w:tmpl w:val="D3AE4562"/>
    <w:lvl w:ilvl="0" w:tplc="BD38B312">
      <w:start w:val="1"/>
      <w:numFmt w:val="bullet"/>
      <w:lvlText w:val=""/>
      <w:lvlJc w:val="left"/>
      <w:pPr>
        <w:tabs>
          <w:tab w:val="num" w:pos="794"/>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B297E7B"/>
    <w:multiLevelType w:val="hybridMultilevel"/>
    <w:tmpl w:val="1DE084F4"/>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EA356F5"/>
    <w:multiLevelType w:val="hybridMultilevel"/>
    <w:tmpl w:val="6C46334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9F2E23"/>
    <w:multiLevelType w:val="hybridMultilevel"/>
    <w:tmpl w:val="653E550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F513A0A"/>
    <w:multiLevelType w:val="hybridMultilevel"/>
    <w:tmpl w:val="A5146B26"/>
    <w:lvl w:ilvl="0" w:tplc="067E600E">
      <w:start w:val="1"/>
      <w:numFmt w:val="decimal"/>
      <w:lvlText w:val="%1."/>
      <w:lvlJc w:val="left"/>
      <w:pPr>
        <w:tabs>
          <w:tab w:val="num" w:pos="794"/>
        </w:tabs>
        <w:ind w:left="794" w:hanging="794"/>
      </w:pPr>
      <w:rPr>
        <w:rFonts w:cs="Times New Roman" w:hint="default"/>
      </w:rPr>
    </w:lvl>
    <w:lvl w:ilvl="1" w:tplc="54B4FFA8">
      <w:start w:val="1"/>
      <w:numFmt w:val="lowerLetter"/>
      <w:lvlText w:val="%2)"/>
      <w:lvlJc w:val="left"/>
      <w:pPr>
        <w:tabs>
          <w:tab w:val="num" w:pos="624"/>
        </w:tabs>
        <w:ind w:left="1418" w:hanging="624"/>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6FE3C42"/>
    <w:multiLevelType w:val="hybridMultilevel"/>
    <w:tmpl w:val="3E84E102"/>
    <w:lvl w:ilvl="0" w:tplc="1BDC0ED6">
      <w:start w:val="1"/>
      <w:numFmt w:val="lowerLetter"/>
      <w:lvlText w:val="%1)"/>
      <w:lvlJc w:val="left"/>
      <w:pPr>
        <w:tabs>
          <w:tab w:val="num" w:pos="794"/>
        </w:tabs>
      </w:pPr>
      <w:rPr>
        <w:rFonts w:cs="Times New Roman" w:hint="default"/>
      </w:rPr>
    </w:lvl>
    <w:lvl w:ilvl="1" w:tplc="5A6AF25C">
      <w:start w:val="1"/>
      <w:numFmt w:val="bullet"/>
      <w:lvlText w:val=""/>
      <w:lvlJc w:val="left"/>
      <w:pPr>
        <w:tabs>
          <w:tab w:val="num" w:pos="624"/>
        </w:tabs>
        <w:ind w:left="624" w:firstLine="17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470C6A34"/>
    <w:multiLevelType w:val="hybridMultilevel"/>
    <w:tmpl w:val="4EB614DC"/>
    <w:lvl w:ilvl="0" w:tplc="59E4F08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827331B"/>
    <w:multiLevelType w:val="hybridMultilevel"/>
    <w:tmpl w:val="A94A011E"/>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245179"/>
    <w:multiLevelType w:val="hybridMultilevel"/>
    <w:tmpl w:val="86DAB9DE"/>
    <w:lvl w:ilvl="0" w:tplc="4710A22A">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2C97628"/>
    <w:multiLevelType w:val="multilevel"/>
    <w:tmpl w:val="51C44DD6"/>
    <w:lvl w:ilvl="0">
      <w:start w:val="6"/>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743F7651"/>
    <w:multiLevelType w:val="hybridMultilevel"/>
    <w:tmpl w:val="B00419DC"/>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5BE4B30"/>
    <w:multiLevelType w:val="hybridMultilevel"/>
    <w:tmpl w:val="AC5262AC"/>
    <w:lvl w:ilvl="0" w:tplc="1810954C">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5C7343D"/>
    <w:multiLevelType w:val="hybridMultilevel"/>
    <w:tmpl w:val="7F16036A"/>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6491345"/>
    <w:multiLevelType w:val="hybridMultilevel"/>
    <w:tmpl w:val="03701896"/>
    <w:lvl w:ilvl="0" w:tplc="90FA4456">
      <w:start w:val="1"/>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7D253C79"/>
    <w:multiLevelType w:val="hybridMultilevel"/>
    <w:tmpl w:val="82A47640"/>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9"/>
  </w:num>
  <w:num w:numId="4">
    <w:abstractNumId w:val="18"/>
  </w:num>
  <w:num w:numId="5">
    <w:abstractNumId w:val="14"/>
  </w:num>
  <w:num w:numId="6">
    <w:abstractNumId w:val="6"/>
  </w:num>
  <w:num w:numId="7">
    <w:abstractNumId w:val="23"/>
  </w:num>
  <w:num w:numId="8">
    <w:abstractNumId w:val="0"/>
  </w:num>
  <w:num w:numId="9">
    <w:abstractNumId w:val="20"/>
  </w:num>
  <w:num w:numId="10">
    <w:abstractNumId w:val="8"/>
  </w:num>
  <w:num w:numId="11">
    <w:abstractNumId w:val="1"/>
  </w:num>
  <w:num w:numId="12">
    <w:abstractNumId w:val="10"/>
  </w:num>
  <w:num w:numId="13">
    <w:abstractNumId w:val="16"/>
  </w:num>
  <w:num w:numId="14">
    <w:abstractNumId w:val="3"/>
  </w:num>
  <w:num w:numId="15">
    <w:abstractNumId w:val="5"/>
  </w:num>
  <w:num w:numId="16">
    <w:abstractNumId w:val="17"/>
  </w:num>
  <w:num w:numId="17">
    <w:abstractNumId w:val="7"/>
  </w:num>
  <w:num w:numId="18">
    <w:abstractNumId w:val="13"/>
  </w:num>
  <w:num w:numId="19">
    <w:abstractNumId w:val="4"/>
  </w:num>
  <w:num w:numId="20">
    <w:abstractNumId w:val="11"/>
  </w:num>
  <w:num w:numId="21">
    <w:abstractNumId w:val="24"/>
  </w:num>
  <w:num w:numId="22">
    <w:abstractNumId w:val="22"/>
  </w:num>
  <w:num w:numId="23">
    <w:abstractNumId w:val="2"/>
  </w:num>
  <w:num w:numId="24">
    <w:abstractNumId w:val="1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4E489E"/>
    <w:rsid w:val="00016113"/>
    <w:rsid w:val="00022334"/>
    <w:rsid w:val="00025C87"/>
    <w:rsid w:val="00034872"/>
    <w:rsid w:val="000B79FF"/>
    <w:rsid w:val="000C20AB"/>
    <w:rsid w:val="000D3895"/>
    <w:rsid w:val="000D4593"/>
    <w:rsid w:val="000F00AF"/>
    <w:rsid w:val="000F2D02"/>
    <w:rsid w:val="000F3A4D"/>
    <w:rsid w:val="001055F6"/>
    <w:rsid w:val="00123BBC"/>
    <w:rsid w:val="00135E39"/>
    <w:rsid w:val="00142260"/>
    <w:rsid w:val="00146B46"/>
    <w:rsid w:val="001509F1"/>
    <w:rsid w:val="001911E3"/>
    <w:rsid w:val="001A3FCC"/>
    <w:rsid w:val="001A58B6"/>
    <w:rsid w:val="001B490B"/>
    <w:rsid w:val="001B4BEB"/>
    <w:rsid w:val="001C347A"/>
    <w:rsid w:val="001C7878"/>
    <w:rsid w:val="001C7973"/>
    <w:rsid w:val="001D1339"/>
    <w:rsid w:val="001D6630"/>
    <w:rsid w:val="001E2EFA"/>
    <w:rsid w:val="001E7E95"/>
    <w:rsid w:val="002031ED"/>
    <w:rsid w:val="002167B8"/>
    <w:rsid w:val="00217791"/>
    <w:rsid w:val="00243C77"/>
    <w:rsid w:val="00274849"/>
    <w:rsid w:val="0028794F"/>
    <w:rsid w:val="002923F1"/>
    <w:rsid w:val="002952C6"/>
    <w:rsid w:val="002C3A8D"/>
    <w:rsid w:val="002C7353"/>
    <w:rsid w:val="002E2CFB"/>
    <w:rsid w:val="002F08F4"/>
    <w:rsid w:val="002F55D0"/>
    <w:rsid w:val="00311192"/>
    <w:rsid w:val="00311F37"/>
    <w:rsid w:val="0031393D"/>
    <w:rsid w:val="0035602D"/>
    <w:rsid w:val="00364794"/>
    <w:rsid w:val="00372E35"/>
    <w:rsid w:val="00381E47"/>
    <w:rsid w:val="0039710E"/>
    <w:rsid w:val="003A55FD"/>
    <w:rsid w:val="003B42BC"/>
    <w:rsid w:val="003E424C"/>
    <w:rsid w:val="00436471"/>
    <w:rsid w:val="0045738E"/>
    <w:rsid w:val="004A196C"/>
    <w:rsid w:val="004A2271"/>
    <w:rsid w:val="004B2A84"/>
    <w:rsid w:val="004B4ADF"/>
    <w:rsid w:val="004E489E"/>
    <w:rsid w:val="00532E38"/>
    <w:rsid w:val="005363D3"/>
    <w:rsid w:val="00542D7C"/>
    <w:rsid w:val="00555BC4"/>
    <w:rsid w:val="005939B4"/>
    <w:rsid w:val="00594048"/>
    <w:rsid w:val="005C3A2B"/>
    <w:rsid w:val="00605426"/>
    <w:rsid w:val="006559DE"/>
    <w:rsid w:val="00670808"/>
    <w:rsid w:val="006734F6"/>
    <w:rsid w:val="006D34A0"/>
    <w:rsid w:val="006E0DB1"/>
    <w:rsid w:val="006F6569"/>
    <w:rsid w:val="007175CA"/>
    <w:rsid w:val="00736828"/>
    <w:rsid w:val="0074364C"/>
    <w:rsid w:val="0075696E"/>
    <w:rsid w:val="00762D2E"/>
    <w:rsid w:val="00770007"/>
    <w:rsid w:val="007E0A86"/>
    <w:rsid w:val="0080529A"/>
    <w:rsid w:val="00814657"/>
    <w:rsid w:val="008225FB"/>
    <w:rsid w:val="00832238"/>
    <w:rsid w:val="00840DD3"/>
    <w:rsid w:val="00890C03"/>
    <w:rsid w:val="00895013"/>
    <w:rsid w:val="008968B6"/>
    <w:rsid w:val="008A4C14"/>
    <w:rsid w:val="008A525E"/>
    <w:rsid w:val="008B1654"/>
    <w:rsid w:val="008B5637"/>
    <w:rsid w:val="008B7A32"/>
    <w:rsid w:val="009051DF"/>
    <w:rsid w:val="00905B9E"/>
    <w:rsid w:val="00913010"/>
    <w:rsid w:val="00927BFB"/>
    <w:rsid w:val="00935D28"/>
    <w:rsid w:val="00970ECA"/>
    <w:rsid w:val="009B173B"/>
    <w:rsid w:val="009B27D0"/>
    <w:rsid w:val="009F107E"/>
    <w:rsid w:val="00A20553"/>
    <w:rsid w:val="00A25654"/>
    <w:rsid w:val="00A81CCC"/>
    <w:rsid w:val="00A8419C"/>
    <w:rsid w:val="00A937E0"/>
    <w:rsid w:val="00AC622B"/>
    <w:rsid w:val="00AC6AA3"/>
    <w:rsid w:val="00AE3ADA"/>
    <w:rsid w:val="00AE7F0A"/>
    <w:rsid w:val="00B62C56"/>
    <w:rsid w:val="00B758AA"/>
    <w:rsid w:val="00B85D56"/>
    <w:rsid w:val="00B9040E"/>
    <w:rsid w:val="00BD71E4"/>
    <w:rsid w:val="00C25EAA"/>
    <w:rsid w:val="00C26282"/>
    <w:rsid w:val="00C31070"/>
    <w:rsid w:val="00C36D4E"/>
    <w:rsid w:val="00C42B10"/>
    <w:rsid w:val="00C50F7A"/>
    <w:rsid w:val="00C53CB1"/>
    <w:rsid w:val="00C97C18"/>
    <w:rsid w:val="00CA3431"/>
    <w:rsid w:val="00CA4BF1"/>
    <w:rsid w:val="00CA53FC"/>
    <w:rsid w:val="00CB2074"/>
    <w:rsid w:val="00CC4881"/>
    <w:rsid w:val="00CF559F"/>
    <w:rsid w:val="00D17C6A"/>
    <w:rsid w:val="00D43879"/>
    <w:rsid w:val="00D70EE6"/>
    <w:rsid w:val="00D7733B"/>
    <w:rsid w:val="00D77498"/>
    <w:rsid w:val="00D819A4"/>
    <w:rsid w:val="00D833C9"/>
    <w:rsid w:val="00D84836"/>
    <w:rsid w:val="00DD5C3D"/>
    <w:rsid w:val="00DF1309"/>
    <w:rsid w:val="00E143D1"/>
    <w:rsid w:val="00E15C07"/>
    <w:rsid w:val="00E17E4E"/>
    <w:rsid w:val="00E213F4"/>
    <w:rsid w:val="00E60FAB"/>
    <w:rsid w:val="00E64849"/>
    <w:rsid w:val="00E80E40"/>
    <w:rsid w:val="00EB67B3"/>
    <w:rsid w:val="00EB6BEB"/>
    <w:rsid w:val="00EC12B6"/>
    <w:rsid w:val="00EE6B43"/>
    <w:rsid w:val="00F05524"/>
    <w:rsid w:val="00F179EC"/>
    <w:rsid w:val="00F23C79"/>
    <w:rsid w:val="00F37CBC"/>
    <w:rsid w:val="00F51075"/>
    <w:rsid w:val="00F60B83"/>
    <w:rsid w:val="00FA7344"/>
    <w:rsid w:val="00FD1E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BBC"/>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fr-FR" w:eastAsia="en-US"/>
    </w:rPr>
  </w:style>
  <w:style w:type="paragraph" w:styleId="Heading1">
    <w:name w:val="heading 1"/>
    <w:basedOn w:val="Normal"/>
    <w:next w:val="Normal"/>
    <w:qFormat/>
    <w:rsid w:val="00123BBC"/>
    <w:pPr>
      <w:keepNext/>
      <w:keepLines/>
      <w:spacing w:before="360"/>
      <w:ind w:left="794" w:hanging="794"/>
      <w:jc w:val="left"/>
      <w:outlineLvl w:val="0"/>
    </w:pPr>
    <w:rPr>
      <w:b/>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rsid w:val="00123BBC"/>
    <w:pPr>
      <w:keepLines/>
      <w:tabs>
        <w:tab w:val="left" w:pos="255"/>
      </w:tabs>
      <w:ind w:left="255" w:hanging="255"/>
    </w:pPr>
  </w:style>
  <w:style w:type="paragraph" w:customStyle="1" w:styleId="Note">
    <w:name w:val="Note"/>
    <w:basedOn w:val="Normal"/>
    <w:link w:val="NoteChar"/>
    <w:rsid w:val="00123BBC"/>
    <w:pPr>
      <w:spacing w:before="80"/>
    </w:pPr>
    <w:rPr>
      <w:sz w:val="22"/>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link w:val="ResNoChar"/>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uiPriority w:val="99"/>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locked/>
    <w:rsid w:val="00311F37"/>
    <w:rPr>
      <w:rFonts w:cs="Times New Roman"/>
      <w:sz w:val="22"/>
      <w:lang w:val="fr-FR" w:eastAsia="en-US" w:bidi="ar-SA"/>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sz w:val="22"/>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EB6BEB"/>
    <w:rPr>
      <w:rFonts w:ascii="Times New Roman" w:hAnsi="Times New Roman"/>
      <w:sz w:val="22"/>
      <w:lang w:val="fr-FR" w:eastAsia="en-US"/>
    </w:rPr>
  </w:style>
  <w:style w:type="paragraph" w:customStyle="1" w:styleId="FigureNo">
    <w:name w:val="Figure_No"/>
    <w:basedOn w:val="Normal"/>
    <w:next w:val="Figuretitle"/>
    <w:rsid w:val="00EB6BEB"/>
    <w:pPr>
      <w:keepNext/>
      <w:keepLines/>
      <w:spacing w:before="480" w:after="120"/>
      <w:jc w:val="center"/>
    </w:pPr>
    <w:rPr>
      <w:caps/>
      <w:sz w:val="22"/>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sz w:val="22"/>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 w:type="paragraph" w:styleId="BalloonText">
    <w:name w:val="Balloon Text"/>
    <w:basedOn w:val="Normal"/>
    <w:link w:val="BalloonTextChar"/>
    <w:rsid w:val="00364794"/>
    <w:pPr>
      <w:spacing w:before="0"/>
    </w:pPr>
    <w:rPr>
      <w:rFonts w:ascii="Tahoma" w:hAnsi="Tahoma" w:cs="Tahoma"/>
      <w:sz w:val="16"/>
      <w:szCs w:val="16"/>
    </w:rPr>
  </w:style>
  <w:style w:type="character" w:customStyle="1" w:styleId="BalloonTextChar">
    <w:name w:val="Balloon Text Char"/>
    <w:basedOn w:val="DefaultParagraphFont"/>
    <w:link w:val="BalloonText"/>
    <w:rsid w:val="00364794"/>
    <w:rPr>
      <w:rFonts w:ascii="Tahoma" w:hAnsi="Tahoma" w:cs="Tahoma"/>
      <w:sz w:val="16"/>
      <w:szCs w:val="16"/>
      <w:lang w:val="fr-FR" w:eastAsia="en-US"/>
    </w:rPr>
  </w:style>
  <w:style w:type="character" w:customStyle="1" w:styleId="HeaderChar">
    <w:name w:val="Header Char"/>
    <w:aliases w:val="h Char,Header/Footer Char"/>
    <w:basedOn w:val="DefaultParagraphFont"/>
    <w:link w:val="Header"/>
    <w:rsid w:val="00B85D56"/>
    <w:rPr>
      <w:rFonts w:ascii="Times New Roman" w:hAnsi="Times New Roman"/>
      <w:sz w:val="18"/>
      <w:lang w:val="fr-FR" w:eastAsia="en-US"/>
    </w:rPr>
  </w:style>
  <w:style w:type="character" w:customStyle="1" w:styleId="ResNoChar">
    <w:name w:val="Res_No Char"/>
    <w:link w:val="ResNo"/>
    <w:rsid w:val="00B85D56"/>
    <w:rPr>
      <w:rFonts w:ascii="Times New Roman" w:hAnsi="Times New Roman"/>
      <w:b/>
      <w:sz w:val="28"/>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BBC"/>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fr-FR" w:eastAsia="en-US"/>
    </w:rPr>
  </w:style>
  <w:style w:type="paragraph" w:styleId="Heading1">
    <w:name w:val="heading 1"/>
    <w:basedOn w:val="Normal"/>
    <w:next w:val="Normal"/>
    <w:qFormat/>
    <w:rsid w:val="00123BBC"/>
    <w:pPr>
      <w:keepNext/>
      <w:keepLines/>
      <w:spacing w:before="360"/>
      <w:ind w:left="794" w:hanging="794"/>
      <w:jc w:val="left"/>
      <w:outlineLvl w:val="0"/>
    </w:pPr>
    <w:rPr>
      <w:b/>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rsid w:val="00123BBC"/>
    <w:pPr>
      <w:keepLines/>
      <w:tabs>
        <w:tab w:val="left" w:pos="255"/>
      </w:tabs>
      <w:ind w:left="255" w:hanging="255"/>
    </w:pPr>
  </w:style>
  <w:style w:type="paragraph" w:customStyle="1" w:styleId="Note">
    <w:name w:val="Note"/>
    <w:basedOn w:val="Normal"/>
    <w:link w:val="NoteChar"/>
    <w:rsid w:val="00123BBC"/>
    <w:pPr>
      <w:spacing w:before="80"/>
    </w:pPr>
    <w:rPr>
      <w:sz w:val="22"/>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uiPriority w:val="99"/>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locked/>
    <w:rsid w:val="00311F37"/>
    <w:rPr>
      <w:rFonts w:cs="Times New Roman"/>
      <w:sz w:val="22"/>
      <w:lang w:val="fr-FR" w:eastAsia="en-US" w:bidi="ar-SA"/>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uiPriority w:val="99"/>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sz w:val="22"/>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EB6BEB"/>
    <w:rPr>
      <w:rFonts w:ascii="Times New Roman" w:hAnsi="Times New Roman"/>
      <w:sz w:val="22"/>
      <w:lang w:val="fr-FR" w:eastAsia="en-US"/>
    </w:rPr>
  </w:style>
  <w:style w:type="paragraph" w:customStyle="1" w:styleId="FigureNo">
    <w:name w:val="Figure_No"/>
    <w:basedOn w:val="Normal"/>
    <w:next w:val="Figuretitle"/>
    <w:rsid w:val="00EB6BEB"/>
    <w:pPr>
      <w:keepNext/>
      <w:keepLines/>
      <w:spacing w:before="480" w:after="120"/>
      <w:jc w:val="center"/>
    </w:pPr>
    <w:rPr>
      <w:caps/>
      <w:sz w:val="22"/>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sz w:val="22"/>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ce\Application%20Data\Microsoft\Templates\QuickPub%20-%20ITU\QP-Piano\QPUB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E71D6-CD97-4ED0-B217-1F30F432B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QPUBF.dot</Template>
  <TotalTime>2</TotalTime>
  <Pages>5</Pages>
  <Words>1574</Words>
  <Characters>9155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UIT-T Rec. E.802 (02/2007) Cadre et méthode de détermination et d'application</vt:lpstr>
    </vt:vector>
  </TitlesOfParts>
  <Company>ITU</Company>
  <LinksUpToDate>false</LinksUpToDate>
  <CharactersWithSpaces>10708</CharactersWithSpaces>
  <SharedDoc>false</SharedDoc>
  <HLinks>
    <vt:vector size="6" baseType="variant">
      <vt:variant>
        <vt:i4>5832781</vt:i4>
      </vt:variant>
      <vt:variant>
        <vt:i4>6</vt:i4>
      </vt:variant>
      <vt:variant>
        <vt:i4>0</vt:i4>
      </vt:variant>
      <vt:variant>
        <vt:i4>5</vt:i4>
      </vt:variant>
      <vt:variant>
        <vt:lpwstr>http://www.itu.int/ITU-T/ipr/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Cadre et méthode de détermination et d'application</dc:title>
  <dc:subject>SÉRIE E: EXPLOITATION GÉNÉRALE DU RÉSEAU, SERVICE TÉLÉPHONIQUE, EXPLOITATION DES SERVICES ET FACTEURS HUMAINS - Qualité de service: concepts, modèles, objectifs, planification de la sûreté de fonctionnement – Termes et définitions relatifs à la qualité de</dc:subject>
  <dc:creator>Commission d'études 2 de l'UIT-T</dc:creator>
  <cp:keywords>E.802,E,802</cp:keywords>
  <dc:description>Saved by MS-106344 at 14:06:18 on 06.12.2007</dc:description>
  <cp:lastModifiedBy>De Nicola, Simon</cp:lastModifiedBy>
  <cp:revision>4</cp:revision>
  <cp:lastPrinted>2007-12-06T12:04:00Z</cp:lastPrinted>
  <dcterms:created xsi:type="dcterms:W3CDTF">2013-04-26T07:58:00Z</dcterms:created>
  <dcterms:modified xsi:type="dcterms:W3CDTF">2013-04-29T15:09:00Z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février 2007</vt:lpwstr>
  </property>
  <property fmtid="{D5CDD505-2E9C-101B-9397-08002B2CF9AE}" pid="4" name="doctitle">
    <vt:lpwstr>Cadre et méthode de détermination et d'application</vt:lpwstr>
  </property>
  <property fmtid="{D5CDD505-2E9C-101B-9397-08002B2CF9AE}" pid="5" name="doctitle2">
    <vt:lpwstr>SÉRIE E: EXPLOITATION GÉNÉRALE DU RÉSEAU, SERVICE TÉLÉPHONIQUE, EXPLOITATION DES SERVICES ET FACTEURS HUMAINS Qualité de service: concepts, modèles, objectifs, planification de la sûreté de fonctionnement – Termes et définitions relatifs à la qualité des </vt:lpwstr>
  </property>
</Properties>
</file>