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9B29D7" w:rsidRPr="00C87B1F" w14:paraId="4E9478FD" w14:textId="77777777" w:rsidTr="00F960A1">
        <w:trPr>
          <w:trHeight w:hRule="exact" w:val="1418"/>
        </w:trPr>
        <w:tc>
          <w:tcPr>
            <w:tcW w:w="1428" w:type="dxa"/>
            <w:gridSpan w:val="2"/>
          </w:tcPr>
          <w:p w14:paraId="4ED6284F" w14:textId="77777777" w:rsidR="009B29D7" w:rsidRPr="00C87B1F" w:rsidRDefault="009B29D7" w:rsidP="00F960A1">
            <w:pPr>
              <w:rPr>
                <w:sz w:val="24"/>
                <w:lang w:val="fr-FR"/>
              </w:rPr>
            </w:pPr>
            <w:bookmarkStart w:id="0" w:name="_Toc475539559"/>
            <w:bookmarkStart w:id="1" w:name="_Toc475542267"/>
            <w:bookmarkStart w:id="2" w:name="_Toc476211367"/>
            <w:bookmarkStart w:id="3" w:name="_Toc476213308"/>
            <w:r w:rsidRPr="00C87B1F">
              <w:rPr>
                <w:noProof/>
                <w:lang w:val="fr-FR" w:eastAsia="zh-CN"/>
              </w:rPr>
              <w:drawing>
                <wp:anchor distT="0" distB="0" distL="114300" distR="114300" simplePos="0" relativeHeight="251659264" behindDoc="0" locked="0" layoutInCell="0" allowOverlap="1" wp14:anchorId="056047C8" wp14:editId="59AE7DF3">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53399" w14:textId="77777777" w:rsidR="009B29D7" w:rsidRPr="00C87B1F" w:rsidRDefault="009B29D7" w:rsidP="00F960A1">
            <w:pPr>
              <w:spacing w:before="0"/>
              <w:rPr>
                <w:b/>
                <w:sz w:val="16"/>
                <w:lang w:val="fr-FR"/>
              </w:rPr>
            </w:pPr>
          </w:p>
        </w:tc>
        <w:tc>
          <w:tcPr>
            <w:tcW w:w="8520" w:type="dxa"/>
            <w:gridSpan w:val="3"/>
          </w:tcPr>
          <w:p w14:paraId="76292056" w14:textId="77777777" w:rsidR="009B29D7" w:rsidRPr="00C87B1F" w:rsidRDefault="009B29D7" w:rsidP="00F960A1">
            <w:pPr>
              <w:spacing w:before="0"/>
              <w:rPr>
                <w:rFonts w:ascii="Arial" w:hAnsi="Arial" w:cs="Arial"/>
                <w:sz w:val="24"/>
                <w:lang w:val="fr-FR"/>
              </w:rPr>
            </w:pPr>
          </w:p>
          <w:p w14:paraId="22CA8672" w14:textId="77777777" w:rsidR="009B29D7" w:rsidRPr="00C87B1F" w:rsidRDefault="009B29D7" w:rsidP="00F960A1">
            <w:pPr>
              <w:spacing w:before="284"/>
              <w:rPr>
                <w:rFonts w:ascii="Arial" w:hAnsi="Arial" w:cs="Arial"/>
                <w:b/>
                <w:bCs/>
                <w:szCs w:val="22"/>
                <w:lang w:val="fr-FR"/>
              </w:rPr>
            </w:pPr>
            <w:r w:rsidRPr="00C87B1F">
              <w:rPr>
                <w:rFonts w:ascii="Arial" w:hAnsi="Arial" w:cs="Arial"/>
                <w:b/>
                <w:bCs/>
                <w:color w:val="808080"/>
                <w:spacing w:val="72"/>
                <w:lang w:val="fr-FR"/>
              </w:rPr>
              <w:t>Union internationale des télécommunications</w:t>
            </w:r>
          </w:p>
        </w:tc>
      </w:tr>
      <w:tr w:rsidR="009B29D7" w:rsidRPr="00C87B1F" w14:paraId="663A73BB" w14:textId="77777777" w:rsidTr="00F960A1">
        <w:trPr>
          <w:trHeight w:hRule="exact" w:val="992"/>
        </w:trPr>
        <w:tc>
          <w:tcPr>
            <w:tcW w:w="1428" w:type="dxa"/>
            <w:gridSpan w:val="2"/>
          </w:tcPr>
          <w:p w14:paraId="30F256E1" w14:textId="77777777" w:rsidR="009B29D7" w:rsidRPr="00C87B1F" w:rsidRDefault="009B29D7" w:rsidP="00F960A1">
            <w:pPr>
              <w:spacing w:before="0"/>
              <w:rPr>
                <w:sz w:val="24"/>
                <w:lang w:val="fr-FR"/>
              </w:rPr>
            </w:pPr>
          </w:p>
        </w:tc>
        <w:tc>
          <w:tcPr>
            <w:tcW w:w="8520" w:type="dxa"/>
            <w:gridSpan w:val="3"/>
          </w:tcPr>
          <w:p w14:paraId="5BFBCED4" w14:textId="77777777" w:rsidR="009B29D7" w:rsidRPr="00C87B1F" w:rsidRDefault="009B29D7" w:rsidP="00F960A1">
            <w:pPr>
              <w:rPr>
                <w:sz w:val="24"/>
                <w:lang w:val="fr-FR"/>
              </w:rPr>
            </w:pPr>
          </w:p>
        </w:tc>
      </w:tr>
      <w:tr w:rsidR="009B29D7" w:rsidRPr="00C87B1F" w14:paraId="63A4E8FC" w14:textId="77777777" w:rsidTr="00F960A1">
        <w:tblPrEx>
          <w:tblCellMar>
            <w:left w:w="85" w:type="dxa"/>
            <w:right w:w="85" w:type="dxa"/>
          </w:tblCellMar>
        </w:tblPrEx>
        <w:trPr>
          <w:gridBefore w:val="2"/>
          <w:wBefore w:w="1428" w:type="dxa"/>
        </w:trPr>
        <w:tc>
          <w:tcPr>
            <w:tcW w:w="2520" w:type="dxa"/>
          </w:tcPr>
          <w:p w14:paraId="6B76A92B" w14:textId="77777777" w:rsidR="009B29D7" w:rsidRPr="00C87B1F" w:rsidRDefault="009B29D7" w:rsidP="00F960A1">
            <w:pPr>
              <w:rPr>
                <w:b/>
                <w:sz w:val="18"/>
                <w:lang w:val="fr-FR"/>
              </w:rPr>
            </w:pPr>
            <w:bookmarkStart w:id="4" w:name="dnume" w:colFirst="1" w:colLast="1"/>
            <w:r w:rsidRPr="00C87B1F">
              <w:rPr>
                <w:rFonts w:ascii="Arial" w:hAnsi="Arial"/>
                <w:b/>
                <w:spacing w:val="40"/>
                <w:sz w:val="72"/>
                <w:lang w:val="fr-FR"/>
              </w:rPr>
              <w:t>UIT-T</w:t>
            </w:r>
          </w:p>
        </w:tc>
        <w:tc>
          <w:tcPr>
            <w:tcW w:w="6000" w:type="dxa"/>
            <w:gridSpan w:val="2"/>
          </w:tcPr>
          <w:p w14:paraId="4244C777" w14:textId="77777777" w:rsidR="009B29D7" w:rsidRPr="00C87B1F" w:rsidRDefault="009B29D7" w:rsidP="00F960A1">
            <w:pPr>
              <w:spacing w:before="240"/>
              <w:jc w:val="right"/>
              <w:rPr>
                <w:b/>
                <w:sz w:val="18"/>
                <w:lang w:val="fr-FR"/>
              </w:rPr>
            </w:pPr>
          </w:p>
        </w:tc>
      </w:tr>
      <w:tr w:rsidR="009B29D7" w:rsidRPr="00C87B1F" w14:paraId="30A2BFB9" w14:textId="77777777" w:rsidTr="00F960A1">
        <w:tblPrEx>
          <w:tblCellMar>
            <w:left w:w="85" w:type="dxa"/>
            <w:right w:w="85" w:type="dxa"/>
          </w:tblCellMar>
        </w:tblPrEx>
        <w:trPr>
          <w:gridBefore w:val="2"/>
          <w:wBefore w:w="1428" w:type="dxa"/>
          <w:trHeight w:val="974"/>
        </w:trPr>
        <w:tc>
          <w:tcPr>
            <w:tcW w:w="4549" w:type="dxa"/>
            <w:gridSpan w:val="2"/>
          </w:tcPr>
          <w:p w14:paraId="488AF3B2" w14:textId="77777777" w:rsidR="009B29D7" w:rsidRPr="00C87B1F" w:rsidRDefault="009B29D7" w:rsidP="00F960A1">
            <w:pPr>
              <w:jc w:val="left"/>
              <w:rPr>
                <w:b/>
                <w:sz w:val="20"/>
                <w:lang w:val="fr-FR"/>
              </w:rPr>
            </w:pPr>
            <w:bookmarkStart w:id="5" w:name="ddatee" w:colFirst="1" w:colLast="1"/>
            <w:bookmarkEnd w:id="4"/>
            <w:proofErr w:type="gramStart"/>
            <w:r w:rsidRPr="00C87B1F">
              <w:rPr>
                <w:rFonts w:ascii="Arial" w:hAnsi="Arial"/>
                <w:sz w:val="20"/>
                <w:lang w:val="fr-FR"/>
              </w:rPr>
              <w:t>SECTEUR  DE</w:t>
            </w:r>
            <w:proofErr w:type="gramEnd"/>
            <w:r w:rsidRPr="00C87B1F">
              <w:rPr>
                <w:rFonts w:ascii="Arial" w:hAnsi="Arial"/>
                <w:sz w:val="20"/>
                <w:lang w:val="fr-FR"/>
              </w:rPr>
              <w:t xml:space="preserve">  LA  NORMALISATION</w:t>
            </w:r>
            <w:r w:rsidRPr="00C87B1F">
              <w:rPr>
                <w:rFonts w:ascii="Arial" w:hAnsi="Arial" w:cs="Arial"/>
                <w:sz w:val="20"/>
                <w:lang w:val="fr-FR"/>
              </w:rPr>
              <w:br/>
            </w:r>
            <w:r w:rsidRPr="00C87B1F">
              <w:rPr>
                <w:rFonts w:ascii="Arial" w:hAnsi="Arial"/>
                <w:sz w:val="20"/>
                <w:lang w:val="fr-FR"/>
              </w:rPr>
              <w:t>DES  TÉLÉCOMMUNICATIONS</w:t>
            </w:r>
            <w:r w:rsidRPr="00C87B1F">
              <w:rPr>
                <w:rFonts w:ascii="Arial" w:hAnsi="Arial"/>
                <w:sz w:val="20"/>
                <w:lang w:val="fr-FR"/>
              </w:rPr>
              <w:br/>
              <w:t>DE  L'UIT</w:t>
            </w:r>
          </w:p>
        </w:tc>
        <w:tc>
          <w:tcPr>
            <w:tcW w:w="3971" w:type="dxa"/>
          </w:tcPr>
          <w:p w14:paraId="15B3DFF0" w14:textId="77777777" w:rsidR="009B29D7" w:rsidRPr="00C87B1F" w:rsidRDefault="009B29D7" w:rsidP="00F960A1">
            <w:pPr>
              <w:spacing w:before="0"/>
              <w:jc w:val="right"/>
              <w:rPr>
                <w:b/>
                <w:sz w:val="18"/>
                <w:lang w:val="fr-FR"/>
              </w:rPr>
            </w:pPr>
          </w:p>
        </w:tc>
      </w:tr>
      <w:tr w:rsidR="009B29D7" w:rsidRPr="00C87B1F" w14:paraId="00B3FC29" w14:textId="77777777" w:rsidTr="00F960A1">
        <w:trPr>
          <w:cantSplit/>
          <w:trHeight w:hRule="exact" w:val="3402"/>
        </w:trPr>
        <w:tc>
          <w:tcPr>
            <w:tcW w:w="1418" w:type="dxa"/>
          </w:tcPr>
          <w:p w14:paraId="6EA1E542" w14:textId="77777777" w:rsidR="009B29D7" w:rsidRPr="00C87B1F" w:rsidRDefault="009B29D7"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53E51900" w14:textId="77777777" w:rsidR="009B29D7" w:rsidRPr="00C87B1F" w:rsidRDefault="009B29D7" w:rsidP="00F960A1">
            <w:pPr>
              <w:tabs>
                <w:tab w:val="right" w:pos="9639"/>
              </w:tabs>
              <w:jc w:val="left"/>
              <w:rPr>
                <w:rFonts w:ascii="Arial" w:hAnsi="Arial"/>
                <w:sz w:val="32"/>
                <w:lang w:val="fr-FR"/>
              </w:rPr>
            </w:pPr>
            <w:r w:rsidRPr="00C87B1F">
              <w:rPr>
                <w:rFonts w:ascii="Arial" w:hAnsi="Arial"/>
                <w:sz w:val="32"/>
                <w:lang w:val="fr-FR"/>
              </w:rPr>
              <w:t>ASSEMBLÉE MONDIALE DE NORMALISATION DES TÉLÉCOMMUNICATIONS</w:t>
            </w:r>
            <w:r w:rsidRPr="00C87B1F">
              <w:rPr>
                <w:rFonts w:ascii="Arial" w:hAnsi="Arial"/>
                <w:sz w:val="32"/>
                <w:lang w:val="fr-FR"/>
              </w:rPr>
              <w:br/>
              <w:t>Genève, 1-9 mars 2022</w:t>
            </w:r>
          </w:p>
          <w:p w14:paraId="16FCF0F1" w14:textId="77777777" w:rsidR="009B29D7" w:rsidRPr="00C87B1F" w:rsidRDefault="009B29D7" w:rsidP="00F960A1">
            <w:pPr>
              <w:tabs>
                <w:tab w:val="right" w:pos="9639"/>
              </w:tabs>
              <w:jc w:val="left"/>
              <w:rPr>
                <w:rFonts w:ascii="Arial" w:hAnsi="Arial"/>
                <w:sz w:val="32"/>
                <w:lang w:val="fr-FR"/>
              </w:rPr>
            </w:pPr>
          </w:p>
        </w:tc>
      </w:tr>
      <w:tr w:rsidR="009B29D7" w:rsidRPr="00C87B1F" w14:paraId="50E3670F" w14:textId="77777777" w:rsidTr="00F960A1">
        <w:trPr>
          <w:cantSplit/>
          <w:trHeight w:hRule="exact" w:val="3912"/>
        </w:trPr>
        <w:tc>
          <w:tcPr>
            <w:tcW w:w="1418" w:type="dxa"/>
          </w:tcPr>
          <w:p w14:paraId="13DD63A0" w14:textId="77777777" w:rsidR="009B29D7" w:rsidRPr="00C87B1F" w:rsidRDefault="009B29D7" w:rsidP="00F960A1">
            <w:pPr>
              <w:tabs>
                <w:tab w:val="right" w:pos="9639"/>
              </w:tabs>
              <w:rPr>
                <w:rFonts w:ascii="Arial" w:hAnsi="Arial"/>
                <w:sz w:val="18"/>
                <w:lang w:val="fr-FR"/>
              </w:rPr>
            </w:pPr>
            <w:bookmarkStart w:id="7" w:name="c1tite" w:colFirst="1" w:colLast="1"/>
            <w:bookmarkEnd w:id="6"/>
          </w:p>
        </w:tc>
        <w:tc>
          <w:tcPr>
            <w:tcW w:w="8530" w:type="dxa"/>
            <w:gridSpan w:val="4"/>
          </w:tcPr>
          <w:p w14:paraId="2F43A37B" w14:textId="1661868B" w:rsidR="009B29D7" w:rsidRPr="00C87B1F" w:rsidRDefault="009B29D7" w:rsidP="009B29D7">
            <w:pPr>
              <w:tabs>
                <w:tab w:val="right" w:pos="9639"/>
              </w:tabs>
              <w:jc w:val="left"/>
              <w:rPr>
                <w:rFonts w:ascii="Arial" w:hAnsi="Arial"/>
                <w:b/>
                <w:bCs/>
                <w:sz w:val="36"/>
                <w:lang w:val="fr-FR"/>
              </w:rPr>
            </w:pPr>
            <w:r w:rsidRPr="00C87B1F">
              <w:rPr>
                <w:rFonts w:ascii="Arial" w:hAnsi="Arial"/>
                <w:b/>
                <w:bCs/>
                <w:sz w:val="36"/>
                <w:lang w:val="fr-FR"/>
              </w:rPr>
              <w:t>Résolution 20 – Procédures d'attribution et de gestion des ressources internationales de numérotage, de nommage, d'adressage et d'identification pour les télécommunications</w:t>
            </w:r>
          </w:p>
        </w:tc>
      </w:tr>
      <w:bookmarkEnd w:id="7"/>
      <w:tr w:rsidR="009B29D7" w:rsidRPr="00C87B1F" w14:paraId="14DBAF15" w14:textId="77777777" w:rsidTr="00F960A1">
        <w:trPr>
          <w:cantSplit/>
          <w:trHeight w:hRule="exact" w:val="1418"/>
        </w:trPr>
        <w:tc>
          <w:tcPr>
            <w:tcW w:w="1418" w:type="dxa"/>
          </w:tcPr>
          <w:p w14:paraId="3EF58394" w14:textId="77777777" w:rsidR="009B29D7" w:rsidRPr="00C87B1F" w:rsidRDefault="009B29D7" w:rsidP="00F960A1">
            <w:pPr>
              <w:tabs>
                <w:tab w:val="right" w:pos="9639"/>
              </w:tabs>
              <w:rPr>
                <w:rFonts w:ascii="Arial" w:hAnsi="Arial"/>
                <w:sz w:val="18"/>
                <w:lang w:val="fr-FR"/>
              </w:rPr>
            </w:pPr>
          </w:p>
        </w:tc>
        <w:tc>
          <w:tcPr>
            <w:tcW w:w="8530" w:type="dxa"/>
            <w:gridSpan w:val="4"/>
            <w:vAlign w:val="bottom"/>
          </w:tcPr>
          <w:p w14:paraId="6BC58DBE" w14:textId="77777777" w:rsidR="009B29D7" w:rsidRPr="00C87B1F" w:rsidRDefault="009B29D7" w:rsidP="00F960A1">
            <w:pPr>
              <w:tabs>
                <w:tab w:val="right" w:pos="9639"/>
              </w:tabs>
              <w:spacing w:before="0"/>
              <w:jc w:val="left"/>
              <w:rPr>
                <w:rFonts w:ascii="Arial" w:hAnsi="Arial"/>
                <w:sz w:val="18"/>
                <w:lang w:val="fr-FR"/>
              </w:rPr>
            </w:pPr>
            <w:bookmarkStart w:id="8" w:name="dnum2e"/>
            <w:bookmarkEnd w:id="8"/>
          </w:p>
        </w:tc>
      </w:tr>
    </w:tbl>
    <w:p w14:paraId="4AD87240" w14:textId="77777777" w:rsidR="009B29D7" w:rsidRPr="00C87B1F" w:rsidRDefault="009B29D7" w:rsidP="009B29D7">
      <w:pPr>
        <w:tabs>
          <w:tab w:val="right" w:pos="9639"/>
        </w:tabs>
        <w:spacing w:before="240"/>
        <w:jc w:val="right"/>
        <w:rPr>
          <w:sz w:val="20"/>
          <w:lang w:val="fr-FR"/>
        </w:rPr>
      </w:pPr>
      <w:bookmarkStart w:id="9" w:name="c2tope"/>
      <w:bookmarkEnd w:id="9"/>
      <w:r w:rsidRPr="00C87B1F">
        <w:rPr>
          <w:noProof/>
          <w:lang w:val="fr-FR"/>
        </w:rPr>
        <w:drawing>
          <wp:inline distT="0" distB="0" distL="0" distR="0" wp14:anchorId="1622B942" wp14:editId="4D29D49E">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CA3CEE0" w14:textId="77777777" w:rsidR="009B29D7" w:rsidRPr="00C87B1F" w:rsidRDefault="009B29D7" w:rsidP="009B29D7">
      <w:pPr>
        <w:spacing w:before="80"/>
        <w:jc w:val="left"/>
        <w:rPr>
          <w:i/>
          <w:sz w:val="20"/>
          <w:lang w:val="fr-FR"/>
        </w:rPr>
      </w:pPr>
    </w:p>
    <w:p w14:paraId="6344481B" w14:textId="77777777" w:rsidR="009B29D7" w:rsidRPr="00C87B1F" w:rsidRDefault="009B29D7" w:rsidP="009B29D7">
      <w:pPr>
        <w:jc w:val="left"/>
        <w:rPr>
          <w:sz w:val="24"/>
          <w:lang w:val="fr-FR"/>
        </w:rPr>
        <w:sectPr w:rsidR="009B29D7" w:rsidRPr="00C87B1F" w:rsidSect="009B29D7">
          <w:headerReference w:type="even" r:id="rId13"/>
          <w:headerReference w:type="default" r:id="rId14"/>
          <w:type w:val="nextColumn"/>
          <w:pgSz w:w="11907" w:h="16840" w:code="9"/>
          <w:pgMar w:top="1089" w:right="1089" w:bottom="284" w:left="1089" w:header="567" w:footer="284" w:gutter="0"/>
          <w:pgNumType w:start="1"/>
          <w:cols w:space="720"/>
        </w:sectPr>
      </w:pPr>
    </w:p>
    <w:p w14:paraId="4D8F20D4" w14:textId="77777777" w:rsidR="009B29D7" w:rsidRPr="00C87B1F" w:rsidRDefault="009B29D7" w:rsidP="009B29D7">
      <w:pPr>
        <w:spacing w:before="480"/>
        <w:jc w:val="center"/>
        <w:rPr>
          <w:lang w:val="fr-FR"/>
        </w:rPr>
      </w:pPr>
      <w:bookmarkStart w:id="10" w:name="irecnoe"/>
      <w:bookmarkEnd w:id="10"/>
      <w:r w:rsidRPr="00C87B1F">
        <w:rPr>
          <w:lang w:val="fr-FR"/>
        </w:rPr>
        <w:lastRenderedPageBreak/>
        <w:t>AVANT-PROPOS</w:t>
      </w:r>
    </w:p>
    <w:p w14:paraId="06EB49DF" w14:textId="77777777" w:rsidR="009B29D7" w:rsidRPr="00C87B1F" w:rsidRDefault="009B29D7" w:rsidP="009B29D7">
      <w:pPr>
        <w:rPr>
          <w:sz w:val="20"/>
          <w:lang w:val="fr-FR"/>
        </w:rPr>
      </w:pPr>
      <w:bookmarkStart w:id="11" w:name="iitextf"/>
      <w:r w:rsidRPr="00C87B1F">
        <w:rPr>
          <w:sz w:val="20"/>
          <w:lang w:val="fr-FR"/>
        </w:rPr>
        <w:t>L'Union internationale des télécommunications (UIT) est une institution spécialisée des Nations Unies dans le domaine des télé</w:t>
      </w:r>
      <w:r w:rsidRPr="00C87B1F">
        <w:rPr>
          <w:sz w:val="20"/>
          <w:lang w:val="fr-FR"/>
        </w:rPr>
        <w:softHyphen/>
        <w:t>com</w:t>
      </w:r>
      <w:r w:rsidRPr="00C87B1F">
        <w:rPr>
          <w:sz w:val="20"/>
          <w:lang w:val="fr-FR"/>
        </w:rPr>
        <w:softHyphen/>
        <w:t>mu</w:t>
      </w:r>
      <w:r w:rsidRPr="00C87B1F">
        <w:rPr>
          <w:sz w:val="20"/>
          <w:lang w:val="fr-FR"/>
        </w:rPr>
        <w:softHyphen/>
        <w:t>ni</w:t>
      </w:r>
      <w:r w:rsidRPr="00C87B1F">
        <w:rPr>
          <w:sz w:val="20"/>
          <w:lang w:val="fr-FR"/>
        </w:rPr>
        <w:softHyphen/>
        <w:t>ca</w:t>
      </w:r>
      <w:r w:rsidRPr="00C87B1F">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C87B1F">
        <w:rPr>
          <w:sz w:val="20"/>
          <w:lang w:val="fr-FR"/>
        </w:rPr>
        <w:softHyphen/>
        <w:t>com</w:t>
      </w:r>
      <w:r w:rsidRPr="00C87B1F">
        <w:rPr>
          <w:sz w:val="20"/>
          <w:lang w:val="fr-FR"/>
        </w:rPr>
        <w:softHyphen/>
        <w:t>mu</w:t>
      </w:r>
      <w:r w:rsidRPr="00C87B1F">
        <w:rPr>
          <w:sz w:val="20"/>
          <w:lang w:val="fr-FR"/>
        </w:rPr>
        <w:softHyphen/>
        <w:t>ni</w:t>
      </w:r>
      <w:r w:rsidRPr="00C87B1F">
        <w:rPr>
          <w:sz w:val="20"/>
          <w:lang w:val="fr-FR"/>
        </w:rPr>
        <w:softHyphen/>
        <w:t>ca</w:t>
      </w:r>
      <w:r w:rsidRPr="00C87B1F">
        <w:rPr>
          <w:sz w:val="20"/>
          <w:lang w:val="fr-FR"/>
        </w:rPr>
        <w:softHyphen/>
        <w:t>tions à l'échelle mondiale.</w:t>
      </w:r>
    </w:p>
    <w:p w14:paraId="0B7DB639" w14:textId="77777777" w:rsidR="009B29D7" w:rsidRPr="00C87B1F" w:rsidRDefault="009B29D7" w:rsidP="009B29D7">
      <w:pPr>
        <w:rPr>
          <w:sz w:val="20"/>
          <w:lang w:val="fr-FR"/>
        </w:rPr>
      </w:pPr>
      <w:r w:rsidRPr="00C87B1F">
        <w:rPr>
          <w:sz w:val="20"/>
          <w:lang w:val="fr-FR"/>
        </w:rPr>
        <w:t>L'Assemblée mondiale de normalisation des télécommunications (AMNT), qui se réunit tous les quatre ans, détermine les thèmes d'étude à traiter par les Commissions d'études de l'UIT</w:t>
      </w:r>
      <w:r w:rsidRPr="00C87B1F">
        <w:rPr>
          <w:sz w:val="20"/>
          <w:lang w:val="fr-FR"/>
        </w:rPr>
        <w:noBreakHyphen/>
        <w:t>T, lesquelles élaborent en retour des Recommandations sur ces thèmes.</w:t>
      </w:r>
    </w:p>
    <w:p w14:paraId="70C463BF" w14:textId="77777777" w:rsidR="009B29D7" w:rsidRPr="00C87B1F" w:rsidRDefault="009B29D7" w:rsidP="009B29D7">
      <w:pPr>
        <w:rPr>
          <w:sz w:val="20"/>
          <w:lang w:val="fr-FR"/>
        </w:rPr>
      </w:pPr>
      <w:r w:rsidRPr="00C87B1F">
        <w:rPr>
          <w:sz w:val="20"/>
          <w:lang w:val="fr-FR"/>
        </w:rPr>
        <w:t>L'approbation des Recommandations par les Membres de l'UIT</w:t>
      </w:r>
      <w:r w:rsidRPr="00C87B1F">
        <w:rPr>
          <w:sz w:val="20"/>
          <w:lang w:val="fr-FR"/>
        </w:rPr>
        <w:noBreakHyphen/>
        <w:t>T s'effectue selon la procédure définie dans la Résolution 1 de l'AMNT.</w:t>
      </w:r>
    </w:p>
    <w:p w14:paraId="39339BAF" w14:textId="77777777" w:rsidR="009B29D7" w:rsidRPr="00C87B1F" w:rsidRDefault="009B29D7" w:rsidP="009B29D7">
      <w:pPr>
        <w:rPr>
          <w:lang w:val="fr-FR"/>
        </w:rPr>
      </w:pPr>
      <w:r w:rsidRPr="00C87B1F">
        <w:rPr>
          <w:sz w:val="20"/>
          <w:lang w:val="fr-FR"/>
        </w:rPr>
        <w:t>Dans certains secteurs des technologies de l'information qui correspondent à la sphère de compétence de l'UIT-T, les normes nécessaires se préparent en collaboration avec l'ISO et la CEI.</w:t>
      </w:r>
    </w:p>
    <w:bookmarkEnd w:id="11"/>
    <w:p w14:paraId="0BE867D0" w14:textId="77777777" w:rsidR="009B29D7" w:rsidRPr="00C87B1F" w:rsidRDefault="009B29D7" w:rsidP="009B29D7">
      <w:pPr>
        <w:jc w:val="center"/>
        <w:rPr>
          <w:lang w:val="fr-FR"/>
        </w:rPr>
      </w:pPr>
    </w:p>
    <w:p w14:paraId="6DE344DE" w14:textId="77777777" w:rsidR="009B29D7" w:rsidRPr="00C87B1F" w:rsidRDefault="009B29D7" w:rsidP="009B29D7">
      <w:pPr>
        <w:jc w:val="center"/>
        <w:rPr>
          <w:lang w:val="fr-FR"/>
        </w:rPr>
      </w:pPr>
    </w:p>
    <w:p w14:paraId="42D5DC3A" w14:textId="77777777" w:rsidR="009B29D7" w:rsidRPr="00C87B1F" w:rsidRDefault="009B29D7" w:rsidP="009B29D7">
      <w:pPr>
        <w:jc w:val="center"/>
        <w:rPr>
          <w:lang w:val="fr-FR"/>
        </w:rPr>
      </w:pPr>
    </w:p>
    <w:p w14:paraId="216E8659" w14:textId="77777777" w:rsidR="009B29D7" w:rsidRPr="00C87B1F" w:rsidRDefault="009B29D7" w:rsidP="009B29D7">
      <w:pPr>
        <w:jc w:val="center"/>
        <w:rPr>
          <w:lang w:val="fr-FR"/>
        </w:rPr>
      </w:pPr>
    </w:p>
    <w:p w14:paraId="2824BFAD" w14:textId="77777777" w:rsidR="009B29D7" w:rsidRPr="00C87B1F" w:rsidRDefault="009B29D7" w:rsidP="009B29D7">
      <w:pPr>
        <w:jc w:val="center"/>
        <w:rPr>
          <w:lang w:val="fr-FR"/>
        </w:rPr>
      </w:pPr>
    </w:p>
    <w:p w14:paraId="24DA244B" w14:textId="77777777" w:rsidR="009B29D7" w:rsidRPr="00C87B1F" w:rsidRDefault="009B29D7" w:rsidP="009B29D7">
      <w:pPr>
        <w:jc w:val="center"/>
        <w:rPr>
          <w:lang w:val="fr-FR"/>
        </w:rPr>
      </w:pPr>
    </w:p>
    <w:p w14:paraId="5FAF1FEB" w14:textId="77777777" w:rsidR="009B29D7" w:rsidRPr="00C87B1F" w:rsidRDefault="009B29D7" w:rsidP="009B29D7">
      <w:pPr>
        <w:jc w:val="center"/>
        <w:rPr>
          <w:lang w:val="fr-FR"/>
        </w:rPr>
      </w:pPr>
    </w:p>
    <w:p w14:paraId="5C686FEF" w14:textId="77777777" w:rsidR="009B29D7" w:rsidRPr="00C87B1F" w:rsidRDefault="009B29D7" w:rsidP="009B29D7">
      <w:pPr>
        <w:jc w:val="center"/>
        <w:rPr>
          <w:lang w:val="fr-FR"/>
        </w:rPr>
      </w:pPr>
    </w:p>
    <w:p w14:paraId="2D9AFD71" w14:textId="77777777" w:rsidR="009B29D7" w:rsidRPr="00C87B1F" w:rsidRDefault="009B29D7" w:rsidP="009B29D7">
      <w:pPr>
        <w:jc w:val="center"/>
        <w:rPr>
          <w:lang w:val="fr-FR"/>
        </w:rPr>
      </w:pPr>
    </w:p>
    <w:p w14:paraId="2DF994D2" w14:textId="77777777" w:rsidR="009B29D7" w:rsidRPr="00C87B1F" w:rsidRDefault="009B29D7" w:rsidP="009B29D7">
      <w:pPr>
        <w:jc w:val="center"/>
        <w:rPr>
          <w:lang w:val="fr-FR"/>
        </w:rPr>
      </w:pPr>
    </w:p>
    <w:p w14:paraId="5ACEFBAD" w14:textId="77777777" w:rsidR="009B29D7" w:rsidRPr="00C87B1F" w:rsidRDefault="009B29D7" w:rsidP="009B29D7">
      <w:pPr>
        <w:jc w:val="center"/>
        <w:rPr>
          <w:lang w:val="fr-FR"/>
        </w:rPr>
      </w:pPr>
    </w:p>
    <w:p w14:paraId="519A0F50" w14:textId="77777777" w:rsidR="009B29D7" w:rsidRPr="00C87B1F" w:rsidRDefault="009B29D7" w:rsidP="009B29D7">
      <w:pPr>
        <w:jc w:val="center"/>
        <w:rPr>
          <w:lang w:val="fr-FR"/>
        </w:rPr>
      </w:pPr>
    </w:p>
    <w:p w14:paraId="1E4A4662" w14:textId="77777777" w:rsidR="009B29D7" w:rsidRPr="00C87B1F" w:rsidRDefault="009B29D7" w:rsidP="009B29D7">
      <w:pPr>
        <w:jc w:val="center"/>
        <w:rPr>
          <w:lang w:val="fr-FR"/>
        </w:rPr>
      </w:pPr>
    </w:p>
    <w:p w14:paraId="227ADAAC" w14:textId="77777777" w:rsidR="009B29D7" w:rsidRPr="00C87B1F" w:rsidRDefault="009B29D7" w:rsidP="009B29D7">
      <w:pPr>
        <w:jc w:val="center"/>
        <w:rPr>
          <w:lang w:val="fr-FR"/>
        </w:rPr>
      </w:pPr>
    </w:p>
    <w:p w14:paraId="5E23AD62" w14:textId="77777777" w:rsidR="009B29D7" w:rsidRPr="00C87B1F" w:rsidRDefault="009B29D7" w:rsidP="009B29D7">
      <w:pPr>
        <w:jc w:val="center"/>
        <w:rPr>
          <w:lang w:val="fr-FR"/>
        </w:rPr>
      </w:pPr>
    </w:p>
    <w:p w14:paraId="19BF6B96" w14:textId="77777777" w:rsidR="009B29D7" w:rsidRPr="00C87B1F" w:rsidRDefault="009B29D7" w:rsidP="009B29D7">
      <w:pPr>
        <w:jc w:val="center"/>
        <w:rPr>
          <w:lang w:val="fr-FR"/>
        </w:rPr>
      </w:pPr>
    </w:p>
    <w:p w14:paraId="5F8F0AF1" w14:textId="77777777" w:rsidR="009B29D7" w:rsidRPr="00C87B1F" w:rsidRDefault="009B29D7" w:rsidP="009B29D7">
      <w:pPr>
        <w:jc w:val="center"/>
        <w:rPr>
          <w:lang w:val="fr-FR"/>
        </w:rPr>
      </w:pPr>
    </w:p>
    <w:p w14:paraId="0DA3BB43" w14:textId="77777777" w:rsidR="009B29D7" w:rsidRPr="00C87B1F" w:rsidRDefault="009B29D7" w:rsidP="009B29D7">
      <w:pPr>
        <w:jc w:val="center"/>
        <w:rPr>
          <w:lang w:val="fr-FR"/>
        </w:rPr>
      </w:pPr>
    </w:p>
    <w:p w14:paraId="5D53A88B" w14:textId="77777777" w:rsidR="009B29D7" w:rsidRPr="00C87B1F" w:rsidRDefault="009B29D7" w:rsidP="009B29D7">
      <w:pPr>
        <w:jc w:val="center"/>
        <w:rPr>
          <w:lang w:val="fr-FR"/>
        </w:rPr>
      </w:pPr>
    </w:p>
    <w:p w14:paraId="6D75C6F7" w14:textId="77777777" w:rsidR="009B29D7" w:rsidRPr="00C87B1F" w:rsidRDefault="009B29D7" w:rsidP="009B29D7">
      <w:pPr>
        <w:jc w:val="center"/>
        <w:rPr>
          <w:lang w:val="fr-FR"/>
        </w:rPr>
      </w:pPr>
    </w:p>
    <w:p w14:paraId="5A5EF634" w14:textId="77777777" w:rsidR="009B29D7" w:rsidRPr="00C87B1F" w:rsidRDefault="009B29D7" w:rsidP="009B29D7">
      <w:pPr>
        <w:jc w:val="center"/>
        <w:rPr>
          <w:lang w:val="fr-FR"/>
        </w:rPr>
      </w:pPr>
    </w:p>
    <w:p w14:paraId="08180821" w14:textId="77777777" w:rsidR="009B29D7" w:rsidRPr="00C87B1F" w:rsidRDefault="009B29D7" w:rsidP="009B29D7">
      <w:pPr>
        <w:jc w:val="center"/>
        <w:rPr>
          <w:lang w:val="fr-FR"/>
        </w:rPr>
      </w:pPr>
    </w:p>
    <w:p w14:paraId="1CFC884C" w14:textId="77777777" w:rsidR="009B29D7" w:rsidRPr="00C87B1F" w:rsidRDefault="009B29D7" w:rsidP="009B29D7">
      <w:pPr>
        <w:jc w:val="center"/>
        <w:rPr>
          <w:lang w:val="fr-FR"/>
        </w:rPr>
      </w:pPr>
    </w:p>
    <w:p w14:paraId="1F0588D4" w14:textId="77777777" w:rsidR="009B29D7" w:rsidRPr="00C87B1F" w:rsidRDefault="009B29D7" w:rsidP="009B29D7">
      <w:pPr>
        <w:jc w:val="center"/>
        <w:rPr>
          <w:lang w:val="fr-FR"/>
        </w:rPr>
      </w:pPr>
    </w:p>
    <w:p w14:paraId="325EEFDA" w14:textId="77777777" w:rsidR="009B29D7" w:rsidRPr="00C87B1F" w:rsidRDefault="009B29D7" w:rsidP="009B29D7">
      <w:pPr>
        <w:jc w:val="center"/>
        <w:rPr>
          <w:sz w:val="20"/>
          <w:lang w:val="fr-FR"/>
        </w:rPr>
      </w:pPr>
      <w:proofErr w:type="gramStart"/>
      <w:r w:rsidRPr="00C87B1F">
        <w:rPr>
          <w:rFonts w:ascii="Symbol" w:hAnsi="Symbol"/>
          <w:sz w:val="20"/>
          <w:lang w:val="fr-FR"/>
        </w:rPr>
        <w:t></w:t>
      </w:r>
      <w:r w:rsidRPr="00C87B1F">
        <w:rPr>
          <w:sz w:val="20"/>
          <w:lang w:val="fr-FR"/>
        </w:rPr>
        <w:t>  UIT</w:t>
      </w:r>
      <w:proofErr w:type="gramEnd"/>
      <w:r w:rsidRPr="00C87B1F">
        <w:rPr>
          <w:sz w:val="20"/>
          <w:lang w:val="fr-FR"/>
        </w:rPr>
        <w:t>  </w:t>
      </w:r>
      <w:bookmarkStart w:id="12" w:name="iiannef"/>
      <w:bookmarkEnd w:id="12"/>
      <w:r w:rsidRPr="00C87B1F">
        <w:rPr>
          <w:sz w:val="20"/>
          <w:lang w:val="fr-FR"/>
        </w:rPr>
        <w:t>2022</w:t>
      </w:r>
    </w:p>
    <w:p w14:paraId="7F2458EE" w14:textId="77777777" w:rsidR="009B29D7" w:rsidRPr="00C87B1F" w:rsidRDefault="009B29D7" w:rsidP="009B29D7">
      <w:pPr>
        <w:rPr>
          <w:lang w:val="fr-FR"/>
        </w:rPr>
      </w:pPr>
      <w:r w:rsidRPr="00C87B1F">
        <w:rPr>
          <w:sz w:val="20"/>
          <w:lang w:val="fr-FR"/>
        </w:rPr>
        <w:t>Tous droits réservés. Aucune partie de cette publication ne peut être reproduite, par quelque procédé que ce soit, sans l'accord écrit préalable de l'UIT.</w:t>
      </w:r>
    </w:p>
    <w:p w14:paraId="3074A164" w14:textId="77777777" w:rsidR="009B29D7" w:rsidRPr="00C87B1F" w:rsidRDefault="009B29D7" w:rsidP="009B29D7">
      <w:pPr>
        <w:pStyle w:val="ResNo"/>
        <w:rPr>
          <w:lang w:val="fr-FR"/>
        </w:rPr>
        <w:sectPr w:rsidR="009B29D7" w:rsidRPr="00C87B1F"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40A78D85" w14:textId="77777777" w:rsidR="00B16C1B" w:rsidRPr="00C87B1F" w:rsidRDefault="00500734" w:rsidP="00B16C1B">
      <w:pPr>
        <w:pStyle w:val="ResNo"/>
        <w:rPr>
          <w:lang w:val="fr-FR"/>
        </w:rPr>
      </w:pPr>
      <w:r w:rsidRPr="00C87B1F">
        <w:rPr>
          <w:lang w:val="fr-FR"/>
        </w:rPr>
        <w:lastRenderedPageBreak/>
        <w:t xml:space="preserve">RÉSOLUTION </w:t>
      </w:r>
      <w:r w:rsidRPr="00C87B1F">
        <w:rPr>
          <w:rStyle w:val="href"/>
          <w:lang w:val="fr-FR"/>
        </w:rPr>
        <w:t xml:space="preserve">20 </w:t>
      </w:r>
      <w:r w:rsidRPr="00C87B1F">
        <w:rPr>
          <w:lang w:val="fr-FR"/>
        </w:rPr>
        <w:t>(R</w:t>
      </w:r>
      <w:r w:rsidRPr="00C87B1F">
        <w:rPr>
          <w:caps w:val="0"/>
          <w:lang w:val="fr-FR"/>
        </w:rPr>
        <w:t>év</w:t>
      </w:r>
      <w:r w:rsidRPr="00C87B1F">
        <w:rPr>
          <w:lang w:val="fr-FR"/>
        </w:rPr>
        <w:t>. G</w:t>
      </w:r>
      <w:r w:rsidRPr="00C87B1F">
        <w:rPr>
          <w:caps w:val="0"/>
          <w:lang w:val="fr-FR"/>
        </w:rPr>
        <w:t>enève</w:t>
      </w:r>
      <w:r w:rsidRPr="00C87B1F">
        <w:rPr>
          <w:lang w:val="fr-FR"/>
        </w:rPr>
        <w:t>, 2022)</w:t>
      </w:r>
      <w:bookmarkEnd w:id="0"/>
      <w:bookmarkEnd w:id="1"/>
      <w:bookmarkEnd w:id="2"/>
      <w:bookmarkEnd w:id="3"/>
    </w:p>
    <w:p w14:paraId="76ECF89C" w14:textId="77777777" w:rsidR="00B16C1B" w:rsidRPr="00C87B1F" w:rsidRDefault="00500734" w:rsidP="00B16C1B">
      <w:pPr>
        <w:pStyle w:val="Restitle"/>
        <w:rPr>
          <w:lang w:val="fr-FR"/>
        </w:rPr>
      </w:pPr>
      <w:bookmarkStart w:id="13" w:name="_Toc475539560"/>
      <w:bookmarkStart w:id="14" w:name="_Toc475542268"/>
      <w:bookmarkStart w:id="15" w:name="_Toc476211368"/>
      <w:bookmarkStart w:id="16" w:name="_Toc476213309"/>
      <w:r w:rsidRPr="00C87B1F">
        <w:rPr>
          <w:lang w:val="fr-FR"/>
        </w:rPr>
        <w:t>Proc</w:t>
      </w:r>
      <w:r w:rsidRPr="00C87B1F">
        <w:rPr>
          <w:lang w:val="fr-FR"/>
        </w:rPr>
        <w:t>é</w:t>
      </w:r>
      <w:r w:rsidRPr="00C87B1F">
        <w:rPr>
          <w:lang w:val="fr-FR"/>
        </w:rPr>
        <w:t>dures d'attribution et de gestion des ressources internationales</w:t>
      </w:r>
      <w:r w:rsidRPr="00C87B1F">
        <w:rPr>
          <w:lang w:val="fr-FR"/>
        </w:rPr>
        <w:br/>
        <w:t>de num</w:t>
      </w:r>
      <w:r w:rsidRPr="00C87B1F">
        <w:rPr>
          <w:lang w:val="fr-FR"/>
        </w:rPr>
        <w:t>é</w:t>
      </w:r>
      <w:r w:rsidRPr="00C87B1F">
        <w:rPr>
          <w:lang w:val="fr-FR"/>
        </w:rPr>
        <w:t xml:space="preserve">rotage, de nommage, d'adressage et d'identification </w:t>
      </w:r>
      <w:r w:rsidRPr="00C87B1F">
        <w:rPr>
          <w:lang w:val="fr-FR"/>
        </w:rPr>
        <w:br/>
        <w:t>pour les t</w:t>
      </w:r>
      <w:r w:rsidRPr="00C87B1F">
        <w:rPr>
          <w:lang w:val="fr-FR"/>
        </w:rPr>
        <w:t>é</w:t>
      </w:r>
      <w:r w:rsidRPr="00C87B1F">
        <w:rPr>
          <w:lang w:val="fr-FR"/>
        </w:rPr>
        <w:t>l</w:t>
      </w:r>
      <w:r w:rsidRPr="00C87B1F">
        <w:rPr>
          <w:lang w:val="fr-FR"/>
        </w:rPr>
        <w:t>é</w:t>
      </w:r>
      <w:r w:rsidRPr="00C87B1F">
        <w:rPr>
          <w:lang w:val="fr-FR"/>
        </w:rPr>
        <w:t>communications</w:t>
      </w:r>
      <w:bookmarkEnd w:id="13"/>
      <w:bookmarkEnd w:id="14"/>
      <w:bookmarkEnd w:id="15"/>
      <w:bookmarkEnd w:id="16"/>
    </w:p>
    <w:p w14:paraId="7C0A7BF1" w14:textId="77777777" w:rsidR="00B16C1B" w:rsidRPr="00C87B1F" w:rsidRDefault="00500734" w:rsidP="00B16C1B">
      <w:pPr>
        <w:pStyle w:val="Resref"/>
      </w:pPr>
      <w:r w:rsidRPr="00C87B1F">
        <w:t xml:space="preserve">(Helsinki, </w:t>
      </w:r>
      <w:proofErr w:type="gramStart"/>
      <w:r w:rsidRPr="00C87B1F">
        <w:t>1993;</w:t>
      </w:r>
      <w:proofErr w:type="gramEnd"/>
      <w:r w:rsidRPr="00C87B1F">
        <w:t xml:space="preserve"> Genève, 1996; Montréal, 2000; Florianópolis, 2004; </w:t>
      </w:r>
      <w:r w:rsidRPr="00C87B1F">
        <w:br/>
        <w:t>Johannesburg, 2008; Dubaï, 2012; Hammamet, 2016; Genève, 2022)</w:t>
      </w:r>
    </w:p>
    <w:p w14:paraId="3941D5BF" w14:textId="77777777" w:rsidR="00B16C1B" w:rsidRPr="00C87B1F" w:rsidRDefault="00500734" w:rsidP="00B16C1B">
      <w:pPr>
        <w:pStyle w:val="Normalaftertitle00"/>
        <w:rPr>
          <w:lang w:val="fr-FR"/>
        </w:rPr>
      </w:pPr>
      <w:r w:rsidRPr="00C87B1F">
        <w:rPr>
          <w:lang w:val="fr-FR"/>
        </w:rPr>
        <w:t>L'Assemblée mondiale de normalisation des télécommunications (Genève, 2022),</w:t>
      </w:r>
    </w:p>
    <w:p w14:paraId="2DB1CA58" w14:textId="77777777" w:rsidR="00B16C1B" w:rsidRPr="00C87B1F" w:rsidRDefault="00500734" w:rsidP="00B16C1B">
      <w:pPr>
        <w:pStyle w:val="Call"/>
        <w:rPr>
          <w:lang w:val="fr-FR"/>
        </w:rPr>
      </w:pPr>
      <w:proofErr w:type="gramStart"/>
      <w:r w:rsidRPr="00C87B1F">
        <w:rPr>
          <w:lang w:val="fr-FR"/>
        </w:rPr>
        <w:t>reconnaissant</w:t>
      </w:r>
      <w:proofErr w:type="gramEnd"/>
    </w:p>
    <w:p w14:paraId="18AC5029" w14:textId="77777777" w:rsidR="00B16C1B" w:rsidRPr="00C87B1F" w:rsidRDefault="00500734" w:rsidP="00B16C1B">
      <w:pPr>
        <w:rPr>
          <w:lang w:val="fr-FR"/>
        </w:rPr>
      </w:pPr>
      <w:r w:rsidRPr="00C87B1F">
        <w:rPr>
          <w:i/>
          <w:iCs/>
          <w:lang w:val="fr-FR"/>
        </w:rPr>
        <w:t>a)</w:t>
      </w:r>
      <w:r w:rsidRPr="00C87B1F">
        <w:rPr>
          <w:lang w:val="fr-FR"/>
        </w:rPr>
        <w:tab/>
        <w:t xml:space="preserve">les règles pertinentes du Règlement des télécommunications internationales (RTI) (Dubaï, 2012) concernant l'intégrité et l'utilisation des ressources de numérotage et de l'identification de la ligne </w:t>
      </w:r>
      <w:proofErr w:type="gramStart"/>
      <w:r w:rsidRPr="00C87B1F">
        <w:rPr>
          <w:lang w:val="fr-FR"/>
        </w:rPr>
        <w:t>appelante;</w:t>
      </w:r>
      <w:proofErr w:type="gramEnd"/>
    </w:p>
    <w:p w14:paraId="258C0598" w14:textId="77777777" w:rsidR="00B16C1B" w:rsidRPr="00C87B1F" w:rsidRDefault="00500734" w:rsidP="00B16C1B">
      <w:pPr>
        <w:rPr>
          <w:lang w:val="fr-FR"/>
        </w:rPr>
      </w:pPr>
      <w:r w:rsidRPr="00C87B1F">
        <w:rPr>
          <w:i/>
          <w:iCs/>
          <w:lang w:val="fr-FR"/>
        </w:rPr>
        <w:t>b)</w:t>
      </w:r>
      <w:r w:rsidRPr="00C87B1F">
        <w:rPr>
          <w:lang w:val="fr-FR"/>
        </w:rPr>
        <w:tab/>
        <w:t>les instructions données dans les Résolutions adoptées par les Conférences de plénipotentiaires concernant la stabilité des plans de numérotage et d'identification, en particulier les plans UIT</w:t>
      </w:r>
      <w:r w:rsidRPr="00C87B1F">
        <w:rPr>
          <w:lang w:val="fr-FR"/>
        </w:rPr>
        <w:noBreakHyphen/>
        <w:t>T E.164 et UIT</w:t>
      </w:r>
      <w:r w:rsidRPr="00C87B1F">
        <w:rPr>
          <w:lang w:val="fr-FR"/>
        </w:rPr>
        <w:noBreakHyphen/>
        <w:t xml:space="preserve">T E.212, et notamment dans la Résolution 133 (Rév. Dubaï, 2018), par laquelle la Conférence de plénipotentiaires a décidé de charger le Secrétaire général et les directeurs des </w:t>
      </w:r>
      <w:proofErr w:type="gramStart"/>
      <w:r w:rsidRPr="00C87B1F">
        <w:rPr>
          <w:lang w:val="fr-FR"/>
        </w:rPr>
        <w:t>Bureaux:</w:t>
      </w:r>
      <w:proofErr w:type="gramEnd"/>
      <w:r w:rsidRPr="00C87B1F">
        <w:rPr>
          <w:lang w:val="fr-FR"/>
        </w:rPr>
        <w:t xml:space="preserve"> "de prendre les mesures nécessaires pour assurer la souveraineté des États Membres de l'UIT en ce qui concerne les plans de numérotage prévus dans la Recommandation UIT-T E.164, quelle que soit l'application dans laquelle ces plans sont utilisés";</w:t>
      </w:r>
    </w:p>
    <w:p w14:paraId="07BF63C0" w14:textId="52A5DB4C" w:rsidR="00B16C1B" w:rsidRPr="00C87B1F" w:rsidRDefault="00500734" w:rsidP="00B16C1B">
      <w:pPr>
        <w:rPr>
          <w:lang w:val="fr-FR"/>
        </w:rPr>
      </w:pPr>
      <w:r w:rsidRPr="00C87B1F">
        <w:rPr>
          <w:i/>
          <w:iCs/>
          <w:lang w:val="fr-FR"/>
        </w:rPr>
        <w:t>c)</w:t>
      </w:r>
      <w:r w:rsidRPr="00C87B1F">
        <w:rPr>
          <w:i/>
          <w:iCs/>
          <w:lang w:val="fr-FR"/>
        </w:rPr>
        <w:tab/>
      </w:r>
      <w:r w:rsidRPr="00C87B1F">
        <w:rPr>
          <w:lang w:val="fr-FR"/>
        </w:rPr>
        <w:t xml:space="preserve">la Résolution 49 (Rév. Hammamet, 2016) de </w:t>
      </w:r>
      <w:r w:rsidR="00452430" w:rsidRPr="00C87B1F">
        <w:rPr>
          <w:lang w:val="fr-FR"/>
        </w:rPr>
        <w:t>l</w:t>
      </w:r>
      <w:r w:rsidR="00452430" w:rsidRPr="00C87B1F">
        <w:rPr>
          <w:color w:val="000000"/>
          <w:lang w:val="fr-FR"/>
        </w:rPr>
        <w:t>'Assemblée mondiale de normalisation des télécommunications</w:t>
      </w:r>
      <w:r w:rsidR="00452430" w:rsidRPr="00C87B1F" w:rsidDel="00452430">
        <w:rPr>
          <w:lang w:val="fr-FR"/>
        </w:rPr>
        <w:t xml:space="preserve"> </w:t>
      </w:r>
      <w:r w:rsidRPr="00C87B1F">
        <w:rPr>
          <w:lang w:val="fr-FR"/>
        </w:rPr>
        <w:t xml:space="preserve">relative au système </w:t>
      </w:r>
      <w:proofErr w:type="gramStart"/>
      <w:r w:rsidRPr="00C87B1F">
        <w:rPr>
          <w:lang w:val="fr-FR"/>
        </w:rPr>
        <w:t>UNUM;</w:t>
      </w:r>
      <w:proofErr w:type="gramEnd"/>
    </w:p>
    <w:p w14:paraId="546273D2" w14:textId="77777777" w:rsidR="00B16C1B" w:rsidRPr="00C87B1F" w:rsidRDefault="00500734" w:rsidP="00B16C1B">
      <w:pPr>
        <w:rPr>
          <w:lang w:val="fr-FR"/>
        </w:rPr>
      </w:pPr>
      <w:r w:rsidRPr="00C87B1F">
        <w:rPr>
          <w:i/>
          <w:iCs/>
          <w:lang w:val="fr-FR"/>
        </w:rPr>
        <w:t>d)</w:t>
      </w:r>
      <w:r w:rsidRPr="00C87B1F">
        <w:rPr>
          <w:lang w:val="fr-FR"/>
        </w:rPr>
        <w:tab/>
        <w:t xml:space="preserve">que les ressources internationales de numérotage, de nommage, d'adressage et d'identification (NNAI) pour les télécommunications et les indicatifs connexes sont essentiels pour assurer l'interopérabilité à l'échelle </w:t>
      </w:r>
      <w:proofErr w:type="gramStart"/>
      <w:r w:rsidRPr="00C87B1F">
        <w:rPr>
          <w:lang w:val="fr-FR"/>
        </w:rPr>
        <w:t>mondiale;</w:t>
      </w:r>
      <w:proofErr w:type="gramEnd"/>
    </w:p>
    <w:p w14:paraId="60022C88" w14:textId="69878DA3" w:rsidR="00B16C1B" w:rsidRPr="00C87B1F" w:rsidRDefault="00500734" w:rsidP="00B16C1B">
      <w:pPr>
        <w:rPr>
          <w:lang w:val="fr-FR"/>
        </w:rPr>
      </w:pPr>
      <w:r w:rsidRPr="00C87B1F">
        <w:rPr>
          <w:i/>
          <w:iCs/>
          <w:lang w:val="fr-FR"/>
        </w:rPr>
        <w:t>e)</w:t>
      </w:r>
      <w:r w:rsidRPr="00C87B1F">
        <w:rPr>
          <w:lang w:val="fr-FR"/>
        </w:rPr>
        <w:tab/>
        <w:t>les incidences des télécommunications/technologies de l'information et de la communication</w:t>
      </w:r>
      <w:r w:rsidR="00E720C6" w:rsidRPr="00C87B1F">
        <w:rPr>
          <w:lang w:val="fr-FR"/>
        </w:rPr>
        <w:t xml:space="preserve"> </w:t>
      </w:r>
      <w:r w:rsidRPr="00C87B1F">
        <w:rPr>
          <w:lang w:val="fr-FR"/>
        </w:rPr>
        <w:t>(TIC) nouvelles et émergentes sur l'attribution et la gestion des ressources internationales NNAI pour les télécommunications,</w:t>
      </w:r>
    </w:p>
    <w:p w14:paraId="4E73572A" w14:textId="77777777" w:rsidR="00B16C1B" w:rsidRPr="00C87B1F" w:rsidRDefault="00500734" w:rsidP="00B16C1B">
      <w:pPr>
        <w:pStyle w:val="Call"/>
        <w:rPr>
          <w:lang w:val="fr-FR"/>
        </w:rPr>
      </w:pPr>
      <w:proofErr w:type="gramStart"/>
      <w:r w:rsidRPr="00C87B1F">
        <w:rPr>
          <w:lang w:val="fr-FR"/>
        </w:rPr>
        <w:t>notant</w:t>
      </w:r>
      <w:proofErr w:type="gramEnd"/>
    </w:p>
    <w:p w14:paraId="39E3C677" w14:textId="3F79D1CC" w:rsidR="00B16C1B" w:rsidRPr="00C87B1F" w:rsidRDefault="00500734" w:rsidP="00B16C1B">
      <w:pPr>
        <w:rPr>
          <w:lang w:val="fr-FR"/>
        </w:rPr>
      </w:pPr>
      <w:r w:rsidRPr="00C87B1F">
        <w:rPr>
          <w:i/>
          <w:iCs/>
          <w:lang w:val="fr-FR"/>
        </w:rPr>
        <w:t>a)</w:t>
      </w:r>
      <w:r w:rsidRPr="00C87B1F">
        <w:rPr>
          <w:lang w:val="fr-FR"/>
        </w:rPr>
        <w:tab/>
        <w:t xml:space="preserve">que les procédures régissant l'attribution et la gestion des ressources internationales NNAI pour les télécommunications et des indicatifs connexes (par exemple, nouveaux indicatifs de pays pour la téléphonie, codes télex de destination, codes de réseau/zone de signalisation, indicatifs de pays pour la transmission de données, indicatifs de pays pour les services mobiles, identification), y compris le système ENUM, font l'objet des Recommandations pertinentes des séries UIT-T E, </w:t>
      </w:r>
      <w:r w:rsidR="00F409B0" w:rsidRPr="00C87B1F">
        <w:rPr>
          <w:lang w:val="fr-FR"/>
        </w:rPr>
        <w:t>UIT</w:t>
      </w:r>
      <w:r w:rsidR="00017A3E" w:rsidRPr="00C87B1F">
        <w:rPr>
          <w:lang w:val="fr-FR"/>
        </w:rPr>
        <w:noBreakHyphen/>
      </w:r>
      <w:r w:rsidR="00F409B0" w:rsidRPr="00C87B1F">
        <w:rPr>
          <w:lang w:val="fr-FR"/>
        </w:rPr>
        <w:t>T</w:t>
      </w:r>
      <w:r w:rsidR="005F03CE" w:rsidRPr="00C87B1F">
        <w:rPr>
          <w:lang w:val="fr-FR"/>
        </w:rPr>
        <w:t xml:space="preserve"> </w:t>
      </w:r>
      <w:r w:rsidRPr="00C87B1F">
        <w:rPr>
          <w:lang w:val="fr-FR"/>
        </w:rPr>
        <w:t xml:space="preserve">F, </w:t>
      </w:r>
      <w:r w:rsidR="00F409B0" w:rsidRPr="00C87B1F">
        <w:rPr>
          <w:lang w:val="fr-FR"/>
        </w:rPr>
        <w:t>UIT-T</w:t>
      </w:r>
      <w:r w:rsidR="005F03CE" w:rsidRPr="00C87B1F">
        <w:rPr>
          <w:lang w:val="fr-FR"/>
        </w:rPr>
        <w:t xml:space="preserve"> </w:t>
      </w:r>
      <w:r w:rsidRPr="00C87B1F">
        <w:rPr>
          <w:lang w:val="fr-FR"/>
        </w:rPr>
        <w:t xml:space="preserve">Q, </w:t>
      </w:r>
      <w:r w:rsidR="00F409B0" w:rsidRPr="00C87B1F">
        <w:rPr>
          <w:lang w:val="fr-FR"/>
        </w:rPr>
        <w:t>UIT-T</w:t>
      </w:r>
      <w:r w:rsidR="005F03CE" w:rsidRPr="00C87B1F">
        <w:rPr>
          <w:lang w:val="fr-FR"/>
        </w:rPr>
        <w:t xml:space="preserve"> </w:t>
      </w:r>
      <w:r w:rsidRPr="00C87B1F">
        <w:rPr>
          <w:lang w:val="fr-FR"/>
        </w:rPr>
        <w:t xml:space="preserve">X et </w:t>
      </w:r>
      <w:r w:rsidR="00F409B0" w:rsidRPr="00C87B1F">
        <w:rPr>
          <w:lang w:val="fr-FR"/>
        </w:rPr>
        <w:t>UIT-T</w:t>
      </w:r>
      <w:r w:rsidR="005F03CE" w:rsidRPr="00C87B1F">
        <w:rPr>
          <w:lang w:val="fr-FR"/>
        </w:rPr>
        <w:t xml:space="preserve"> </w:t>
      </w:r>
      <w:r w:rsidRPr="00C87B1F">
        <w:rPr>
          <w:lang w:val="fr-FR"/>
        </w:rPr>
        <w:t>Y;</w:t>
      </w:r>
    </w:p>
    <w:p w14:paraId="7241A5C2" w14:textId="77777777" w:rsidR="00B16C1B" w:rsidRPr="00C87B1F" w:rsidRDefault="00500734" w:rsidP="00B16C1B">
      <w:pPr>
        <w:rPr>
          <w:lang w:val="fr-FR"/>
        </w:rPr>
      </w:pPr>
      <w:r w:rsidRPr="00C87B1F">
        <w:rPr>
          <w:i/>
          <w:iCs/>
          <w:lang w:val="fr-FR"/>
        </w:rPr>
        <w:t>b)</w:t>
      </w:r>
      <w:r w:rsidRPr="00C87B1F">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C87B1F">
        <w:rPr>
          <w:lang w:val="fr-FR"/>
        </w:rPr>
        <w:noBreakHyphen/>
        <w:t>T</w:t>
      </w:r>
      <w:proofErr w:type="gramStart"/>
      <w:r w:rsidRPr="00C87B1F">
        <w:rPr>
          <w:lang w:val="fr-FR"/>
        </w:rPr>
        <w:t>);</w:t>
      </w:r>
      <w:proofErr w:type="gramEnd"/>
    </w:p>
    <w:p w14:paraId="5B80FE35" w14:textId="3F724924" w:rsidR="00B16C1B" w:rsidRPr="00C87B1F" w:rsidRDefault="00500734" w:rsidP="00B16C1B">
      <w:pPr>
        <w:rPr>
          <w:lang w:val="fr-FR"/>
        </w:rPr>
      </w:pPr>
      <w:r w:rsidRPr="00C87B1F">
        <w:rPr>
          <w:i/>
          <w:iCs/>
          <w:lang w:val="fr-FR"/>
        </w:rPr>
        <w:t>c)</w:t>
      </w:r>
      <w:r w:rsidRPr="00C87B1F">
        <w:rPr>
          <w:lang w:val="fr-FR"/>
        </w:rPr>
        <w:tab/>
        <w:t xml:space="preserve">le déploiement des télécommunications/TIC actuelles et futures, y compris les réseaux utilisant le protocole Internet (IP) pour </w:t>
      </w:r>
      <w:r w:rsidR="00D23F30" w:rsidRPr="00C87B1F">
        <w:rPr>
          <w:lang w:val="fr-FR"/>
        </w:rPr>
        <w:t>fournir</w:t>
      </w:r>
      <w:r w:rsidRPr="00C87B1F">
        <w:rPr>
          <w:lang w:val="fr-FR"/>
        </w:rPr>
        <w:t xml:space="preserve"> des services nouveaux et innovants pouvant nécessiter des ressources </w:t>
      </w:r>
      <w:proofErr w:type="gramStart"/>
      <w:r w:rsidRPr="00C87B1F">
        <w:rPr>
          <w:lang w:val="fr-FR"/>
        </w:rPr>
        <w:t>NNAI;</w:t>
      </w:r>
      <w:proofErr w:type="gramEnd"/>
    </w:p>
    <w:p w14:paraId="7EA52578" w14:textId="77777777" w:rsidR="00B16C1B" w:rsidRPr="00C87B1F" w:rsidRDefault="00500734" w:rsidP="00B16C1B">
      <w:pPr>
        <w:rPr>
          <w:lang w:val="fr-FR"/>
        </w:rPr>
      </w:pPr>
      <w:r w:rsidRPr="00C87B1F">
        <w:rPr>
          <w:i/>
          <w:iCs/>
          <w:lang w:val="fr-FR"/>
        </w:rPr>
        <w:t>d)</w:t>
      </w:r>
      <w:r w:rsidRPr="00C87B1F">
        <w:rPr>
          <w:lang w:val="fr-FR"/>
        </w:rPr>
        <w:tab/>
        <w:t xml:space="preserve">que plusieurs ressources internationales NNAI pour les télécommunications sont mises au point et actualisées par des commissions d'études de l'UIT-T et sont largement </w:t>
      </w:r>
      <w:proofErr w:type="gramStart"/>
      <w:r w:rsidRPr="00C87B1F">
        <w:rPr>
          <w:lang w:val="fr-FR"/>
        </w:rPr>
        <w:t>utilisées;</w:t>
      </w:r>
      <w:proofErr w:type="gramEnd"/>
    </w:p>
    <w:p w14:paraId="1F2E5324" w14:textId="77777777" w:rsidR="00983BCE" w:rsidRPr="00C87B1F" w:rsidRDefault="00983BCE" w:rsidP="00B16C1B">
      <w:pPr>
        <w:rPr>
          <w:i/>
          <w:iCs/>
          <w:lang w:val="fr-FR"/>
        </w:rPr>
      </w:pPr>
      <w:r w:rsidRPr="00C87B1F">
        <w:rPr>
          <w:i/>
          <w:iCs/>
          <w:lang w:val="fr-FR"/>
        </w:rPr>
        <w:br w:type="page"/>
      </w:r>
    </w:p>
    <w:p w14:paraId="209B7437" w14:textId="015118BA" w:rsidR="00B16C1B" w:rsidRPr="00C87B1F" w:rsidRDefault="00500734" w:rsidP="00B16C1B">
      <w:pPr>
        <w:rPr>
          <w:lang w:val="fr-FR"/>
        </w:rPr>
      </w:pPr>
      <w:r w:rsidRPr="00C87B1F">
        <w:rPr>
          <w:i/>
          <w:iCs/>
          <w:lang w:val="fr-FR"/>
        </w:rPr>
        <w:lastRenderedPageBreak/>
        <w:t>e)</w:t>
      </w:r>
      <w:r w:rsidRPr="00C87B1F">
        <w:rPr>
          <w:lang w:val="fr-FR"/>
        </w:rPr>
        <w:tab/>
        <w:t>que les autorités nationales responsables de l'attribution des ressources NNAI, y compris</w:t>
      </w:r>
      <w:r w:rsidR="00452430" w:rsidRPr="00C87B1F">
        <w:rPr>
          <w:lang w:val="fr-FR"/>
        </w:rPr>
        <w:t xml:space="preserve"> celles qui sont traitées dans</w:t>
      </w:r>
      <w:r w:rsidRPr="00C87B1F">
        <w:rPr>
          <w:lang w:val="fr-FR"/>
        </w:rPr>
        <w:t xml:space="preserve"> la Recommandation UIT-T Q.708 sur les spécifications du Système de signalisation N° 7 – Sous</w:t>
      </w:r>
      <w:r w:rsidRPr="00C87B1F">
        <w:rPr>
          <w:lang w:val="fr-FR"/>
        </w:rPr>
        <w:noBreakHyphen/>
        <w:t>système Transport de messages (SSTM), la Recommandation UIT-T E.164, sur le plan de numérotage des télécommunications publiques internationales</w:t>
      </w:r>
      <w:r w:rsidR="00D23F30" w:rsidRPr="00C87B1F">
        <w:rPr>
          <w:lang w:val="fr-FR"/>
        </w:rPr>
        <w:t>,</w:t>
      </w:r>
      <w:r w:rsidRPr="00C87B1F">
        <w:rPr>
          <w:lang w:val="fr-FR"/>
        </w:rPr>
        <w:t xml:space="preserve"> et la Recommandation UIT-T E.212</w:t>
      </w:r>
      <w:r w:rsidR="00D23F30" w:rsidRPr="00C87B1F">
        <w:rPr>
          <w:lang w:val="fr-FR"/>
        </w:rPr>
        <w:t>,</w:t>
      </w:r>
      <w:r w:rsidRPr="00C87B1F">
        <w:rPr>
          <w:lang w:val="fr-FR"/>
        </w:rPr>
        <w:t xml:space="preserve"> sur le plan d'identification international pour les réseaux publics et les abonnements</w:t>
      </w:r>
      <w:r w:rsidR="00D23F30" w:rsidRPr="00C87B1F">
        <w:rPr>
          <w:lang w:val="fr-FR"/>
        </w:rPr>
        <w:t>,</w:t>
      </w:r>
      <w:r w:rsidR="0098271F" w:rsidRPr="00C87B1F">
        <w:rPr>
          <w:lang w:val="fr-FR"/>
        </w:rPr>
        <w:t xml:space="preserve"> </w:t>
      </w:r>
      <w:r w:rsidRPr="00C87B1F">
        <w:rPr>
          <w:lang w:val="fr-FR"/>
        </w:rPr>
        <w:t>participent normalement aux travaux de la Commission d'études 2 de l'UIT-T</w:t>
      </w:r>
      <w:r w:rsidR="005F03CE" w:rsidRPr="00C87B1F">
        <w:rPr>
          <w:lang w:val="fr-FR"/>
        </w:rPr>
        <w:t>;</w:t>
      </w:r>
    </w:p>
    <w:p w14:paraId="06C63322" w14:textId="77777777" w:rsidR="00B16C1B" w:rsidRPr="00C87B1F" w:rsidRDefault="00500734" w:rsidP="00B16C1B">
      <w:pPr>
        <w:rPr>
          <w:lang w:val="fr-FR"/>
        </w:rPr>
      </w:pPr>
      <w:r w:rsidRPr="00C87B1F">
        <w:rPr>
          <w:i/>
          <w:iCs/>
          <w:lang w:val="fr-FR"/>
        </w:rPr>
        <w:t>f)</w:t>
      </w:r>
      <w:r w:rsidRPr="00C87B1F">
        <w:rPr>
          <w:lang w:val="fr-FR"/>
        </w:rPr>
        <w:tab/>
        <w:t xml:space="preserve">qu'il est dans l'intérêt commun des États Membres de l'UIT et des Membres de Secteur que les Recommandations et les lignes directrices applicables aux ressources internationales NNAI pour les </w:t>
      </w:r>
      <w:proofErr w:type="gramStart"/>
      <w:r w:rsidRPr="00C87B1F">
        <w:rPr>
          <w:lang w:val="fr-FR"/>
        </w:rPr>
        <w:t>télécommunications:</w:t>
      </w:r>
      <w:proofErr w:type="gramEnd"/>
    </w:p>
    <w:p w14:paraId="7CA447F6" w14:textId="77777777" w:rsidR="00B16C1B" w:rsidRPr="00C87B1F" w:rsidRDefault="00500734" w:rsidP="00B16C1B">
      <w:pPr>
        <w:pStyle w:val="enumlev1"/>
        <w:rPr>
          <w:lang w:val="fr-FR"/>
        </w:rPr>
      </w:pPr>
      <w:r w:rsidRPr="00C87B1F">
        <w:rPr>
          <w:lang w:val="fr-FR"/>
        </w:rPr>
        <w:t>i)</w:t>
      </w:r>
      <w:r w:rsidRPr="00C87B1F">
        <w:rPr>
          <w:lang w:val="fr-FR"/>
        </w:rPr>
        <w:tab/>
        <w:t xml:space="preserve">soient connues, reconnues et appliquées par </w:t>
      </w:r>
      <w:proofErr w:type="gramStart"/>
      <w:r w:rsidRPr="00C87B1F">
        <w:rPr>
          <w:lang w:val="fr-FR"/>
        </w:rPr>
        <w:t>tous;</w:t>
      </w:r>
      <w:proofErr w:type="gramEnd"/>
    </w:p>
    <w:p w14:paraId="45699371" w14:textId="77777777" w:rsidR="00B16C1B" w:rsidRPr="00C87B1F" w:rsidRDefault="00500734" w:rsidP="00B16C1B">
      <w:pPr>
        <w:pStyle w:val="enumlev1"/>
        <w:rPr>
          <w:lang w:val="fr-FR"/>
        </w:rPr>
      </w:pPr>
      <w:r w:rsidRPr="00C87B1F">
        <w:rPr>
          <w:lang w:val="fr-FR"/>
        </w:rPr>
        <w:t>ii)</w:t>
      </w:r>
      <w:r w:rsidRPr="00C87B1F">
        <w:rPr>
          <w:lang w:val="fr-FR"/>
        </w:rPr>
        <w:tab/>
        <w:t xml:space="preserve">soient utilisées pour instaurer et entretenir la confiance de tous dans les services </w:t>
      </w:r>
      <w:proofErr w:type="gramStart"/>
      <w:r w:rsidRPr="00C87B1F">
        <w:rPr>
          <w:lang w:val="fr-FR"/>
        </w:rPr>
        <w:t>concernés;</w:t>
      </w:r>
      <w:proofErr w:type="gramEnd"/>
    </w:p>
    <w:p w14:paraId="7E4A1F41" w14:textId="77777777" w:rsidR="00B16C1B" w:rsidRPr="00C87B1F" w:rsidRDefault="00500734" w:rsidP="00B16C1B">
      <w:pPr>
        <w:pStyle w:val="enumlev1"/>
        <w:rPr>
          <w:lang w:val="fr-FR"/>
        </w:rPr>
      </w:pPr>
      <w:r w:rsidRPr="00C87B1F">
        <w:rPr>
          <w:lang w:val="fr-FR"/>
        </w:rPr>
        <w:t>iii)</w:t>
      </w:r>
      <w:r w:rsidRPr="00C87B1F">
        <w:rPr>
          <w:lang w:val="fr-FR"/>
        </w:rPr>
        <w:tab/>
        <w:t xml:space="preserve">traitent de la prévention de l'utilisation abusive de ces </w:t>
      </w:r>
      <w:proofErr w:type="gramStart"/>
      <w:r w:rsidRPr="00C87B1F">
        <w:rPr>
          <w:lang w:val="fr-FR"/>
        </w:rPr>
        <w:t>ressources;</w:t>
      </w:r>
      <w:proofErr w:type="gramEnd"/>
    </w:p>
    <w:p w14:paraId="7C9DEC35" w14:textId="77777777" w:rsidR="00B16C1B" w:rsidRPr="00C87B1F" w:rsidRDefault="00500734" w:rsidP="00B16C1B">
      <w:pPr>
        <w:pStyle w:val="enumlev1"/>
        <w:rPr>
          <w:lang w:val="fr-FR"/>
        </w:rPr>
      </w:pPr>
      <w:r w:rsidRPr="00C87B1F">
        <w:rPr>
          <w:lang w:val="fr-FR"/>
        </w:rPr>
        <w:t>iv)</w:t>
      </w:r>
      <w:r w:rsidRPr="00C87B1F">
        <w:rPr>
          <w:lang w:val="fr-FR"/>
        </w:rPr>
        <w:tab/>
        <w:t xml:space="preserve">soient organisées et administrées d'une façon cohérente et </w:t>
      </w:r>
      <w:proofErr w:type="gramStart"/>
      <w:r w:rsidRPr="00C87B1F">
        <w:rPr>
          <w:lang w:val="fr-FR"/>
        </w:rPr>
        <w:t>appropriée;</w:t>
      </w:r>
      <w:proofErr w:type="gramEnd"/>
    </w:p>
    <w:p w14:paraId="517BA729" w14:textId="2E7D3D53" w:rsidR="00B16C1B" w:rsidRPr="00C87B1F" w:rsidRDefault="00500734" w:rsidP="00B16C1B">
      <w:pPr>
        <w:rPr>
          <w:lang w:val="fr-FR"/>
        </w:rPr>
      </w:pPr>
      <w:r w:rsidRPr="00C87B1F">
        <w:rPr>
          <w:i/>
          <w:iCs/>
          <w:lang w:val="fr-FR"/>
        </w:rPr>
        <w:t>g)</w:t>
      </w:r>
      <w:r w:rsidRPr="00C87B1F">
        <w:rPr>
          <w:lang w:val="fr-FR"/>
        </w:rPr>
        <w:tab/>
        <w:t>les articles 14 et 15 de la Convention de l'UIT</w:t>
      </w:r>
      <w:r w:rsidR="006837C5" w:rsidRPr="00C87B1F">
        <w:rPr>
          <w:lang w:val="fr-FR"/>
        </w:rPr>
        <w:t>,</w:t>
      </w:r>
      <w:r w:rsidRPr="00C87B1F">
        <w:rPr>
          <w:lang w:val="fr-FR"/>
        </w:rPr>
        <w:t xml:space="preserve"> relatifs respectivement aux activités des commissions d'études de l'UIT-T et aux responsabilités du Directeur du Bureau de la normalisation des télécommunications (TSB</w:t>
      </w:r>
      <w:proofErr w:type="gramStart"/>
      <w:r w:rsidRPr="00C87B1F">
        <w:rPr>
          <w:lang w:val="fr-FR"/>
        </w:rPr>
        <w:t>);</w:t>
      </w:r>
      <w:proofErr w:type="gramEnd"/>
    </w:p>
    <w:p w14:paraId="0FC8BE1E" w14:textId="57C72F3A" w:rsidR="00B16C1B" w:rsidRPr="00C87B1F" w:rsidRDefault="00500734" w:rsidP="00B16C1B">
      <w:pPr>
        <w:rPr>
          <w:lang w:val="fr-FR"/>
        </w:rPr>
      </w:pPr>
      <w:r w:rsidRPr="00C87B1F">
        <w:rPr>
          <w:i/>
          <w:iCs/>
          <w:lang w:val="fr-FR"/>
        </w:rPr>
        <w:t>h)</w:t>
      </w:r>
      <w:r w:rsidRPr="00C87B1F">
        <w:rPr>
          <w:lang w:val="fr-FR"/>
        </w:rPr>
        <w:tab/>
        <w:t>que le numéro 196 de la Convention dispose que "Dans l'accomplissement de leurs tâches,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 Elles mènent leurs travaux en tenant dûment compte du travail des organisations nationales et régionales et des autres organisations internationales de normalisation et coopèrent avec elles, eu égard à la nécessité pour l'Union de garder sa position prééminente en matière de normalisation mondiale des télécommunications",</w:t>
      </w:r>
    </w:p>
    <w:p w14:paraId="23323FCB" w14:textId="77777777" w:rsidR="00B16C1B" w:rsidRPr="00C87B1F" w:rsidRDefault="00500734" w:rsidP="00B16C1B">
      <w:pPr>
        <w:pStyle w:val="Call"/>
        <w:rPr>
          <w:lang w:val="fr-FR"/>
        </w:rPr>
      </w:pPr>
      <w:proofErr w:type="gramStart"/>
      <w:r w:rsidRPr="00C87B1F">
        <w:rPr>
          <w:lang w:val="fr-FR"/>
        </w:rPr>
        <w:t>considérant</w:t>
      </w:r>
      <w:proofErr w:type="gramEnd"/>
    </w:p>
    <w:p w14:paraId="59C61FBE" w14:textId="77777777" w:rsidR="00B16C1B" w:rsidRPr="00C87B1F" w:rsidRDefault="00500734" w:rsidP="00B16C1B">
      <w:pPr>
        <w:rPr>
          <w:lang w:val="fr-FR"/>
        </w:rPr>
      </w:pPr>
      <w:r w:rsidRPr="00C87B1F">
        <w:rPr>
          <w:i/>
          <w:iCs/>
          <w:lang w:val="fr-FR"/>
        </w:rPr>
        <w:t>a)</w:t>
      </w:r>
      <w:r w:rsidRPr="00C87B1F">
        <w:rPr>
          <w:lang w:val="fr-FR"/>
        </w:rPr>
        <w:tab/>
        <w:t xml:space="preserve">que l'attribution des ressources internationales NNAI pour les télécommunications relève du Directeur du TSB et des administrations </w:t>
      </w:r>
      <w:proofErr w:type="gramStart"/>
      <w:r w:rsidRPr="00C87B1F">
        <w:rPr>
          <w:lang w:val="fr-FR"/>
        </w:rPr>
        <w:t>compétentes;</w:t>
      </w:r>
      <w:proofErr w:type="gramEnd"/>
    </w:p>
    <w:p w14:paraId="20BCA36D" w14:textId="77777777" w:rsidR="00B16C1B" w:rsidRPr="00C87B1F" w:rsidRDefault="00500734" w:rsidP="00B16C1B">
      <w:pPr>
        <w:rPr>
          <w:lang w:val="fr-FR"/>
        </w:rPr>
      </w:pPr>
      <w:r w:rsidRPr="00C87B1F">
        <w:rPr>
          <w:i/>
          <w:iCs/>
          <w:lang w:val="fr-FR"/>
        </w:rPr>
        <w:t>b)</w:t>
      </w:r>
      <w:r w:rsidRPr="00C87B1F">
        <w:rPr>
          <w:lang w:val="fr-FR"/>
        </w:rPr>
        <w:tab/>
        <w:t xml:space="preserve">l'évolution des services de télécommunication et les exigences pour que les ressources NNAI permettent de fournir des technologies de télécommunication/TIC nouvelles et des services </w:t>
      </w:r>
      <w:proofErr w:type="gramStart"/>
      <w:r w:rsidRPr="00C87B1F">
        <w:rPr>
          <w:lang w:val="fr-FR"/>
        </w:rPr>
        <w:t>innovants;</w:t>
      </w:r>
      <w:proofErr w:type="gramEnd"/>
    </w:p>
    <w:p w14:paraId="7FD6598C" w14:textId="77777777" w:rsidR="00B16C1B" w:rsidRPr="00C87B1F" w:rsidRDefault="00500734" w:rsidP="00B16C1B">
      <w:pPr>
        <w:rPr>
          <w:lang w:val="fr-FR"/>
        </w:rPr>
      </w:pPr>
      <w:r w:rsidRPr="00C87B1F">
        <w:rPr>
          <w:i/>
          <w:iCs/>
          <w:lang w:val="fr-FR"/>
        </w:rPr>
        <w:t>c)</w:t>
      </w:r>
      <w:r w:rsidRPr="00C87B1F">
        <w:rPr>
          <w:lang w:val="fr-FR"/>
        </w:rPr>
        <w:tab/>
        <w:t>la coopération en cours entre l'UIT-T et plusieurs consortiums et entités de normalisation concernant l'attribution et la gestion des ressources internationales NNAI pour les télécommunications, comme indiqué dans le Supplément 3 aux Recommandations UIT-T de la série A,</w:t>
      </w:r>
    </w:p>
    <w:p w14:paraId="5D363E9A" w14:textId="77777777" w:rsidR="00B16C1B" w:rsidRPr="00C87B1F" w:rsidRDefault="00500734" w:rsidP="00B16C1B">
      <w:pPr>
        <w:pStyle w:val="Call"/>
        <w:rPr>
          <w:lang w:val="fr-FR"/>
        </w:rPr>
      </w:pPr>
      <w:proofErr w:type="gramStart"/>
      <w:r w:rsidRPr="00C87B1F">
        <w:rPr>
          <w:lang w:val="fr-FR"/>
        </w:rPr>
        <w:t>décide</w:t>
      </w:r>
      <w:proofErr w:type="gramEnd"/>
      <w:r w:rsidRPr="00C87B1F">
        <w:rPr>
          <w:lang w:val="fr-FR"/>
        </w:rPr>
        <w:t xml:space="preserve"> de charger</w:t>
      </w:r>
    </w:p>
    <w:p w14:paraId="050C85C5" w14:textId="77777777" w:rsidR="00B16C1B" w:rsidRPr="00C87B1F" w:rsidRDefault="00500734" w:rsidP="00B16C1B">
      <w:pPr>
        <w:rPr>
          <w:lang w:val="fr-FR"/>
        </w:rPr>
      </w:pPr>
      <w:r w:rsidRPr="00C87B1F">
        <w:rPr>
          <w:lang w:val="fr-FR"/>
        </w:rPr>
        <w:t>1</w:t>
      </w:r>
      <w:r w:rsidRPr="00C87B1F">
        <w:rPr>
          <w:lang w:val="fr-FR"/>
        </w:rPr>
        <w:tab/>
        <w:t xml:space="preserve">le Directeur du TSB, avant d'attribuer, de réattribuer ou de retirer des ressources internationales NNAI pour les télécommunications, de </w:t>
      </w:r>
      <w:proofErr w:type="gramStart"/>
      <w:r w:rsidRPr="00C87B1F">
        <w:rPr>
          <w:lang w:val="fr-FR"/>
        </w:rPr>
        <w:t>consulter:</w:t>
      </w:r>
      <w:proofErr w:type="gramEnd"/>
    </w:p>
    <w:p w14:paraId="4C7498A7" w14:textId="77777777" w:rsidR="00B16C1B" w:rsidRPr="00C87B1F" w:rsidRDefault="00500734" w:rsidP="00B16C1B">
      <w:pPr>
        <w:pStyle w:val="enumlev1"/>
        <w:rPr>
          <w:lang w:val="fr-FR"/>
        </w:rPr>
      </w:pPr>
      <w:r w:rsidRPr="00C87B1F">
        <w:rPr>
          <w:lang w:val="fr-FR"/>
        </w:rPr>
        <w:t>i)</w:t>
      </w:r>
      <w:r w:rsidRPr="00C87B1F">
        <w:rPr>
          <w:lang w:val="fr-FR"/>
        </w:rPr>
        <w:tab/>
        <w:t xml:space="preserve">le Président de la Commission d'études 2, en liaison avec les présidents des autres commissions d'études compétentes ou, si nécessaire, le représentant délégué par le président, afin de répondre aux exigences indiquées dans les Recommandations UIT-T </w:t>
      </w:r>
      <w:proofErr w:type="gramStart"/>
      <w:r w:rsidRPr="00C87B1F">
        <w:rPr>
          <w:lang w:val="fr-FR"/>
        </w:rPr>
        <w:t>pertinentes;</w:t>
      </w:r>
      <w:proofErr w:type="gramEnd"/>
      <w:r w:rsidRPr="00C87B1F">
        <w:rPr>
          <w:lang w:val="fr-FR"/>
        </w:rPr>
        <w:t xml:space="preserve"> et</w:t>
      </w:r>
    </w:p>
    <w:p w14:paraId="1C16B731" w14:textId="77777777" w:rsidR="00B16C1B" w:rsidRPr="00C87B1F" w:rsidRDefault="00500734" w:rsidP="00B16C1B">
      <w:pPr>
        <w:pStyle w:val="enumlev1"/>
        <w:rPr>
          <w:lang w:val="fr-FR"/>
        </w:rPr>
      </w:pPr>
      <w:r w:rsidRPr="00C87B1F">
        <w:rPr>
          <w:lang w:val="fr-FR"/>
        </w:rPr>
        <w:t>ii)</w:t>
      </w:r>
      <w:r w:rsidRPr="00C87B1F">
        <w:rPr>
          <w:lang w:val="fr-FR"/>
        </w:rPr>
        <w:tab/>
        <w:t xml:space="preserve">la ou les administrations </w:t>
      </w:r>
      <w:proofErr w:type="gramStart"/>
      <w:r w:rsidRPr="00C87B1F">
        <w:rPr>
          <w:lang w:val="fr-FR"/>
        </w:rPr>
        <w:t>compétentes;</w:t>
      </w:r>
      <w:proofErr w:type="gramEnd"/>
      <w:r w:rsidRPr="00C87B1F">
        <w:rPr>
          <w:lang w:val="fr-FR"/>
        </w:rPr>
        <w:t xml:space="preserve"> et/ou</w:t>
      </w:r>
    </w:p>
    <w:p w14:paraId="2E7E9D5B" w14:textId="77777777" w:rsidR="00B16C1B" w:rsidRPr="00C87B1F" w:rsidRDefault="00500734" w:rsidP="00B16C1B">
      <w:pPr>
        <w:pStyle w:val="enumlev1"/>
        <w:rPr>
          <w:lang w:val="fr-FR"/>
        </w:rPr>
      </w:pPr>
      <w:r w:rsidRPr="00C87B1F">
        <w:rPr>
          <w:lang w:val="fr-FR"/>
        </w:rPr>
        <w:t>iii)</w:t>
      </w:r>
      <w:r w:rsidRPr="00C87B1F">
        <w:rPr>
          <w:lang w:val="fr-FR"/>
        </w:rPr>
        <w:tab/>
        <w:t xml:space="preserve">le requérant ou le bénéficiaire autorisé lorsqu'une communication directe avec le TSB est nécessaire afin de s'acquitter de ses </w:t>
      </w:r>
      <w:proofErr w:type="gramStart"/>
      <w:r w:rsidRPr="00C87B1F">
        <w:rPr>
          <w:lang w:val="fr-FR"/>
        </w:rPr>
        <w:t>responsabilités;</w:t>
      </w:r>
      <w:proofErr w:type="gramEnd"/>
    </w:p>
    <w:p w14:paraId="4A677BA2" w14:textId="680439BF" w:rsidR="00B16C1B" w:rsidRPr="00C87B1F" w:rsidRDefault="00500734" w:rsidP="00B16C1B">
      <w:pPr>
        <w:rPr>
          <w:lang w:val="fr-FR"/>
        </w:rPr>
      </w:pPr>
      <w:r w:rsidRPr="00C87B1F">
        <w:rPr>
          <w:lang w:val="fr-FR"/>
        </w:rPr>
        <w:t>Dans ses délibérations et consultations, le Directeur tiendra compte des principes généraux régissant l'attribution des ressources NNAI ainsi que des dispositions des Recommandations pertinentes des séries UIT</w:t>
      </w:r>
      <w:r w:rsidRPr="00C87B1F">
        <w:rPr>
          <w:lang w:val="fr-FR"/>
        </w:rPr>
        <w:noBreakHyphen/>
        <w:t xml:space="preserve">T E, </w:t>
      </w:r>
      <w:r w:rsidR="00011CD2" w:rsidRPr="00C87B1F">
        <w:rPr>
          <w:lang w:val="fr-FR"/>
        </w:rPr>
        <w:t>UIT</w:t>
      </w:r>
      <w:r w:rsidR="00011CD2" w:rsidRPr="00C87B1F">
        <w:rPr>
          <w:lang w:val="fr-FR"/>
        </w:rPr>
        <w:noBreakHyphen/>
        <w:t>T</w:t>
      </w:r>
      <w:r w:rsidRPr="00C87B1F">
        <w:rPr>
          <w:lang w:val="fr-FR"/>
        </w:rPr>
        <w:t xml:space="preserve"> F, </w:t>
      </w:r>
      <w:r w:rsidR="00011CD2" w:rsidRPr="00C87B1F">
        <w:rPr>
          <w:lang w:val="fr-FR"/>
        </w:rPr>
        <w:t>UIT</w:t>
      </w:r>
      <w:r w:rsidR="00011CD2" w:rsidRPr="00C87B1F">
        <w:rPr>
          <w:lang w:val="fr-FR"/>
        </w:rPr>
        <w:noBreakHyphen/>
        <w:t xml:space="preserve">T </w:t>
      </w:r>
      <w:r w:rsidRPr="00C87B1F">
        <w:rPr>
          <w:lang w:val="fr-FR"/>
        </w:rPr>
        <w:t xml:space="preserve">Q, </w:t>
      </w:r>
      <w:r w:rsidR="00011CD2" w:rsidRPr="00C87B1F">
        <w:rPr>
          <w:lang w:val="fr-FR"/>
        </w:rPr>
        <w:t>UIT</w:t>
      </w:r>
      <w:r w:rsidR="00011CD2" w:rsidRPr="00C87B1F">
        <w:rPr>
          <w:lang w:val="fr-FR"/>
        </w:rPr>
        <w:noBreakHyphen/>
        <w:t xml:space="preserve">T </w:t>
      </w:r>
      <w:r w:rsidRPr="00C87B1F">
        <w:rPr>
          <w:lang w:val="fr-FR"/>
        </w:rPr>
        <w:t xml:space="preserve">X et </w:t>
      </w:r>
      <w:r w:rsidR="00011CD2" w:rsidRPr="00C87B1F">
        <w:rPr>
          <w:lang w:val="fr-FR"/>
        </w:rPr>
        <w:t>UIT</w:t>
      </w:r>
      <w:r w:rsidR="00011CD2" w:rsidRPr="00C87B1F">
        <w:rPr>
          <w:lang w:val="fr-FR"/>
        </w:rPr>
        <w:noBreakHyphen/>
        <w:t xml:space="preserve">T </w:t>
      </w:r>
      <w:r w:rsidRPr="00C87B1F">
        <w:rPr>
          <w:lang w:val="fr-FR"/>
        </w:rPr>
        <w:t xml:space="preserve">Y et de celles qui seront adoptées </w:t>
      </w:r>
      <w:proofErr w:type="gramStart"/>
      <w:r w:rsidRPr="00C87B1F">
        <w:rPr>
          <w:lang w:val="fr-FR"/>
        </w:rPr>
        <w:t>ultérieurement;</w:t>
      </w:r>
      <w:proofErr w:type="gramEnd"/>
    </w:p>
    <w:p w14:paraId="25962D37" w14:textId="77777777" w:rsidR="00983BCE" w:rsidRPr="00C87B1F" w:rsidRDefault="00983BCE" w:rsidP="00B16C1B">
      <w:pPr>
        <w:rPr>
          <w:lang w:val="fr-FR"/>
        </w:rPr>
      </w:pPr>
      <w:r w:rsidRPr="00C87B1F">
        <w:rPr>
          <w:lang w:val="fr-FR"/>
        </w:rPr>
        <w:br w:type="page"/>
      </w:r>
    </w:p>
    <w:p w14:paraId="7EFECBF1" w14:textId="496AE9BF" w:rsidR="00B16C1B" w:rsidRPr="00C87B1F" w:rsidRDefault="00500734" w:rsidP="00B16C1B">
      <w:pPr>
        <w:rPr>
          <w:lang w:val="fr-FR"/>
        </w:rPr>
      </w:pPr>
      <w:r w:rsidRPr="00C87B1F">
        <w:rPr>
          <w:lang w:val="fr-FR"/>
        </w:rPr>
        <w:lastRenderedPageBreak/>
        <w:t>2</w:t>
      </w:r>
      <w:r w:rsidRPr="00C87B1F">
        <w:rPr>
          <w:lang w:val="fr-FR"/>
        </w:rPr>
        <w:tab/>
        <w:t>la Commission d'études 2, en liaison avec les autres commissions d'études compétentes, de fournir au Directeur du TSB des avis sur les aspects techniques, fonctionnels et opérationnels de l'attribution, de la réattribution ou du retrait de ressources internationales NNAI pour les télécommunications conformément aux Recommandations pertinentes, compte tenu des résultats des études en cours, des renseignements et des conseils en cas de plaintes pour utilisation abusive de ressources internationales NNAI pour les télécommunications;</w:t>
      </w:r>
    </w:p>
    <w:p w14:paraId="0FE2D171" w14:textId="77777777" w:rsidR="00B16C1B" w:rsidRPr="00C87B1F" w:rsidRDefault="00500734" w:rsidP="00B16C1B">
      <w:pPr>
        <w:rPr>
          <w:lang w:val="fr-FR"/>
        </w:rPr>
      </w:pPr>
      <w:r w:rsidRPr="00C87B1F">
        <w:rPr>
          <w:lang w:val="fr-FR"/>
        </w:rPr>
        <w:t>3</w:t>
      </w:r>
      <w:r w:rsidRPr="00C87B1F">
        <w:rPr>
          <w:lang w:val="fr-FR"/>
        </w:rPr>
        <w:tab/>
        <w:t xml:space="preserve">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w:t>
      </w:r>
      <w:proofErr w:type="gramStart"/>
      <w:r w:rsidRPr="00C87B1F">
        <w:rPr>
          <w:lang w:val="fr-FR"/>
        </w:rPr>
        <w:t>l'UIT;</w:t>
      </w:r>
      <w:proofErr w:type="gramEnd"/>
    </w:p>
    <w:p w14:paraId="0B899D51" w14:textId="77777777" w:rsidR="00B16C1B" w:rsidRPr="00C87B1F" w:rsidRDefault="00500734" w:rsidP="00B16C1B">
      <w:pPr>
        <w:rPr>
          <w:lang w:val="fr-FR"/>
        </w:rPr>
      </w:pPr>
      <w:r w:rsidRPr="00C87B1F">
        <w:rPr>
          <w:lang w:val="fr-FR"/>
        </w:rPr>
        <w:t>4</w:t>
      </w:r>
      <w:r w:rsidRPr="00C87B1F">
        <w:rPr>
          <w:lang w:val="fr-FR"/>
        </w:rPr>
        <w:tab/>
        <w:t xml:space="preserve">le Directeur du TSB d'encourager toutes les commissions d'études concernées à étudier les incidences des télécommunications/TIC nouvelles et émergentes sur l'attribution et la gestion des ressources internationales NNAI pour les </w:t>
      </w:r>
      <w:proofErr w:type="gramStart"/>
      <w:r w:rsidRPr="00C87B1F">
        <w:rPr>
          <w:lang w:val="fr-FR"/>
        </w:rPr>
        <w:t>télécommunications;</w:t>
      </w:r>
      <w:proofErr w:type="gramEnd"/>
    </w:p>
    <w:p w14:paraId="3964E7EB" w14:textId="77777777" w:rsidR="00B16C1B" w:rsidRPr="00C87B1F" w:rsidRDefault="00500734" w:rsidP="00B16C1B">
      <w:pPr>
        <w:rPr>
          <w:lang w:val="fr-FR"/>
        </w:rPr>
      </w:pPr>
      <w:r w:rsidRPr="00C87B1F">
        <w:rPr>
          <w:lang w:val="fr-FR"/>
        </w:rPr>
        <w:t>5</w:t>
      </w:r>
      <w:r w:rsidRPr="00C87B1F">
        <w:rPr>
          <w:lang w:val="fr-FR"/>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C87B1F">
        <w:rPr>
          <w:i/>
          <w:iCs/>
          <w:lang w:val="fr-FR"/>
        </w:rPr>
        <w:t>décide de</w:t>
      </w:r>
      <w:r w:rsidRPr="00C87B1F">
        <w:rPr>
          <w:lang w:val="fr-FR"/>
        </w:rPr>
        <w:t xml:space="preserve"> </w:t>
      </w:r>
      <w:proofErr w:type="gramStart"/>
      <w:r w:rsidRPr="00C87B1F">
        <w:rPr>
          <w:i/>
          <w:iCs/>
          <w:lang w:val="fr-FR"/>
        </w:rPr>
        <w:t>charger</w:t>
      </w:r>
      <w:r w:rsidRPr="00C87B1F">
        <w:rPr>
          <w:lang w:val="fr-FR"/>
        </w:rPr>
        <w:t>;</w:t>
      </w:r>
      <w:proofErr w:type="gramEnd"/>
    </w:p>
    <w:p w14:paraId="6F2204C0" w14:textId="77777777" w:rsidR="00B16C1B" w:rsidRPr="00C87B1F" w:rsidRDefault="00500734" w:rsidP="00B16C1B">
      <w:pPr>
        <w:rPr>
          <w:lang w:val="fr-FR"/>
        </w:rPr>
      </w:pPr>
      <w:r w:rsidRPr="00C87B1F">
        <w:rPr>
          <w:lang w:val="fr-FR"/>
        </w:rPr>
        <w:t>6</w:t>
      </w:r>
      <w:r w:rsidRPr="00C87B1F">
        <w:rPr>
          <w:lang w:val="fr-FR"/>
        </w:rPr>
        <w:tab/>
        <w:t>la Commission d'études 2 de continuer d'étudier les mesures nécessaires pour veiller à ce que la souveraineté des États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internationales NNAI pour les télécommunications,</w:t>
      </w:r>
    </w:p>
    <w:p w14:paraId="071D268D" w14:textId="77777777" w:rsidR="00B16C1B" w:rsidRPr="00C87B1F" w:rsidRDefault="00500734" w:rsidP="00B16C1B">
      <w:pPr>
        <w:pStyle w:val="Call"/>
        <w:rPr>
          <w:lang w:val="fr-FR"/>
        </w:rPr>
      </w:pPr>
      <w:proofErr w:type="gramStart"/>
      <w:r w:rsidRPr="00C87B1F">
        <w:rPr>
          <w:lang w:val="fr-FR"/>
        </w:rPr>
        <w:t>invite</w:t>
      </w:r>
      <w:proofErr w:type="gramEnd"/>
      <w:r w:rsidRPr="00C87B1F">
        <w:rPr>
          <w:lang w:val="fr-FR"/>
        </w:rPr>
        <w:t xml:space="preserve"> les États Membres</w:t>
      </w:r>
    </w:p>
    <w:p w14:paraId="045C98D0" w14:textId="77777777" w:rsidR="00B16C1B" w:rsidRPr="00C87B1F" w:rsidRDefault="00500734" w:rsidP="00B16C1B">
      <w:pPr>
        <w:rPr>
          <w:lang w:val="fr-FR"/>
        </w:rPr>
      </w:pPr>
      <w:proofErr w:type="gramStart"/>
      <w:r w:rsidRPr="00C87B1F">
        <w:rPr>
          <w:lang w:val="fr-FR"/>
        </w:rPr>
        <w:t>à</w:t>
      </w:r>
      <w:proofErr w:type="gramEnd"/>
      <w:r w:rsidRPr="00C87B1F">
        <w:rPr>
          <w:lang w:val="fr-FR"/>
        </w:rPr>
        <w:t xml:space="preserve"> faire part de leur expérience concernant la mise en œuvre de la présente Résolution.</w:t>
      </w:r>
    </w:p>
    <w:p w14:paraId="6F5F0FC5" w14:textId="3D145152" w:rsidR="00003B5C" w:rsidRPr="00C87B1F" w:rsidRDefault="00003B5C">
      <w:pPr>
        <w:pStyle w:val="Reasons"/>
        <w:rPr>
          <w:lang w:val="fr-FR"/>
        </w:rPr>
      </w:pPr>
    </w:p>
    <w:p w14:paraId="4F80963F" w14:textId="0CBC55F5" w:rsidR="00983BCE" w:rsidRPr="00C87B1F" w:rsidRDefault="00983BCE">
      <w:pPr>
        <w:pStyle w:val="Reasons"/>
        <w:rPr>
          <w:lang w:val="fr-FR"/>
        </w:rPr>
      </w:pPr>
    </w:p>
    <w:p w14:paraId="303A41D1" w14:textId="233562D9" w:rsidR="00983BCE" w:rsidRPr="00C87B1F" w:rsidRDefault="00983BCE">
      <w:pPr>
        <w:pStyle w:val="Reasons"/>
        <w:rPr>
          <w:lang w:val="fr-FR"/>
        </w:rPr>
      </w:pPr>
    </w:p>
    <w:p w14:paraId="521DE484" w14:textId="699D306A" w:rsidR="00983BCE" w:rsidRPr="00C87B1F" w:rsidRDefault="00983BCE">
      <w:pPr>
        <w:pStyle w:val="Reasons"/>
        <w:rPr>
          <w:lang w:val="fr-FR"/>
        </w:rPr>
      </w:pPr>
    </w:p>
    <w:p w14:paraId="4E5738EF" w14:textId="5BF64367" w:rsidR="00983BCE" w:rsidRPr="00C87B1F" w:rsidRDefault="00983BCE">
      <w:pPr>
        <w:pStyle w:val="Reasons"/>
        <w:rPr>
          <w:lang w:val="fr-FR"/>
        </w:rPr>
      </w:pPr>
    </w:p>
    <w:p w14:paraId="1184BF5B" w14:textId="5213F109" w:rsidR="00983BCE" w:rsidRPr="00C87B1F" w:rsidRDefault="00983BCE">
      <w:pPr>
        <w:pStyle w:val="Reasons"/>
        <w:rPr>
          <w:lang w:val="fr-FR"/>
        </w:rPr>
      </w:pPr>
    </w:p>
    <w:p w14:paraId="6212D4B6" w14:textId="18AF03E9" w:rsidR="00983BCE" w:rsidRPr="00C87B1F" w:rsidRDefault="00983BCE">
      <w:pPr>
        <w:pStyle w:val="Reasons"/>
        <w:rPr>
          <w:lang w:val="fr-FR"/>
        </w:rPr>
      </w:pPr>
    </w:p>
    <w:p w14:paraId="0D35C409" w14:textId="5A99558E" w:rsidR="00983BCE" w:rsidRPr="00C87B1F" w:rsidRDefault="00983BCE">
      <w:pPr>
        <w:pStyle w:val="Reasons"/>
        <w:rPr>
          <w:lang w:val="fr-FR"/>
        </w:rPr>
      </w:pPr>
    </w:p>
    <w:p w14:paraId="47741070" w14:textId="6B531F6B" w:rsidR="00983BCE" w:rsidRPr="00C87B1F" w:rsidRDefault="00983BCE">
      <w:pPr>
        <w:pStyle w:val="Reasons"/>
        <w:rPr>
          <w:lang w:val="fr-FR"/>
        </w:rPr>
      </w:pPr>
    </w:p>
    <w:p w14:paraId="6EE931C5" w14:textId="29A862EF" w:rsidR="00983BCE" w:rsidRPr="00C87B1F" w:rsidRDefault="00983BCE">
      <w:pPr>
        <w:pStyle w:val="Reasons"/>
        <w:rPr>
          <w:lang w:val="fr-FR"/>
        </w:rPr>
      </w:pPr>
    </w:p>
    <w:p w14:paraId="3BE843B1" w14:textId="0E2AF89B" w:rsidR="00983BCE" w:rsidRPr="00C87B1F" w:rsidRDefault="00983BCE">
      <w:pPr>
        <w:pStyle w:val="Reasons"/>
        <w:rPr>
          <w:lang w:val="fr-FR"/>
        </w:rPr>
      </w:pPr>
    </w:p>
    <w:p w14:paraId="21901AD8" w14:textId="1D40EFE0" w:rsidR="00983BCE" w:rsidRPr="00C87B1F" w:rsidRDefault="00983BCE">
      <w:pPr>
        <w:pStyle w:val="Reasons"/>
        <w:rPr>
          <w:lang w:val="fr-FR"/>
        </w:rPr>
      </w:pPr>
    </w:p>
    <w:p w14:paraId="5F3F276F" w14:textId="77777777" w:rsidR="00983BCE" w:rsidRPr="00C87B1F" w:rsidRDefault="00983BCE">
      <w:pPr>
        <w:pStyle w:val="Reasons"/>
        <w:rPr>
          <w:lang w:val="fr-FR"/>
        </w:rPr>
      </w:pPr>
    </w:p>
    <w:sectPr w:rsidR="00983BCE" w:rsidRPr="00C87B1F" w:rsidSect="00983BCE">
      <w:headerReference w:type="default" r:id="rId18"/>
      <w:footerReference w:type="even" r:id="rId19"/>
      <w:footerReference w:type="default" r:id="rId20"/>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1F58" w14:textId="77777777" w:rsidR="00FF0CAB" w:rsidRDefault="00FF0CAB">
      <w:r>
        <w:separator/>
      </w:r>
    </w:p>
  </w:endnote>
  <w:endnote w:type="continuationSeparator" w:id="0">
    <w:p w14:paraId="3F724F95" w14:textId="77777777" w:rsidR="00FF0CAB" w:rsidRDefault="00FF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3F69" w14:textId="77777777" w:rsidR="009B29D7" w:rsidRPr="00DE48B4" w:rsidRDefault="009B29D7"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6956" w14:textId="77777777" w:rsidR="009B29D7" w:rsidRPr="008968B6" w:rsidRDefault="009B29D7"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6B24F27F"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C87B1F">
      <w:t>Résolution</w:t>
    </w:r>
    <w:r>
      <w:rPr>
        <w:lang w:val="en-US"/>
      </w:rPr>
      <w:t xml:space="preserve"> </w:t>
    </w:r>
    <w:r>
      <w:fldChar w:fldCharType="begin"/>
    </w:r>
    <w:r>
      <w:rPr>
        <w:lang w:val="en-US"/>
      </w:rPr>
      <w:instrText>styleref href</w:instrText>
    </w:r>
    <w:r>
      <w:fldChar w:fldCharType="separate"/>
    </w:r>
    <w:r w:rsidR="00C87B1F">
      <w:rPr>
        <w:noProof/>
        <w:lang w:val="en-US"/>
      </w:rPr>
      <w:t>20</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4996CB0C"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C87B1F">
      <w:t>Résolution</w:t>
    </w:r>
    <w:r>
      <w:rPr>
        <w:lang w:val="en-US"/>
      </w:rPr>
      <w:t xml:space="preserve"> </w:t>
    </w:r>
    <w:r>
      <w:fldChar w:fldCharType="begin"/>
    </w:r>
    <w:r>
      <w:rPr>
        <w:lang w:val="en-US"/>
      </w:rPr>
      <w:instrText>styleref href</w:instrText>
    </w:r>
    <w:r>
      <w:fldChar w:fldCharType="separate"/>
    </w:r>
    <w:r w:rsidR="00C87B1F">
      <w:rPr>
        <w:noProof/>
        <w:lang w:val="en-US"/>
      </w:rPr>
      <w:t>20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C4AC" w14:textId="77777777" w:rsidR="00FF0CAB" w:rsidRDefault="00FF0CAB">
      <w:r>
        <w:rPr>
          <w:b/>
        </w:rPr>
        <w:t>_______________</w:t>
      </w:r>
    </w:p>
  </w:footnote>
  <w:footnote w:type="continuationSeparator" w:id="0">
    <w:p w14:paraId="6AD15660" w14:textId="77777777" w:rsidR="00FF0CAB" w:rsidRDefault="00FF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A1B7" w14:textId="77777777" w:rsidR="009B29D7" w:rsidRDefault="009B29D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FFF7" w14:textId="77777777" w:rsidR="009B29D7" w:rsidRDefault="009B29D7">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E933" w14:textId="77777777" w:rsidR="009B29D7" w:rsidRDefault="009B29D7">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01329">
    <w:abstractNumId w:val="8"/>
  </w:num>
  <w:num w:numId="2" w16cid:durableId="16966873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82039259">
    <w:abstractNumId w:val="9"/>
  </w:num>
  <w:num w:numId="4" w16cid:durableId="1539901095">
    <w:abstractNumId w:val="7"/>
  </w:num>
  <w:num w:numId="5" w16cid:durableId="1473449621">
    <w:abstractNumId w:val="6"/>
  </w:num>
  <w:num w:numId="6" w16cid:durableId="1429816172">
    <w:abstractNumId w:val="5"/>
  </w:num>
  <w:num w:numId="7" w16cid:durableId="818694811">
    <w:abstractNumId w:val="4"/>
  </w:num>
  <w:num w:numId="8" w16cid:durableId="119957752">
    <w:abstractNumId w:val="3"/>
  </w:num>
  <w:num w:numId="9" w16cid:durableId="1192576696">
    <w:abstractNumId w:val="2"/>
  </w:num>
  <w:num w:numId="10" w16cid:durableId="2118287082">
    <w:abstractNumId w:val="1"/>
  </w:num>
  <w:num w:numId="11" w16cid:durableId="966006719">
    <w:abstractNumId w:val="0"/>
  </w:num>
  <w:num w:numId="12" w16cid:durableId="1577281171">
    <w:abstractNumId w:val="15"/>
  </w:num>
  <w:num w:numId="13" w16cid:durableId="2013488810">
    <w:abstractNumId w:val="24"/>
  </w:num>
  <w:num w:numId="14" w16cid:durableId="1518155259">
    <w:abstractNumId w:val="25"/>
  </w:num>
  <w:num w:numId="15" w16cid:durableId="281573189">
    <w:abstractNumId w:val="27"/>
  </w:num>
  <w:num w:numId="16" w16cid:durableId="326713707">
    <w:abstractNumId w:val="49"/>
  </w:num>
  <w:num w:numId="17" w16cid:durableId="280457486">
    <w:abstractNumId w:val="17"/>
  </w:num>
  <w:num w:numId="18" w16cid:durableId="1965576589">
    <w:abstractNumId w:val="31"/>
  </w:num>
  <w:num w:numId="19" w16cid:durableId="932277625">
    <w:abstractNumId w:val="45"/>
  </w:num>
  <w:num w:numId="20" w16cid:durableId="228425712">
    <w:abstractNumId w:val="36"/>
  </w:num>
  <w:num w:numId="21" w16cid:durableId="1431700179">
    <w:abstractNumId w:val="30"/>
  </w:num>
  <w:num w:numId="22" w16cid:durableId="599142272">
    <w:abstractNumId w:val="28"/>
  </w:num>
  <w:num w:numId="23" w16cid:durableId="1205560838">
    <w:abstractNumId w:val="12"/>
  </w:num>
  <w:num w:numId="24" w16cid:durableId="696009183">
    <w:abstractNumId w:val="40"/>
  </w:num>
  <w:num w:numId="25" w16cid:durableId="2056733434">
    <w:abstractNumId w:val="23"/>
  </w:num>
  <w:num w:numId="26" w16cid:durableId="1145392013">
    <w:abstractNumId w:val="29"/>
  </w:num>
  <w:num w:numId="27" w16cid:durableId="1401247452">
    <w:abstractNumId w:val="42"/>
  </w:num>
  <w:num w:numId="28" w16cid:durableId="1807161021">
    <w:abstractNumId w:val="32"/>
  </w:num>
  <w:num w:numId="29" w16cid:durableId="1450969121">
    <w:abstractNumId w:val="47"/>
  </w:num>
  <w:num w:numId="30" w16cid:durableId="2010595707">
    <w:abstractNumId w:val="20"/>
  </w:num>
  <w:num w:numId="31" w16cid:durableId="1760053744">
    <w:abstractNumId w:val="37"/>
  </w:num>
  <w:num w:numId="32" w16cid:durableId="1347973975">
    <w:abstractNumId w:val="48"/>
  </w:num>
  <w:num w:numId="33" w16cid:durableId="164904584">
    <w:abstractNumId w:val="44"/>
  </w:num>
  <w:num w:numId="34" w16cid:durableId="384452773">
    <w:abstractNumId w:val="43"/>
  </w:num>
  <w:num w:numId="35" w16cid:durableId="459147821">
    <w:abstractNumId w:val="14"/>
  </w:num>
  <w:num w:numId="36" w16cid:durableId="330329934">
    <w:abstractNumId w:val="16"/>
  </w:num>
  <w:num w:numId="37" w16cid:durableId="371030789">
    <w:abstractNumId w:val="46"/>
  </w:num>
  <w:num w:numId="38" w16cid:durableId="204803228">
    <w:abstractNumId w:val="35"/>
  </w:num>
  <w:num w:numId="39" w16cid:durableId="27683453">
    <w:abstractNumId w:val="41"/>
  </w:num>
  <w:num w:numId="40" w16cid:durableId="127086765">
    <w:abstractNumId w:val="19"/>
  </w:num>
  <w:num w:numId="41" w16cid:durableId="79912143">
    <w:abstractNumId w:val="39"/>
  </w:num>
  <w:num w:numId="42" w16cid:durableId="1049764949">
    <w:abstractNumId w:val="38"/>
  </w:num>
  <w:num w:numId="43" w16cid:durableId="1648129333">
    <w:abstractNumId w:val="11"/>
  </w:num>
  <w:num w:numId="44" w16cid:durableId="475224069">
    <w:abstractNumId w:val="22"/>
  </w:num>
  <w:num w:numId="45" w16cid:durableId="1976400156">
    <w:abstractNumId w:val="26"/>
  </w:num>
  <w:num w:numId="46" w16cid:durableId="595940992">
    <w:abstractNumId w:val="13"/>
  </w:num>
  <w:num w:numId="47" w16cid:durableId="79058642">
    <w:abstractNumId w:val="34"/>
  </w:num>
  <w:num w:numId="48" w16cid:durableId="1062363871">
    <w:abstractNumId w:val="18"/>
  </w:num>
  <w:num w:numId="49" w16cid:durableId="336033081">
    <w:abstractNumId w:val="33"/>
  </w:num>
  <w:num w:numId="50" w16cid:durableId="17930912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4C1E"/>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803FA"/>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63D4"/>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3BCE"/>
    <w:rsid w:val="00987C1F"/>
    <w:rsid w:val="009B29D7"/>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2F5C"/>
    <w:rsid w:val="00A35841"/>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87B1F"/>
    <w:rsid w:val="00C93D97"/>
    <w:rsid w:val="00C94561"/>
    <w:rsid w:val="00C97C68"/>
    <w:rsid w:val="00CA1A47"/>
    <w:rsid w:val="00CB37A4"/>
    <w:rsid w:val="00CB6EB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20C6"/>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0CA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BC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9B29D7"/>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E915575F-B509-4AB3-9287-8AF2B4AFA671}">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T17-WTSA.20-C-2000!!MSW-F</vt:lpstr>
    </vt:vector>
  </TitlesOfParts>
  <Manager>General Secretariat - Pool</Manager>
  <Company>International Telecommunication Union (ITU)</Company>
  <LinksUpToDate>false</LinksUpToDate>
  <CharactersWithSpaces>10545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20 – Procédures d'attribution et de gestion des ressources internationales de numérotage, de nommage, d'adressage et d'identification pour les télécommunications</dc:title>
  <dc:subject>World Telecommunication Standardization Assembly</dc:subject>
  <dc:creator>Documents Proposals Manager (DPM)</dc:creator>
  <cp:keywords/>
  <dc:description/>
  <cp:lastModifiedBy>TSB-AC</cp:lastModifiedBy>
  <cp:revision>11</cp:revision>
  <cp:lastPrinted>2022-04-20T11:30:00Z</cp:lastPrinted>
  <dcterms:created xsi:type="dcterms:W3CDTF">2022-04-14T06:54:00Z</dcterms:created>
  <dcterms:modified xsi:type="dcterms:W3CDTF">2022-04-26T08:22:00Z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