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7B6113" w14:paraId="7078E33C" w14:textId="77777777" w:rsidTr="00367A2B">
        <w:trPr>
          <w:trHeight w:hRule="exact" w:val="426"/>
        </w:trPr>
        <w:tc>
          <w:tcPr>
            <w:tcW w:w="5070" w:type="dxa"/>
            <w:gridSpan w:val="2"/>
          </w:tcPr>
          <w:p w14:paraId="1C1FE4AD" w14:textId="18DD2252" w:rsidR="00EA2A26" w:rsidRPr="007B6113" w:rsidRDefault="00EA2A26" w:rsidP="00A3085D">
            <w:pPr>
              <w:spacing w:before="60"/>
              <w:rPr>
                <w:rFonts w:ascii="Arial" w:eastAsia="Avenir Next W1G Medium" w:hAnsi="Arial" w:cs="Arial"/>
                <w:szCs w:val="24"/>
                <w:lang w:val="ru-RU"/>
              </w:rPr>
            </w:pPr>
            <w:bookmarkStart w:id="0" w:name="c2tope"/>
            <w:bookmarkEnd w:id="0"/>
            <w:proofErr w:type="spellStart"/>
            <w:r w:rsidRPr="007B6113">
              <w:rPr>
                <w:rFonts w:ascii="Arial" w:hAnsi="Arial" w:cs="Arial"/>
                <w:b/>
                <w:color w:val="009CD6"/>
                <w:spacing w:val="-4"/>
                <w:sz w:val="32"/>
                <w:szCs w:val="32"/>
                <w:lang w:val="ru-RU"/>
              </w:rPr>
              <w:t>ITU</w:t>
            </w:r>
            <w:r w:rsidR="001B5C6B" w:rsidRPr="007B6113">
              <w:rPr>
                <w:rFonts w:ascii="Arial" w:hAnsi="Arial" w:cs="Arial"/>
                <w:b/>
                <w:color w:val="292829"/>
                <w:spacing w:val="-4"/>
                <w:sz w:val="32"/>
                <w:szCs w:val="32"/>
                <w:lang w:val="ru-RU"/>
              </w:rPr>
              <w:t>Публикации</w:t>
            </w:r>
            <w:proofErr w:type="spellEnd"/>
          </w:p>
        </w:tc>
        <w:tc>
          <w:tcPr>
            <w:tcW w:w="5670" w:type="dxa"/>
          </w:tcPr>
          <w:p w14:paraId="0E9475D3" w14:textId="543BEFC0" w:rsidR="00EA2A26" w:rsidRPr="007B6113" w:rsidRDefault="001B5C6B" w:rsidP="00A3085D">
            <w:pPr>
              <w:spacing w:before="60"/>
              <w:jc w:val="right"/>
              <w:rPr>
                <w:rFonts w:ascii="Arial" w:eastAsia="Avenir Next W1G Medium" w:hAnsi="Arial" w:cs="Arial"/>
                <w:sz w:val="24"/>
                <w:szCs w:val="24"/>
                <w:lang w:val="ru-RU"/>
              </w:rPr>
            </w:pPr>
            <w:r w:rsidRPr="007B6113">
              <w:rPr>
                <w:rFonts w:ascii="Arial" w:eastAsia="Avenir Next W1G Medium" w:hAnsi="Arial" w:cs="Arial"/>
                <w:b/>
                <w:spacing w:val="-4"/>
                <w:sz w:val="24"/>
                <w:szCs w:val="24"/>
                <w:lang w:val="ru-RU"/>
              </w:rPr>
              <w:t>Международный союз электросвязи</w:t>
            </w:r>
          </w:p>
        </w:tc>
      </w:tr>
      <w:tr w:rsidR="00EA2A26" w:rsidRPr="007B6113" w14:paraId="42C85EB6" w14:textId="77777777" w:rsidTr="00367A2B">
        <w:trPr>
          <w:trHeight w:hRule="exact" w:val="992"/>
        </w:trPr>
        <w:tc>
          <w:tcPr>
            <w:tcW w:w="5070" w:type="dxa"/>
            <w:gridSpan w:val="2"/>
          </w:tcPr>
          <w:p w14:paraId="68B26EDA" w14:textId="1153EEEB" w:rsidR="00EA2A26" w:rsidRPr="007B6113" w:rsidRDefault="001B5C6B" w:rsidP="00367A2B">
            <w:pPr>
              <w:spacing w:before="0"/>
              <w:rPr>
                <w:rFonts w:ascii="Arial" w:eastAsia="Avenir Next W1G Medium" w:hAnsi="Arial" w:cs="Arial"/>
                <w:sz w:val="24"/>
                <w:szCs w:val="24"/>
                <w:lang w:val="ru-RU"/>
              </w:rPr>
            </w:pPr>
            <w:r w:rsidRPr="007B6113">
              <w:rPr>
                <w:rFonts w:ascii="Arial" w:eastAsia="Avenir Next W1G Medium" w:hAnsi="Arial" w:cs="Arial"/>
                <w:sz w:val="24"/>
                <w:szCs w:val="24"/>
                <w:lang w:val="ru-RU"/>
              </w:rPr>
              <w:t>Резолюции</w:t>
            </w:r>
          </w:p>
        </w:tc>
        <w:tc>
          <w:tcPr>
            <w:tcW w:w="5670" w:type="dxa"/>
          </w:tcPr>
          <w:p w14:paraId="20539D5B" w14:textId="015B5046" w:rsidR="00EA2A26" w:rsidRPr="007B6113" w:rsidRDefault="001B5C6B" w:rsidP="00367A2B">
            <w:pPr>
              <w:spacing w:before="0"/>
              <w:jc w:val="right"/>
              <w:rPr>
                <w:rFonts w:ascii="Arial" w:eastAsia="Avenir Next W1G Medium" w:hAnsi="Arial" w:cs="Arial"/>
                <w:sz w:val="24"/>
                <w:szCs w:val="24"/>
                <w:lang w:val="ru-RU"/>
              </w:rPr>
            </w:pPr>
            <w:r w:rsidRPr="007B6113">
              <w:rPr>
                <w:rFonts w:ascii="Arial" w:eastAsia="Avenir Next W1G Medium" w:hAnsi="Arial" w:cs="Arial"/>
                <w:sz w:val="24"/>
                <w:szCs w:val="24"/>
                <w:lang w:val="ru-RU"/>
              </w:rPr>
              <w:t>Сектор стандартизации</w:t>
            </w:r>
          </w:p>
        </w:tc>
      </w:tr>
      <w:tr w:rsidR="00EA2A26" w:rsidRPr="007B6113"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7B6113" w:rsidRDefault="00EA2A26" w:rsidP="00367A2B">
            <w:pPr>
              <w:pStyle w:val="BodyText"/>
              <w:spacing w:before="440"/>
              <w:rPr>
                <w:b w:val="0"/>
                <w:bCs w:val="0"/>
                <w:spacing w:val="-6"/>
                <w:sz w:val="44"/>
                <w:szCs w:val="44"/>
                <w:lang w:val="ru-RU"/>
              </w:rPr>
            </w:pPr>
          </w:p>
        </w:tc>
      </w:tr>
      <w:tr w:rsidR="00EA2A26" w:rsidRPr="007B6113"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7B6113" w:rsidRDefault="00EA2A26" w:rsidP="00367A2B">
            <w:pPr>
              <w:pStyle w:val="BodyText"/>
              <w:spacing w:after="240"/>
              <w:rPr>
                <w:spacing w:val="-6"/>
                <w:sz w:val="44"/>
                <w:szCs w:val="44"/>
                <w:lang w:val="ru-RU"/>
              </w:rPr>
            </w:pPr>
          </w:p>
        </w:tc>
      </w:tr>
      <w:tr w:rsidR="00EA2A26" w:rsidRPr="007B6113" w14:paraId="594C2C35" w14:textId="77777777" w:rsidTr="00367A2B">
        <w:trPr>
          <w:trHeight w:val="80"/>
        </w:trPr>
        <w:tc>
          <w:tcPr>
            <w:tcW w:w="817" w:type="dxa"/>
          </w:tcPr>
          <w:p w14:paraId="72C102BC" w14:textId="77777777" w:rsidR="00EA2A26" w:rsidRPr="007B6113" w:rsidRDefault="00EA2A26" w:rsidP="00367A2B">
            <w:pPr>
              <w:tabs>
                <w:tab w:val="right" w:pos="9639"/>
              </w:tabs>
              <w:rPr>
                <w:rFonts w:ascii="Arial" w:hAnsi="Arial" w:cs="Arial"/>
                <w:sz w:val="18"/>
                <w:lang w:val="ru-RU"/>
              </w:rPr>
            </w:pPr>
          </w:p>
        </w:tc>
        <w:tc>
          <w:tcPr>
            <w:tcW w:w="9923" w:type="dxa"/>
            <w:gridSpan w:val="2"/>
            <w:tcBorders>
              <w:bottom w:val="single" w:sz="8" w:space="0" w:color="auto"/>
            </w:tcBorders>
          </w:tcPr>
          <w:p w14:paraId="46F1491F" w14:textId="5A28032B" w:rsidR="00EA2A26" w:rsidRPr="007B6113" w:rsidRDefault="001B5C6B"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ru-RU"/>
              </w:rPr>
            </w:pPr>
            <w:r w:rsidRPr="007B6113">
              <w:rPr>
                <w:rFonts w:ascii="Arial" w:hAnsi="Arial"/>
                <w:sz w:val="36"/>
                <w:szCs w:val="36"/>
                <w:lang w:val="ru-RU"/>
              </w:rPr>
              <w:t>ВСЕМИРНАЯ АССАМБЛЕЯ ПО СТАНДАРТИЗАЦИИ ЭЛЕКТРОСВЯЗИ</w:t>
            </w:r>
            <w:r w:rsidRPr="007B6113">
              <w:rPr>
                <w:rFonts w:ascii="Arial" w:hAnsi="Arial"/>
                <w:sz w:val="32"/>
                <w:lang w:val="ru-RU"/>
              </w:rPr>
              <w:t xml:space="preserve"> </w:t>
            </w:r>
            <w:r w:rsidR="00EA2A26" w:rsidRPr="007B6113">
              <w:rPr>
                <w:rFonts w:ascii="Arial" w:hAnsi="Arial" w:cs="Arial"/>
                <w:sz w:val="36"/>
                <w:szCs w:val="36"/>
                <w:lang w:val="ru-RU"/>
              </w:rPr>
              <w:br/>
            </w:r>
            <w:r w:rsidR="002D336F" w:rsidRPr="007B6113">
              <w:rPr>
                <w:rFonts w:ascii="Arial" w:hAnsi="Arial" w:cs="Arial"/>
                <w:sz w:val="36"/>
                <w:szCs w:val="36"/>
                <w:lang w:val="ru-RU"/>
              </w:rPr>
              <w:t>Нью-Дели</w:t>
            </w:r>
            <w:r w:rsidR="00EA2A26" w:rsidRPr="007B6113">
              <w:rPr>
                <w:rFonts w:ascii="Arial" w:hAnsi="Arial" w:cs="Arial"/>
                <w:sz w:val="36"/>
                <w:szCs w:val="36"/>
                <w:lang w:val="ru-RU"/>
              </w:rPr>
              <w:t>, 15</w:t>
            </w:r>
            <w:r w:rsidRPr="007B6113">
              <w:rPr>
                <w:rFonts w:ascii="Arial" w:hAnsi="Arial" w:cs="Arial"/>
                <w:sz w:val="36"/>
                <w:szCs w:val="36"/>
                <w:lang w:val="ru-RU"/>
              </w:rPr>
              <w:t>–</w:t>
            </w:r>
            <w:r w:rsidR="00EA2A26" w:rsidRPr="007B6113">
              <w:rPr>
                <w:rFonts w:ascii="Arial" w:hAnsi="Arial" w:cs="Arial"/>
                <w:sz w:val="36"/>
                <w:szCs w:val="36"/>
                <w:lang w:val="ru-RU"/>
              </w:rPr>
              <w:t xml:space="preserve">24 </w:t>
            </w:r>
            <w:r w:rsidRPr="007B6113">
              <w:rPr>
                <w:rFonts w:ascii="Arial" w:hAnsi="Arial" w:cs="Arial"/>
                <w:sz w:val="36"/>
                <w:szCs w:val="36"/>
                <w:lang w:val="ru-RU"/>
              </w:rPr>
              <w:t>октября</w:t>
            </w:r>
            <w:r w:rsidR="00EA2A26" w:rsidRPr="007B6113">
              <w:rPr>
                <w:rFonts w:ascii="Arial" w:hAnsi="Arial" w:cs="Arial"/>
                <w:sz w:val="36"/>
                <w:szCs w:val="36"/>
                <w:lang w:val="ru-RU"/>
              </w:rPr>
              <w:t xml:space="preserve"> 2024</w:t>
            </w:r>
            <w:r w:rsidRPr="007B6113">
              <w:rPr>
                <w:rFonts w:ascii="Arial" w:hAnsi="Arial" w:cs="Arial"/>
                <w:sz w:val="36"/>
                <w:szCs w:val="36"/>
                <w:lang w:val="ru-RU"/>
              </w:rPr>
              <w:t xml:space="preserve"> года</w:t>
            </w:r>
          </w:p>
          <w:p w14:paraId="318F1603" w14:textId="77777777" w:rsidR="00EA2A26" w:rsidRPr="007B6113" w:rsidRDefault="00EA2A26" w:rsidP="00367A2B">
            <w:pPr>
              <w:rPr>
                <w:lang w:val="ru-RU"/>
              </w:rPr>
            </w:pPr>
          </w:p>
        </w:tc>
      </w:tr>
      <w:tr w:rsidR="00EA2A26" w:rsidRPr="007B6113" w14:paraId="40EA4FB7" w14:textId="77777777" w:rsidTr="00367A2B">
        <w:trPr>
          <w:trHeight w:val="743"/>
        </w:trPr>
        <w:tc>
          <w:tcPr>
            <w:tcW w:w="817" w:type="dxa"/>
          </w:tcPr>
          <w:p w14:paraId="5A48D328" w14:textId="77777777" w:rsidR="00EA2A26" w:rsidRPr="007B6113" w:rsidRDefault="00EA2A26" w:rsidP="00367A2B">
            <w:pPr>
              <w:tabs>
                <w:tab w:val="right" w:pos="9639"/>
              </w:tabs>
              <w:rPr>
                <w:rFonts w:ascii="Arial" w:hAnsi="Arial" w:cs="Arial"/>
                <w:sz w:val="48"/>
                <w:szCs w:val="48"/>
                <w:lang w:val="ru-RU"/>
              </w:rPr>
            </w:pPr>
          </w:p>
        </w:tc>
        <w:tc>
          <w:tcPr>
            <w:tcW w:w="9923" w:type="dxa"/>
            <w:gridSpan w:val="2"/>
            <w:tcBorders>
              <w:top w:val="single" w:sz="8" w:space="0" w:color="auto"/>
            </w:tcBorders>
          </w:tcPr>
          <w:p w14:paraId="36D98092" w14:textId="7B90138B" w:rsidR="00EA2A26" w:rsidRPr="007B6113" w:rsidRDefault="001B5C6B" w:rsidP="00F9579B">
            <w:pPr>
              <w:pStyle w:val="BodyText"/>
              <w:spacing w:before="440"/>
              <w:jc w:val="left"/>
              <w:rPr>
                <w:spacing w:val="-6"/>
                <w:sz w:val="44"/>
                <w:szCs w:val="44"/>
                <w:lang w:val="ru-RU"/>
              </w:rPr>
            </w:pPr>
            <w:r w:rsidRPr="007B6113">
              <w:rPr>
                <w:spacing w:val="-6"/>
                <w:sz w:val="44"/>
                <w:szCs w:val="44"/>
                <w:lang w:val="ru-RU"/>
              </w:rPr>
              <w:t xml:space="preserve">Резолюция </w:t>
            </w:r>
            <w:r w:rsidR="007B6113" w:rsidRPr="007B6113">
              <w:rPr>
                <w:spacing w:val="-6"/>
                <w:sz w:val="44"/>
                <w:szCs w:val="44"/>
                <w:lang w:val="ru-RU"/>
              </w:rPr>
              <w:t>18</w:t>
            </w:r>
            <w:r w:rsidR="00845E8E" w:rsidRPr="007B6113">
              <w:rPr>
                <w:spacing w:val="-6"/>
                <w:sz w:val="44"/>
                <w:szCs w:val="44"/>
                <w:lang w:val="ru-RU"/>
              </w:rPr>
              <w:t xml:space="preserve"> – </w:t>
            </w:r>
            <w:r w:rsidR="007B6113" w:rsidRPr="007B6113">
              <w:rPr>
                <w:spacing w:val="-6"/>
                <w:sz w:val="44"/>
                <w:szCs w:val="44"/>
                <w:lang w:val="ru-RU"/>
              </w:rPr>
              <w:t>Усиление координации и сотрудничества между тремя Секторами МСЭ по вопросам, представляющим взаимный интерес</w:t>
            </w:r>
          </w:p>
          <w:p w14:paraId="51262F1D" w14:textId="77777777" w:rsidR="00EA2A26" w:rsidRPr="007B6113" w:rsidRDefault="00EA2A26" w:rsidP="00367A2B">
            <w:pPr>
              <w:rPr>
                <w:lang w:val="ru-RU"/>
              </w:rPr>
            </w:pPr>
          </w:p>
        </w:tc>
      </w:tr>
    </w:tbl>
    <w:p w14:paraId="7800F3B2" w14:textId="77777777" w:rsidR="00EA2A26" w:rsidRPr="007B611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ru-RU"/>
        </w:rPr>
      </w:pPr>
      <w:r w:rsidRPr="007B6113">
        <w:rPr>
          <w:rFonts w:ascii="Arial" w:eastAsia="Avenir Next W1G Medium" w:hAnsi="Arial" w:cs="Arial"/>
          <w:noProof/>
          <w:szCs w:val="24"/>
          <w:lang w:val="ru-RU"/>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7B6113">
        <w:rPr>
          <w:noProof/>
          <w:lang w:val="ru-RU"/>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7B6113" w:rsidRDefault="00EA2A26" w:rsidP="00EA2A26">
      <w:pPr>
        <w:jc w:val="left"/>
        <w:rPr>
          <w:lang w:val="ru-RU"/>
        </w:rPr>
        <w:sectPr w:rsidR="00EA2A26" w:rsidRPr="007B611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93176D7" w14:textId="77777777" w:rsidR="00E60A09" w:rsidRPr="007B6113" w:rsidRDefault="00E60A09" w:rsidP="00E60A09">
      <w:pPr>
        <w:jc w:val="center"/>
        <w:rPr>
          <w:lang w:val="ru-RU"/>
        </w:rPr>
      </w:pPr>
      <w:bookmarkStart w:id="1" w:name="irecnoe"/>
      <w:bookmarkEnd w:id="1"/>
      <w:r w:rsidRPr="007B6113">
        <w:rPr>
          <w:lang w:val="ru-RU"/>
        </w:rPr>
        <w:lastRenderedPageBreak/>
        <w:t>ПРЕДИСЛОВИЕ</w:t>
      </w:r>
    </w:p>
    <w:p w14:paraId="09A8E349" w14:textId="77777777" w:rsidR="00E60A09" w:rsidRPr="007B6113" w:rsidRDefault="00E60A09" w:rsidP="00E60A09">
      <w:pPr>
        <w:rPr>
          <w:sz w:val="20"/>
          <w:lang w:val="ru-RU"/>
        </w:rPr>
      </w:pPr>
      <w:bookmarkStart w:id="2" w:name="iitextf"/>
      <w:r w:rsidRPr="007B6113">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7B6113">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14:paraId="2F241E71" w14:textId="77777777" w:rsidR="00E60A09" w:rsidRPr="007B6113" w:rsidRDefault="00E60A09" w:rsidP="00E60A09">
      <w:pPr>
        <w:rPr>
          <w:sz w:val="20"/>
          <w:lang w:val="ru-RU"/>
        </w:rPr>
      </w:pPr>
      <w:r w:rsidRPr="007B6113">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14:paraId="17B0B45D" w14:textId="77777777" w:rsidR="00E60A09" w:rsidRPr="007B6113" w:rsidRDefault="00E60A09" w:rsidP="00E60A09">
      <w:pPr>
        <w:rPr>
          <w:sz w:val="20"/>
          <w:lang w:val="ru-RU"/>
        </w:rPr>
      </w:pPr>
      <w:r w:rsidRPr="007B6113">
        <w:rPr>
          <w:sz w:val="20"/>
          <w:lang w:val="ru-RU"/>
        </w:rPr>
        <w:t xml:space="preserve">Утверждение </w:t>
      </w:r>
      <w:r w:rsidRPr="007B6113">
        <w:rPr>
          <w:caps/>
          <w:sz w:val="20"/>
          <w:lang w:val="ru-RU"/>
        </w:rPr>
        <w:t>р</w:t>
      </w:r>
      <w:r w:rsidRPr="007B6113">
        <w:rPr>
          <w:sz w:val="20"/>
          <w:lang w:val="ru-RU"/>
        </w:rPr>
        <w:t>екомендаций МСЭ-Т осуществляется в соответствии с процедурой, изложенной в Резолюции 1 ВАСЭ</w:t>
      </w:r>
      <w:bookmarkEnd w:id="2"/>
      <w:r w:rsidRPr="007B6113">
        <w:rPr>
          <w:sz w:val="20"/>
          <w:lang w:val="ru-RU"/>
        </w:rPr>
        <w:t>.</w:t>
      </w:r>
    </w:p>
    <w:p w14:paraId="7104090E" w14:textId="77777777" w:rsidR="00E60A09" w:rsidRPr="007B6113" w:rsidRDefault="00E60A09" w:rsidP="00E60A09">
      <w:pPr>
        <w:rPr>
          <w:lang w:val="ru-RU"/>
        </w:rPr>
      </w:pPr>
      <w:r w:rsidRPr="007B6113">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14:paraId="42DC63E8" w14:textId="77777777" w:rsidR="00E60A09" w:rsidRPr="007B6113" w:rsidRDefault="00E60A09" w:rsidP="00E60A09">
      <w:pPr>
        <w:rPr>
          <w:lang w:val="ru-RU"/>
        </w:rPr>
      </w:pPr>
    </w:p>
    <w:p w14:paraId="1BF1A502" w14:textId="77777777" w:rsidR="00E60A09" w:rsidRPr="007B6113" w:rsidRDefault="00E60A09" w:rsidP="00E60A09">
      <w:pPr>
        <w:rPr>
          <w:lang w:val="ru-RU"/>
        </w:rPr>
      </w:pPr>
    </w:p>
    <w:p w14:paraId="2053FC85" w14:textId="77777777" w:rsidR="00E60A09" w:rsidRPr="007B6113" w:rsidRDefault="00E60A09" w:rsidP="00E60A09">
      <w:pPr>
        <w:rPr>
          <w:lang w:val="ru-RU"/>
        </w:rPr>
      </w:pPr>
    </w:p>
    <w:p w14:paraId="510B3609" w14:textId="77777777" w:rsidR="00E60A09" w:rsidRPr="007B6113" w:rsidRDefault="00E60A09" w:rsidP="00E60A09">
      <w:pPr>
        <w:rPr>
          <w:lang w:val="ru-RU"/>
        </w:rPr>
      </w:pPr>
    </w:p>
    <w:p w14:paraId="3624C831" w14:textId="77777777" w:rsidR="00E60A09" w:rsidRPr="007B6113" w:rsidRDefault="00E60A09" w:rsidP="00E60A09">
      <w:pPr>
        <w:rPr>
          <w:lang w:val="ru-RU"/>
        </w:rPr>
      </w:pPr>
    </w:p>
    <w:p w14:paraId="3C20E03C" w14:textId="77777777" w:rsidR="00E60A09" w:rsidRPr="007B6113" w:rsidRDefault="00E60A09" w:rsidP="00E60A09">
      <w:pPr>
        <w:rPr>
          <w:lang w:val="ru-RU"/>
        </w:rPr>
      </w:pPr>
    </w:p>
    <w:p w14:paraId="54472EDE" w14:textId="77777777" w:rsidR="00E60A09" w:rsidRPr="007B6113" w:rsidRDefault="00E60A09" w:rsidP="00E60A09">
      <w:pPr>
        <w:rPr>
          <w:lang w:val="ru-RU"/>
        </w:rPr>
      </w:pPr>
    </w:p>
    <w:p w14:paraId="49DDE904" w14:textId="77777777" w:rsidR="00E60A09" w:rsidRPr="007B6113" w:rsidRDefault="00E60A09" w:rsidP="00E60A09">
      <w:pPr>
        <w:rPr>
          <w:lang w:val="ru-RU"/>
        </w:rPr>
      </w:pPr>
    </w:p>
    <w:p w14:paraId="61412DA5" w14:textId="77777777" w:rsidR="00E60A09" w:rsidRPr="007B6113" w:rsidRDefault="00E60A09" w:rsidP="00E60A09">
      <w:pPr>
        <w:rPr>
          <w:lang w:val="ru-RU"/>
        </w:rPr>
      </w:pPr>
    </w:p>
    <w:p w14:paraId="1C810210" w14:textId="77777777" w:rsidR="00E60A09" w:rsidRPr="007B6113" w:rsidRDefault="00E60A09" w:rsidP="00E60A09">
      <w:pPr>
        <w:rPr>
          <w:lang w:val="ru-RU"/>
        </w:rPr>
      </w:pPr>
    </w:p>
    <w:p w14:paraId="1C38E19A" w14:textId="77777777" w:rsidR="00E60A09" w:rsidRPr="007B6113" w:rsidRDefault="00E60A09" w:rsidP="00E60A09">
      <w:pPr>
        <w:rPr>
          <w:lang w:val="ru-RU"/>
        </w:rPr>
      </w:pPr>
    </w:p>
    <w:p w14:paraId="4D3396DA" w14:textId="77777777" w:rsidR="00E60A09" w:rsidRPr="007B6113" w:rsidRDefault="00E60A09" w:rsidP="00E60A09">
      <w:pPr>
        <w:rPr>
          <w:lang w:val="ru-RU"/>
        </w:rPr>
      </w:pPr>
    </w:p>
    <w:p w14:paraId="4F2F1517" w14:textId="77777777" w:rsidR="00E60A09" w:rsidRPr="007B6113" w:rsidRDefault="00E60A09" w:rsidP="00E60A09">
      <w:pPr>
        <w:rPr>
          <w:lang w:val="ru-RU"/>
        </w:rPr>
      </w:pPr>
    </w:p>
    <w:p w14:paraId="5C4902C6" w14:textId="77777777" w:rsidR="00E60A09" w:rsidRPr="007B6113" w:rsidRDefault="00E60A09" w:rsidP="00E60A09">
      <w:pPr>
        <w:rPr>
          <w:lang w:val="ru-RU"/>
        </w:rPr>
      </w:pPr>
    </w:p>
    <w:p w14:paraId="77FC4396" w14:textId="77777777" w:rsidR="00E60A09" w:rsidRPr="007B6113" w:rsidRDefault="00E60A09" w:rsidP="00E60A09">
      <w:pPr>
        <w:rPr>
          <w:lang w:val="ru-RU"/>
        </w:rPr>
      </w:pPr>
    </w:p>
    <w:p w14:paraId="66D8DB35" w14:textId="77777777" w:rsidR="008B6349" w:rsidRPr="007B6113" w:rsidRDefault="008B6349" w:rsidP="00E60A09">
      <w:pPr>
        <w:rPr>
          <w:lang w:val="ru-RU"/>
        </w:rPr>
      </w:pPr>
    </w:p>
    <w:p w14:paraId="48008D63" w14:textId="77777777" w:rsidR="008B6349" w:rsidRPr="007B6113" w:rsidRDefault="008B6349" w:rsidP="00E60A09">
      <w:pPr>
        <w:rPr>
          <w:lang w:val="ru-RU"/>
        </w:rPr>
      </w:pPr>
    </w:p>
    <w:p w14:paraId="36C41597" w14:textId="77777777" w:rsidR="008B6349" w:rsidRPr="007B6113" w:rsidRDefault="008B6349" w:rsidP="00E60A09">
      <w:pPr>
        <w:rPr>
          <w:lang w:val="ru-RU"/>
        </w:rPr>
      </w:pPr>
    </w:p>
    <w:p w14:paraId="29854E5F" w14:textId="77777777" w:rsidR="008B6349" w:rsidRPr="007B6113" w:rsidRDefault="008B6349" w:rsidP="00E60A09">
      <w:pPr>
        <w:rPr>
          <w:lang w:val="ru-RU"/>
        </w:rPr>
      </w:pPr>
    </w:p>
    <w:p w14:paraId="3941F9B3" w14:textId="77777777" w:rsidR="008B6349" w:rsidRPr="007B6113" w:rsidRDefault="008B6349" w:rsidP="00E60A09">
      <w:pPr>
        <w:rPr>
          <w:lang w:val="ru-RU"/>
        </w:rPr>
      </w:pPr>
    </w:p>
    <w:p w14:paraId="33823CA9" w14:textId="77777777" w:rsidR="00E60A09" w:rsidRPr="007B6113" w:rsidRDefault="00E60A09" w:rsidP="00E60A09">
      <w:pPr>
        <w:rPr>
          <w:lang w:val="ru-RU"/>
        </w:rPr>
      </w:pPr>
    </w:p>
    <w:p w14:paraId="265DF33E" w14:textId="77777777" w:rsidR="00E60A09" w:rsidRPr="007B6113" w:rsidRDefault="00E60A09" w:rsidP="00E60A09">
      <w:pPr>
        <w:rPr>
          <w:lang w:val="ru-RU"/>
        </w:rPr>
      </w:pPr>
    </w:p>
    <w:p w14:paraId="7D494ED0" w14:textId="77777777" w:rsidR="00E60A09" w:rsidRPr="007B6113" w:rsidRDefault="00E60A09" w:rsidP="00E60A09">
      <w:pPr>
        <w:rPr>
          <w:lang w:val="ru-RU"/>
        </w:rPr>
      </w:pPr>
    </w:p>
    <w:p w14:paraId="3554E9A0" w14:textId="77777777" w:rsidR="00E60A09" w:rsidRDefault="00E60A09" w:rsidP="00E60A09">
      <w:pPr>
        <w:rPr>
          <w:lang w:val="en-US"/>
        </w:rPr>
      </w:pPr>
    </w:p>
    <w:p w14:paraId="63F1CAF4" w14:textId="77777777" w:rsidR="007B6113" w:rsidRDefault="007B6113" w:rsidP="00E60A09">
      <w:pPr>
        <w:rPr>
          <w:lang w:val="en-US"/>
        </w:rPr>
      </w:pPr>
    </w:p>
    <w:p w14:paraId="04356BEF" w14:textId="77777777" w:rsidR="007B6113" w:rsidRPr="007B6113" w:rsidRDefault="007B6113" w:rsidP="00E60A09">
      <w:pPr>
        <w:rPr>
          <w:lang w:val="en-US"/>
        </w:rPr>
      </w:pPr>
    </w:p>
    <w:p w14:paraId="15937F0A" w14:textId="3B24DFE4" w:rsidR="00E60A09" w:rsidRPr="007B6113" w:rsidRDefault="00E60A09" w:rsidP="00E60A09">
      <w:pPr>
        <w:jc w:val="center"/>
        <w:rPr>
          <w:sz w:val="20"/>
          <w:lang w:val="ru-RU"/>
        </w:rPr>
      </w:pPr>
      <w:r w:rsidRPr="007B6113">
        <w:rPr>
          <w:sz w:val="20"/>
          <w:lang w:val="ru-RU"/>
        </w:rPr>
        <w:sym w:font="Symbol" w:char="F0E3"/>
      </w:r>
      <w:r w:rsidRPr="007B6113">
        <w:rPr>
          <w:sz w:val="20"/>
          <w:lang w:val="ru-RU"/>
        </w:rPr>
        <w:t>  ITU  </w:t>
      </w:r>
      <w:bookmarkStart w:id="3" w:name="iiannee"/>
      <w:bookmarkEnd w:id="3"/>
      <w:r w:rsidRPr="007B6113">
        <w:rPr>
          <w:sz w:val="20"/>
          <w:lang w:val="ru-RU"/>
        </w:rPr>
        <w:t>2024</w:t>
      </w:r>
    </w:p>
    <w:p w14:paraId="5A25B5AD" w14:textId="1EBEAFA0" w:rsidR="008968B6" w:rsidRPr="007B6113" w:rsidRDefault="00E60A09" w:rsidP="00EA2A26">
      <w:pPr>
        <w:rPr>
          <w:lang w:val="ru-RU"/>
        </w:rPr>
      </w:pPr>
      <w:r w:rsidRPr="007B6113">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3B79B51" w14:textId="77777777" w:rsidR="00B73379" w:rsidRPr="007B6113" w:rsidRDefault="00B73379" w:rsidP="003374BB">
      <w:pPr>
        <w:pStyle w:val="ResNo"/>
        <w:rPr>
          <w:lang w:val="ru-RU"/>
        </w:rPr>
        <w:sectPr w:rsidR="00B73379" w:rsidRPr="007B611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09B8C9E9" w14:textId="0E1C4D9E" w:rsidR="007B6113" w:rsidRPr="007B6113" w:rsidRDefault="007B6113" w:rsidP="007B6113">
      <w:pPr>
        <w:pStyle w:val="ResNo"/>
        <w:rPr>
          <w:lang w:val="ru-RU"/>
        </w:rPr>
      </w:pPr>
      <w:r w:rsidRPr="007B6113">
        <w:rPr>
          <w:lang w:val="ru-RU"/>
        </w:rPr>
        <w:lastRenderedPageBreak/>
        <w:t xml:space="preserve">РЕЗОЛЮЦИЯ </w:t>
      </w:r>
      <w:r w:rsidRPr="007B6113">
        <w:rPr>
          <w:rStyle w:val="href"/>
          <w:lang w:val="ru-RU"/>
        </w:rPr>
        <w:t>18</w:t>
      </w:r>
      <w:r w:rsidRPr="007B6113">
        <w:rPr>
          <w:lang w:val="ru-RU"/>
        </w:rPr>
        <w:t xml:space="preserve"> (</w:t>
      </w:r>
      <w:proofErr w:type="spellStart"/>
      <w:r w:rsidRPr="007B6113">
        <w:rPr>
          <w:caps w:val="0"/>
          <w:lang w:val="ru-RU"/>
        </w:rPr>
        <w:t>Пересм</w:t>
      </w:r>
      <w:proofErr w:type="spellEnd"/>
      <w:r w:rsidRPr="007B6113">
        <w:rPr>
          <w:caps w:val="0"/>
          <w:lang w:val="ru-RU"/>
        </w:rPr>
        <w:t>. Нью-Дели, 2024 г.)</w:t>
      </w:r>
      <w:r w:rsidRPr="007B6113">
        <w:rPr>
          <w:rStyle w:val="FootnoteReference"/>
          <w:lang w:val="ru-RU"/>
        </w:rPr>
        <w:footnoteReference w:customMarkFollows="1" w:id="1"/>
        <w:t>1</w:t>
      </w:r>
    </w:p>
    <w:p w14:paraId="11269629" w14:textId="77777777" w:rsidR="007B6113" w:rsidRPr="007B6113" w:rsidRDefault="007B6113" w:rsidP="007B6113">
      <w:pPr>
        <w:pStyle w:val="Restitle"/>
        <w:rPr>
          <w:lang w:val="ru-RU"/>
        </w:rPr>
      </w:pPr>
      <w:bookmarkStart w:id="4" w:name="_Toc349120769"/>
      <w:bookmarkStart w:id="5" w:name="_Toc476828197"/>
      <w:bookmarkStart w:id="6" w:name="_Toc478376739"/>
      <w:r w:rsidRPr="007B6113">
        <w:rPr>
          <w:lang w:val="ru-RU"/>
        </w:rPr>
        <w:t>Усиление координации и сотрудничества между тремя Секторами МСЭ по вопросам, представляющим взаимный интерес</w:t>
      </w:r>
      <w:bookmarkStart w:id="7" w:name="_Hlk153452503"/>
      <w:bookmarkEnd w:id="4"/>
      <w:bookmarkEnd w:id="5"/>
      <w:bookmarkEnd w:id="6"/>
    </w:p>
    <w:bookmarkEnd w:id="7"/>
    <w:p w14:paraId="105B644F" w14:textId="77777777" w:rsidR="007B6113" w:rsidRPr="007B6113" w:rsidRDefault="007B6113" w:rsidP="007B6113">
      <w:pPr>
        <w:pStyle w:val="Resref"/>
        <w:rPr>
          <w:lang w:val="ru-RU"/>
        </w:rPr>
      </w:pPr>
      <w:r w:rsidRPr="007B6113">
        <w:rPr>
          <w:lang w:val="ru-RU"/>
        </w:rPr>
        <w:t xml:space="preserve">(Хельсинки, 1993 г.; Женева, 1996 г.; Монреаль, 2000 г.; </w:t>
      </w:r>
      <w:proofErr w:type="spellStart"/>
      <w:r w:rsidRPr="007B6113">
        <w:rPr>
          <w:lang w:val="ru-RU"/>
        </w:rPr>
        <w:t>Флорианополис</w:t>
      </w:r>
      <w:proofErr w:type="spellEnd"/>
      <w:r w:rsidRPr="007B6113">
        <w:rPr>
          <w:lang w:val="ru-RU"/>
        </w:rPr>
        <w:t xml:space="preserve">, 2004 г.; </w:t>
      </w:r>
      <w:r w:rsidRPr="007B6113">
        <w:rPr>
          <w:lang w:val="ru-RU"/>
        </w:rPr>
        <w:br/>
        <w:t xml:space="preserve">Йоханнесбург, 2008 г.; Дубай, 2012 г.; </w:t>
      </w:r>
      <w:proofErr w:type="spellStart"/>
      <w:r w:rsidRPr="007B6113">
        <w:rPr>
          <w:lang w:val="ru-RU"/>
        </w:rPr>
        <w:t>Хаммамет</w:t>
      </w:r>
      <w:proofErr w:type="spellEnd"/>
      <w:r w:rsidRPr="007B6113">
        <w:rPr>
          <w:lang w:val="ru-RU"/>
        </w:rPr>
        <w:t>, 2016 г.; Женева, 2022 г.; Нью-Дели, 2024 г.)</w:t>
      </w:r>
    </w:p>
    <w:p w14:paraId="1D23F422" w14:textId="77777777" w:rsidR="007B6113" w:rsidRPr="007B6113" w:rsidRDefault="007B6113" w:rsidP="007B6113">
      <w:pPr>
        <w:pStyle w:val="Normalaftertitle0"/>
        <w:rPr>
          <w:lang w:val="ru-RU"/>
        </w:rPr>
      </w:pPr>
      <w:r w:rsidRPr="007B6113">
        <w:rPr>
          <w:lang w:val="ru-RU"/>
        </w:rPr>
        <w:t>Всемирная ассамблея по стандартизации электросвязи (Нью-Дели, 2024 г.),</w:t>
      </w:r>
    </w:p>
    <w:p w14:paraId="07597021" w14:textId="77777777" w:rsidR="007B6113" w:rsidRPr="007B6113" w:rsidRDefault="007B6113" w:rsidP="007B6113">
      <w:pPr>
        <w:pStyle w:val="Call"/>
        <w:rPr>
          <w:lang w:val="ru-RU"/>
        </w:rPr>
      </w:pPr>
      <w:r w:rsidRPr="007B6113">
        <w:rPr>
          <w:lang w:val="ru-RU"/>
        </w:rPr>
        <w:t>напоминая</w:t>
      </w:r>
      <w:r w:rsidRPr="007B6113">
        <w:rPr>
          <w:i w:val="0"/>
          <w:lang w:val="ru-RU"/>
        </w:rPr>
        <w:t>,</w:t>
      </w:r>
    </w:p>
    <w:p w14:paraId="0D2F692C" w14:textId="77777777" w:rsidR="007B6113" w:rsidRPr="007B6113" w:rsidRDefault="007B6113" w:rsidP="007B6113">
      <w:pPr>
        <w:rPr>
          <w:lang w:val="ru-RU"/>
        </w:rPr>
      </w:pPr>
      <w:r w:rsidRPr="007B6113">
        <w:rPr>
          <w:i/>
          <w:iCs/>
          <w:lang w:val="ru-RU"/>
        </w:rPr>
        <w:t>a)</w:t>
      </w:r>
      <w:r w:rsidRPr="007B6113">
        <w:rPr>
          <w:lang w:val="ru-RU"/>
        </w:rPr>
        <w:tab/>
        <w:t xml:space="preserve">что обязанности Сектора радиосвязи МСЭ (МСЭ-R), Сектора стандартизации электросвязи МСЭ (МСЭ-T) и Сектора развития электросвязи МСЭ (МСЭ-D) закреплены в Уставе и Конвенции, в частности в п. 119 Устава и в </w:t>
      </w:r>
      <w:proofErr w:type="spellStart"/>
      <w:r w:rsidRPr="007B6113">
        <w:rPr>
          <w:lang w:val="ru-RU"/>
        </w:rPr>
        <w:t>пп</w:t>
      </w:r>
      <w:proofErr w:type="spellEnd"/>
      <w:r w:rsidRPr="007B6113">
        <w:rPr>
          <w:lang w:val="ru-RU"/>
        </w:rPr>
        <w:t xml:space="preserve">. 151–154 (относящихся к МСЭ-R), п. 193 (относящемся к МСЭ-T), </w:t>
      </w:r>
      <w:proofErr w:type="spellStart"/>
      <w:r w:rsidRPr="007B6113">
        <w:rPr>
          <w:lang w:val="ru-RU"/>
        </w:rPr>
        <w:t>пп</w:t>
      </w:r>
      <w:proofErr w:type="spellEnd"/>
      <w:r w:rsidRPr="007B6113">
        <w:rPr>
          <w:lang w:val="ru-RU"/>
        </w:rPr>
        <w:t>. 211 и 214 (относящихся к МСЭ-D) и п. 215 Конвенции;</w:t>
      </w:r>
    </w:p>
    <w:p w14:paraId="6EE285E3" w14:textId="77777777" w:rsidR="007B6113" w:rsidRPr="007B6113" w:rsidRDefault="007B6113" w:rsidP="007B6113">
      <w:pPr>
        <w:rPr>
          <w:i/>
          <w:iCs/>
          <w:lang w:val="ru-RU"/>
        </w:rPr>
      </w:pPr>
      <w:r w:rsidRPr="007B6113">
        <w:rPr>
          <w:i/>
          <w:iCs/>
          <w:lang w:val="ru-RU"/>
        </w:rPr>
        <w:t>b)</w:t>
      </w:r>
      <w:r w:rsidRPr="007B6113">
        <w:rPr>
          <w:iCs/>
          <w:lang w:val="ru-RU"/>
        </w:rPr>
        <w:tab/>
        <w:t>о Резолюции 191 (</w:t>
      </w:r>
      <w:proofErr w:type="spellStart"/>
      <w:r w:rsidRPr="007B6113">
        <w:rPr>
          <w:iCs/>
          <w:lang w:val="ru-RU"/>
        </w:rPr>
        <w:t>Пересм</w:t>
      </w:r>
      <w:proofErr w:type="spellEnd"/>
      <w:r w:rsidRPr="007B6113">
        <w:rPr>
          <w:iCs/>
          <w:lang w:val="ru-RU"/>
        </w:rPr>
        <w:t>. Бухарест, 2022 г.) Полномочной конференции о стратегии координации усилий трех Секторов Союза;</w:t>
      </w:r>
    </w:p>
    <w:p w14:paraId="03374B8E" w14:textId="77777777" w:rsidR="007B6113" w:rsidRPr="007B6113" w:rsidRDefault="007B6113" w:rsidP="007B6113">
      <w:pPr>
        <w:rPr>
          <w:i/>
          <w:iCs/>
          <w:lang w:val="ru-RU"/>
        </w:rPr>
      </w:pPr>
      <w:r w:rsidRPr="007B6113">
        <w:rPr>
          <w:i/>
          <w:iCs/>
          <w:lang w:val="ru-RU"/>
        </w:rPr>
        <w:t>c)</w:t>
      </w:r>
      <w:r w:rsidRPr="007B6113">
        <w:rPr>
          <w:iCs/>
          <w:lang w:val="ru-RU"/>
        </w:rPr>
        <w:tab/>
        <w:t>о Резолюции МСЭ-R 75 (Дубай, 2023 г.) Ассамблеи радиосвязи об усилении координации и сотрудничества между тремя Секторами МСЭ по вопросам, представляющим взаимный интерес;</w:t>
      </w:r>
    </w:p>
    <w:p w14:paraId="7B5A4440" w14:textId="77777777" w:rsidR="007B6113" w:rsidRPr="007B6113" w:rsidRDefault="007B6113" w:rsidP="007B6113">
      <w:pPr>
        <w:rPr>
          <w:i/>
          <w:iCs/>
          <w:lang w:val="ru-RU"/>
        </w:rPr>
      </w:pPr>
      <w:r w:rsidRPr="007B6113">
        <w:rPr>
          <w:i/>
          <w:iCs/>
          <w:lang w:val="ru-RU"/>
        </w:rPr>
        <w:t>d)</w:t>
      </w:r>
      <w:r w:rsidRPr="007B6113">
        <w:rPr>
          <w:iCs/>
          <w:lang w:val="ru-RU"/>
        </w:rPr>
        <w:tab/>
        <w:t>о Резолюции 59 (</w:t>
      </w:r>
      <w:proofErr w:type="spellStart"/>
      <w:r w:rsidRPr="007B6113">
        <w:rPr>
          <w:iCs/>
          <w:lang w:val="ru-RU"/>
        </w:rPr>
        <w:t>Пересм</w:t>
      </w:r>
      <w:proofErr w:type="spellEnd"/>
      <w:r w:rsidRPr="007B6113">
        <w:rPr>
          <w:iCs/>
          <w:lang w:val="ru-RU"/>
        </w:rPr>
        <w:t>. Кигали, 2022 г.) Всемирной конференции по развитию электросвязи (ВКРЭ) об усилении координации и сотрудничества между тремя Секторами МСЭ по вопросам, представляющим взаимный интерес;</w:t>
      </w:r>
    </w:p>
    <w:p w14:paraId="50F937E6" w14:textId="77777777" w:rsidR="007B6113" w:rsidRPr="007B6113" w:rsidRDefault="007B6113" w:rsidP="007B6113">
      <w:pPr>
        <w:rPr>
          <w:iCs/>
          <w:lang w:val="ru-RU"/>
        </w:rPr>
      </w:pPr>
      <w:r w:rsidRPr="007B6113">
        <w:rPr>
          <w:i/>
          <w:iCs/>
          <w:lang w:val="ru-RU"/>
        </w:rPr>
        <w:t>e)</w:t>
      </w:r>
      <w:r w:rsidRPr="007B6113">
        <w:rPr>
          <w:iCs/>
          <w:lang w:val="ru-RU"/>
        </w:rPr>
        <w:tab/>
        <w:t>о Резолюции 44 (</w:t>
      </w:r>
      <w:proofErr w:type="spellStart"/>
      <w:r w:rsidRPr="007B6113">
        <w:rPr>
          <w:iCs/>
          <w:lang w:val="ru-RU"/>
        </w:rPr>
        <w:t>Пересм</w:t>
      </w:r>
      <w:proofErr w:type="spellEnd"/>
      <w:r w:rsidRPr="007B6113">
        <w:rPr>
          <w:iCs/>
          <w:lang w:val="ru-RU"/>
        </w:rPr>
        <w:t>. Нью-Дели, 2024 г.) настоящей Ассамблеи о преодолении разрыва в стандартизации между развивающимися</w:t>
      </w:r>
      <w:r w:rsidRPr="007B6113">
        <w:rPr>
          <w:rStyle w:val="FootnoteReference"/>
          <w:iCs/>
          <w:lang w:val="ru-RU"/>
        </w:rPr>
        <w:footnoteReference w:customMarkFollows="1" w:id="2"/>
        <w:t>2</w:t>
      </w:r>
      <w:r w:rsidRPr="007B6113">
        <w:rPr>
          <w:iCs/>
          <w:lang w:val="ru-RU"/>
        </w:rPr>
        <w:t xml:space="preserve"> и развитыми странами;</w:t>
      </w:r>
    </w:p>
    <w:p w14:paraId="03E24BA6" w14:textId="77777777" w:rsidR="007B6113" w:rsidRPr="007B6113" w:rsidRDefault="007B6113" w:rsidP="007B6113">
      <w:pPr>
        <w:rPr>
          <w:lang w:val="ru-RU"/>
        </w:rPr>
      </w:pPr>
      <w:r w:rsidRPr="007B6113">
        <w:rPr>
          <w:i/>
          <w:iCs/>
          <w:lang w:val="ru-RU"/>
        </w:rPr>
        <w:t>f</w:t>
      </w:r>
      <w:r w:rsidRPr="007B6113">
        <w:rPr>
          <w:i/>
          <w:iCs/>
          <w:szCs w:val="22"/>
          <w:lang w:val="ru-RU"/>
        </w:rPr>
        <w:t>)</w:t>
      </w:r>
      <w:r w:rsidRPr="007B6113">
        <w:rPr>
          <w:iCs/>
          <w:szCs w:val="22"/>
          <w:lang w:val="ru-RU"/>
        </w:rPr>
        <w:tab/>
      </w:r>
      <w:r w:rsidRPr="007B6113">
        <w:rPr>
          <w:iCs/>
          <w:lang w:val="ru-RU"/>
        </w:rPr>
        <w:t>о Резолюции 5 (</w:t>
      </w:r>
      <w:proofErr w:type="spellStart"/>
      <w:r w:rsidRPr="007B6113">
        <w:rPr>
          <w:iCs/>
          <w:lang w:val="ru-RU"/>
        </w:rPr>
        <w:t>Пересм</w:t>
      </w:r>
      <w:proofErr w:type="spellEnd"/>
      <w:r w:rsidRPr="007B6113">
        <w:rPr>
          <w:iCs/>
          <w:lang w:val="ru-RU"/>
        </w:rPr>
        <w:t>. Кигали, 2022 г.) ВКРЭ о расширенном участии развивающихся стран в деятельности Союза,</w:t>
      </w:r>
    </w:p>
    <w:p w14:paraId="1B7CD1A9" w14:textId="77777777" w:rsidR="007B6113" w:rsidRPr="007B6113" w:rsidRDefault="007B6113" w:rsidP="007B6113">
      <w:pPr>
        <w:pStyle w:val="Call"/>
        <w:rPr>
          <w:lang w:val="ru-RU"/>
        </w:rPr>
      </w:pPr>
      <w:r w:rsidRPr="007B6113">
        <w:rPr>
          <w:lang w:val="ru-RU"/>
        </w:rPr>
        <w:t>учитывая</w:t>
      </w:r>
      <w:r w:rsidRPr="007B6113">
        <w:rPr>
          <w:i w:val="0"/>
          <w:lang w:val="ru-RU"/>
        </w:rPr>
        <w:t>,</w:t>
      </w:r>
    </w:p>
    <w:p w14:paraId="1E83F645" w14:textId="77777777" w:rsidR="007B6113" w:rsidRPr="007B6113" w:rsidRDefault="007B6113" w:rsidP="007B6113">
      <w:pPr>
        <w:rPr>
          <w:szCs w:val="22"/>
          <w:lang w:val="ru-RU"/>
        </w:rPr>
      </w:pPr>
      <w:r w:rsidRPr="007B6113">
        <w:rPr>
          <w:i/>
          <w:iCs/>
          <w:lang w:val="ru-RU"/>
        </w:rPr>
        <w:t>a)</w:t>
      </w:r>
      <w:r w:rsidRPr="007B6113">
        <w:rPr>
          <w:szCs w:val="22"/>
          <w:lang w:val="ru-RU"/>
        </w:rPr>
        <w:tab/>
        <w:t>что базовым принципом сотрудничества и взаимодействия между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 в рамках конкретных функций, порученных каждому из Секторов в соответствии с Уставом и Конвенцией МСЭ;</w:t>
      </w:r>
    </w:p>
    <w:p w14:paraId="478B7F8C" w14:textId="77777777" w:rsidR="007B6113" w:rsidRPr="007B6113" w:rsidRDefault="007B6113" w:rsidP="007B6113">
      <w:pPr>
        <w:rPr>
          <w:lang w:val="ru-RU"/>
        </w:rPr>
      </w:pPr>
      <w:r w:rsidRPr="007B6113">
        <w:rPr>
          <w:i/>
          <w:iCs/>
          <w:lang w:val="ru-RU"/>
        </w:rPr>
        <w:t>b)</w:t>
      </w:r>
      <w:r w:rsidRPr="007B6113">
        <w:rPr>
          <w:lang w:val="ru-RU"/>
        </w:rPr>
        <w:tab/>
        <w:t>что наблюдается рост числа вопросов, представляющих взаимный интерес и касающихся всех Секторов в соответствии с Резолюцией 191 (</w:t>
      </w:r>
      <w:proofErr w:type="spellStart"/>
      <w:r w:rsidRPr="007B6113">
        <w:rPr>
          <w:lang w:val="ru-RU"/>
        </w:rPr>
        <w:t>Пересм</w:t>
      </w:r>
      <w:proofErr w:type="spellEnd"/>
      <w:r w:rsidRPr="007B6113">
        <w:rPr>
          <w:lang w:val="ru-RU"/>
        </w:rPr>
        <w:t>. Бухарест, 2022 г.);</w:t>
      </w:r>
    </w:p>
    <w:p w14:paraId="4DA8E677" w14:textId="77777777" w:rsidR="007B6113" w:rsidRPr="007B6113" w:rsidRDefault="007B6113" w:rsidP="007B6113">
      <w:pPr>
        <w:rPr>
          <w:lang w:val="ru-RU"/>
        </w:rPr>
      </w:pPr>
      <w:r w:rsidRPr="007B6113">
        <w:rPr>
          <w:lang w:val="ru-RU"/>
        </w:rPr>
        <w:br w:type="page"/>
      </w:r>
    </w:p>
    <w:p w14:paraId="639E3D71" w14:textId="77777777" w:rsidR="007B6113" w:rsidRPr="007B6113" w:rsidRDefault="007B6113" w:rsidP="007B6113">
      <w:pPr>
        <w:rPr>
          <w:lang w:val="ru-RU"/>
        </w:rPr>
      </w:pPr>
      <w:r w:rsidRPr="007B6113">
        <w:rPr>
          <w:i/>
          <w:lang w:val="ru-RU"/>
        </w:rPr>
        <w:lastRenderedPageBreak/>
        <w:t>c)</w:t>
      </w:r>
      <w:r w:rsidRPr="007B6113">
        <w:rPr>
          <w:iCs/>
          <w:lang w:val="ru-RU"/>
        </w:rPr>
        <w:tab/>
      </w:r>
      <w:r w:rsidRPr="007B6113">
        <w:rPr>
          <w:lang w:val="ru-RU"/>
        </w:rPr>
        <w:t xml:space="preserve">что </w:t>
      </w:r>
      <w:proofErr w:type="spellStart"/>
      <w:r w:rsidRPr="007B6113">
        <w:rPr>
          <w:lang w:val="ru-RU"/>
        </w:rPr>
        <w:t>Межсекторальная</w:t>
      </w:r>
      <w:proofErr w:type="spellEnd"/>
      <w:r w:rsidRPr="007B6113">
        <w:rPr>
          <w:lang w:val="ru-RU"/>
        </w:rPr>
        <w:t xml:space="preserve"> координационная группа по вопросам, представляющим взаимный интерес (МСКГ), в которую входят представители трех консультативных групп, работает для определения вопросов, представляющих общий интерес, и механизмов для укрепления взаимодействия и сотрудничества между Секторами и Генеральным секретариатом, а также для рассмотрения отчетов Директоров Бюро и </w:t>
      </w:r>
      <w:proofErr w:type="spellStart"/>
      <w:r w:rsidRPr="007B6113">
        <w:rPr>
          <w:lang w:val="ru-RU"/>
        </w:rPr>
        <w:t>Межсекторальной</w:t>
      </w:r>
      <w:proofErr w:type="spellEnd"/>
      <w:r w:rsidRPr="007B6113">
        <w:rPr>
          <w:lang w:val="ru-RU"/>
        </w:rPr>
        <w:t xml:space="preserve"> целевой группы по координации (ЦГ</w:t>
      </w:r>
      <w:r w:rsidRPr="007B6113">
        <w:rPr>
          <w:lang w:val="ru-RU"/>
        </w:rPr>
        <w:noBreakHyphen/>
        <w:t>МСК) по вариантам укрепления сотрудничества и координации в рамках секретариата,</w:t>
      </w:r>
    </w:p>
    <w:p w14:paraId="48A80C90" w14:textId="77777777" w:rsidR="007B6113" w:rsidRPr="007B6113" w:rsidRDefault="007B6113" w:rsidP="007B6113">
      <w:pPr>
        <w:pStyle w:val="Call"/>
        <w:rPr>
          <w:lang w:val="ru-RU"/>
        </w:rPr>
      </w:pPr>
      <w:r w:rsidRPr="007B6113">
        <w:rPr>
          <w:lang w:val="ru-RU"/>
        </w:rPr>
        <w:t>признавая</w:t>
      </w:r>
      <w:r w:rsidRPr="007B6113">
        <w:rPr>
          <w:i w:val="0"/>
          <w:iCs/>
          <w:lang w:val="ru-RU"/>
        </w:rPr>
        <w:t>,</w:t>
      </w:r>
    </w:p>
    <w:p w14:paraId="71F6DB75" w14:textId="77777777" w:rsidR="007B6113" w:rsidRPr="007B6113" w:rsidRDefault="007B6113" w:rsidP="007B6113">
      <w:pPr>
        <w:rPr>
          <w:lang w:val="ru-RU"/>
        </w:rPr>
      </w:pPr>
      <w:r w:rsidRPr="007B6113">
        <w:rPr>
          <w:i/>
          <w:iCs/>
          <w:lang w:val="ru-RU"/>
        </w:rPr>
        <w:t>a)</w:t>
      </w:r>
      <w:r w:rsidRPr="007B6113">
        <w:rPr>
          <w:lang w:val="ru-RU"/>
        </w:rPr>
        <w:tab/>
        <w:t>что существует необходимость расширять участие развивающихся стран в работе МСЭ, как указано в Резолюции 5 (</w:t>
      </w:r>
      <w:proofErr w:type="spellStart"/>
      <w:r w:rsidRPr="007B6113">
        <w:rPr>
          <w:lang w:val="ru-RU"/>
        </w:rPr>
        <w:t>Пересм</w:t>
      </w:r>
      <w:proofErr w:type="spellEnd"/>
      <w:r w:rsidRPr="007B6113">
        <w:rPr>
          <w:lang w:val="ru-RU"/>
        </w:rPr>
        <w:t>. Кигали, 2022 г.);</w:t>
      </w:r>
    </w:p>
    <w:p w14:paraId="264E0DF8" w14:textId="77777777" w:rsidR="007B6113" w:rsidRPr="007B6113" w:rsidRDefault="007B6113" w:rsidP="007B6113">
      <w:pPr>
        <w:rPr>
          <w:lang w:val="ru-RU"/>
        </w:rPr>
      </w:pPr>
      <w:r w:rsidRPr="007B6113">
        <w:rPr>
          <w:i/>
          <w:iCs/>
          <w:lang w:val="ru-RU"/>
        </w:rPr>
        <w:t>b)</w:t>
      </w:r>
      <w:r w:rsidRPr="007B6113">
        <w:rPr>
          <w:lang w:val="ru-RU"/>
        </w:rPr>
        <w:tab/>
        <w:t xml:space="preserve">что одним из таких механизмов является </w:t>
      </w:r>
      <w:proofErr w:type="spellStart"/>
      <w:r w:rsidRPr="007B6113">
        <w:rPr>
          <w:lang w:val="ru-RU"/>
        </w:rPr>
        <w:t>Межсекторальная</w:t>
      </w:r>
      <w:proofErr w:type="spellEnd"/>
      <w:r w:rsidRPr="007B6113">
        <w:rPr>
          <w:lang w:val="ru-RU"/>
        </w:rPr>
        <w:t xml:space="preserve">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1B7A9D51" w14:textId="77777777" w:rsidR="007B6113" w:rsidRPr="007B6113" w:rsidRDefault="007B6113" w:rsidP="007B6113">
      <w:pPr>
        <w:rPr>
          <w:lang w:val="ru-RU"/>
        </w:rPr>
      </w:pPr>
      <w:r w:rsidRPr="007B6113">
        <w:rPr>
          <w:i/>
          <w:iCs/>
          <w:lang w:val="ru-RU"/>
        </w:rPr>
        <w:t>c)</w:t>
      </w:r>
      <w:r w:rsidRPr="007B6113">
        <w:rPr>
          <w:lang w:val="ru-RU"/>
        </w:rPr>
        <w:tab/>
        <w:t>что все консультативные группы взаимодействуют в целях выполнения Резолюции 123 (</w:t>
      </w:r>
      <w:proofErr w:type="spellStart"/>
      <w:r w:rsidRPr="007B6113">
        <w:rPr>
          <w:lang w:val="ru-RU"/>
        </w:rPr>
        <w:t>Пересм</w:t>
      </w:r>
      <w:proofErr w:type="spellEnd"/>
      <w:r w:rsidRPr="007B6113">
        <w:rPr>
          <w:lang w:val="ru-RU"/>
        </w:rPr>
        <w:t>. Бухарест, 2022 г.) Полномочной конференции по преодолению разрыва в стандартизации между развитыми и развивающимися странами;</w:t>
      </w:r>
    </w:p>
    <w:p w14:paraId="49F1E512" w14:textId="77777777" w:rsidR="007B6113" w:rsidRPr="007B6113" w:rsidRDefault="007B6113" w:rsidP="007B6113">
      <w:pPr>
        <w:rPr>
          <w:szCs w:val="22"/>
          <w:lang w:val="ru-RU"/>
        </w:rPr>
      </w:pPr>
      <w:r w:rsidRPr="007B6113">
        <w:rPr>
          <w:i/>
          <w:szCs w:val="22"/>
          <w:lang w:val="ru-RU"/>
        </w:rPr>
        <w:t>d)</w:t>
      </w:r>
      <w:r w:rsidRPr="007B6113">
        <w:rPr>
          <w:szCs w:val="22"/>
          <w:lang w:val="ru-RU"/>
        </w:rPr>
        <w:tab/>
        <w:t>что взаимодействие и координация при совместном проведении семинаров, семинаров-практикумов, форумов, симпозиумов и т. д. принесли положительные результаты с точки зрения экономии финансовых и людских ресурсов;</w:t>
      </w:r>
    </w:p>
    <w:p w14:paraId="5FEDC9AA" w14:textId="77777777" w:rsidR="007B6113" w:rsidRPr="007B6113" w:rsidRDefault="007B6113" w:rsidP="007B6113">
      <w:pPr>
        <w:rPr>
          <w:szCs w:val="22"/>
          <w:lang w:val="ru-RU"/>
        </w:rPr>
      </w:pPr>
      <w:r w:rsidRPr="007B6113">
        <w:rPr>
          <w:i/>
          <w:szCs w:val="22"/>
          <w:lang w:val="ru-RU"/>
        </w:rPr>
        <w:t>e)</w:t>
      </w:r>
      <w:r w:rsidRPr="007B6113">
        <w:rPr>
          <w:szCs w:val="22"/>
          <w:lang w:val="ru-RU"/>
        </w:rPr>
        <w:tab/>
        <w:t>что дистанционное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МСЭ-T, на которых требуется их присутствие,</w:t>
      </w:r>
    </w:p>
    <w:p w14:paraId="405E6EB3" w14:textId="77777777" w:rsidR="007B6113" w:rsidRPr="007B6113" w:rsidRDefault="007B6113" w:rsidP="007B6113">
      <w:pPr>
        <w:pStyle w:val="Call"/>
        <w:rPr>
          <w:lang w:val="ru-RU"/>
        </w:rPr>
      </w:pPr>
      <w:r w:rsidRPr="007B6113">
        <w:rPr>
          <w:lang w:val="ru-RU"/>
        </w:rPr>
        <w:t>принимая во внимание</w:t>
      </w:r>
    </w:p>
    <w:p w14:paraId="01C9B11B" w14:textId="77777777" w:rsidR="007B6113" w:rsidRPr="007B6113" w:rsidRDefault="007B6113" w:rsidP="007B6113">
      <w:pPr>
        <w:rPr>
          <w:szCs w:val="22"/>
          <w:lang w:val="ru-RU"/>
        </w:rPr>
      </w:pPr>
      <w:r w:rsidRPr="007B6113">
        <w:rPr>
          <w:i/>
          <w:szCs w:val="22"/>
          <w:lang w:val="ru-RU"/>
        </w:rPr>
        <w:t>a)</w:t>
      </w:r>
      <w:r w:rsidRPr="007B6113">
        <w:rPr>
          <w:szCs w:val="22"/>
          <w:lang w:val="ru-RU"/>
        </w:rPr>
        <w:tab/>
        <w:t>расширение области совместных исследований, проводимых тремя Секторами, а также связанную с этим необходимость координации и сотрудничества между ними;</w:t>
      </w:r>
    </w:p>
    <w:p w14:paraId="319C17C0" w14:textId="77777777" w:rsidR="007B6113" w:rsidRPr="007B6113" w:rsidRDefault="007B6113" w:rsidP="007B6113">
      <w:pPr>
        <w:rPr>
          <w:szCs w:val="22"/>
          <w:lang w:val="ru-RU"/>
        </w:rPr>
      </w:pPr>
      <w:r w:rsidRPr="007B6113">
        <w:rPr>
          <w:i/>
          <w:szCs w:val="22"/>
          <w:lang w:val="ru-RU"/>
        </w:rPr>
        <w:t>b)</w:t>
      </w:r>
      <w:r w:rsidRPr="007B6113">
        <w:rPr>
          <w:szCs w:val="22"/>
          <w:lang w:val="ru-RU"/>
        </w:rPr>
        <w:tab/>
        <w:t>рост числа вопросов, представляющих взаимный интерес и касающихся трех Секторов,</w:t>
      </w:r>
    </w:p>
    <w:p w14:paraId="4C47EA68" w14:textId="77777777" w:rsidR="007B6113" w:rsidRPr="007B6113" w:rsidRDefault="007B6113" w:rsidP="007B6113">
      <w:pPr>
        <w:pStyle w:val="Call"/>
        <w:rPr>
          <w:iCs/>
          <w:lang w:val="ru-RU"/>
        </w:rPr>
      </w:pPr>
      <w:r w:rsidRPr="007B6113">
        <w:rPr>
          <w:lang w:val="ru-RU"/>
        </w:rPr>
        <w:t>отмечая</w:t>
      </w:r>
      <w:r w:rsidRPr="007B6113">
        <w:rPr>
          <w:i w:val="0"/>
          <w:iCs/>
          <w:lang w:val="ru-RU"/>
        </w:rPr>
        <w:t>,</w:t>
      </w:r>
    </w:p>
    <w:p w14:paraId="7DF87776" w14:textId="77777777" w:rsidR="007B6113" w:rsidRPr="007B6113" w:rsidRDefault="007B6113" w:rsidP="007B6113">
      <w:pPr>
        <w:rPr>
          <w:lang w:val="ru-RU"/>
        </w:rPr>
      </w:pPr>
      <w:r w:rsidRPr="007B6113">
        <w:rPr>
          <w:lang w:val="ru-RU"/>
        </w:rPr>
        <w:t>что Резолюция МСЭ-R 75 (Дубай, 2023 г.) предусматривает механизмы постоянного пересмотра распределения работ и сотрудничества между МСЭ-R и МСЭ-Т,</w:t>
      </w:r>
    </w:p>
    <w:p w14:paraId="400BE859" w14:textId="77777777" w:rsidR="007B6113" w:rsidRPr="007B6113" w:rsidRDefault="007B6113" w:rsidP="007B6113">
      <w:pPr>
        <w:pStyle w:val="Call"/>
        <w:rPr>
          <w:lang w:val="ru-RU"/>
        </w:rPr>
      </w:pPr>
      <w:r w:rsidRPr="007B6113">
        <w:rPr>
          <w:lang w:val="ru-RU"/>
        </w:rPr>
        <w:t>решает</w:t>
      </w:r>
      <w:r w:rsidRPr="007B6113">
        <w:rPr>
          <w:i w:val="0"/>
          <w:lang w:val="ru-RU"/>
        </w:rPr>
        <w:t>,</w:t>
      </w:r>
    </w:p>
    <w:p w14:paraId="23DD6930" w14:textId="77777777" w:rsidR="007B6113" w:rsidRPr="007B6113" w:rsidRDefault="007B6113" w:rsidP="007B6113">
      <w:pPr>
        <w:rPr>
          <w:lang w:val="ru-RU"/>
        </w:rPr>
      </w:pPr>
      <w:r w:rsidRPr="007B6113">
        <w:rPr>
          <w:lang w:val="ru-RU"/>
        </w:rPr>
        <w:t>1</w:t>
      </w:r>
      <w:r w:rsidRPr="007B6113">
        <w:rPr>
          <w:lang w:val="ru-RU"/>
        </w:rPr>
        <w:tab/>
        <w:t xml:space="preserve">что Консультативная группа по радиосвязи (КГР), Консультативная группа по стандартизации электросвязи (КГСЭ) и Консультативная группа по развитию электросвязи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w:t>
      </w:r>
      <w:r w:rsidRPr="007B6113">
        <w:rPr>
          <w:szCs w:val="22"/>
          <w:lang w:val="ru-RU"/>
        </w:rPr>
        <w:t>соответствии с процедурами, установленными для утверждения новых и/или пересмотренных Вопросов, как это предусмотрено Резолюцией 191 (</w:t>
      </w:r>
      <w:proofErr w:type="spellStart"/>
      <w:r w:rsidRPr="007B6113">
        <w:rPr>
          <w:szCs w:val="22"/>
          <w:lang w:val="ru-RU"/>
        </w:rPr>
        <w:t>Пересм</w:t>
      </w:r>
      <w:proofErr w:type="spellEnd"/>
      <w:r w:rsidRPr="007B6113">
        <w:rPr>
          <w:szCs w:val="22"/>
          <w:lang w:val="ru-RU"/>
        </w:rPr>
        <w:t>. Бухарест, 2022 г.);</w:t>
      </w:r>
    </w:p>
    <w:p w14:paraId="00191B87" w14:textId="77777777" w:rsidR="007B6113" w:rsidRPr="007B6113" w:rsidRDefault="007B6113" w:rsidP="007B6113">
      <w:pPr>
        <w:rPr>
          <w:lang w:val="ru-RU"/>
        </w:rPr>
      </w:pPr>
      <w:r w:rsidRPr="007B6113">
        <w:rPr>
          <w:lang w:val="ru-RU"/>
        </w:rPr>
        <w:br w:type="page"/>
      </w:r>
    </w:p>
    <w:p w14:paraId="5E41A949" w14:textId="77777777" w:rsidR="007B6113" w:rsidRPr="007B6113" w:rsidRDefault="007B6113" w:rsidP="007B6113">
      <w:pPr>
        <w:rPr>
          <w:lang w:val="ru-RU"/>
        </w:rPr>
      </w:pPr>
      <w:r w:rsidRPr="007B6113">
        <w:rPr>
          <w:lang w:val="ru-RU"/>
        </w:rPr>
        <w:lastRenderedPageBreak/>
        <w:t>2</w:t>
      </w:r>
      <w:r w:rsidRPr="007B6113">
        <w:rPr>
          <w:lang w:val="ru-RU"/>
        </w:rPr>
        <w:tab/>
        <w:t>что если установлено, что на любые два или все Секторы возложен большой объем работы по какому</w:t>
      </w:r>
      <w:r w:rsidRPr="007B6113">
        <w:rPr>
          <w:lang w:val="ru-RU"/>
        </w:rPr>
        <w:noBreakHyphen/>
        <w:t>либо конкретному вопросу, то:</w:t>
      </w:r>
    </w:p>
    <w:p w14:paraId="18084BE9" w14:textId="77777777" w:rsidR="007B6113" w:rsidRPr="007B6113" w:rsidRDefault="007B6113" w:rsidP="007B6113">
      <w:pPr>
        <w:pStyle w:val="enumlev1"/>
        <w:rPr>
          <w:lang w:val="ru-RU"/>
        </w:rPr>
      </w:pPr>
      <w:r w:rsidRPr="007B6113">
        <w:rPr>
          <w:lang w:val="ru-RU"/>
        </w:rPr>
        <w:t>i)</w:t>
      </w:r>
      <w:r w:rsidRPr="007B6113">
        <w:rPr>
          <w:lang w:val="ru-RU"/>
        </w:rPr>
        <w:tab/>
        <w:t>должна применяться процедура, приведенная в Приложении А к настоящей Резолюции; либо</w:t>
      </w:r>
    </w:p>
    <w:p w14:paraId="1154EA76" w14:textId="77777777" w:rsidR="007B6113" w:rsidRPr="007B6113" w:rsidRDefault="007B6113" w:rsidP="007B6113">
      <w:pPr>
        <w:pStyle w:val="enumlev1"/>
        <w:rPr>
          <w:lang w:val="ru-RU"/>
        </w:rPr>
      </w:pPr>
      <w:proofErr w:type="spellStart"/>
      <w:r w:rsidRPr="007B6113">
        <w:rPr>
          <w:lang w:val="ru-RU"/>
        </w:rPr>
        <w:t>ii</w:t>
      </w:r>
      <w:proofErr w:type="spellEnd"/>
      <w:r w:rsidRPr="007B6113">
        <w:rPr>
          <w:lang w:val="ru-RU"/>
        </w:rPr>
        <w:t>)</w:t>
      </w:r>
      <w:r w:rsidRPr="007B6113">
        <w:rPr>
          <w:lang w:val="ru-RU"/>
        </w:rPr>
        <w:tab/>
        <w:t>данный вопрос должен изучаться соответствующими исследовательскими комиссиями участвующих Секторов при надлежащей координации работы и согласовании соответствующих тем Вопросов, представляющих интерес для исследовательских комиссий, в МСЭ-Т, МСЭ-D и МСЭ-R (см. Приложения В и С к настоящей Резолюции); или</w:t>
      </w:r>
    </w:p>
    <w:p w14:paraId="01B368EB" w14:textId="77777777" w:rsidR="007B6113" w:rsidRPr="007B6113" w:rsidRDefault="007B6113" w:rsidP="007B6113">
      <w:pPr>
        <w:pStyle w:val="enumlev1"/>
        <w:rPr>
          <w:szCs w:val="22"/>
          <w:lang w:val="ru-RU"/>
        </w:rPr>
      </w:pPr>
      <w:proofErr w:type="spellStart"/>
      <w:r w:rsidRPr="007B6113">
        <w:rPr>
          <w:lang w:val="ru-RU"/>
        </w:rPr>
        <w:t>iii</w:t>
      </w:r>
      <w:proofErr w:type="spellEnd"/>
      <w:r w:rsidRPr="007B6113">
        <w:rPr>
          <w:lang w:val="ru-RU"/>
        </w:rPr>
        <w:t>)</w:t>
      </w:r>
      <w:r w:rsidRPr="007B6113">
        <w:rPr>
          <w:lang w:val="ru-RU"/>
        </w:rPr>
        <w:tab/>
        <w:t xml:space="preserve">исследовательскими комиссиями и/или </w:t>
      </w:r>
      <w:r w:rsidRPr="007B6113">
        <w:rPr>
          <w:szCs w:val="22"/>
          <w:lang w:val="ru-RU"/>
        </w:rPr>
        <w:t>Директорами Бюро может организовываться совместное собрание;</w:t>
      </w:r>
    </w:p>
    <w:p w14:paraId="5ACCADC0" w14:textId="77777777" w:rsidR="007B6113" w:rsidRPr="007B6113" w:rsidRDefault="007B6113" w:rsidP="007B6113">
      <w:pPr>
        <w:rPr>
          <w:szCs w:val="22"/>
          <w:lang w:val="ru-RU"/>
        </w:rPr>
      </w:pPr>
      <w:r w:rsidRPr="007B6113">
        <w:rPr>
          <w:szCs w:val="22"/>
          <w:lang w:val="ru-RU"/>
        </w:rPr>
        <w:t>3</w:t>
      </w:r>
      <w:r w:rsidRPr="007B6113">
        <w:rPr>
          <w:szCs w:val="22"/>
          <w:lang w:val="ru-RU"/>
        </w:rPr>
        <w:tab/>
        <w:t>продолжить содействие участию развивающихся стран путем широкого использования дистанционного участия с помощью электронных средств, когда это целесообразно, на собраниях исследовательских комиссий, рабочих групп и целевых групп МСЭ-T;</w:t>
      </w:r>
    </w:p>
    <w:p w14:paraId="7932894C" w14:textId="77777777" w:rsidR="007B6113" w:rsidRPr="007B6113" w:rsidRDefault="007B6113" w:rsidP="007B6113">
      <w:pPr>
        <w:rPr>
          <w:szCs w:val="22"/>
          <w:lang w:val="ru-RU"/>
        </w:rPr>
      </w:pPr>
      <w:r w:rsidRPr="007B6113">
        <w:rPr>
          <w:szCs w:val="22"/>
          <w:lang w:val="ru-RU"/>
        </w:rPr>
        <w:t>4</w:t>
      </w:r>
      <w:r w:rsidRPr="007B6113">
        <w:rPr>
          <w:szCs w:val="22"/>
          <w:lang w:val="ru-RU"/>
        </w:rPr>
        <w:tab/>
        <w:t>сотрудничать с Директором Бюро развития электросвязи (БРЭ) в целях повышения возможности предоставления региональными и зональными отделениями МСЭ поддержки в деятельности исследовательских комиссий, а также необходимых специальных знаний для укрепления сотрудничества и координации с соответствующими региональными организациями и для облегчения участия всех Государств – Членов Союза и Членов Сектора в деятельности МСЭ-T;</w:t>
      </w:r>
    </w:p>
    <w:p w14:paraId="22CA24B1" w14:textId="77777777" w:rsidR="007B6113" w:rsidRPr="007B6113" w:rsidRDefault="007B6113" w:rsidP="007B6113">
      <w:pPr>
        <w:rPr>
          <w:szCs w:val="22"/>
          <w:lang w:val="ru-RU"/>
        </w:rPr>
      </w:pPr>
      <w:r w:rsidRPr="007B6113">
        <w:rPr>
          <w:szCs w:val="22"/>
          <w:lang w:val="ru-RU"/>
        </w:rPr>
        <w:t>5</w:t>
      </w:r>
      <w:r w:rsidRPr="007B6113">
        <w:rPr>
          <w:szCs w:val="22"/>
          <w:lang w:val="ru-RU"/>
        </w:rPr>
        <w:tab/>
        <w:t>что Директор Бюро стандартизации электросвязи (БСЭ) должен сотрудничать с Директорами двух других Бюро в работе по составлению и обновлению Справочников и Отчетов во избежание дублирования этой работы, а также в реализации мероприятий по итогам деятельности МСЭ-Т,</w:t>
      </w:r>
    </w:p>
    <w:p w14:paraId="3FEE6C59" w14:textId="77777777" w:rsidR="007B6113" w:rsidRPr="007B6113" w:rsidRDefault="007B6113" w:rsidP="007B6113">
      <w:pPr>
        <w:pStyle w:val="Call"/>
        <w:rPr>
          <w:lang w:val="ru-RU"/>
        </w:rPr>
      </w:pPr>
      <w:r w:rsidRPr="007B6113">
        <w:rPr>
          <w:lang w:val="ru-RU"/>
        </w:rPr>
        <w:t>предлагает</w:t>
      </w:r>
    </w:p>
    <w:p w14:paraId="38BF6833" w14:textId="77777777" w:rsidR="007B6113" w:rsidRPr="007B6113" w:rsidRDefault="007B6113" w:rsidP="007B6113">
      <w:pPr>
        <w:rPr>
          <w:lang w:val="ru-RU"/>
        </w:rPr>
      </w:pPr>
      <w:r w:rsidRPr="007B6113">
        <w:rPr>
          <w:lang w:val="ru-RU"/>
        </w:rPr>
        <w:t>1</w:t>
      </w:r>
      <w:r w:rsidRPr="007B6113">
        <w:rPr>
          <w:lang w:val="ru-RU"/>
        </w:rPr>
        <w:tab/>
        <w:t>КГСЭ, КГР и КГРЭ продолжить оказывать помощь МСКГ в определении вопросов, представляющих взаимный интерес для трех Секторов, а также механизмов расширения их сотрудничества и взаимодействия;</w:t>
      </w:r>
    </w:p>
    <w:p w14:paraId="220D4C83" w14:textId="77777777" w:rsidR="007B6113" w:rsidRPr="007B6113" w:rsidRDefault="007B6113" w:rsidP="007B6113">
      <w:pPr>
        <w:rPr>
          <w:lang w:val="ru-RU"/>
        </w:rPr>
      </w:pPr>
      <w:r w:rsidRPr="007B6113">
        <w:rPr>
          <w:lang w:val="ru-RU"/>
        </w:rPr>
        <w:t>2</w:t>
      </w:r>
      <w:r w:rsidRPr="007B6113">
        <w:rPr>
          <w:lang w:val="ru-RU"/>
        </w:rPr>
        <w:tab/>
        <w:t>Директорам Бюро радиосвязи, БСЭ и БРЭ, а также ЦГ-МСК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733D0B36" w14:textId="77777777" w:rsidR="007B6113" w:rsidRPr="007B6113" w:rsidDel="000C56F6" w:rsidRDefault="007B6113" w:rsidP="007B6113">
      <w:pPr>
        <w:pStyle w:val="Call"/>
        <w:rPr>
          <w:lang w:val="ru-RU"/>
        </w:rPr>
      </w:pPr>
      <w:r w:rsidRPr="007B6113" w:rsidDel="000C56F6">
        <w:rPr>
          <w:lang w:val="ru-RU"/>
        </w:rPr>
        <w:t>поручает</w:t>
      </w:r>
    </w:p>
    <w:p w14:paraId="07E41DB7" w14:textId="77777777" w:rsidR="007B6113" w:rsidRPr="007B6113" w:rsidDel="000C56F6" w:rsidRDefault="007B6113" w:rsidP="007B6113">
      <w:pPr>
        <w:rPr>
          <w:lang w:val="ru-RU"/>
        </w:rPr>
      </w:pPr>
      <w:r w:rsidRPr="007B6113" w:rsidDel="000C56F6">
        <w:rPr>
          <w:lang w:val="ru-RU"/>
        </w:rPr>
        <w:t>1</w:t>
      </w:r>
      <w:r w:rsidRPr="007B6113" w:rsidDel="000C56F6">
        <w:rPr>
          <w:lang w:val="ru-RU"/>
        </w:rPr>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активно использовать результаты работы исследовательских комиссий этих двух Секторов;</w:t>
      </w:r>
    </w:p>
    <w:p w14:paraId="5554BC23" w14:textId="77777777" w:rsidR="007B6113" w:rsidRPr="007B6113" w:rsidDel="000C56F6" w:rsidRDefault="007B6113" w:rsidP="007B6113">
      <w:pPr>
        <w:rPr>
          <w:lang w:val="ru-RU"/>
        </w:rPr>
      </w:pPr>
      <w:r w:rsidRPr="007B6113" w:rsidDel="000C56F6">
        <w:rPr>
          <w:lang w:val="ru-RU"/>
        </w:rPr>
        <w:t>2</w:t>
      </w:r>
      <w:r w:rsidRPr="007B6113" w:rsidDel="000C56F6">
        <w:rPr>
          <w:lang w:val="ru-RU"/>
        </w:rPr>
        <w:tab/>
        <w:t xml:space="preserve">Директору БСЭ ежегодно представлять КГСЭ отчет о </w:t>
      </w:r>
      <w:r w:rsidRPr="007B6113">
        <w:rPr>
          <w:lang w:val="ru-RU"/>
        </w:rPr>
        <w:t xml:space="preserve">ходе </w:t>
      </w:r>
      <w:r w:rsidRPr="007B6113" w:rsidDel="000C56F6">
        <w:rPr>
          <w:lang w:val="ru-RU"/>
        </w:rPr>
        <w:t>выполнения настоящей Резолюции</w:t>
      </w:r>
      <w:r w:rsidRPr="007B6113">
        <w:rPr>
          <w:lang w:val="ru-RU"/>
        </w:rPr>
        <w:t>;</w:t>
      </w:r>
    </w:p>
    <w:p w14:paraId="2EC26F92" w14:textId="77777777" w:rsidR="007B6113" w:rsidRPr="007B6113" w:rsidRDefault="007B6113" w:rsidP="007B6113">
      <w:pPr>
        <w:pStyle w:val="Call"/>
        <w:rPr>
          <w:szCs w:val="22"/>
          <w:lang w:val="ru-RU"/>
        </w:rPr>
      </w:pPr>
      <w:r w:rsidRPr="007B6113">
        <w:rPr>
          <w:szCs w:val="22"/>
          <w:lang w:val="ru-RU"/>
        </w:rPr>
        <w:t>поручает исследовательским комиссиям Сектора стандартизации электросвязи МСЭ и Директору Бюро стандартизации электросвязи</w:t>
      </w:r>
    </w:p>
    <w:p w14:paraId="743EFA3E" w14:textId="77777777" w:rsidR="007B6113" w:rsidRPr="007B6113" w:rsidRDefault="007B6113" w:rsidP="007B6113">
      <w:pPr>
        <w:rPr>
          <w:szCs w:val="22"/>
          <w:lang w:val="ru-RU"/>
        </w:rPr>
      </w:pPr>
      <w:r w:rsidRPr="007B6113">
        <w:rPr>
          <w:szCs w:val="22"/>
          <w:lang w:val="ru-RU"/>
        </w:rPr>
        <w:t>принять все необходимые меры для выполнения этой Резолюции,</w:t>
      </w:r>
    </w:p>
    <w:p w14:paraId="2F13244B" w14:textId="77777777" w:rsidR="007B6113" w:rsidRPr="007B6113" w:rsidRDefault="007B6113" w:rsidP="007B6113">
      <w:pPr>
        <w:rPr>
          <w:lang w:val="ru-RU"/>
        </w:rPr>
      </w:pPr>
      <w:r w:rsidRPr="007B6113">
        <w:rPr>
          <w:lang w:val="ru-RU"/>
        </w:rPr>
        <w:br w:type="page"/>
      </w:r>
    </w:p>
    <w:p w14:paraId="0C64302F" w14:textId="77777777" w:rsidR="007B6113" w:rsidRPr="007B6113" w:rsidRDefault="007B6113" w:rsidP="007B6113">
      <w:pPr>
        <w:pStyle w:val="Call"/>
        <w:rPr>
          <w:lang w:val="ru-RU"/>
        </w:rPr>
      </w:pPr>
      <w:r w:rsidRPr="007B6113">
        <w:rPr>
          <w:lang w:val="ru-RU"/>
        </w:rPr>
        <w:lastRenderedPageBreak/>
        <w:t>предлагает Государствам-Членам и Членам Секторов</w:t>
      </w:r>
    </w:p>
    <w:p w14:paraId="7A9933DE" w14:textId="77777777" w:rsidR="007B6113" w:rsidRPr="007B6113" w:rsidRDefault="007B6113" w:rsidP="007B6113">
      <w:pPr>
        <w:rPr>
          <w:lang w:val="ru-RU"/>
        </w:rPr>
      </w:pPr>
      <w:r w:rsidRPr="007B6113">
        <w:rPr>
          <w:lang w:val="ru-RU"/>
        </w:rPr>
        <w:t>1</w:t>
      </w:r>
      <w:r w:rsidRPr="007B6113">
        <w:rPr>
          <w:lang w:val="ru-RU"/>
        </w:rPr>
        <w:tab/>
        <w:t xml:space="preserve">поддерживать усилия по совершенствованию </w:t>
      </w:r>
      <w:proofErr w:type="spellStart"/>
      <w:r w:rsidRPr="007B6113">
        <w:rPr>
          <w:lang w:val="ru-RU"/>
        </w:rPr>
        <w:t>межсекторальной</w:t>
      </w:r>
      <w:proofErr w:type="spellEnd"/>
      <w:r w:rsidRPr="007B6113">
        <w:rPr>
          <w:lang w:val="ru-RU"/>
        </w:rPr>
        <w:t xml:space="preserve"> координации, в том числе принимать активное участие в работе групп, создаваемых консультативными группами Секторов для координационной деятельности;</w:t>
      </w:r>
    </w:p>
    <w:p w14:paraId="6267BFB6" w14:textId="77777777" w:rsidR="007B6113" w:rsidRPr="007B6113" w:rsidRDefault="007B6113" w:rsidP="007B6113">
      <w:pPr>
        <w:rPr>
          <w:szCs w:val="22"/>
          <w:lang w:val="ru-RU"/>
        </w:rPr>
      </w:pPr>
      <w:r w:rsidRPr="007B6113">
        <w:rPr>
          <w:szCs w:val="22"/>
          <w:lang w:val="ru-RU"/>
        </w:rPr>
        <w:t>2</w:t>
      </w:r>
      <w:r w:rsidRPr="007B6113">
        <w:rPr>
          <w:szCs w:val="22"/>
          <w:lang w:val="ru-RU"/>
        </w:rPr>
        <w:tab/>
        <w:t>активно участвовать в выполнении этой Резолюции, в том числе путем предоставления специалистов для оказания помощи развивающимся странам, оказания содействия работе информационных собраний, семинаров и семинаров-практикумов, предоставления необходимых специальных знаний по вопросам, находящимся на рассмотрении исследовательских комиссий МСЭ</w:t>
      </w:r>
      <w:r w:rsidRPr="007B6113">
        <w:rPr>
          <w:szCs w:val="22"/>
          <w:lang w:val="ru-RU"/>
        </w:rPr>
        <w:noBreakHyphen/>
        <w:t>D, и принятия у себя стажеров из развивающихся стран.</w:t>
      </w:r>
    </w:p>
    <w:p w14:paraId="413290E5" w14:textId="77777777" w:rsidR="007B6113" w:rsidRPr="007B6113" w:rsidRDefault="007B6113" w:rsidP="007B6113">
      <w:pPr>
        <w:pStyle w:val="AnnexNo"/>
        <w:spacing w:before="400"/>
        <w:rPr>
          <w:lang w:val="ru-RU"/>
        </w:rPr>
      </w:pPr>
      <w:r w:rsidRPr="007B6113">
        <w:rPr>
          <w:lang w:val="ru-RU"/>
        </w:rPr>
        <w:t>Приложение А</w:t>
      </w:r>
      <w:r w:rsidRPr="007B6113">
        <w:rPr>
          <w:lang w:val="ru-RU"/>
        </w:rPr>
        <w:br/>
        <w:t>(</w:t>
      </w:r>
      <w:r w:rsidRPr="007B6113">
        <w:rPr>
          <w:caps w:val="0"/>
          <w:lang w:val="ru-RU"/>
        </w:rPr>
        <w:t>к</w:t>
      </w:r>
      <w:r w:rsidRPr="007B6113">
        <w:rPr>
          <w:lang w:val="ru-RU"/>
        </w:rPr>
        <w:t xml:space="preserve"> </w:t>
      </w:r>
      <w:r w:rsidRPr="007B6113">
        <w:rPr>
          <w:caps w:val="0"/>
          <w:lang w:val="ru-RU"/>
        </w:rPr>
        <w:t xml:space="preserve">Резолюции </w:t>
      </w:r>
      <w:r w:rsidRPr="007B6113">
        <w:rPr>
          <w:lang w:val="ru-RU"/>
        </w:rPr>
        <w:t>18 (</w:t>
      </w:r>
      <w:proofErr w:type="spellStart"/>
      <w:r w:rsidRPr="007B6113">
        <w:rPr>
          <w:caps w:val="0"/>
          <w:lang w:val="ru-RU"/>
        </w:rPr>
        <w:t>Пересм</w:t>
      </w:r>
      <w:proofErr w:type="spellEnd"/>
      <w:r w:rsidRPr="007B6113">
        <w:rPr>
          <w:caps w:val="0"/>
          <w:lang w:val="ru-RU"/>
        </w:rPr>
        <w:t>. Нью-Дели 2024 г.))</w:t>
      </w:r>
    </w:p>
    <w:p w14:paraId="4BED6A9F" w14:textId="77777777" w:rsidR="007B6113" w:rsidRPr="007B6113" w:rsidRDefault="007B6113" w:rsidP="007B6113">
      <w:pPr>
        <w:pStyle w:val="Annextitle"/>
      </w:pPr>
      <w:r w:rsidRPr="007B6113">
        <w:t>Сотрудничество на основе процедурного метода</w:t>
      </w:r>
    </w:p>
    <w:p w14:paraId="6E202FE6" w14:textId="77777777" w:rsidR="007B6113" w:rsidRPr="007B6113" w:rsidRDefault="007B6113" w:rsidP="007B6113">
      <w:pPr>
        <w:pStyle w:val="Normalaftertitle0"/>
        <w:rPr>
          <w:lang w:val="ru-RU"/>
        </w:rPr>
      </w:pPr>
      <w:r w:rsidRPr="007B6113">
        <w:rPr>
          <w:lang w:val="ru-RU"/>
        </w:rPr>
        <w:t xml:space="preserve">В отношении пункта 2 i) раздела </w:t>
      </w:r>
      <w:r w:rsidRPr="007B6113">
        <w:rPr>
          <w:i/>
          <w:iCs/>
          <w:lang w:val="ru-RU"/>
        </w:rPr>
        <w:t xml:space="preserve">решает </w:t>
      </w:r>
      <w:r w:rsidRPr="007B6113">
        <w:rPr>
          <w:lang w:val="ru-RU"/>
        </w:rPr>
        <w:t>Резолюции 18 (</w:t>
      </w:r>
      <w:proofErr w:type="spellStart"/>
      <w:r w:rsidRPr="007B6113">
        <w:rPr>
          <w:lang w:val="ru-RU"/>
        </w:rPr>
        <w:t>Пересм</w:t>
      </w:r>
      <w:proofErr w:type="spellEnd"/>
      <w:r w:rsidRPr="007B6113">
        <w:rPr>
          <w:lang w:val="ru-RU"/>
        </w:rPr>
        <w:t>. Нью-Дели, 2024 г.) Всемирной ассамблеи по стандартизации электросвязи должна применяться следующая процедура:</w:t>
      </w:r>
    </w:p>
    <w:p w14:paraId="63DA7819" w14:textId="77777777" w:rsidR="007B6113" w:rsidRPr="007B6113" w:rsidRDefault="007B6113" w:rsidP="007B6113">
      <w:pPr>
        <w:pStyle w:val="enumlev1"/>
        <w:rPr>
          <w:lang w:val="ru-RU"/>
        </w:rPr>
      </w:pPr>
      <w:r w:rsidRPr="007B6113">
        <w:rPr>
          <w:lang w:val="ru-RU"/>
        </w:rPr>
        <w:t>a)</w:t>
      </w:r>
      <w:r w:rsidRPr="007B6113">
        <w:rPr>
          <w:lang w:val="ru-RU"/>
        </w:rPr>
        <w:tab/>
        <w:t xml:space="preserve">На совместном собрании консультативных групп, указанных в пункте 1 </w:t>
      </w:r>
      <w:proofErr w:type="gramStart"/>
      <w:r w:rsidRPr="007B6113">
        <w:rPr>
          <w:lang w:val="ru-RU"/>
        </w:rPr>
        <w:t>раздела</w:t>
      </w:r>
      <w:proofErr w:type="gramEnd"/>
      <w:r w:rsidRPr="007B6113">
        <w:rPr>
          <w:lang w:val="ru-RU"/>
        </w:rPr>
        <w:t xml:space="preserve"> </w:t>
      </w:r>
      <w:r w:rsidRPr="007B6113">
        <w:rPr>
          <w:i/>
          <w:iCs/>
          <w:lang w:val="ru-RU"/>
        </w:rPr>
        <w:t>решает</w:t>
      </w:r>
      <w:r w:rsidRPr="007B6113">
        <w:rPr>
          <w:lang w:val="ru-RU"/>
        </w:rPr>
        <w:t xml:space="preserve"> Резолюции 18 (</w:t>
      </w:r>
      <w:proofErr w:type="spellStart"/>
      <w:r w:rsidRPr="007B6113">
        <w:rPr>
          <w:lang w:val="ru-RU"/>
        </w:rPr>
        <w:t>Пересм</w:t>
      </w:r>
      <w:proofErr w:type="spellEnd"/>
      <w:r w:rsidRPr="007B6113">
        <w:rPr>
          <w:lang w:val="ru-RU"/>
        </w:rPr>
        <w:t>. Нью-Дели, 2024 г.), назначается Сектор, который будет выступать в качестве ведущего в данной работе и окончательно утверждать являющийся ее результатом документ.</w:t>
      </w:r>
    </w:p>
    <w:p w14:paraId="4F3E4680" w14:textId="77777777" w:rsidR="007B6113" w:rsidRPr="007B6113" w:rsidRDefault="007B6113" w:rsidP="007B6113">
      <w:pPr>
        <w:pStyle w:val="enumlev1"/>
        <w:rPr>
          <w:lang w:val="ru-RU"/>
        </w:rPr>
      </w:pPr>
      <w:r w:rsidRPr="007B6113">
        <w:rPr>
          <w:lang w:val="ru-RU"/>
        </w:rPr>
        <w:t>b)</w:t>
      </w:r>
      <w:r w:rsidRPr="007B6113">
        <w:rPr>
          <w:lang w:val="ru-RU"/>
        </w:rPr>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23237A2A" w14:textId="77777777" w:rsidR="007B6113" w:rsidRPr="007B6113" w:rsidRDefault="007B6113" w:rsidP="007B6113">
      <w:pPr>
        <w:pStyle w:val="enumlev1"/>
        <w:rPr>
          <w:lang w:val="ru-RU"/>
        </w:rPr>
      </w:pPr>
      <w:r w:rsidRPr="007B6113">
        <w:rPr>
          <w:lang w:val="ru-RU"/>
        </w:rPr>
        <w:t>c)</w:t>
      </w:r>
      <w:r w:rsidRPr="007B6113">
        <w:rPr>
          <w:lang w:val="ru-RU"/>
        </w:rPr>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231252AF" w14:textId="77777777" w:rsidR="007B6113" w:rsidRPr="007B6113" w:rsidRDefault="007B6113" w:rsidP="007B6113">
      <w:pPr>
        <w:pStyle w:val="enumlev1"/>
        <w:rPr>
          <w:lang w:val="ru-RU"/>
        </w:rPr>
      </w:pPr>
      <w:r w:rsidRPr="007B6113">
        <w:rPr>
          <w:lang w:val="ru-RU"/>
        </w:rPr>
        <w:t>d)</w:t>
      </w:r>
      <w:r w:rsidRPr="007B6113">
        <w:rPr>
          <w:lang w:val="ru-RU"/>
        </w:rPr>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10FACA9C" w14:textId="77777777" w:rsidR="007B6113" w:rsidRPr="007B6113" w:rsidRDefault="007B6113" w:rsidP="007B6113">
      <w:pPr>
        <w:pStyle w:val="enumlev1"/>
        <w:rPr>
          <w:lang w:val="ru-RU"/>
        </w:rPr>
      </w:pPr>
      <w:r w:rsidRPr="007B6113">
        <w:rPr>
          <w:lang w:val="ru-RU"/>
        </w:rPr>
        <w:t>e)</w:t>
      </w:r>
      <w:r w:rsidRPr="007B6113">
        <w:rPr>
          <w:lang w:val="ru-RU"/>
        </w:rPr>
        <w:tab/>
        <w:t>Когда результат работы принимает окончательный вид, ведущий Сектор еще раз запрашивает мнение других Секторов.</w:t>
      </w:r>
    </w:p>
    <w:p w14:paraId="003B7DA5" w14:textId="77777777" w:rsidR="007B6113" w:rsidRPr="007B6113" w:rsidRDefault="007B6113" w:rsidP="007B6113">
      <w:pPr>
        <w:rPr>
          <w:lang w:val="ru-RU"/>
        </w:rPr>
      </w:pPr>
      <w:r w:rsidRPr="007B6113">
        <w:rPr>
          <w:lang w:val="ru-RU"/>
        </w:rPr>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6ECB1404" w14:textId="77777777" w:rsidR="00764EDC" w:rsidRDefault="00764EDC">
      <w:pPr>
        <w:tabs>
          <w:tab w:val="clear" w:pos="794"/>
          <w:tab w:val="clear" w:pos="1191"/>
          <w:tab w:val="clear" w:pos="1588"/>
          <w:tab w:val="clear" w:pos="1985"/>
        </w:tabs>
        <w:overflowPunct/>
        <w:autoSpaceDE/>
        <w:autoSpaceDN/>
        <w:adjustRightInd/>
        <w:spacing w:before="0"/>
        <w:jc w:val="left"/>
        <w:textAlignment w:val="auto"/>
        <w:rPr>
          <w:caps/>
          <w:sz w:val="26"/>
          <w:lang w:val="ru-RU"/>
        </w:rPr>
      </w:pPr>
      <w:r>
        <w:rPr>
          <w:lang w:val="ru-RU"/>
        </w:rPr>
        <w:br w:type="page"/>
      </w:r>
    </w:p>
    <w:p w14:paraId="054FD48C" w14:textId="6986ADEC" w:rsidR="007B6113" w:rsidRPr="007B6113" w:rsidRDefault="007B6113" w:rsidP="007B6113">
      <w:pPr>
        <w:pStyle w:val="AnnexNo"/>
        <w:spacing w:before="400"/>
        <w:rPr>
          <w:lang w:val="ru-RU"/>
        </w:rPr>
      </w:pPr>
      <w:r w:rsidRPr="007B6113">
        <w:rPr>
          <w:lang w:val="ru-RU"/>
        </w:rPr>
        <w:lastRenderedPageBreak/>
        <w:t>Приложение В</w:t>
      </w:r>
      <w:r w:rsidRPr="007B6113">
        <w:rPr>
          <w:lang w:val="ru-RU"/>
        </w:rPr>
        <w:br/>
        <w:t>(</w:t>
      </w:r>
      <w:r w:rsidRPr="007B6113">
        <w:rPr>
          <w:caps w:val="0"/>
          <w:lang w:val="ru-RU"/>
        </w:rPr>
        <w:t>к</w:t>
      </w:r>
      <w:r w:rsidRPr="007B6113">
        <w:rPr>
          <w:lang w:val="ru-RU"/>
        </w:rPr>
        <w:t xml:space="preserve"> </w:t>
      </w:r>
      <w:r w:rsidRPr="007B6113">
        <w:rPr>
          <w:caps w:val="0"/>
          <w:lang w:val="ru-RU"/>
        </w:rPr>
        <w:t xml:space="preserve">Резолюции </w:t>
      </w:r>
      <w:r w:rsidRPr="007B6113">
        <w:rPr>
          <w:lang w:val="ru-RU"/>
        </w:rPr>
        <w:t>18 (</w:t>
      </w:r>
      <w:proofErr w:type="spellStart"/>
      <w:r w:rsidRPr="007B6113">
        <w:rPr>
          <w:caps w:val="0"/>
          <w:lang w:val="ru-RU"/>
        </w:rPr>
        <w:t>Пересм</w:t>
      </w:r>
      <w:proofErr w:type="spellEnd"/>
      <w:r w:rsidRPr="007B6113">
        <w:rPr>
          <w:caps w:val="0"/>
          <w:lang w:val="ru-RU"/>
        </w:rPr>
        <w:t>. Нью-Дели 2024 г.))</w:t>
      </w:r>
    </w:p>
    <w:p w14:paraId="6299BBC7" w14:textId="77777777" w:rsidR="007B6113" w:rsidRPr="007B6113" w:rsidRDefault="007B6113" w:rsidP="007B6113">
      <w:pPr>
        <w:pStyle w:val="Annextitle"/>
      </w:pPr>
      <w:r w:rsidRPr="007B6113">
        <w:t xml:space="preserve">Координация деятельности в области радиосвязи, стандартизации и развития с помощью </w:t>
      </w:r>
      <w:proofErr w:type="spellStart"/>
      <w:r w:rsidRPr="007B6113">
        <w:t>межсекторальных</w:t>
      </w:r>
      <w:proofErr w:type="spellEnd"/>
      <w:r w:rsidRPr="007B6113">
        <w:t xml:space="preserve"> координационных групп</w:t>
      </w:r>
    </w:p>
    <w:p w14:paraId="3EC59CFE" w14:textId="77777777" w:rsidR="007B6113" w:rsidRPr="007B6113" w:rsidRDefault="007B6113" w:rsidP="007B6113">
      <w:pPr>
        <w:pStyle w:val="Normalaftertitle0"/>
        <w:rPr>
          <w:lang w:val="ru-RU"/>
        </w:rPr>
      </w:pPr>
      <w:r w:rsidRPr="007B6113">
        <w:rPr>
          <w:lang w:val="ru-RU"/>
        </w:rPr>
        <w:t>В отношении пункта 2 </w:t>
      </w:r>
      <w:proofErr w:type="spellStart"/>
      <w:r w:rsidRPr="007B6113">
        <w:rPr>
          <w:lang w:val="ru-RU"/>
        </w:rPr>
        <w:t>ii</w:t>
      </w:r>
      <w:proofErr w:type="spellEnd"/>
      <w:r w:rsidRPr="007B6113">
        <w:rPr>
          <w:lang w:val="ru-RU"/>
        </w:rPr>
        <w:t xml:space="preserve">) раздела </w:t>
      </w:r>
      <w:r w:rsidRPr="007B6113">
        <w:rPr>
          <w:i/>
          <w:iCs/>
          <w:lang w:val="ru-RU"/>
        </w:rPr>
        <w:t>решает</w:t>
      </w:r>
      <w:r w:rsidRPr="007B6113">
        <w:rPr>
          <w:lang w:val="ru-RU"/>
        </w:rPr>
        <w:t xml:space="preserve"> Резолюции 18 (</w:t>
      </w:r>
      <w:proofErr w:type="spellStart"/>
      <w:r w:rsidRPr="007B6113">
        <w:rPr>
          <w:lang w:val="ru-RU"/>
        </w:rPr>
        <w:t>Пересм</w:t>
      </w:r>
      <w:proofErr w:type="spellEnd"/>
      <w:r w:rsidRPr="007B6113">
        <w:rPr>
          <w:lang w:val="ru-RU"/>
        </w:rPr>
        <w:t>. Нью-Дели, 2024 г.) Всемирной ассамблеи по стандартизации электросвязи применяется следующая процедура:</w:t>
      </w:r>
    </w:p>
    <w:p w14:paraId="3E248BD9" w14:textId="77777777" w:rsidR="007B6113" w:rsidRPr="007B6113" w:rsidRDefault="007B6113" w:rsidP="007B6113">
      <w:pPr>
        <w:pStyle w:val="enumlev1"/>
        <w:rPr>
          <w:lang w:val="ru-RU"/>
        </w:rPr>
      </w:pPr>
      <w:r w:rsidRPr="007B6113">
        <w:rPr>
          <w:lang w:val="ru-RU"/>
        </w:rPr>
        <w:t>a)</w:t>
      </w:r>
      <w:r w:rsidRPr="007B6113">
        <w:rPr>
          <w:lang w:val="ru-RU"/>
        </w:rPr>
        <w:tab/>
        <w:t xml:space="preserve">В исключительных случаях на совместном собрании консультативных групп, указанных в пункте 1 </w:t>
      </w:r>
      <w:proofErr w:type="gramStart"/>
      <w:r w:rsidRPr="007B6113">
        <w:rPr>
          <w:lang w:val="ru-RU"/>
        </w:rPr>
        <w:t>раздела</w:t>
      </w:r>
      <w:proofErr w:type="gramEnd"/>
      <w:r w:rsidRPr="007B6113">
        <w:rPr>
          <w:lang w:val="ru-RU"/>
        </w:rPr>
        <w:t xml:space="preserve"> </w:t>
      </w:r>
      <w:r w:rsidRPr="007B6113">
        <w:rPr>
          <w:i/>
          <w:iCs/>
          <w:lang w:val="ru-RU"/>
        </w:rPr>
        <w:t xml:space="preserve">решает </w:t>
      </w:r>
      <w:r w:rsidRPr="007B6113">
        <w:rPr>
          <w:lang w:val="ru-RU"/>
        </w:rPr>
        <w:t>Резолюции 18 (</w:t>
      </w:r>
      <w:proofErr w:type="spellStart"/>
      <w:r w:rsidRPr="007B6113">
        <w:rPr>
          <w:lang w:val="ru-RU"/>
        </w:rPr>
        <w:t>Пересм</w:t>
      </w:r>
      <w:proofErr w:type="spellEnd"/>
      <w:r w:rsidRPr="007B6113">
        <w:rPr>
          <w:lang w:val="ru-RU"/>
        </w:rPr>
        <w:t xml:space="preserve">. Нью-Дели, 2024 г.), может быть создана </w:t>
      </w:r>
      <w:proofErr w:type="spellStart"/>
      <w:r w:rsidRPr="007B6113">
        <w:rPr>
          <w:lang w:val="ru-RU"/>
        </w:rPr>
        <w:t>межсекторальная</w:t>
      </w:r>
      <w:proofErr w:type="spellEnd"/>
      <w:r w:rsidRPr="007B6113">
        <w:rPr>
          <w:lang w:val="ru-RU"/>
        </w:rPr>
        <w:t xml:space="preserve">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1B15D9ED" w14:textId="77777777" w:rsidR="007B6113" w:rsidRPr="007B6113" w:rsidRDefault="007B6113" w:rsidP="007B6113">
      <w:pPr>
        <w:pStyle w:val="enumlev1"/>
        <w:rPr>
          <w:lang w:val="ru-RU"/>
        </w:rPr>
      </w:pPr>
      <w:r w:rsidRPr="007B6113">
        <w:rPr>
          <w:lang w:val="ru-RU"/>
        </w:rPr>
        <w:t>b)</w:t>
      </w:r>
      <w:r w:rsidRPr="007B6113">
        <w:rPr>
          <w:lang w:val="ru-RU"/>
        </w:rPr>
        <w:tab/>
        <w:t xml:space="preserve">Одновременно на совместном собрании назначается Сектор, который </w:t>
      </w:r>
      <w:proofErr w:type="gramStart"/>
      <w:r w:rsidRPr="007B6113">
        <w:rPr>
          <w:lang w:val="ru-RU"/>
        </w:rPr>
        <w:t>будет</w:t>
      </w:r>
      <w:proofErr w:type="gramEnd"/>
      <w:r w:rsidRPr="007B6113">
        <w:rPr>
          <w:lang w:val="ru-RU"/>
        </w:rPr>
        <w:t xml:space="preserve"> ведущим при выполнении данной работы.</w:t>
      </w:r>
    </w:p>
    <w:p w14:paraId="305627A0" w14:textId="77777777" w:rsidR="007B6113" w:rsidRPr="007B6113" w:rsidRDefault="007B6113" w:rsidP="007B6113">
      <w:pPr>
        <w:pStyle w:val="enumlev1"/>
        <w:rPr>
          <w:lang w:val="ru-RU"/>
        </w:rPr>
      </w:pPr>
      <w:r w:rsidRPr="007B6113">
        <w:rPr>
          <w:lang w:val="ru-RU"/>
        </w:rPr>
        <w:t>c)</w:t>
      </w:r>
      <w:r w:rsidRPr="007B6113">
        <w:rPr>
          <w:lang w:val="ru-RU"/>
        </w:rPr>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743AE662" w14:textId="77777777" w:rsidR="007B6113" w:rsidRPr="007B6113" w:rsidRDefault="007B6113" w:rsidP="007B6113">
      <w:pPr>
        <w:pStyle w:val="enumlev1"/>
        <w:rPr>
          <w:lang w:val="ru-RU"/>
        </w:rPr>
      </w:pPr>
      <w:r w:rsidRPr="007B6113">
        <w:rPr>
          <w:lang w:val="ru-RU"/>
        </w:rPr>
        <w:t>d)</w:t>
      </w:r>
      <w:r w:rsidRPr="007B6113">
        <w:rPr>
          <w:lang w:val="ru-RU"/>
        </w:rPr>
        <w:tab/>
        <w:t>МКГ назначает председателя и заместителя председателя, каждый из которых представляет свой Сектор.</w:t>
      </w:r>
    </w:p>
    <w:p w14:paraId="12A545D3" w14:textId="77777777" w:rsidR="007B6113" w:rsidRPr="007B6113" w:rsidRDefault="007B6113" w:rsidP="007B6113">
      <w:pPr>
        <w:pStyle w:val="enumlev1"/>
        <w:rPr>
          <w:lang w:val="ru-RU"/>
        </w:rPr>
      </w:pPr>
      <w:r w:rsidRPr="007B6113">
        <w:rPr>
          <w:lang w:val="ru-RU"/>
        </w:rPr>
        <w:t>e)</w:t>
      </w:r>
      <w:r w:rsidRPr="007B6113">
        <w:rPr>
          <w:lang w:val="ru-RU"/>
        </w:rPr>
        <w:tab/>
        <w:t xml:space="preserve">В соответствии с </w:t>
      </w:r>
      <w:proofErr w:type="spellStart"/>
      <w:r w:rsidRPr="007B6113">
        <w:rPr>
          <w:lang w:val="ru-RU"/>
        </w:rPr>
        <w:t>пп</w:t>
      </w:r>
      <w:proofErr w:type="spellEnd"/>
      <w:r w:rsidRPr="007B6113">
        <w:rPr>
          <w:lang w:val="ru-RU"/>
        </w:rPr>
        <w:t>. 86–88, 110–112 и 134–136 Устава МСЭ, МКГ открыта для членов участвующих Секторов.</w:t>
      </w:r>
    </w:p>
    <w:p w14:paraId="69746BD1" w14:textId="77777777" w:rsidR="007B6113" w:rsidRPr="007B6113" w:rsidRDefault="007B6113" w:rsidP="007B6113">
      <w:pPr>
        <w:pStyle w:val="enumlev1"/>
        <w:rPr>
          <w:lang w:val="ru-RU"/>
        </w:rPr>
      </w:pPr>
      <w:r w:rsidRPr="007B6113">
        <w:rPr>
          <w:lang w:val="ru-RU"/>
        </w:rPr>
        <w:t>f)</w:t>
      </w:r>
      <w:r w:rsidRPr="007B6113">
        <w:rPr>
          <w:lang w:val="ru-RU"/>
        </w:rPr>
        <w:tab/>
        <w:t>МКГ не занимается разработкой Рекомендаций.</w:t>
      </w:r>
    </w:p>
    <w:p w14:paraId="32592BA9" w14:textId="77777777" w:rsidR="007B6113" w:rsidRPr="007B6113" w:rsidRDefault="007B6113" w:rsidP="007B6113">
      <w:pPr>
        <w:pStyle w:val="enumlev1"/>
        <w:rPr>
          <w:lang w:val="ru-RU"/>
        </w:rPr>
      </w:pPr>
      <w:r w:rsidRPr="007B6113">
        <w:rPr>
          <w:lang w:val="ru-RU"/>
        </w:rPr>
        <w:t>g)</w:t>
      </w:r>
      <w:r w:rsidRPr="007B6113">
        <w:rPr>
          <w:lang w:val="ru-RU"/>
        </w:rPr>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21ECBA1A" w14:textId="77777777" w:rsidR="007B6113" w:rsidRPr="007B6113" w:rsidRDefault="007B6113" w:rsidP="007B6113">
      <w:pPr>
        <w:pStyle w:val="enumlev1"/>
        <w:rPr>
          <w:lang w:val="ru-RU"/>
        </w:rPr>
      </w:pPr>
      <w:r w:rsidRPr="007B6113">
        <w:rPr>
          <w:lang w:val="ru-RU"/>
        </w:rPr>
        <w:t>h)</w:t>
      </w:r>
      <w:r w:rsidRPr="007B6113">
        <w:rPr>
          <w:lang w:val="ru-RU"/>
        </w:rPr>
        <w:tab/>
        <w:t>МКГ может быть создана также Всемирной ассамблеей по стандартизации электросвязи, Ассамблеей радиосвязи либо Всемирной конференцией по развитию электросвязи согласно рекомендации консультативной(</w:t>
      </w:r>
      <w:proofErr w:type="spellStart"/>
      <w:r w:rsidRPr="007B6113">
        <w:rPr>
          <w:lang w:val="ru-RU"/>
        </w:rPr>
        <w:t>ых</w:t>
      </w:r>
      <w:proofErr w:type="spellEnd"/>
      <w:r w:rsidRPr="007B6113">
        <w:rPr>
          <w:lang w:val="ru-RU"/>
        </w:rPr>
        <w:t>) группы(групп) другого(их) Сектора(</w:t>
      </w:r>
      <w:proofErr w:type="spellStart"/>
      <w:r w:rsidRPr="007B6113">
        <w:rPr>
          <w:lang w:val="ru-RU"/>
        </w:rPr>
        <w:t>ов</w:t>
      </w:r>
      <w:proofErr w:type="spellEnd"/>
      <w:r w:rsidRPr="007B6113">
        <w:rPr>
          <w:lang w:val="ru-RU"/>
        </w:rPr>
        <w:t>).</w:t>
      </w:r>
    </w:p>
    <w:p w14:paraId="11AC4AC5" w14:textId="77777777" w:rsidR="007B6113" w:rsidRPr="007B6113" w:rsidRDefault="007B6113" w:rsidP="007B6113">
      <w:pPr>
        <w:pStyle w:val="enumlev1"/>
        <w:rPr>
          <w:lang w:val="ru-RU"/>
        </w:rPr>
      </w:pPr>
      <w:r w:rsidRPr="007B6113">
        <w:rPr>
          <w:lang w:val="ru-RU"/>
        </w:rPr>
        <w:t>i)</w:t>
      </w:r>
      <w:r w:rsidRPr="007B6113">
        <w:rPr>
          <w:lang w:val="ru-RU"/>
        </w:rPr>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676076D2" w14:textId="77777777" w:rsidR="00764EDC" w:rsidRDefault="00764EDC">
      <w:pPr>
        <w:tabs>
          <w:tab w:val="clear" w:pos="794"/>
          <w:tab w:val="clear" w:pos="1191"/>
          <w:tab w:val="clear" w:pos="1588"/>
          <w:tab w:val="clear" w:pos="1985"/>
        </w:tabs>
        <w:overflowPunct/>
        <w:autoSpaceDE/>
        <w:autoSpaceDN/>
        <w:adjustRightInd/>
        <w:spacing w:before="0"/>
        <w:jc w:val="left"/>
        <w:textAlignment w:val="auto"/>
        <w:rPr>
          <w:caps/>
          <w:sz w:val="26"/>
          <w:lang w:val="ru-RU"/>
        </w:rPr>
      </w:pPr>
      <w:r>
        <w:rPr>
          <w:lang w:val="ru-RU"/>
        </w:rPr>
        <w:br w:type="page"/>
      </w:r>
    </w:p>
    <w:p w14:paraId="19BD1A72" w14:textId="333084B9" w:rsidR="007B6113" w:rsidRPr="007B6113" w:rsidRDefault="007B6113" w:rsidP="007B6113">
      <w:pPr>
        <w:pStyle w:val="AnnexNo"/>
        <w:rPr>
          <w:lang w:val="ru-RU"/>
        </w:rPr>
      </w:pPr>
      <w:r w:rsidRPr="007B6113">
        <w:rPr>
          <w:lang w:val="ru-RU"/>
        </w:rPr>
        <w:lastRenderedPageBreak/>
        <w:t>Приложение C</w:t>
      </w:r>
      <w:r w:rsidRPr="007B6113">
        <w:rPr>
          <w:lang w:val="ru-RU"/>
        </w:rPr>
        <w:br/>
        <w:t>(</w:t>
      </w:r>
      <w:r w:rsidRPr="007B6113">
        <w:rPr>
          <w:caps w:val="0"/>
          <w:lang w:val="ru-RU"/>
        </w:rPr>
        <w:t>к</w:t>
      </w:r>
      <w:r w:rsidRPr="007B6113">
        <w:rPr>
          <w:lang w:val="ru-RU"/>
        </w:rPr>
        <w:t xml:space="preserve"> </w:t>
      </w:r>
      <w:r w:rsidRPr="007B6113">
        <w:rPr>
          <w:caps w:val="0"/>
          <w:lang w:val="ru-RU"/>
        </w:rPr>
        <w:t xml:space="preserve">Резолюции </w:t>
      </w:r>
      <w:r w:rsidRPr="007B6113">
        <w:rPr>
          <w:lang w:val="ru-RU"/>
        </w:rPr>
        <w:t>18 (</w:t>
      </w:r>
      <w:proofErr w:type="spellStart"/>
      <w:r w:rsidRPr="007B6113">
        <w:rPr>
          <w:caps w:val="0"/>
          <w:lang w:val="ru-RU"/>
        </w:rPr>
        <w:t>Пересм</w:t>
      </w:r>
      <w:proofErr w:type="spellEnd"/>
      <w:r w:rsidRPr="007B6113">
        <w:rPr>
          <w:caps w:val="0"/>
          <w:lang w:val="ru-RU"/>
        </w:rPr>
        <w:t>. Нью-Дели 2024 г.))</w:t>
      </w:r>
    </w:p>
    <w:p w14:paraId="06AC47B5" w14:textId="77777777" w:rsidR="007B6113" w:rsidRPr="007B6113" w:rsidRDefault="007B6113" w:rsidP="007B6113">
      <w:pPr>
        <w:pStyle w:val="Annextitle"/>
      </w:pPr>
      <w:r w:rsidRPr="007B6113">
        <w:t xml:space="preserve">Координация работы Секторов радиосвязи, стандартизации электросвязи и развития электросвязи через </w:t>
      </w:r>
      <w:proofErr w:type="spellStart"/>
      <w:r w:rsidRPr="007B6113">
        <w:t>межсекторальные</w:t>
      </w:r>
      <w:proofErr w:type="spellEnd"/>
      <w:r w:rsidRPr="007B6113">
        <w:t xml:space="preserve"> группы Докладчиков</w:t>
      </w:r>
    </w:p>
    <w:p w14:paraId="1A479863" w14:textId="77777777" w:rsidR="007B6113" w:rsidRPr="007B6113" w:rsidRDefault="007B6113" w:rsidP="007B6113">
      <w:pPr>
        <w:pStyle w:val="Normalaftertitle0"/>
        <w:rPr>
          <w:lang w:val="ru-RU" w:eastAsia="it-IT"/>
        </w:rPr>
      </w:pPr>
      <w:r w:rsidRPr="007B6113">
        <w:rPr>
          <w:lang w:val="ru-RU"/>
        </w:rPr>
        <w:t>В отношении пункта 2 </w:t>
      </w:r>
      <w:proofErr w:type="spellStart"/>
      <w:r w:rsidRPr="007B6113">
        <w:rPr>
          <w:lang w:val="ru-RU"/>
        </w:rPr>
        <w:t>ii</w:t>
      </w:r>
      <w:proofErr w:type="spellEnd"/>
      <w:r w:rsidRPr="007B6113">
        <w:rPr>
          <w:lang w:val="ru-RU"/>
        </w:rPr>
        <w:t xml:space="preserve">) раздела </w:t>
      </w:r>
      <w:r w:rsidRPr="007B6113">
        <w:rPr>
          <w:i/>
          <w:iCs/>
          <w:lang w:val="ru-RU"/>
        </w:rPr>
        <w:t>решает</w:t>
      </w:r>
      <w:r w:rsidRPr="007B6113">
        <w:rPr>
          <w:lang w:val="ru-RU"/>
        </w:rPr>
        <w:t xml:space="preserve"> Резолюции 18 (</w:t>
      </w:r>
      <w:proofErr w:type="spellStart"/>
      <w:r w:rsidRPr="007B6113">
        <w:rPr>
          <w:lang w:val="ru-RU"/>
        </w:rPr>
        <w:t>Пересм</w:t>
      </w:r>
      <w:proofErr w:type="spellEnd"/>
      <w:r w:rsidRPr="007B6113">
        <w:rPr>
          <w:lang w:val="ru-RU"/>
        </w:rPr>
        <w:t>. Нью-Дели, 2024 г.) Всемирной ассамблеи по стандартизации электросвязи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7B6113">
        <w:rPr>
          <w:lang w:val="ru-RU" w:eastAsia="it-IT"/>
        </w:rPr>
        <w:t>:</w:t>
      </w:r>
    </w:p>
    <w:p w14:paraId="47ADD931" w14:textId="77777777" w:rsidR="007B6113" w:rsidRPr="007B6113" w:rsidRDefault="007B6113" w:rsidP="007B6113">
      <w:pPr>
        <w:pStyle w:val="enumlev1"/>
        <w:rPr>
          <w:lang w:val="ru-RU"/>
        </w:rPr>
      </w:pPr>
      <w:r w:rsidRPr="007B6113">
        <w:rPr>
          <w:lang w:val="ru-RU"/>
        </w:rPr>
        <w:t>a)</w:t>
      </w:r>
      <w:r w:rsidRPr="007B6113">
        <w:rPr>
          <w:lang w:val="ru-RU"/>
        </w:rPr>
        <w:tab/>
        <w:t xml:space="preserve">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w:t>
      </w:r>
      <w:proofErr w:type="spellStart"/>
      <w:r w:rsidRPr="007B6113">
        <w:rPr>
          <w:lang w:val="ru-RU"/>
        </w:rPr>
        <w:t>Межсекторальной</w:t>
      </w:r>
      <w:proofErr w:type="spellEnd"/>
      <w:r w:rsidRPr="007B6113">
        <w:rPr>
          <w:lang w:val="ru-RU"/>
        </w:rPr>
        <w:t xml:space="preserve"> группы Докладчика (МГД) для координации своей работы по какому</w:t>
      </w:r>
      <w:r w:rsidRPr="007B6113">
        <w:rPr>
          <w:lang w:val="ru-RU"/>
        </w:rPr>
        <w:noBreakHyphen/>
        <w:t>либо конкретному техническому вопросу, информируя Консультативную группу по радиосвязи, Консультативную группу по стандартизации электросвязи</w:t>
      </w:r>
      <w:r w:rsidRPr="007B6113" w:rsidDel="00AC2547">
        <w:rPr>
          <w:lang w:val="ru-RU"/>
        </w:rPr>
        <w:t xml:space="preserve"> </w:t>
      </w:r>
      <w:r w:rsidRPr="007B6113">
        <w:rPr>
          <w:lang w:val="ru-RU"/>
        </w:rPr>
        <w:t>и Консультативную группу по развитию электросвязи</w:t>
      </w:r>
      <w:r w:rsidRPr="007B6113" w:rsidDel="00AC2547">
        <w:rPr>
          <w:lang w:val="ru-RU"/>
        </w:rPr>
        <w:t xml:space="preserve"> </w:t>
      </w:r>
      <w:r w:rsidRPr="007B6113">
        <w:rPr>
          <w:lang w:val="ru-RU"/>
        </w:rPr>
        <w:t>об этом действии через заявление о взаимодействии.</w:t>
      </w:r>
    </w:p>
    <w:p w14:paraId="737214B9" w14:textId="77777777" w:rsidR="007B6113" w:rsidRPr="007B6113" w:rsidRDefault="007B6113" w:rsidP="007B6113">
      <w:pPr>
        <w:pStyle w:val="enumlev1"/>
        <w:rPr>
          <w:lang w:val="ru-RU"/>
        </w:rPr>
      </w:pPr>
      <w:r w:rsidRPr="007B6113">
        <w:rPr>
          <w:lang w:val="ru-RU"/>
        </w:rPr>
        <w:t>b)</w:t>
      </w:r>
      <w:r w:rsidRPr="007B6113">
        <w:rPr>
          <w:lang w:val="ru-RU"/>
        </w:rPr>
        <w:tab/>
        <w:t>Заинтересованные исследовательские комиссии или рабочие группы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7A91FAEF" w14:textId="77777777" w:rsidR="007B6113" w:rsidRPr="007B6113" w:rsidRDefault="007B6113" w:rsidP="007B6113">
      <w:pPr>
        <w:pStyle w:val="enumlev1"/>
        <w:rPr>
          <w:lang w:val="ru-RU"/>
        </w:rPr>
      </w:pPr>
      <w:r w:rsidRPr="007B6113">
        <w:rPr>
          <w:lang w:val="ru-RU"/>
        </w:rPr>
        <w:t>c)</w:t>
      </w:r>
      <w:r w:rsidRPr="007B6113">
        <w:rPr>
          <w:lang w:val="ru-RU"/>
        </w:rPr>
        <w:tab/>
        <w:t>Заинтересованные исследовательские комиссии или рабочие группы в каждом Секторе должны также назначить председателя (сопредседателей) МГД с учетом наличия требуемой конкретной квалификации и при обеспечении равного представительства каждого Сектора.</w:t>
      </w:r>
    </w:p>
    <w:p w14:paraId="4D549B3C" w14:textId="77777777" w:rsidR="007B6113" w:rsidRPr="007B6113" w:rsidRDefault="007B6113" w:rsidP="007B6113">
      <w:pPr>
        <w:pStyle w:val="enumlev1"/>
        <w:rPr>
          <w:lang w:val="ru-RU"/>
        </w:rPr>
      </w:pPr>
      <w:r w:rsidRPr="007B6113">
        <w:rPr>
          <w:lang w:val="ru-RU"/>
        </w:rPr>
        <w:t>d)</w:t>
      </w:r>
      <w:r w:rsidRPr="007B6113">
        <w:rPr>
          <w:lang w:val="ru-RU"/>
        </w:rPr>
        <w:tab/>
        <w:t>Поскольку МГД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Ассамблеи радиосвязи, Рекомендации МСЭ-Т А.1 и Резолюции 1 Всемирной конференции по развитию электросвязи; участие ограничено Членами участвующих Секторов.</w:t>
      </w:r>
    </w:p>
    <w:p w14:paraId="0245939E" w14:textId="77777777" w:rsidR="007B6113" w:rsidRPr="007B6113" w:rsidRDefault="007B6113" w:rsidP="007B6113">
      <w:pPr>
        <w:pStyle w:val="enumlev1"/>
        <w:rPr>
          <w:lang w:val="ru-RU"/>
        </w:rPr>
      </w:pPr>
      <w:r w:rsidRPr="007B6113">
        <w:rPr>
          <w:lang w:val="ru-RU"/>
        </w:rPr>
        <w:t>e)</w:t>
      </w:r>
      <w:r w:rsidRPr="007B6113">
        <w:rPr>
          <w:lang w:val="ru-RU"/>
        </w:rPr>
        <w:tab/>
        <w:t>При осуществлении своего мандата МГД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423CB78A" w14:textId="77777777" w:rsidR="007B6113" w:rsidRPr="007B6113" w:rsidRDefault="007B6113" w:rsidP="007B6113">
      <w:pPr>
        <w:pStyle w:val="enumlev1"/>
        <w:rPr>
          <w:lang w:val="ru-RU"/>
        </w:rPr>
      </w:pPr>
      <w:r w:rsidRPr="007B6113">
        <w:rPr>
          <w:lang w:val="ru-RU"/>
        </w:rPr>
        <w:t>f)</w:t>
      </w:r>
      <w:r w:rsidRPr="007B6113">
        <w:rPr>
          <w:lang w:val="ru-RU"/>
        </w:rPr>
        <w:tab/>
        <w:t>Эти результаты работы МГД должны представлять согласованный консенсус группы или отражать разнообразие мнений участников группы.</w:t>
      </w:r>
    </w:p>
    <w:p w14:paraId="2E5A0A3E" w14:textId="77777777" w:rsidR="007B6113" w:rsidRPr="007B6113" w:rsidRDefault="007B6113" w:rsidP="007B6113">
      <w:pPr>
        <w:pStyle w:val="enumlev1"/>
        <w:rPr>
          <w:lang w:val="ru-RU"/>
        </w:rPr>
      </w:pPr>
      <w:r w:rsidRPr="007B6113">
        <w:rPr>
          <w:lang w:val="ru-RU"/>
        </w:rPr>
        <w:t>g)</w:t>
      </w:r>
      <w:r w:rsidRPr="007B6113">
        <w:rPr>
          <w:lang w:val="ru-RU"/>
        </w:rPr>
        <w:tab/>
        <w:t>МГД должна также готовить отчеты о своей работе, представляемые каждому собранию своих основных исследовательских комиссий или рабочих групп.</w:t>
      </w:r>
    </w:p>
    <w:p w14:paraId="4F47C696" w14:textId="77777777" w:rsidR="007B6113" w:rsidRPr="007B6113" w:rsidRDefault="007B6113" w:rsidP="007B6113">
      <w:pPr>
        <w:pStyle w:val="enumlev1"/>
        <w:rPr>
          <w:lang w:val="ru-RU"/>
        </w:rPr>
      </w:pPr>
      <w:r w:rsidRPr="007B6113">
        <w:rPr>
          <w:lang w:val="ru-RU"/>
        </w:rPr>
        <w:t>h)</w:t>
      </w:r>
      <w:r w:rsidRPr="007B6113">
        <w:rPr>
          <w:lang w:val="ru-RU"/>
        </w:rPr>
        <w:tab/>
        <w:t>МГД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250F1BCA" w14:textId="77777777" w:rsidR="006545B8" w:rsidRPr="007B6113" w:rsidRDefault="006545B8" w:rsidP="00764EDC">
      <w:pPr>
        <w:rPr>
          <w:lang w:val="ru-RU"/>
        </w:rPr>
      </w:pPr>
    </w:p>
    <w:sectPr w:rsidR="006545B8" w:rsidRPr="007B6113"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6EBB" w14:textId="77777777" w:rsidR="008B6349" w:rsidRDefault="008B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4305" w14:textId="77777777" w:rsidR="008B6349" w:rsidRDefault="008B6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5402" w14:textId="77777777" w:rsidR="008B6349" w:rsidRDefault="008B6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687F99B"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8B6349" w:rsidRPr="00E95096">
      <w:rPr>
        <w:bCs/>
        <w:szCs w:val="22"/>
      </w:rPr>
      <w:t>ВАСЭ-</w:t>
    </w:r>
    <w:r w:rsidR="008B6349">
      <w:rPr>
        <w:bCs/>
        <w:szCs w:val="22"/>
        <w:lang w:val="ru-RU"/>
      </w:rPr>
      <w:t>24</w:t>
    </w:r>
    <w:r w:rsidR="008B6349" w:rsidRPr="00E95096">
      <w:rPr>
        <w:bCs/>
        <w:szCs w:val="22"/>
      </w:rPr>
      <w:t xml:space="preserve"> </w:t>
    </w:r>
    <w:r w:rsidR="008B6349" w:rsidRPr="00E95096">
      <w:rPr>
        <w:bCs/>
        <w:szCs w:val="22"/>
      </w:rPr>
      <w:sym w:font="Symbol" w:char="F02D"/>
    </w:r>
    <w:r w:rsidR="008B6349" w:rsidRPr="00E95096">
      <w:rPr>
        <w:bCs/>
        <w:szCs w:val="22"/>
      </w:rPr>
      <w:t xml:space="preserve"> </w:t>
    </w:r>
    <w:r w:rsidR="008B6349" w:rsidRPr="00E95096">
      <w:rPr>
        <w:bCs/>
        <w:szCs w:val="22"/>
        <w:lang w:val="ru-RU"/>
      </w:rPr>
      <w:t xml:space="preserve">Резолюция </w:t>
    </w:r>
    <w:r w:rsidR="008B6349" w:rsidRPr="00E95096">
      <w:rPr>
        <w:b w:val="0"/>
        <w:bCs/>
        <w:szCs w:val="22"/>
      </w:rPr>
      <w:fldChar w:fldCharType="begin"/>
    </w:r>
    <w:r w:rsidR="008B6349" w:rsidRPr="00E95096">
      <w:rPr>
        <w:bCs/>
        <w:szCs w:val="22"/>
      </w:rPr>
      <w:instrText xml:space="preserve"> STYLEREF  href  \* MERGEFORMAT </w:instrText>
    </w:r>
    <w:r w:rsidR="008B6349" w:rsidRPr="00E95096">
      <w:rPr>
        <w:b w:val="0"/>
        <w:bCs/>
        <w:szCs w:val="22"/>
      </w:rPr>
      <w:fldChar w:fldCharType="separate"/>
    </w:r>
    <w:r w:rsidR="00DE3722" w:rsidRPr="00DE3722">
      <w:rPr>
        <w:noProof/>
        <w:szCs w:val="22"/>
        <w:lang w:val="en-US"/>
      </w:rPr>
      <w:t>18</w:t>
    </w:r>
    <w:r w:rsidR="008B6349" w:rsidRPr="00E95096">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0FAA712" w:rsidR="00AA1264" w:rsidRPr="00D50046" w:rsidRDefault="00D50046" w:rsidP="00D50046">
    <w:pPr>
      <w:pStyle w:val="FooterQP"/>
      <w:rPr>
        <w:lang w:val="en-US"/>
      </w:rPr>
    </w:pPr>
    <w:r>
      <w:rPr>
        <w:lang w:val="en-US"/>
      </w:rPr>
      <w:tab/>
    </w:r>
    <w:r>
      <w:rPr>
        <w:lang w:val="en-US"/>
      </w:rPr>
      <w:tab/>
    </w:r>
    <w:r w:rsidR="008B6349" w:rsidRPr="00E95096">
      <w:rPr>
        <w:bCs/>
        <w:szCs w:val="22"/>
      </w:rPr>
      <w:t>ВАСЭ-</w:t>
    </w:r>
    <w:r w:rsidR="008B6349">
      <w:rPr>
        <w:bCs/>
        <w:szCs w:val="22"/>
        <w:lang w:val="ru-RU"/>
      </w:rPr>
      <w:t>24</w:t>
    </w:r>
    <w:r w:rsidR="008B6349" w:rsidRPr="00E95096">
      <w:rPr>
        <w:bCs/>
        <w:szCs w:val="22"/>
      </w:rPr>
      <w:t xml:space="preserve"> </w:t>
    </w:r>
    <w:r w:rsidR="008B6349" w:rsidRPr="00E95096">
      <w:rPr>
        <w:bCs/>
        <w:szCs w:val="22"/>
      </w:rPr>
      <w:sym w:font="Symbol" w:char="F02D"/>
    </w:r>
    <w:r w:rsidR="008B6349" w:rsidRPr="00E95096">
      <w:rPr>
        <w:bCs/>
        <w:szCs w:val="22"/>
      </w:rPr>
      <w:t xml:space="preserve"> </w:t>
    </w:r>
    <w:r w:rsidR="008B6349" w:rsidRPr="00E95096">
      <w:rPr>
        <w:bCs/>
        <w:szCs w:val="22"/>
        <w:lang w:val="ru-RU"/>
      </w:rPr>
      <w:t xml:space="preserve">Резолюция </w:t>
    </w:r>
    <w:r w:rsidR="008B6349" w:rsidRPr="00E95096">
      <w:rPr>
        <w:b w:val="0"/>
        <w:bCs/>
        <w:szCs w:val="22"/>
      </w:rPr>
      <w:fldChar w:fldCharType="begin"/>
    </w:r>
    <w:r w:rsidR="008B6349" w:rsidRPr="00E95096">
      <w:rPr>
        <w:bCs/>
        <w:szCs w:val="22"/>
      </w:rPr>
      <w:instrText xml:space="preserve"> STYLEREF  href  \* MERGEFORMAT </w:instrText>
    </w:r>
    <w:r w:rsidR="008B6349" w:rsidRPr="00E95096">
      <w:rPr>
        <w:b w:val="0"/>
        <w:bCs/>
        <w:szCs w:val="22"/>
      </w:rPr>
      <w:fldChar w:fldCharType="separate"/>
    </w:r>
    <w:r w:rsidR="00DE3722" w:rsidRPr="00DE3722">
      <w:rPr>
        <w:noProof/>
        <w:szCs w:val="22"/>
        <w:lang w:val="en-US"/>
      </w:rPr>
      <w:t>18</w:t>
    </w:r>
    <w:r w:rsidR="008B6349" w:rsidRPr="00E95096">
      <w:rPr>
        <w:b w:val="0"/>
        <w:bCs/>
        <w:szCs w:val="22"/>
      </w:rP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CD6321E" w:rsidR="00A4766C" w:rsidRPr="00A4766C" w:rsidRDefault="00A4766C" w:rsidP="00D50046">
    <w:pPr>
      <w:pStyle w:val="FooterQP"/>
      <w:rPr>
        <w:lang w:val="en-US"/>
      </w:rPr>
    </w:pPr>
    <w:r>
      <w:rPr>
        <w:lang w:val="en-US"/>
      </w:rPr>
      <w:tab/>
    </w:r>
    <w:r>
      <w:rPr>
        <w:lang w:val="en-US"/>
      </w:rPr>
      <w:tab/>
    </w:r>
    <w:r w:rsidR="00E60A09" w:rsidRPr="00E95096">
      <w:rPr>
        <w:bCs/>
        <w:szCs w:val="22"/>
      </w:rPr>
      <w:t>ВАСЭ-</w:t>
    </w:r>
    <w:r w:rsidR="00E60A09">
      <w:rPr>
        <w:bCs/>
        <w:szCs w:val="22"/>
        <w:lang w:val="ru-RU"/>
      </w:rPr>
      <w:t>24</w:t>
    </w:r>
    <w:r w:rsidR="00E60A09" w:rsidRPr="00E95096">
      <w:rPr>
        <w:bCs/>
        <w:szCs w:val="22"/>
      </w:rPr>
      <w:t xml:space="preserve"> </w:t>
    </w:r>
    <w:r w:rsidR="00E60A09" w:rsidRPr="00E95096">
      <w:rPr>
        <w:bCs/>
        <w:szCs w:val="22"/>
      </w:rPr>
      <w:sym w:font="Symbol" w:char="F02D"/>
    </w:r>
    <w:r w:rsidR="00E60A09" w:rsidRPr="00E95096">
      <w:rPr>
        <w:bCs/>
        <w:szCs w:val="22"/>
      </w:rPr>
      <w:t xml:space="preserve"> </w:t>
    </w:r>
    <w:r w:rsidR="00E60A09" w:rsidRPr="00E95096">
      <w:rPr>
        <w:bCs/>
        <w:szCs w:val="22"/>
        <w:lang w:val="ru-RU"/>
      </w:rPr>
      <w:t xml:space="preserve">Резолюция </w:t>
    </w:r>
    <w:r w:rsidR="00E60A09" w:rsidRPr="00E95096">
      <w:rPr>
        <w:b w:val="0"/>
        <w:bCs/>
        <w:szCs w:val="22"/>
      </w:rPr>
      <w:fldChar w:fldCharType="begin"/>
    </w:r>
    <w:r w:rsidR="00E60A09" w:rsidRPr="00E95096">
      <w:rPr>
        <w:bCs/>
        <w:szCs w:val="22"/>
      </w:rPr>
      <w:instrText xml:space="preserve"> STYLEREF  href  \* MERGEFORMAT </w:instrText>
    </w:r>
    <w:r w:rsidR="00E60A09" w:rsidRPr="00E95096">
      <w:rPr>
        <w:b w:val="0"/>
        <w:bCs/>
        <w:szCs w:val="22"/>
      </w:rPr>
      <w:fldChar w:fldCharType="separate"/>
    </w:r>
    <w:r w:rsidR="00DE3722" w:rsidRPr="00DE3722">
      <w:rPr>
        <w:noProof/>
        <w:szCs w:val="22"/>
        <w:lang w:val="en-US"/>
      </w:rPr>
      <w:t>18</w:t>
    </w:r>
    <w:r w:rsidR="00E60A09" w:rsidRPr="00E95096">
      <w:rPr>
        <w:b w:val="0"/>
        <w:bCs/>
        <w:szCs w:val="22"/>
      </w:rPr>
      <w:fldChar w:fldCharType="end"/>
    </w:r>
    <w:r w:rsidR="00E60A09" w:rsidRPr="00E95096">
      <w:rPr>
        <w:bCs/>
        <w:szCs w:val="22"/>
      </w:rPr>
      <w:tab/>
    </w:r>
    <w:r w:rsidR="00E60A09" w:rsidRPr="00E60A09">
      <w:rPr>
        <w:b w:val="0"/>
        <w:bCs/>
        <w:szCs w:val="22"/>
      </w:rPr>
      <w:fldChar w:fldCharType="begin"/>
    </w:r>
    <w:r w:rsidR="00E60A09" w:rsidRPr="00E60A09">
      <w:rPr>
        <w:b w:val="0"/>
        <w:bCs/>
        <w:szCs w:val="22"/>
      </w:rPr>
      <w:instrText xml:space="preserve"> PAGE </w:instrText>
    </w:r>
    <w:r w:rsidR="00E60A09" w:rsidRPr="00E60A09">
      <w:rPr>
        <w:b w:val="0"/>
        <w:bCs/>
        <w:szCs w:val="22"/>
      </w:rPr>
      <w:fldChar w:fldCharType="separate"/>
    </w:r>
    <w:r w:rsidR="00E60A09" w:rsidRPr="00E60A09">
      <w:rPr>
        <w:b w:val="0"/>
        <w:bCs/>
        <w:szCs w:val="22"/>
      </w:rPr>
      <w:t>1</w:t>
    </w:r>
    <w:r w:rsidR="00E60A09" w:rsidRPr="00E60A09">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0F9A4F13" w14:textId="77777777" w:rsidR="007B6113" w:rsidRPr="00D62580" w:rsidRDefault="007B6113" w:rsidP="007B6113">
      <w:pPr>
        <w:pStyle w:val="FootnoteText"/>
        <w:rPr>
          <w:lang w:val="ru-RU"/>
        </w:rPr>
      </w:pPr>
      <w:r w:rsidRPr="00D62580">
        <w:rPr>
          <w:rStyle w:val="FootnoteReference"/>
          <w:lang w:val="ru-RU"/>
        </w:rPr>
        <w:t>1</w:t>
      </w:r>
      <w:r w:rsidRPr="00D62580">
        <w:rPr>
          <w:lang w:val="ru-RU"/>
        </w:rPr>
        <w:t xml:space="preserve"> </w:t>
      </w:r>
      <w:r w:rsidRPr="00D62580">
        <w:rPr>
          <w:lang w:val="ru-RU"/>
        </w:rPr>
        <w:tab/>
        <w:t>Настоящую Резолюцию следует также довести до сведения Сектора радиосвязи МСЭ и Сектора стандартизации электросвязи МСЭ.</w:t>
      </w:r>
    </w:p>
  </w:footnote>
  <w:footnote w:id="2">
    <w:p w14:paraId="2DD83291" w14:textId="77777777" w:rsidR="007B6113" w:rsidRPr="00D62580" w:rsidRDefault="007B6113" w:rsidP="007B6113">
      <w:pPr>
        <w:pStyle w:val="FootnoteText"/>
        <w:rPr>
          <w:lang w:val="ru-RU"/>
        </w:rPr>
      </w:pPr>
      <w:r w:rsidRPr="00D62580">
        <w:rPr>
          <w:rStyle w:val="FootnoteReference"/>
          <w:lang w:val="ru-RU"/>
        </w:rPr>
        <w:t>2</w:t>
      </w:r>
      <w:r w:rsidRPr="00D62580">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3D13" w14:textId="77777777" w:rsidR="008B6349" w:rsidRDefault="008B6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5A60"/>
    <w:rsid w:val="00017B45"/>
    <w:rsid w:val="00023463"/>
    <w:rsid w:val="0003503D"/>
    <w:rsid w:val="00060974"/>
    <w:rsid w:val="000B071B"/>
    <w:rsid w:val="000B47CD"/>
    <w:rsid w:val="000B5A36"/>
    <w:rsid w:val="000C22AE"/>
    <w:rsid w:val="000D378F"/>
    <w:rsid w:val="000D3CE4"/>
    <w:rsid w:val="000D5219"/>
    <w:rsid w:val="000D6DAE"/>
    <w:rsid w:val="000E4393"/>
    <w:rsid w:val="00117D80"/>
    <w:rsid w:val="001309FB"/>
    <w:rsid w:val="001762A1"/>
    <w:rsid w:val="001B4A76"/>
    <w:rsid w:val="001B5C6B"/>
    <w:rsid w:val="001C5240"/>
    <w:rsid w:val="001C604C"/>
    <w:rsid w:val="001D71B9"/>
    <w:rsid w:val="001F3813"/>
    <w:rsid w:val="002178BA"/>
    <w:rsid w:val="002204D5"/>
    <w:rsid w:val="002210D5"/>
    <w:rsid w:val="00227040"/>
    <w:rsid w:val="00237B40"/>
    <w:rsid w:val="002462EF"/>
    <w:rsid w:val="00246C17"/>
    <w:rsid w:val="002742C3"/>
    <w:rsid w:val="00281FC7"/>
    <w:rsid w:val="002C182C"/>
    <w:rsid w:val="002D336F"/>
    <w:rsid w:val="002D5607"/>
    <w:rsid w:val="002E1B7B"/>
    <w:rsid w:val="002E6A20"/>
    <w:rsid w:val="00331B2F"/>
    <w:rsid w:val="003347EA"/>
    <w:rsid w:val="003374BB"/>
    <w:rsid w:val="0035222D"/>
    <w:rsid w:val="0038237B"/>
    <w:rsid w:val="003C3FD9"/>
    <w:rsid w:val="003D116F"/>
    <w:rsid w:val="003D7A8C"/>
    <w:rsid w:val="003F293E"/>
    <w:rsid w:val="00420F50"/>
    <w:rsid w:val="004568D2"/>
    <w:rsid w:val="004612A7"/>
    <w:rsid w:val="00462F6A"/>
    <w:rsid w:val="00467305"/>
    <w:rsid w:val="0048772A"/>
    <w:rsid w:val="004A58A4"/>
    <w:rsid w:val="004B7CB1"/>
    <w:rsid w:val="004E5019"/>
    <w:rsid w:val="004F2E56"/>
    <w:rsid w:val="00501F47"/>
    <w:rsid w:val="00504D1F"/>
    <w:rsid w:val="00524FB2"/>
    <w:rsid w:val="0053765D"/>
    <w:rsid w:val="00555B61"/>
    <w:rsid w:val="005569CA"/>
    <w:rsid w:val="00562EF2"/>
    <w:rsid w:val="00574CFF"/>
    <w:rsid w:val="005D19E5"/>
    <w:rsid w:val="005D1D45"/>
    <w:rsid w:val="005D4393"/>
    <w:rsid w:val="00601999"/>
    <w:rsid w:val="00611CD0"/>
    <w:rsid w:val="00631549"/>
    <w:rsid w:val="006425B4"/>
    <w:rsid w:val="00653C1B"/>
    <w:rsid w:val="006545B8"/>
    <w:rsid w:val="00665F6E"/>
    <w:rsid w:val="006678D7"/>
    <w:rsid w:val="006824D9"/>
    <w:rsid w:val="00684F2B"/>
    <w:rsid w:val="00693D4F"/>
    <w:rsid w:val="00697D23"/>
    <w:rsid w:val="006B0459"/>
    <w:rsid w:val="006B5987"/>
    <w:rsid w:val="006E13C5"/>
    <w:rsid w:val="00706D36"/>
    <w:rsid w:val="00707551"/>
    <w:rsid w:val="007116DC"/>
    <w:rsid w:val="0071403C"/>
    <w:rsid w:val="00717E4B"/>
    <w:rsid w:val="00720F3C"/>
    <w:rsid w:val="00726747"/>
    <w:rsid w:val="0074102F"/>
    <w:rsid w:val="007550BF"/>
    <w:rsid w:val="00764EDC"/>
    <w:rsid w:val="00780423"/>
    <w:rsid w:val="00781E25"/>
    <w:rsid w:val="007828CF"/>
    <w:rsid w:val="00783EB8"/>
    <w:rsid w:val="007958DD"/>
    <w:rsid w:val="007B6113"/>
    <w:rsid w:val="007C00E3"/>
    <w:rsid w:val="007D1155"/>
    <w:rsid w:val="007E0240"/>
    <w:rsid w:val="007F32A3"/>
    <w:rsid w:val="008075CD"/>
    <w:rsid w:val="00837339"/>
    <w:rsid w:val="00845E8E"/>
    <w:rsid w:val="00851E30"/>
    <w:rsid w:val="0088751E"/>
    <w:rsid w:val="008968B6"/>
    <w:rsid w:val="008B4CF6"/>
    <w:rsid w:val="008B6349"/>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D3A40"/>
    <w:rsid w:val="009D7132"/>
    <w:rsid w:val="009E1DCF"/>
    <w:rsid w:val="009F7009"/>
    <w:rsid w:val="00A01A91"/>
    <w:rsid w:val="00A24E9A"/>
    <w:rsid w:val="00A26B1A"/>
    <w:rsid w:val="00A3085D"/>
    <w:rsid w:val="00A4766C"/>
    <w:rsid w:val="00A65D98"/>
    <w:rsid w:val="00A83D3D"/>
    <w:rsid w:val="00AA1264"/>
    <w:rsid w:val="00AA2D89"/>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3087"/>
    <w:rsid w:val="00C64078"/>
    <w:rsid w:val="00C706FC"/>
    <w:rsid w:val="00C72AF4"/>
    <w:rsid w:val="00CB6046"/>
    <w:rsid w:val="00CD10C2"/>
    <w:rsid w:val="00CD3865"/>
    <w:rsid w:val="00CD4F15"/>
    <w:rsid w:val="00CE767E"/>
    <w:rsid w:val="00CF024D"/>
    <w:rsid w:val="00D14391"/>
    <w:rsid w:val="00D20887"/>
    <w:rsid w:val="00D26ECC"/>
    <w:rsid w:val="00D4292A"/>
    <w:rsid w:val="00D457B6"/>
    <w:rsid w:val="00D50046"/>
    <w:rsid w:val="00D52182"/>
    <w:rsid w:val="00D54881"/>
    <w:rsid w:val="00D62580"/>
    <w:rsid w:val="00D66950"/>
    <w:rsid w:val="00D76D88"/>
    <w:rsid w:val="00D8497D"/>
    <w:rsid w:val="00D94D9E"/>
    <w:rsid w:val="00DA7D60"/>
    <w:rsid w:val="00DB2AF8"/>
    <w:rsid w:val="00DB5592"/>
    <w:rsid w:val="00DE3722"/>
    <w:rsid w:val="00DE48B4"/>
    <w:rsid w:val="00E03ABC"/>
    <w:rsid w:val="00E154E2"/>
    <w:rsid w:val="00E20918"/>
    <w:rsid w:val="00E300EC"/>
    <w:rsid w:val="00E51820"/>
    <w:rsid w:val="00E56BAB"/>
    <w:rsid w:val="00E60A09"/>
    <w:rsid w:val="00E67297"/>
    <w:rsid w:val="00E758D6"/>
    <w:rsid w:val="00E82452"/>
    <w:rsid w:val="00E83C1C"/>
    <w:rsid w:val="00E84CE6"/>
    <w:rsid w:val="00E96B11"/>
    <w:rsid w:val="00E96C27"/>
    <w:rsid w:val="00E976D9"/>
    <w:rsid w:val="00EA12A2"/>
    <w:rsid w:val="00EA2A26"/>
    <w:rsid w:val="00EB3556"/>
    <w:rsid w:val="00EE1126"/>
    <w:rsid w:val="00EE2FE2"/>
    <w:rsid w:val="00EE4B7A"/>
    <w:rsid w:val="00F0099E"/>
    <w:rsid w:val="00F12607"/>
    <w:rsid w:val="00F15F98"/>
    <w:rsid w:val="00F34748"/>
    <w:rsid w:val="00F4281C"/>
    <w:rsid w:val="00F4544A"/>
    <w:rsid w:val="00F576B9"/>
    <w:rsid w:val="00F67E96"/>
    <w:rsid w:val="00F9579B"/>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34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7B6113"/>
    <w:pPr>
      <w:tabs>
        <w:tab w:val="clear" w:pos="794"/>
        <w:tab w:val="clear" w:pos="1191"/>
        <w:tab w:val="clear" w:pos="1588"/>
        <w:tab w:val="clear" w:pos="1985"/>
      </w:tabs>
      <w:jc w:val="center"/>
      <w:outlineLvl w:val="0"/>
    </w:pPr>
    <w:rPr>
      <w:b w:val="0"/>
      <w:caps/>
      <w:sz w:val="26"/>
    </w:rPr>
  </w:style>
  <w:style w:type="paragraph" w:customStyle="1" w:styleId="Restitle">
    <w:name w:val="Res_title"/>
    <w:basedOn w:val="Rectitle"/>
    <w:next w:val="Resref"/>
    <w:link w:val="RestitleChar"/>
    <w:uiPriority w:val="99"/>
    <w:rsid w:val="007B6113"/>
    <w:pPr>
      <w:outlineLvl w:val="0"/>
    </w:pPr>
    <w:rPr>
      <w:sz w:val="26"/>
    </w:rPr>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7B6113"/>
    <w:rPr>
      <w:rFonts w:ascii="Times New Roman" w:hAnsi="Times New Roman"/>
      <w:b/>
      <w:sz w:val="26"/>
      <w:lang w:val="fr-FR" w:eastAsia="en-US"/>
    </w:rPr>
  </w:style>
  <w:style w:type="character" w:customStyle="1" w:styleId="ResNoChar">
    <w:name w:val="Res_No Char"/>
    <w:link w:val="ResNo"/>
    <w:rsid w:val="007B6113"/>
    <w:rPr>
      <w:rFonts w:ascii="Times New Roman" w:hAnsi="Times New Roman"/>
      <w:caps/>
      <w:sz w:val="26"/>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7B6113"/>
    <w:pPr>
      <w:keepNext/>
      <w:keepLines/>
      <w:spacing w:before="480" w:after="80"/>
      <w:jc w:val="center"/>
      <w:outlineLvl w:val="0"/>
    </w:pPr>
    <w:rPr>
      <w:caps/>
      <w:sz w:val="26"/>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F4544A"/>
    <w:pPr>
      <w:keepNext/>
      <w:keepLines/>
      <w:spacing w:before="480" w:after="80"/>
      <w:jc w:val="center"/>
    </w:pPr>
    <w:rPr>
      <w:caps/>
      <w:sz w:val="1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styleId="Strong">
    <w:name w:val="Strong"/>
    <w:basedOn w:val="DefaultParagraphFont"/>
    <w:uiPriority w:val="22"/>
    <w:qFormat/>
    <w:rsid w:val="002D336F"/>
    <w:rPr>
      <w:b/>
      <w:bCs/>
    </w:rPr>
  </w:style>
  <w:style w:type="paragraph" w:styleId="CommentSubject">
    <w:name w:val="annotation subject"/>
    <w:basedOn w:val="CommentText"/>
    <w:next w:val="CommentText"/>
    <w:link w:val="CommentSubjectChar"/>
    <w:semiHidden/>
    <w:unhideWhenUsed/>
    <w:rsid w:val="005D19E5"/>
    <w:rPr>
      <w:b/>
      <w:bCs/>
    </w:rPr>
  </w:style>
  <w:style w:type="character" w:customStyle="1" w:styleId="CommentTextChar">
    <w:name w:val="Comment Text Char"/>
    <w:basedOn w:val="DefaultParagraphFont"/>
    <w:link w:val="CommentText"/>
    <w:semiHidden/>
    <w:rsid w:val="005D19E5"/>
    <w:rPr>
      <w:rFonts w:ascii="Times New Roman" w:hAnsi="Times New Roman"/>
      <w:lang w:val="fr-FR" w:eastAsia="en-US"/>
    </w:rPr>
  </w:style>
  <w:style w:type="character" w:customStyle="1" w:styleId="CommentSubjectChar">
    <w:name w:val="Comment Subject Char"/>
    <w:basedOn w:val="CommentTextChar"/>
    <w:link w:val="CommentSubject"/>
    <w:semiHidden/>
    <w:rsid w:val="005D19E5"/>
    <w:rPr>
      <w:rFonts w:ascii="Times New Roman" w:hAnsi="Times New Roman"/>
      <w:b/>
      <w:bCs/>
      <w:lang w:val="fr-FR" w:eastAsia="en-US"/>
    </w:rPr>
  </w:style>
  <w:style w:type="paragraph" w:customStyle="1" w:styleId="Reasons">
    <w:name w:val="Reasons"/>
    <w:basedOn w:val="Normal"/>
    <w:uiPriority w:val="99"/>
    <w:rsid w:val="008B6349"/>
    <w:pPr>
      <w:tabs>
        <w:tab w:val="clear" w:pos="794"/>
        <w:tab w:val="clear" w:pos="1191"/>
        <w:tab w:val="left" w:pos="1134"/>
      </w:tabs>
      <w:jc w:val="left"/>
    </w:pPr>
    <w:rPr>
      <w:lang w:val="ru-RU"/>
    </w:rPr>
  </w:style>
  <w:style w:type="paragraph" w:customStyle="1" w:styleId="Annextitle">
    <w:name w:val="Annex_title"/>
    <w:basedOn w:val="Normal"/>
    <w:next w:val="Normal"/>
    <w:uiPriority w:val="99"/>
    <w:rsid w:val="007B6113"/>
    <w:pPr>
      <w:keepNext/>
      <w:keepLines/>
      <w:tabs>
        <w:tab w:val="clear" w:pos="794"/>
        <w:tab w:val="clear" w:pos="1191"/>
        <w:tab w:val="clear" w:pos="1588"/>
        <w:tab w:val="clear" w:pos="1985"/>
        <w:tab w:val="left" w:pos="1134"/>
        <w:tab w:val="left" w:pos="1871"/>
        <w:tab w:val="left" w:pos="2268"/>
      </w:tabs>
      <w:spacing w:before="240" w:after="280"/>
      <w:jc w:val="center"/>
      <w:outlineLvl w:val="0"/>
    </w:pPr>
    <w:rPr>
      <w:b/>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T-REC-FINAL-R.dotm</Template>
  <TotalTime>57</TotalTime>
  <Pages>8</Pages>
  <Words>1952</Words>
  <Characters>13577</Characters>
  <Application>Microsoft Office Word</Application>
  <DocSecurity>0</DocSecurity>
  <Lines>282</Lines>
  <Paragraphs>91</Paragraphs>
  <ScaleCrop>false</ScaleCrop>
  <HeadingPairs>
    <vt:vector size="2" baseType="variant">
      <vt:variant>
        <vt:lpstr>Title</vt:lpstr>
      </vt:variant>
      <vt:variant>
        <vt:i4>1</vt:i4>
      </vt:variant>
    </vt:vector>
  </HeadingPairs>
  <TitlesOfParts>
    <vt:vector size="1" baseType="lpstr">
      <vt:lpstr>РЕЗОЛЮЦИЯ 7 (Пересм. Нью-Дели, 2024 г.) Сотрудничество с Международной организацией по стандартизации и Международной электротехнической комиссией</vt:lpstr>
    </vt:vector>
  </TitlesOfParts>
  <Company>ITU</Company>
  <LinksUpToDate>false</LinksUpToDate>
  <CharactersWithSpaces>15438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РЕЗОЛЮЦИЯ 18 (Пересм. Нью-Дели, 2024 г.) Усиление координации и сотрудничества между тремя Секторами МСЭ по вопросам, представляющим взаимный интерес</dc:title>
  <dc:subject>WORLD TELECOMMUNICATION STANDARDIZATION ASSEMBLY - Florianópolis, 5-14 October 2004</dc:subject>
  <dc:creator>ITU-T</dc:creator>
  <cp:keywords/>
  <dc:description/>
  <cp:lastModifiedBy>Berdyeva, Elena</cp:lastModifiedBy>
  <cp:revision>30</cp:revision>
  <cp:lastPrinted>2024-11-26T11:17:00Z</cp:lastPrinted>
  <dcterms:created xsi:type="dcterms:W3CDTF">2024-09-24T12:18:00Z</dcterms:created>
  <dcterms:modified xsi:type="dcterms:W3CDTF">2024-11-26T11:55:00Z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