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proofErr w:type="spellStart"/>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roofErr w:type="spellEnd"/>
          </w:p>
        </w:tc>
        <w:tc>
          <w:tcPr>
            <w:tcW w:w="5670" w:type="dxa"/>
          </w:tcPr>
          <w:p w14:paraId="0E9475D3" w14:textId="4988F2A4" w:rsidR="00EA2A26" w:rsidRPr="00EA2A26" w:rsidRDefault="00347EE0" w:rsidP="00A3085D">
            <w:pPr>
              <w:spacing w:before="60"/>
              <w:jc w:val="right"/>
              <w:rPr>
                <w:rFonts w:ascii="Arial" w:eastAsia="Avenir Next W1G Medium" w:hAnsi="Arial" w:cs="Arial"/>
                <w:sz w:val="24"/>
                <w:szCs w:val="24"/>
              </w:rPr>
            </w:pPr>
            <w:proofErr w:type="spellStart"/>
            <w:r w:rsidRPr="00347EE0">
              <w:rPr>
                <w:rFonts w:ascii="Arial" w:eastAsia="Avenir Next W1G Medium" w:hAnsi="Arial" w:cs="Arial"/>
                <w:b/>
                <w:spacing w:val="-4"/>
                <w:sz w:val="24"/>
                <w:szCs w:val="24"/>
              </w:rPr>
              <w:t>Unión</w:t>
            </w:r>
            <w:proofErr w:type="spellEnd"/>
            <w:r w:rsidRPr="00347EE0">
              <w:rPr>
                <w:rFonts w:ascii="Arial" w:eastAsia="Avenir Next W1G Medium" w:hAnsi="Arial" w:cs="Arial"/>
                <w:b/>
                <w:spacing w:val="-4"/>
                <w:sz w:val="24"/>
                <w:szCs w:val="24"/>
              </w:rPr>
              <w:t xml:space="preserve"> Internacional de </w:t>
            </w:r>
            <w:proofErr w:type="spellStart"/>
            <w:r w:rsidRPr="00347EE0">
              <w:rPr>
                <w:rFonts w:ascii="Arial" w:eastAsia="Avenir Next W1G Medium" w:hAnsi="Arial" w:cs="Arial"/>
                <w:b/>
                <w:spacing w:val="-4"/>
                <w:sz w:val="24"/>
                <w:szCs w:val="24"/>
              </w:rPr>
              <w:t>Telecomunicaciones</w:t>
            </w:r>
            <w:proofErr w:type="spellEnd"/>
          </w:p>
        </w:tc>
      </w:tr>
      <w:tr w:rsidR="00EA2A26" w:rsidRPr="0033681A" w14:paraId="42C85EB6" w14:textId="77777777" w:rsidTr="00367A2B">
        <w:trPr>
          <w:trHeight w:hRule="exact" w:val="992"/>
        </w:trPr>
        <w:tc>
          <w:tcPr>
            <w:tcW w:w="5070" w:type="dxa"/>
            <w:gridSpan w:val="2"/>
          </w:tcPr>
          <w:p w14:paraId="68B26EDA" w14:textId="32FCBD5F" w:rsidR="00EA2A26" w:rsidRPr="00EA2A26" w:rsidRDefault="00347EE0" w:rsidP="00367A2B">
            <w:pPr>
              <w:spacing w:before="0"/>
              <w:rPr>
                <w:rFonts w:ascii="Arial" w:eastAsia="Avenir Next W1G Medium" w:hAnsi="Arial" w:cs="Arial"/>
                <w:sz w:val="24"/>
                <w:szCs w:val="24"/>
              </w:rPr>
            </w:pPr>
            <w:proofErr w:type="spellStart"/>
            <w:r>
              <w:rPr>
                <w:rFonts w:ascii="Arial" w:eastAsia="Avenir Next W1G Medium" w:hAnsi="Arial" w:cs="Arial"/>
                <w:sz w:val="24"/>
                <w:szCs w:val="24"/>
              </w:rPr>
              <w:t>Resoluciones</w:t>
            </w:r>
            <w:proofErr w:type="spellEnd"/>
          </w:p>
        </w:tc>
        <w:tc>
          <w:tcPr>
            <w:tcW w:w="5670" w:type="dxa"/>
          </w:tcPr>
          <w:p w14:paraId="20539D5B" w14:textId="66840162" w:rsidR="00EA2A26" w:rsidRPr="00EA2A26" w:rsidRDefault="00347EE0" w:rsidP="00367A2B">
            <w:pPr>
              <w:spacing w:before="0"/>
              <w:jc w:val="right"/>
              <w:rPr>
                <w:rFonts w:ascii="Arial" w:eastAsia="Avenir Next W1G Medium" w:hAnsi="Arial" w:cs="Arial"/>
                <w:sz w:val="24"/>
                <w:szCs w:val="24"/>
              </w:rPr>
            </w:pPr>
            <w:proofErr w:type="spellStart"/>
            <w:r w:rsidRPr="00347EE0">
              <w:rPr>
                <w:rFonts w:ascii="Arial" w:eastAsia="Avenir Next W1G Medium" w:hAnsi="Arial" w:cs="Arial"/>
                <w:sz w:val="24"/>
                <w:szCs w:val="24"/>
              </w:rPr>
              <w:t>Sector</w:t>
            </w:r>
            <w:proofErr w:type="spellEnd"/>
            <w:r w:rsidRPr="00347EE0">
              <w:rPr>
                <w:rFonts w:ascii="Arial" w:eastAsia="Avenir Next W1G Medium" w:hAnsi="Arial" w:cs="Arial"/>
                <w:sz w:val="24"/>
                <w:szCs w:val="24"/>
              </w:rPr>
              <w:t xml:space="preserve"> de </w:t>
            </w:r>
            <w:proofErr w:type="spellStart"/>
            <w:r w:rsidRPr="00347EE0">
              <w:rPr>
                <w:rFonts w:ascii="Arial" w:eastAsia="Avenir Next W1G Medium" w:hAnsi="Arial" w:cs="Arial"/>
                <w:sz w:val="24"/>
                <w:szCs w:val="24"/>
              </w:rPr>
              <w:t>Normalización</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before="120" w:after="240"/>
              <w:rPr>
                <w:spacing w:val="-6"/>
                <w:sz w:val="44"/>
                <w:szCs w:val="44"/>
                <w:lang w:val="en-GB"/>
              </w:rPr>
            </w:pPr>
          </w:p>
        </w:tc>
      </w:tr>
      <w:tr w:rsidR="00EA2A26" w:rsidRPr="00ED1B0A"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6458DB41" w:rsidR="00EA2A26" w:rsidRPr="001F1D97" w:rsidRDefault="00347EE0" w:rsidP="00EA2A26">
            <w:pPr>
              <w:widowControl w:val="0"/>
              <w:tabs>
                <w:tab w:val="clear" w:pos="794"/>
                <w:tab w:val="clear" w:pos="1191"/>
                <w:tab w:val="clear" w:pos="1588"/>
                <w:tab w:val="clear" w:pos="1985"/>
              </w:tabs>
              <w:overflowPunct/>
              <w:adjustRightInd/>
              <w:spacing w:before="276" w:line="240" w:lineRule="auto"/>
              <w:jc w:val="left"/>
              <w:textAlignment w:val="auto"/>
              <w:rPr>
                <w:rFonts w:ascii="Arial" w:hAnsi="Arial" w:cs="Arial"/>
                <w:sz w:val="36"/>
                <w:szCs w:val="36"/>
                <w:lang w:val="es-ES"/>
              </w:rPr>
            </w:pPr>
            <w:r w:rsidRPr="001F1D97">
              <w:rPr>
                <w:rFonts w:ascii="Arial" w:hAnsi="Arial" w:cs="Arial"/>
                <w:sz w:val="36"/>
                <w:szCs w:val="36"/>
                <w:lang w:val="es-ES"/>
              </w:rPr>
              <w:t xml:space="preserve">ASAMBLEA MUNDIAL DE NORMALIZACIÓN DE LAS TELECOMUNICACIONES </w:t>
            </w:r>
            <w:r w:rsidR="00EA2A26" w:rsidRPr="001F1D97">
              <w:rPr>
                <w:rFonts w:ascii="Arial" w:hAnsi="Arial" w:cs="Arial"/>
                <w:sz w:val="36"/>
                <w:szCs w:val="36"/>
                <w:lang w:val="es-ES"/>
              </w:rPr>
              <w:br/>
            </w:r>
            <w:r w:rsidRPr="001F1D97">
              <w:rPr>
                <w:rFonts w:ascii="Arial" w:hAnsi="Arial" w:cs="Arial"/>
                <w:sz w:val="36"/>
                <w:szCs w:val="36"/>
                <w:lang w:val="es-ES"/>
              </w:rPr>
              <w:t>Nueva Delhi</w:t>
            </w:r>
            <w:r w:rsidR="00EA2A26" w:rsidRPr="001F1D97">
              <w:rPr>
                <w:rFonts w:ascii="Arial" w:hAnsi="Arial" w:cs="Arial"/>
                <w:sz w:val="36"/>
                <w:szCs w:val="36"/>
                <w:lang w:val="es-ES"/>
              </w:rPr>
              <w:t xml:space="preserve">, 15-24 </w:t>
            </w:r>
            <w:r w:rsidRPr="001F1D97">
              <w:rPr>
                <w:rFonts w:ascii="Arial" w:hAnsi="Arial" w:cs="Arial"/>
                <w:sz w:val="36"/>
                <w:szCs w:val="36"/>
                <w:lang w:val="es-ES"/>
              </w:rPr>
              <w:t>de octubre de</w:t>
            </w:r>
            <w:r w:rsidR="00423BC5" w:rsidRPr="001F1D97">
              <w:rPr>
                <w:rFonts w:ascii="Arial" w:hAnsi="Arial" w:cs="Arial"/>
                <w:sz w:val="36"/>
                <w:szCs w:val="36"/>
                <w:lang w:val="es-ES"/>
              </w:rPr>
              <w:t xml:space="preserve"> </w:t>
            </w:r>
            <w:r w:rsidR="00EA2A26" w:rsidRPr="001F1D97">
              <w:rPr>
                <w:rFonts w:ascii="Arial" w:hAnsi="Arial" w:cs="Arial"/>
                <w:sz w:val="36"/>
                <w:szCs w:val="36"/>
                <w:lang w:val="es-ES"/>
              </w:rPr>
              <w:t>2024</w:t>
            </w:r>
          </w:p>
          <w:p w14:paraId="318F1603" w14:textId="77777777" w:rsidR="00EA2A26" w:rsidRPr="001F1D97" w:rsidRDefault="00EA2A26" w:rsidP="00367A2B">
            <w:pPr>
              <w:rPr>
                <w:lang w:val="es-ES"/>
              </w:rPr>
            </w:pPr>
          </w:p>
        </w:tc>
      </w:tr>
      <w:tr w:rsidR="00EA2A26" w:rsidRPr="00ED1B0A" w14:paraId="40EA4FB7" w14:textId="77777777" w:rsidTr="00367A2B">
        <w:trPr>
          <w:trHeight w:val="743"/>
        </w:trPr>
        <w:tc>
          <w:tcPr>
            <w:tcW w:w="817" w:type="dxa"/>
          </w:tcPr>
          <w:p w14:paraId="5A48D328" w14:textId="77777777" w:rsidR="00EA2A26" w:rsidRPr="001F1D97" w:rsidRDefault="00EA2A26" w:rsidP="00367A2B">
            <w:pPr>
              <w:tabs>
                <w:tab w:val="right" w:pos="9639"/>
              </w:tabs>
              <w:rPr>
                <w:rFonts w:ascii="Arial" w:hAnsi="Arial" w:cs="Arial"/>
                <w:sz w:val="48"/>
                <w:szCs w:val="48"/>
                <w:lang w:val="es-ES"/>
              </w:rPr>
            </w:pPr>
          </w:p>
        </w:tc>
        <w:tc>
          <w:tcPr>
            <w:tcW w:w="9923" w:type="dxa"/>
            <w:gridSpan w:val="2"/>
            <w:tcBorders>
              <w:top w:val="single" w:sz="8" w:space="0" w:color="auto"/>
            </w:tcBorders>
          </w:tcPr>
          <w:p w14:paraId="36D98092" w14:textId="03A87E8A" w:rsidR="00EA2A26" w:rsidRPr="00CC6DC3" w:rsidRDefault="00347EE0" w:rsidP="00CC6DC3">
            <w:pPr>
              <w:pStyle w:val="BodyText"/>
              <w:spacing w:before="440" w:line="240" w:lineRule="auto"/>
              <w:jc w:val="left"/>
              <w:rPr>
                <w:spacing w:val="-6"/>
                <w:sz w:val="44"/>
                <w:szCs w:val="44"/>
                <w:lang w:val="es-ES"/>
              </w:rPr>
            </w:pPr>
            <w:r w:rsidRPr="00CC6DC3">
              <w:rPr>
                <w:spacing w:val="-6"/>
                <w:sz w:val="44"/>
                <w:szCs w:val="44"/>
                <w:lang w:val="es-ES"/>
              </w:rPr>
              <w:t>Resolución</w:t>
            </w:r>
            <w:r w:rsidR="00EA2A26" w:rsidRPr="00CC6DC3">
              <w:rPr>
                <w:spacing w:val="-6"/>
                <w:sz w:val="44"/>
                <w:szCs w:val="44"/>
                <w:lang w:val="es-ES"/>
              </w:rPr>
              <w:t xml:space="preserve"> </w:t>
            </w:r>
            <w:r w:rsidR="00CC6DC3" w:rsidRPr="00CC6DC3">
              <w:rPr>
                <w:spacing w:val="-6"/>
                <w:sz w:val="44"/>
                <w:szCs w:val="44"/>
                <w:lang w:val="es-ES"/>
              </w:rPr>
              <w:t xml:space="preserve">11 </w:t>
            </w:r>
            <w:r w:rsidR="00845E8E" w:rsidRPr="00CC6DC3">
              <w:rPr>
                <w:spacing w:val="-6"/>
                <w:sz w:val="44"/>
                <w:szCs w:val="44"/>
                <w:lang w:val="es-ES"/>
              </w:rPr>
              <w:t xml:space="preserve">– </w:t>
            </w:r>
            <w:r w:rsidR="00CC6DC3" w:rsidRPr="00CC6DC3">
              <w:rPr>
                <w:spacing w:val="-6"/>
                <w:sz w:val="44"/>
                <w:szCs w:val="44"/>
                <w:lang w:val="es-ES"/>
              </w:rPr>
              <w:t>Colaboración con la Unión Postal Universal sobre el estudio de servicios que interesan a la vez a los sectores postal y de telecomunicaciones</w:t>
            </w:r>
          </w:p>
          <w:p w14:paraId="51262F1D" w14:textId="77777777" w:rsidR="00EA2A26" w:rsidRPr="00CC6DC3" w:rsidRDefault="00EA2A26" w:rsidP="00367A2B">
            <w:pPr>
              <w:rPr>
                <w:lang w:val="es-ES"/>
              </w:rPr>
            </w:pPr>
          </w:p>
        </w:tc>
      </w:tr>
    </w:tbl>
    <w:p w14:paraId="7800F3B2" w14:textId="77777777" w:rsidR="00EA2A26" w:rsidRPr="00CC6DC3"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s-ES"/>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CC6DC3" w:rsidRDefault="00EA2A26" w:rsidP="00EA2A26">
      <w:pPr>
        <w:jc w:val="left"/>
        <w:rPr>
          <w:lang w:val="es-ES"/>
        </w:rPr>
        <w:sectPr w:rsidR="00EA2A26" w:rsidRPr="00CC6DC3"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7A3BA8F4" w:rsidR="008968B6" w:rsidRPr="00ED1B0A" w:rsidRDefault="00347EE0" w:rsidP="00AA1264">
      <w:pPr>
        <w:spacing w:before="480" w:line="240" w:lineRule="auto"/>
        <w:jc w:val="center"/>
        <w:rPr>
          <w:lang w:val="es-ES"/>
        </w:rPr>
      </w:pPr>
      <w:bookmarkStart w:id="1" w:name="irecnoe"/>
      <w:bookmarkEnd w:id="1"/>
      <w:r w:rsidRPr="00ED1B0A">
        <w:rPr>
          <w:lang w:val="es-ES"/>
        </w:rPr>
        <w:lastRenderedPageBreak/>
        <w:t>PREFACIO</w:t>
      </w:r>
    </w:p>
    <w:p w14:paraId="224BFE8E"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14:paraId="58714A47"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Asamblea Mundial de Normalización de las Telecomunicaciones (AMNT), que se celebra cada cuatro años, establece los temas que han de estudiar las Comisiones de Estudio del UIT-T, que a su vez producen Recomendaciones sobre dichos temas.</w:t>
      </w:r>
    </w:p>
    <w:p w14:paraId="0D3B6495"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La aprobación de Recomendaciones por los Miembros del UIT-T es el objeto del procedimiento establecido en la Resolución 1 de la AMNT.</w:t>
      </w:r>
    </w:p>
    <w:p w14:paraId="3A8E52FD" w14:textId="77777777" w:rsidR="00347EE0" w:rsidRPr="00347EE0" w:rsidRDefault="00347EE0" w:rsidP="00347EE0">
      <w:pPr>
        <w:spacing w:before="120" w:line="240" w:lineRule="auto"/>
        <w:rPr>
          <w:rFonts w:eastAsia="SimSun"/>
          <w:sz w:val="20"/>
          <w:lang w:val="es-ES"/>
        </w:rPr>
      </w:pPr>
      <w:r w:rsidRPr="00347EE0">
        <w:rPr>
          <w:rFonts w:eastAsia="SimSun"/>
          <w:sz w:val="20"/>
          <w:lang w:val="es-ES"/>
        </w:rPr>
        <w:t>En ciertos sectores de la tecnología de la información que corresponden a la esfera de competencia del UIT-T, se preparan las normas necesarias en colaboración con la ISO y la CEI.</w:t>
      </w:r>
    </w:p>
    <w:p w14:paraId="192371AE" w14:textId="77777777" w:rsidR="000E4393" w:rsidRPr="001F1D97" w:rsidRDefault="000E4393" w:rsidP="000E4393">
      <w:pPr>
        <w:spacing w:line="240" w:lineRule="exact"/>
        <w:jc w:val="center"/>
        <w:rPr>
          <w:sz w:val="20"/>
          <w:lang w:val="es-ES"/>
        </w:rPr>
      </w:pPr>
    </w:p>
    <w:p w14:paraId="7FCCDABA" w14:textId="77777777" w:rsidR="000E4393" w:rsidRPr="001F1D97" w:rsidRDefault="000E4393" w:rsidP="000E4393">
      <w:pPr>
        <w:spacing w:line="240" w:lineRule="exact"/>
        <w:jc w:val="center"/>
        <w:rPr>
          <w:sz w:val="20"/>
          <w:lang w:val="es-ES"/>
        </w:rPr>
      </w:pPr>
    </w:p>
    <w:p w14:paraId="70F00C73" w14:textId="77777777" w:rsidR="000E4393" w:rsidRPr="001F1D97" w:rsidRDefault="000E4393" w:rsidP="000E4393">
      <w:pPr>
        <w:spacing w:line="240" w:lineRule="exact"/>
        <w:jc w:val="center"/>
        <w:rPr>
          <w:sz w:val="20"/>
          <w:lang w:val="es-ES"/>
        </w:rPr>
      </w:pPr>
    </w:p>
    <w:p w14:paraId="441A93C9" w14:textId="77777777" w:rsidR="000E4393" w:rsidRPr="001F1D97" w:rsidRDefault="000E4393" w:rsidP="000E4393">
      <w:pPr>
        <w:spacing w:line="240" w:lineRule="exact"/>
        <w:jc w:val="center"/>
        <w:rPr>
          <w:sz w:val="20"/>
          <w:lang w:val="es-ES"/>
        </w:rPr>
      </w:pPr>
    </w:p>
    <w:p w14:paraId="4AA4512C" w14:textId="77777777" w:rsidR="000E4393" w:rsidRPr="001F1D97" w:rsidRDefault="000E4393" w:rsidP="000E4393">
      <w:pPr>
        <w:spacing w:line="240" w:lineRule="exact"/>
        <w:jc w:val="center"/>
        <w:rPr>
          <w:sz w:val="20"/>
          <w:lang w:val="es-ES"/>
        </w:rPr>
      </w:pPr>
    </w:p>
    <w:p w14:paraId="1CCAE5F2" w14:textId="77777777" w:rsidR="000E4393" w:rsidRPr="001F1D97" w:rsidRDefault="000E4393" w:rsidP="000E4393">
      <w:pPr>
        <w:spacing w:line="240" w:lineRule="exact"/>
        <w:jc w:val="center"/>
        <w:rPr>
          <w:sz w:val="20"/>
          <w:lang w:val="es-ES"/>
        </w:rPr>
      </w:pPr>
    </w:p>
    <w:p w14:paraId="2EE42A0A" w14:textId="77777777" w:rsidR="000E4393" w:rsidRPr="001F1D97" w:rsidRDefault="000E4393" w:rsidP="000E4393">
      <w:pPr>
        <w:spacing w:line="240" w:lineRule="exact"/>
        <w:jc w:val="center"/>
        <w:rPr>
          <w:sz w:val="20"/>
          <w:lang w:val="es-ES"/>
        </w:rPr>
      </w:pPr>
    </w:p>
    <w:p w14:paraId="022D9329" w14:textId="77777777" w:rsidR="000E4393" w:rsidRPr="001F1D97" w:rsidRDefault="000E4393" w:rsidP="000E4393">
      <w:pPr>
        <w:spacing w:line="240" w:lineRule="exact"/>
        <w:jc w:val="center"/>
        <w:rPr>
          <w:sz w:val="20"/>
          <w:lang w:val="es-ES"/>
        </w:rPr>
      </w:pPr>
    </w:p>
    <w:p w14:paraId="297330FC" w14:textId="77777777" w:rsidR="000E4393" w:rsidRPr="001F1D97" w:rsidRDefault="000E4393" w:rsidP="000E4393">
      <w:pPr>
        <w:spacing w:line="240" w:lineRule="exact"/>
        <w:jc w:val="center"/>
        <w:rPr>
          <w:sz w:val="20"/>
          <w:lang w:val="es-ES"/>
        </w:rPr>
      </w:pPr>
    </w:p>
    <w:p w14:paraId="432B0A04" w14:textId="77777777" w:rsidR="000E4393" w:rsidRPr="001F1D97" w:rsidRDefault="000E4393" w:rsidP="000E4393">
      <w:pPr>
        <w:spacing w:line="240" w:lineRule="exact"/>
        <w:jc w:val="center"/>
        <w:rPr>
          <w:sz w:val="20"/>
          <w:lang w:val="es-ES"/>
        </w:rPr>
      </w:pPr>
    </w:p>
    <w:p w14:paraId="652C1D75" w14:textId="77777777" w:rsidR="000E4393" w:rsidRPr="001F1D97" w:rsidRDefault="000E4393" w:rsidP="000E4393">
      <w:pPr>
        <w:spacing w:line="240" w:lineRule="exact"/>
        <w:jc w:val="center"/>
        <w:rPr>
          <w:sz w:val="20"/>
          <w:lang w:val="es-ES"/>
        </w:rPr>
      </w:pPr>
    </w:p>
    <w:p w14:paraId="687301D2" w14:textId="77777777" w:rsidR="000E4393" w:rsidRPr="001F1D97" w:rsidRDefault="000E4393" w:rsidP="000E4393">
      <w:pPr>
        <w:spacing w:line="240" w:lineRule="exact"/>
        <w:jc w:val="center"/>
        <w:rPr>
          <w:sz w:val="20"/>
          <w:lang w:val="es-ES"/>
        </w:rPr>
      </w:pPr>
    </w:p>
    <w:p w14:paraId="1F19B9D8" w14:textId="77777777" w:rsidR="000E4393" w:rsidRPr="001F1D97" w:rsidRDefault="000E4393" w:rsidP="000E4393">
      <w:pPr>
        <w:spacing w:line="240" w:lineRule="exact"/>
        <w:jc w:val="center"/>
        <w:rPr>
          <w:sz w:val="20"/>
          <w:lang w:val="es-ES"/>
        </w:rPr>
      </w:pPr>
    </w:p>
    <w:p w14:paraId="38FB642B" w14:textId="77777777" w:rsidR="000E4393" w:rsidRPr="001F1D97" w:rsidRDefault="000E4393" w:rsidP="000E4393">
      <w:pPr>
        <w:spacing w:line="240" w:lineRule="exact"/>
        <w:jc w:val="center"/>
        <w:rPr>
          <w:sz w:val="20"/>
          <w:lang w:val="es-ES"/>
        </w:rPr>
      </w:pPr>
    </w:p>
    <w:p w14:paraId="1F3E9127" w14:textId="77777777" w:rsidR="000E4393" w:rsidRPr="001F1D97" w:rsidRDefault="000E4393" w:rsidP="000E4393">
      <w:pPr>
        <w:spacing w:line="240" w:lineRule="exact"/>
        <w:jc w:val="center"/>
        <w:rPr>
          <w:sz w:val="20"/>
          <w:lang w:val="es-ES"/>
        </w:rPr>
      </w:pPr>
    </w:p>
    <w:p w14:paraId="3E533C3E" w14:textId="77777777" w:rsidR="000E4393" w:rsidRPr="001F1D97" w:rsidRDefault="000E4393" w:rsidP="000E4393">
      <w:pPr>
        <w:spacing w:line="240" w:lineRule="exact"/>
        <w:jc w:val="center"/>
        <w:rPr>
          <w:sz w:val="20"/>
          <w:lang w:val="es-ES"/>
        </w:rPr>
      </w:pPr>
    </w:p>
    <w:p w14:paraId="1A3ADD69" w14:textId="77777777" w:rsidR="000E4393" w:rsidRPr="001F1D97" w:rsidRDefault="000E4393" w:rsidP="000E4393">
      <w:pPr>
        <w:spacing w:line="240" w:lineRule="exact"/>
        <w:jc w:val="center"/>
        <w:rPr>
          <w:sz w:val="20"/>
          <w:lang w:val="es-ES"/>
        </w:rPr>
      </w:pPr>
    </w:p>
    <w:p w14:paraId="5F4CB22D" w14:textId="77777777" w:rsidR="000E4393" w:rsidRPr="001F1D97" w:rsidRDefault="000E4393" w:rsidP="000E4393">
      <w:pPr>
        <w:spacing w:line="240" w:lineRule="exact"/>
        <w:jc w:val="center"/>
        <w:rPr>
          <w:sz w:val="20"/>
          <w:lang w:val="es-ES"/>
        </w:rPr>
      </w:pPr>
    </w:p>
    <w:p w14:paraId="1C5C488F" w14:textId="77777777" w:rsidR="000E4393" w:rsidRPr="001F1D97" w:rsidRDefault="000E4393" w:rsidP="000E4393">
      <w:pPr>
        <w:spacing w:line="240" w:lineRule="exact"/>
        <w:jc w:val="center"/>
        <w:rPr>
          <w:sz w:val="20"/>
          <w:lang w:val="es-ES"/>
        </w:rPr>
      </w:pPr>
    </w:p>
    <w:p w14:paraId="1B58521F" w14:textId="77777777" w:rsidR="000E4393" w:rsidRPr="001F1D97" w:rsidRDefault="000E4393" w:rsidP="000E4393">
      <w:pPr>
        <w:spacing w:line="240" w:lineRule="exact"/>
        <w:jc w:val="center"/>
        <w:rPr>
          <w:sz w:val="20"/>
          <w:lang w:val="es-ES"/>
        </w:rPr>
      </w:pPr>
    </w:p>
    <w:p w14:paraId="5D96A7C5" w14:textId="77777777" w:rsidR="000E4393" w:rsidRPr="001F1D97" w:rsidRDefault="000E4393" w:rsidP="000E4393">
      <w:pPr>
        <w:spacing w:line="240" w:lineRule="exact"/>
        <w:jc w:val="center"/>
        <w:rPr>
          <w:sz w:val="20"/>
          <w:lang w:val="es-ES"/>
        </w:rPr>
      </w:pPr>
    </w:p>
    <w:p w14:paraId="77AF2A3F" w14:textId="77777777" w:rsidR="00AA1264" w:rsidRPr="001F1D97" w:rsidRDefault="00AA1264" w:rsidP="000E4393">
      <w:pPr>
        <w:spacing w:line="240" w:lineRule="exact"/>
        <w:jc w:val="center"/>
        <w:rPr>
          <w:sz w:val="20"/>
          <w:lang w:val="es-ES"/>
        </w:rPr>
      </w:pPr>
    </w:p>
    <w:p w14:paraId="39F6B1E2" w14:textId="77777777" w:rsidR="00EA2A26" w:rsidRPr="001F1D97" w:rsidRDefault="00EA2A26" w:rsidP="00EA2A26">
      <w:pPr>
        <w:spacing w:before="120" w:line="240" w:lineRule="auto"/>
        <w:rPr>
          <w:sz w:val="20"/>
          <w:lang w:val="es-ES"/>
        </w:rPr>
      </w:pPr>
    </w:p>
    <w:p w14:paraId="4812ECBE" w14:textId="6AEFAE01" w:rsidR="00EA2A26" w:rsidRPr="001F1D97" w:rsidRDefault="00EA2A26" w:rsidP="00EA2A26">
      <w:pPr>
        <w:spacing w:before="120" w:line="240" w:lineRule="auto"/>
        <w:jc w:val="center"/>
        <w:rPr>
          <w:sz w:val="20"/>
          <w:lang w:val="es-ES"/>
        </w:rPr>
      </w:pPr>
      <w:r w:rsidRPr="00EA2A26">
        <w:rPr>
          <w:sz w:val="20"/>
          <w:lang w:val="en-GB"/>
        </w:rPr>
        <w:sym w:font="Symbol" w:char="F0E3"/>
      </w:r>
      <w:r w:rsidRPr="001F1D97">
        <w:rPr>
          <w:sz w:val="20"/>
          <w:lang w:val="es-ES"/>
        </w:rPr>
        <w:t> </w:t>
      </w:r>
      <w:r w:rsidR="00423BC5" w:rsidRPr="001F1D97">
        <w:rPr>
          <w:sz w:val="20"/>
          <w:lang w:val="es-ES"/>
        </w:rPr>
        <w:t>UIT</w:t>
      </w:r>
      <w:r w:rsidRPr="001F1D97">
        <w:rPr>
          <w:sz w:val="20"/>
          <w:lang w:val="es-ES"/>
        </w:rPr>
        <w:t> 2024</w:t>
      </w:r>
    </w:p>
    <w:p w14:paraId="5A25B5AD" w14:textId="249216DD" w:rsidR="008968B6" w:rsidRPr="001F1D97" w:rsidRDefault="00347EE0" w:rsidP="00EA2A26">
      <w:pPr>
        <w:spacing w:before="120" w:line="240" w:lineRule="auto"/>
        <w:rPr>
          <w:lang w:val="es-ES"/>
        </w:rPr>
      </w:pPr>
      <w:r w:rsidRPr="001F1D97">
        <w:rPr>
          <w:sz w:val="20"/>
          <w:lang w:val="es-ES"/>
        </w:rPr>
        <w:t>Reservados todos los derechos. Ninguna parte de esta publicación puede reproducirse por ningún procedimiento sin previa autorización escrita por parte de la UIT.</w:t>
      </w:r>
    </w:p>
    <w:p w14:paraId="73B79B51" w14:textId="77777777" w:rsidR="00B73379" w:rsidRPr="001F1D97" w:rsidRDefault="00B73379" w:rsidP="003374BB">
      <w:pPr>
        <w:pStyle w:val="ResNo"/>
        <w:rPr>
          <w:lang w:val="es-ES"/>
        </w:rPr>
        <w:sectPr w:rsidR="00B73379" w:rsidRPr="001F1D97"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65CE5AB9" w14:textId="154FAAEE" w:rsidR="00AA1264" w:rsidRPr="00CC6DC3" w:rsidRDefault="00347EE0" w:rsidP="00AA1264">
      <w:pPr>
        <w:pStyle w:val="ResNo"/>
        <w:rPr>
          <w:lang w:val="es-ES"/>
        </w:rPr>
      </w:pPr>
      <w:r w:rsidRPr="00CC6DC3">
        <w:rPr>
          <w:lang w:val="es-ES"/>
        </w:rPr>
        <w:lastRenderedPageBreak/>
        <w:t>RESOLUCIÓN</w:t>
      </w:r>
      <w:r w:rsidR="00AA1264" w:rsidRPr="00CC6DC3">
        <w:rPr>
          <w:lang w:val="es-ES"/>
        </w:rPr>
        <w:t xml:space="preserve"> </w:t>
      </w:r>
      <w:r w:rsidR="00CC6DC3" w:rsidRPr="00CC6DC3">
        <w:rPr>
          <w:lang w:val="es-ES"/>
        </w:rPr>
        <w:t>11</w:t>
      </w:r>
      <w:r w:rsidR="00AA1264" w:rsidRPr="00CC6DC3">
        <w:rPr>
          <w:lang w:val="es-ES"/>
        </w:rPr>
        <w:t xml:space="preserve"> </w:t>
      </w:r>
      <w:bookmarkStart w:id="2" w:name="_Hlk183519831"/>
      <w:r w:rsidR="00CC6DC3" w:rsidRPr="005C2A3C">
        <w:rPr>
          <w:lang w:val="es-ES"/>
        </w:rPr>
        <w:t>(</w:t>
      </w:r>
      <w:r w:rsidR="00CC6DC3" w:rsidRPr="005C2A3C">
        <w:rPr>
          <w:caps w:val="0"/>
          <w:lang w:val="es-ES"/>
        </w:rPr>
        <w:t>Rev</w:t>
      </w:r>
      <w:r w:rsidR="00CC6DC3" w:rsidRPr="005C2A3C">
        <w:rPr>
          <w:lang w:val="es-ES"/>
        </w:rPr>
        <w:t>. </w:t>
      </w:r>
      <w:r w:rsidR="00CC6DC3" w:rsidRPr="005C2A3C">
        <w:rPr>
          <w:caps w:val="0"/>
          <w:lang w:val="es-ES"/>
        </w:rPr>
        <w:t>Nueva Delhi</w:t>
      </w:r>
      <w:r w:rsidR="00CC6DC3" w:rsidRPr="005C2A3C">
        <w:rPr>
          <w:lang w:val="es-ES"/>
        </w:rPr>
        <w:t>, 2024)</w:t>
      </w:r>
      <w:bookmarkEnd w:id="2"/>
    </w:p>
    <w:p w14:paraId="5B5A1489" w14:textId="77777777" w:rsidR="00CC6DC3" w:rsidRPr="0014777C" w:rsidRDefault="00CC6DC3" w:rsidP="00CC6DC3">
      <w:pPr>
        <w:pStyle w:val="Restitle"/>
        <w:rPr>
          <w:lang w:val="es-ES_tradnl"/>
        </w:rPr>
      </w:pPr>
      <w:bookmarkStart w:id="3" w:name="_Toc111990465"/>
      <w:r w:rsidRPr="0014777C">
        <w:rPr>
          <w:lang w:val="es-ES_tradnl"/>
        </w:rPr>
        <w:t xml:space="preserve">Colaboración con la Unión Postal Universal sobre el estudio de servicios </w:t>
      </w:r>
      <w:r w:rsidRPr="0014777C">
        <w:rPr>
          <w:lang w:val="es-ES_tradnl"/>
        </w:rPr>
        <w:br/>
        <w:t>que interesan a la vez a los sectores postal y de telecomunicaciones</w:t>
      </w:r>
      <w:bookmarkEnd w:id="3"/>
    </w:p>
    <w:p w14:paraId="29D2AE14" w14:textId="77777777" w:rsidR="00CC6DC3" w:rsidRPr="00484A05" w:rsidRDefault="00CC6DC3" w:rsidP="00CC6DC3">
      <w:pPr>
        <w:pStyle w:val="Resref"/>
        <w:rPr>
          <w:lang w:val="es-ES"/>
        </w:rPr>
      </w:pPr>
      <w:r w:rsidRPr="00484A05">
        <w:rPr>
          <w:lang w:val="es-ES"/>
        </w:rPr>
        <w:t>(Málaga-Torremolinos, 1984; Helsinki, 1993; Ginebra, 1996; Montreal, 2000; Florianópolis, 2004; Johannesburgo, 2008; Dubái, 2012; Hammamet, 2016; Nueva</w:t>
      </w:r>
      <w:r>
        <w:rPr>
          <w:lang w:val="es-ES"/>
        </w:rPr>
        <w:t> </w:t>
      </w:r>
      <w:r w:rsidRPr="00484A05">
        <w:rPr>
          <w:lang w:val="es-ES"/>
        </w:rPr>
        <w:t>Delhi, 2024)</w:t>
      </w:r>
    </w:p>
    <w:p w14:paraId="126D031F" w14:textId="77777777" w:rsidR="00CC6DC3" w:rsidRPr="0014777C" w:rsidRDefault="00CC6DC3" w:rsidP="00CC6DC3">
      <w:pPr>
        <w:pStyle w:val="Normalaftertitle00"/>
        <w:rPr>
          <w:lang w:val="es-ES_tradnl"/>
        </w:rPr>
      </w:pPr>
      <w:r w:rsidRPr="0014777C">
        <w:rPr>
          <w:lang w:val="es-ES_tradnl"/>
        </w:rPr>
        <w:t>La Asamblea Mundial de Normalización de las Telecomunicaciones (Nueva</w:t>
      </w:r>
      <w:r>
        <w:rPr>
          <w:lang w:val="es-ES_tradnl"/>
        </w:rPr>
        <w:t> </w:t>
      </w:r>
      <w:r w:rsidRPr="0014777C">
        <w:rPr>
          <w:lang w:val="es-ES_tradnl"/>
        </w:rPr>
        <w:t>Delhi, 2024),</w:t>
      </w:r>
    </w:p>
    <w:p w14:paraId="7B1D652B" w14:textId="77777777" w:rsidR="00CC6DC3" w:rsidRPr="0014777C" w:rsidRDefault="00CC6DC3" w:rsidP="00CC6DC3">
      <w:pPr>
        <w:pStyle w:val="Call"/>
        <w:rPr>
          <w:lang w:val="es-ES_tradnl"/>
        </w:rPr>
      </w:pPr>
      <w:r w:rsidRPr="0014777C">
        <w:rPr>
          <w:lang w:val="es-ES_tradnl"/>
        </w:rPr>
        <w:t>considerando</w:t>
      </w:r>
    </w:p>
    <w:p w14:paraId="31BF2991" w14:textId="77777777" w:rsidR="00CC6DC3" w:rsidRPr="0014777C" w:rsidRDefault="00CC6DC3" w:rsidP="00CC6DC3">
      <w:pPr>
        <w:rPr>
          <w:lang w:val="es-ES_tradnl"/>
        </w:rPr>
      </w:pPr>
      <w:r w:rsidRPr="0014777C">
        <w:rPr>
          <w:i/>
          <w:iCs/>
          <w:lang w:val="es-ES_tradnl"/>
        </w:rPr>
        <w:t>a)</w:t>
      </w:r>
      <w:r w:rsidRPr="0014777C">
        <w:rPr>
          <w:lang w:val="es-ES_tradnl"/>
        </w:rPr>
        <w:tab/>
        <w:t xml:space="preserve">que, dentro del sistema de Naciones Unidas, tanto </w:t>
      </w:r>
      <w:r>
        <w:rPr>
          <w:lang w:val="es-ES_tradnl"/>
        </w:rPr>
        <w:t>la UIT</w:t>
      </w:r>
      <w:r w:rsidRPr="0014777C">
        <w:rPr>
          <w:lang w:val="es-ES_tradnl"/>
        </w:rPr>
        <w:t xml:space="preserve"> como la Unión Postal Universal (UPU), organizaciones especializadas en comunicaciones, colaboran en la identificación de sinergias para alcanzar los objetivos de la Cumbre Mundial sobre la Sociedad de la Información, cada una en el ámbito de sus competencias específicas;</w:t>
      </w:r>
    </w:p>
    <w:p w14:paraId="0DAA7EC3" w14:textId="77777777" w:rsidR="00CC6DC3" w:rsidRPr="0014777C" w:rsidRDefault="00CC6DC3" w:rsidP="00CC6DC3">
      <w:pPr>
        <w:rPr>
          <w:lang w:val="es-ES_tradnl"/>
        </w:rPr>
      </w:pPr>
      <w:r w:rsidRPr="0014777C">
        <w:rPr>
          <w:i/>
          <w:iCs/>
          <w:lang w:val="es-ES_tradnl"/>
        </w:rPr>
        <w:t>b)</w:t>
      </w:r>
      <w:r w:rsidRPr="0014777C">
        <w:rPr>
          <w:lang w:val="es-ES_tradnl"/>
        </w:rPr>
        <w:tab/>
        <w:t>que tanto las administraciones de correos y telecomunicaciones como las empresas de explotación autorizadas por los Estados Miembros y los proveedores de servicios pertinentes deben mantenerse al corriente de los adelantos técnicos que permitan mejorar o armonizar los servicios existentes, tanto del sector postal como del de las telecomunicaciones;</w:t>
      </w:r>
    </w:p>
    <w:p w14:paraId="60CDC592" w14:textId="77777777" w:rsidR="00CC6DC3" w:rsidRPr="0014777C" w:rsidRDefault="00CC6DC3" w:rsidP="00CC6DC3">
      <w:pPr>
        <w:rPr>
          <w:lang w:val="es-ES_tradnl"/>
        </w:rPr>
      </w:pPr>
      <w:r w:rsidRPr="0014777C">
        <w:rPr>
          <w:i/>
          <w:iCs/>
          <w:lang w:val="es-ES_tradnl"/>
        </w:rPr>
        <w:t>c)</w:t>
      </w:r>
      <w:r w:rsidRPr="0014777C">
        <w:rPr>
          <w:i/>
          <w:iCs/>
          <w:lang w:val="es-ES_tradnl"/>
        </w:rPr>
        <w:tab/>
      </w:r>
      <w:r w:rsidRPr="0014777C">
        <w:rPr>
          <w:lang w:val="es-ES_tradnl"/>
        </w:rPr>
        <w:t>la conveniencia de examinar conjuntamente las repercusiones de cualquier nueva Recomendación del Sector de Normalización de las Telecomunicaciones (</w:t>
      </w:r>
      <w:r>
        <w:rPr>
          <w:lang w:val="es-ES_tradnl"/>
        </w:rPr>
        <w:t>UIT</w:t>
      </w:r>
      <w:r>
        <w:rPr>
          <w:lang w:val="es-ES_tradnl"/>
        </w:rPr>
        <w:noBreakHyphen/>
      </w:r>
      <w:r w:rsidRPr="0014777C">
        <w:rPr>
          <w:lang w:val="es-ES_tradnl"/>
        </w:rPr>
        <w:t>T) o modificación de Recomendaciones</w:t>
      </w:r>
      <w:r>
        <w:rPr>
          <w:lang w:val="es-ES_tradnl"/>
        </w:rPr>
        <w:t> UIT</w:t>
      </w:r>
      <w:r>
        <w:rPr>
          <w:lang w:val="es-ES_tradnl"/>
        </w:rPr>
        <w:noBreakHyphen/>
      </w:r>
      <w:r w:rsidRPr="0014777C">
        <w:rPr>
          <w:lang w:val="es-ES_tradnl"/>
        </w:rPr>
        <w:t>T existentes al respecto,</w:t>
      </w:r>
    </w:p>
    <w:p w14:paraId="51215DDC" w14:textId="77777777" w:rsidR="00CC6DC3" w:rsidRPr="0014777C" w:rsidRDefault="00CC6DC3" w:rsidP="00CC6DC3">
      <w:pPr>
        <w:pStyle w:val="Call"/>
        <w:rPr>
          <w:lang w:val="es-ES_tradnl"/>
        </w:rPr>
      </w:pPr>
      <w:r w:rsidRPr="0014777C">
        <w:rPr>
          <w:lang w:val="es-ES_tradnl"/>
        </w:rPr>
        <w:t>reconociendo</w:t>
      </w:r>
    </w:p>
    <w:p w14:paraId="081AA960" w14:textId="77777777" w:rsidR="00CC6DC3" w:rsidRPr="0014777C" w:rsidRDefault="00CC6DC3" w:rsidP="00CC6DC3">
      <w:pPr>
        <w:rPr>
          <w:lang w:val="es-ES_tradnl"/>
        </w:rPr>
      </w:pPr>
      <w:r w:rsidRPr="0014777C">
        <w:rPr>
          <w:i/>
          <w:iCs/>
          <w:lang w:val="es-ES_tradnl"/>
        </w:rPr>
        <w:t>a)</w:t>
      </w:r>
      <w:r w:rsidRPr="0014777C">
        <w:rPr>
          <w:lang w:val="es-ES_tradnl"/>
        </w:rPr>
        <w:tab/>
        <w:t>la cooperación que mantienen ambas organizaciones en lo que respecta, entre otras cosas, a la utilización de nuevas tecnologías en el sector postal y la promoción de su participación en proyectos sobre la instauración y el despliegue y uso sostenibles de la infraestructura de telecomunicaciones/tecnologías de la información y la comunicación (TIC), la ciberseguridad y los servicios financieros digitales;</w:t>
      </w:r>
    </w:p>
    <w:p w14:paraId="01E0834C" w14:textId="77777777" w:rsidR="00CC6DC3" w:rsidRPr="0014777C" w:rsidRDefault="00CC6DC3" w:rsidP="00CC6DC3">
      <w:pPr>
        <w:rPr>
          <w:lang w:val="es-ES_tradnl"/>
        </w:rPr>
      </w:pPr>
      <w:r w:rsidRPr="0014777C">
        <w:rPr>
          <w:i/>
          <w:iCs/>
          <w:lang w:val="es-ES_tradnl"/>
        </w:rPr>
        <w:t>b)</w:t>
      </w:r>
      <w:r w:rsidRPr="0014777C">
        <w:rPr>
          <w:lang w:val="es-ES_tradnl"/>
        </w:rPr>
        <w:tab/>
        <w:t>que con la evolución en los últimos años de los servicios postales y de telecomunicaciones se han profundizado las sinergias entre los dos sectores y con ello la necesidad de una mayor coordinación y colaboración entre ambas organizaciones,</w:t>
      </w:r>
    </w:p>
    <w:p w14:paraId="1D19AFA9" w14:textId="77777777" w:rsidR="00CC6DC3" w:rsidRPr="0014777C" w:rsidRDefault="00CC6DC3" w:rsidP="00CC6DC3">
      <w:pPr>
        <w:pStyle w:val="Call"/>
        <w:rPr>
          <w:lang w:val="es-ES_tradnl"/>
        </w:rPr>
      </w:pPr>
      <w:r w:rsidRPr="0014777C">
        <w:rPr>
          <w:lang w:val="es-ES_tradnl"/>
        </w:rPr>
        <w:t>recordando</w:t>
      </w:r>
    </w:p>
    <w:p w14:paraId="7D74B0F2" w14:textId="77777777" w:rsidR="00CC6DC3" w:rsidRPr="0014777C" w:rsidRDefault="00CC6DC3" w:rsidP="00CC6DC3">
      <w:pPr>
        <w:rPr>
          <w:lang w:val="es-ES_tradnl"/>
        </w:rPr>
      </w:pPr>
      <w:r w:rsidRPr="0014777C">
        <w:rPr>
          <w:lang w:val="es-ES_tradnl"/>
        </w:rPr>
        <w:t xml:space="preserve">que el número 9 de la Constitución de </w:t>
      </w:r>
      <w:r>
        <w:rPr>
          <w:lang w:val="es-ES_tradnl"/>
        </w:rPr>
        <w:t>la UIT</w:t>
      </w:r>
      <w:r w:rsidRPr="0014777C">
        <w:rPr>
          <w:lang w:val="es-ES_tradnl"/>
        </w:rPr>
        <w:t xml:space="preserve"> establece como otro de los fines de la Unión "promover a nivel internacional la adopción de un enfoque más amplio de las cuestiones de las telecomunicaciones, a causa de la universalización de la economía y la sociedad de la información, cooperando a tal fin con otras organizaciones intergubernamentales mundiales y regionales y con las organizaciones no gubernamentales interesadas en las telecomunicaciones",</w:t>
      </w:r>
    </w:p>
    <w:p w14:paraId="00B540DC" w14:textId="77777777" w:rsidR="00CC6DC3" w:rsidRPr="0014777C" w:rsidRDefault="00CC6DC3" w:rsidP="00CC6DC3">
      <w:pPr>
        <w:rPr>
          <w:lang w:val="es-ES_tradnl"/>
        </w:rPr>
      </w:pPr>
      <w:r w:rsidRPr="0014777C">
        <w:rPr>
          <w:lang w:val="es-ES_tradnl"/>
        </w:rPr>
        <w:br w:type="page"/>
      </w:r>
    </w:p>
    <w:p w14:paraId="4485DEA9" w14:textId="77777777" w:rsidR="00CC6DC3" w:rsidRPr="0014777C" w:rsidRDefault="00CC6DC3" w:rsidP="00CC6DC3">
      <w:pPr>
        <w:pStyle w:val="Call"/>
        <w:rPr>
          <w:lang w:val="es-ES_tradnl"/>
        </w:rPr>
      </w:pPr>
      <w:r w:rsidRPr="0014777C">
        <w:rPr>
          <w:lang w:val="es-ES_tradnl"/>
        </w:rPr>
        <w:lastRenderedPageBreak/>
        <w:t>observando</w:t>
      </w:r>
    </w:p>
    <w:p w14:paraId="5EBBCFB6" w14:textId="77777777" w:rsidR="00CC6DC3" w:rsidRPr="0014777C" w:rsidRDefault="00CC6DC3" w:rsidP="00CC6DC3">
      <w:pPr>
        <w:rPr>
          <w:lang w:val="es-ES_tradnl"/>
        </w:rPr>
      </w:pPr>
      <w:r w:rsidRPr="0014777C">
        <w:rPr>
          <w:lang w:val="es-ES_tradnl"/>
        </w:rPr>
        <w:t>que resulta necesario actualizar los temas de interés con vistas a realizar actividades comunes de cooperación entre ambas organizaciones para optimizar el uso de sus recursos y maximizar su contribución a la consecución de objetivos socioeconómicos sostenibles e inclusivos,</w:t>
      </w:r>
    </w:p>
    <w:p w14:paraId="661C6802" w14:textId="77777777" w:rsidR="00CC6DC3" w:rsidRPr="0014777C" w:rsidRDefault="00CC6DC3" w:rsidP="00CC6DC3">
      <w:pPr>
        <w:pStyle w:val="Call"/>
        <w:rPr>
          <w:lang w:val="es-ES_tradnl"/>
        </w:rPr>
      </w:pPr>
      <w:r w:rsidRPr="0014777C">
        <w:rPr>
          <w:lang w:val="es-ES_tradnl"/>
        </w:rPr>
        <w:t>resuelve</w:t>
      </w:r>
    </w:p>
    <w:p w14:paraId="6ACF0E55" w14:textId="77777777" w:rsidR="00CC6DC3" w:rsidRPr="0014777C" w:rsidRDefault="00CC6DC3" w:rsidP="00CC6DC3">
      <w:pPr>
        <w:rPr>
          <w:lang w:val="es-ES_tradnl"/>
        </w:rPr>
      </w:pPr>
      <w:r w:rsidRPr="0014777C">
        <w:rPr>
          <w:lang w:val="es-ES_tradnl"/>
        </w:rPr>
        <w:t>que las Comisiones de Estudio d</w:t>
      </w:r>
      <w:r>
        <w:rPr>
          <w:lang w:val="es-ES_tradnl"/>
        </w:rPr>
        <w:t>el UIT</w:t>
      </w:r>
      <w:r>
        <w:rPr>
          <w:lang w:val="es-ES_tradnl"/>
        </w:rPr>
        <w:noBreakHyphen/>
      </w:r>
      <w:r w:rsidRPr="0014777C">
        <w:rPr>
          <w:lang w:val="es-ES_tradnl"/>
        </w:rPr>
        <w:t>T pertinentes continúen colaborando con los Comités del Consejo de Explotación Postal (CEP) en la medida de lo necesario, de forma recíproca y con un mínimo de formalidades, especialmente mediante la investigación de temas de interés común tales como las cuestiones económicas y reglamentarias relacionadas con las TIC, el medioambiente y la economía circular, los servicios electrónicos y la seguridad, los servicios financieros digitales y las telecomunicaciones/TIC nuevas e incipientes, incluidas las aplicaciones de la inteligencia artificial (IA) en las redes de telecomunicaciones/TIC,</w:t>
      </w:r>
    </w:p>
    <w:p w14:paraId="2465CB84" w14:textId="77777777" w:rsidR="00CC6DC3" w:rsidRPr="0014777C" w:rsidRDefault="00CC6DC3" w:rsidP="00CC6DC3">
      <w:pPr>
        <w:pStyle w:val="Call"/>
        <w:rPr>
          <w:lang w:val="es-ES_tradnl"/>
        </w:rPr>
      </w:pPr>
      <w:r w:rsidRPr="00147698">
        <w:rPr>
          <w:lang w:val="es-ES_tradnl"/>
        </w:rPr>
        <w:t>encarga a las Comisiones de Estudio del Sector de Normalización de las Telecomunicaciones de la</w:t>
      </w:r>
      <w:r>
        <w:rPr>
          <w:lang w:val="es-ES_tradnl"/>
        </w:rPr>
        <w:t> </w:t>
      </w:r>
      <w:r w:rsidRPr="00147698">
        <w:rPr>
          <w:lang w:val="es-ES_tradnl"/>
        </w:rPr>
        <w:t>UIT</w:t>
      </w:r>
    </w:p>
    <w:p w14:paraId="703D4B83" w14:textId="77777777" w:rsidR="00CC6DC3" w:rsidRPr="0014777C" w:rsidRDefault="00CC6DC3" w:rsidP="00CC6DC3">
      <w:pPr>
        <w:rPr>
          <w:lang w:val="es-ES_tradnl"/>
        </w:rPr>
      </w:pPr>
      <w:r w:rsidRPr="0014777C">
        <w:rPr>
          <w:lang w:val="es-ES_tradnl"/>
        </w:rPr>
        <w:t xml:space="preserve">que rindan periódicamente informe al Grupo Asesor de Normalización de las Telecomunicaciones sobre las actividades de colaboración entre </w:t>
      </w:r>
      <w:r>
        <w:rPr>
          <w:lang w:val="es-ES_tradnl"/>
        </w:rPr>
        <w:t>el UIT</w:t>
      </w:r>
      <w:r>
        <w:rPr>
          <w:lang w:val="es-ES_tradnl"/>
        </w:rPr>
        <w:noBreakHyphen/>
      </w:r>
      <w:r w:rsidRPr="0014777C">
        <w:rPr>
          <w:lang w:val="es-ES_tradnl"/>
        </w:rPr>
        <w:t>T y la UPU,</w:t>
      </w:r>
    </w:p>
    <w:p w14:paraId="7A86C225" w14:textId="77777777" w:rsidR="00CC6DC3" w:rsidRPr="0014777C" w:rsidRDefault="00CC6DC3" w:rsidP="00CC6DC3">
      <w:pPr>
        <w:pStyle w:val="Call"/>
        <w:rPr>
          <w:lang w:val="es-ES"/>
        </w:rPr>
      </w:pPr>
      <w:r w:rsidRPr="0709B9E3">
        <w:rPr>
          <w:lang w:val="es-ES"/>
        </w:rPr>
        <w:t xml:space="preserve">encarga al </w:t>
      </w:r>
      <w:proofErr w:type="gramStart"/>
      <w:r w:rsidRPr="0709B9E3">
        <w:rPr>
          <w:lang w:val="es-ES"/>
        </w:rPr>
        <w:t>Director</w:t>
      </w:r>
      <w:proofErr w:type="gramEnd"/>
      <w:r w:rsidRPr="0709B9E3">
        <w:rPr>
          <w:lang w:val="es-ES"/>
        </w:rPr>
        <w:t xml:space="preserve"> de la Oficina de Normalización de las Telecomunicaciones</w:t>
      </w:r>
    </w:p>
    <w:p w14:paraId="1ED2F277" w14:textId="77777777" w:rsidR="00CC6DC3" w:rsidRPr="0014777C" w:rsidRDefault="00CC6DC3" w:rsidP="00CC6DC3">
      <w:pPr>
        <w:rPr>
          <w:lang w:val="es-ES_tradnl"/>
        </w:rPr>
      </w:pPr>
      <w:r w:rsidRPr="0014777C">
        <w:rPr>
          <w:lang w:val="es-ES_tradnl"/>
        </w:rPr>
        <w:t>1</w:t>
      </w:r>
      <w:r w:rsidRPr="0014777C">
        <w:rPr>
          <w:lang w:val="es-ES_tradnl"/>
        </w:rPr>
        <w:tab/>
        <w:t xml:space="preserve">que aliente y apoye esta colaboración entre ambos órganos, en particular facilitando la participación de los funcionarios de </w:t>
      </w:r>
      <w:r>
        <w:rPr>
          <w:lang w:val="es-ES_tradnl"/>
        </w:rPr>
        <w:t>la UIT</w:t>
      </w:r>
      <w:r w:rsidRPr="0014777C">
        <w:rPr>
          <w:lang w:val="es-ES_tradnl"/>
        </w:rPr>
        <w:t xml:space="preserve"> en las reuniones pertinentes del CEP;</w:t>
      </w:r>
    </w:p>
    <w:p w14:paraId="1DAC7DCC" w14:textId="77777777" w:rsidR="00CC6DC3" w:rsidRPr="0014777C" w:rsidRDefault="00CC6DC3" w:rsidP="00CC6DC3">
      <w:pPr>
        <w:rPr>
          <w:lang w:val="es-ES_tradnl"/>
        </w:rPr>
      </w:pPr>
      <w:r w:rsidRPr="0014777C">
        <w:rPr>
          <w:lang w:val="es-ES_tradnl"/>
        </w:rPr>
        <w:t>2</w:t>
      </w:r>
      <w:r w:rsidRPr="0014777C">
        <w:rPr>
          <w:lang w:val="es-ES_tradnl"/>
        </w:rPr>
        <w:tab/>
        <w:t xml:space="preserve">que consulte con la UPU la creación de un grupo de trabajo mixto entre </w:t>
      </w:r>
      <w:r>
        <w:rPr>
          <w:lang w:val="es-ES_tradnl"/>
        </w:rPr>
        <w:t>el UIT</w:t>
      </w:r>
      <w:r>
        <w:rPr>
          <w:lang w:val="es-ES_tradnl"/>
        </w:rPr>
        <w:noBreakHyphen/>
      </w:r>
      <w:r w:rsidRPr="0014777C">
        <w:rPr>
          <w:lang w:val="es-ES_tradnl"/>
        </w:rPr>
        <w:t>T y la UPU sobre la colaboración en materia de normas en esferas de interés común, como las cuestiones económicas y reglamentarias relacionadas con las TIC, el medioambiente y la economía circular, los servicios electrónicos y la seguridad, los servicios financieros digitales y las telecomunicaciones/TIC nuevas e incipientes, incluidas las aplicaciones de IA en las redes de telecomunicaciones/TIC;</w:t>
      </w:r>
    </w:p>
    <w:p w14:paraId="7D62C848" w14:textId="77777777" w:rsidR="00CC6DC3" w:rsidRPr="0014777C" w:rsidRDefault="00CC6DC3" w:rsidP="00CC6DC3">
      <w:pPr>
        <w:rPr>
          <w:lang w:val="es-ES_tradnl"/>
        </w:rPr>
      </w:pPr>
      <w:r w:rsidRPr="0014777C">
        <w:rPr>
          <w:lang w:val="es-ES_tradnl"/>
        </w:rPr>
        <w:t>3</w:t>
      </w:r>
      <w:r w:rsidRPr="0014777C">
        <w:rPr>
          <w:lang w:val="es-ES_tradnl"/>
        </w:rPr>
        <w:tab/>
        <w:t>que apoye la organización de todas las actividades y eventos conjuntos relacionados con la mejora de la eficacia y eficiencia de los servicios postales mediante telecomunicaciones/TIC nuevas e incipientes.</w:t>
      </w:r>
    </w:p>
    <w:p w14:paraId="272C6E02" w14:textId="77777777" w:rsidR="002A37D9" w:rsidRPr="00CC6DC3" w:rsidRDefault="002A37D9" w:rsidP="00CC6DC3">
      <w:pPr>
        <w:rPr>
          <w:lang w:val="es-ES"/>
        </w:rPr>
      </w:pPr>
    </w:p>
    <w:p w14:paraId="5196721E" w14:textId="77777777" w:rsidR="00E03ABC" w:rsidRPr="00CC6DC3" w:rsidRDefault="00E03ABC" w:rsidP="000E4393">
      <w:pPr>
        <w:rPr>
          <w:lang w:val="es-ES"/>
        </w:rPr>
      </w:pPr>
    </w:p>
    <w:sectPr w:rsidR="00E03ABC" w:rsidRPr="00CC6DC3"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FA209" w14:textId="77777777" w:rsidR="002F389D" w:rsidRDefault="002F389D">
      <w:r>
        <w:separator/>
      </w:r>
    </w:p>
  </w:endnote>
  <w:endnote w:type="continuationSeparator" w:id="0">
    <w:p w14:paraId="430E30E4" w14:textId="77777777" w:rsidR="002F389D" w:rsidRDefault="002F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25B7E" w14:textId="77777777" w:rsidR="00ED1B0A" w:rsidRDefault="00ED1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1D7AD" w14:textId="77777777" w:rsidR="00ED1B0A" w:rsidRDefault="00ED1B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A4950" w14:textId="77777777" w:rsidR="00ED1B0A" w:rsidRDefault="00ED1B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77D7E8A8"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ED1B0A" w:rsidRPr="00ED1B0A">
      <w:rPr>
        <w:lang w:val="en-US"/>
      </w:rPr>
      <w:t xml:space="preserve">AMNT-24 – </w:t>
    </w:r>
    <w:proofErr w:type="spellStart"/>
    <w:r w:rsidR="00ED1B0A" w:rsidRPr="00ED1B0A">
      <w:rPr>
        <w:lang w:val="en-US"/>
      </w:rPr>
      <w:t>Resolución</w:t>
    </w:r>
    <w:proofErr w:type="spellEnd"/>
    <w:r w:rsidR="00ED1B0A" w:rsidRPr="00ED1B0A">
      <w:rPr>
        <w:lang w:val="en-US"/>
      </w:rPr>
      <w:t xml:space="preserve"> </w:t>
    </w:r>
    <w:r w:rsidR="00586E7D">
      <w:rPr>
        <w:lang w:val="en-US"/>
      </w:rPr>
      <w:t>11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1427161D" w:rsidR="00AA1264" w:rsidRPr="00D50046" w:rsidRDefault="00D50046" w:rsidP="00D50046">
    <w:pPr>
      <w:pStyle w:val="FooterQP"/>
      <w:rPr>
        <w:lang w:val="en-US"/>
      </w:rPr>
    </w:pPr>
    <w:r>
      <w:rPr>
        <w:lang w:val="en-US"/>
      </w:rPr>
      <w:tab/>
    </w:r>
    <w:r>
      <w:rPr>
        <w:lang w:val="en-US"/>
      </w:rPr>
      <w:tab/>
      <w:t xml:space="preserve">WTSA-16 – Resolution </w:t>
    </w:r>
    <w:r>
      <w:fldChar w:fldCharType="begin"/>
    </w:r>
    <w:r>
      <w:rPr>
        <w:lang w:val="en-US"/>
      </w:rPr>
      <w:instrText>styleref href</w:instrText>
    </w:r>
    <w:r>
      <w:fldChar w:fldCharType="separate"/>
    </w:r>
    <w:r w:rsidR="00F721B8">
      <w:rPr>
        <w:b w:val="0"/>
        <w:bCs/>
        <w:noProof/>
        <w:lang w:val="en-US"/>
      </w:rPr>
      <w:t>Error! No text of specified style in document.</w:t>
    </w:r>
    <w:r>
      <w:fldChar w:fldCharType="end"/>
    </w:r>
    <w:r w:rsidRPr="00ED1B0A">
      <w:rPr>
        <w:lang w:val="en-GB"/>
      </w:rP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0211C087" w:rsidR="00A4766C" w:rsidRPr="00A4766C" w:rsidRDefault="00A4766C" w:rsidP="00D50046">
    <w:pPr>
      <w:pStyle w:val="FooterQP"/>
      <w:rPr>
        <w:lang w:val="en-US"/>
      </w:rPr>
    </w:pPr>
    <w:r>
      <w:rPr>
        <w:lang w:val="en-US"/>
      </w:rPr>
      <w:tab/>
    </w:r>
    <w:r>
      <w:rPr>
        <w:lang w:val="en-US"/>
      </w:rPr>
      <w:tab/>
    </w:r>
    <w:r w:rsidR="002A37D9">
      <w:rPr>
        <w:lang w:val="en-US"/>
      </w:rPr>
      <w:t>AMNT</w:t>
    </w:r>
    <w:r>
      <w:rPr>
        <w:lang w:val="en-US"/>
      </w:rPr>
      <w:t>-</w:t>
    </w:r>
    <w:r w:rsidR="00FE715C">
      <w:rPr>
        <w:lang w:val="en-US"/>
      </w:rPr>
      <w:t>2</w:t>
    </w:r>
    <w:r w:rsidR="00EA2A26">
      <w:rPr>
        <w:lang w:val="en-US"/>
      </w:rPr>
      <w:t>4</w:t>
    </w:r>
    <w:r>
      <w:rPr>
        <w:lang w:val="en-US"/>
      </w:rPr>
      <w:t xml:space="preserve"> – </w:t>
    </w:r>
    <w:proofErr w:type="spellStart"/>
    <w:r w:rsidR="00347EE0">
      <w:rPr>
        <w:lang w:val="en-US"/>
      </w:rPr>
      <w:t>Resolución</w:t>
    </w:r>
    <w:proofErr w:type="spellEnd"/>
    <w:r w:rsidR="00586E7D">
      <w:rPr>
        <w:lang w:val="en-US"/>
      </w:rPr>
      <w:t xml:space="preserve"> 11</w:t>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A5B38" w14:textId="77777777" w:rsidR="002F389D" w:rsidRDefault="002F389D">
      <w:r>
        <w:t>____________________</w:t>
      </w:r>
    </w:p>
  </w:footnote>
  <w:footnote w:type="continuationSeparator" w:id="0">
    <w:p w14:paraId="4DB8CC61" w14:textId="77777777" w:rsidR="002F389D" w:rsidRDefault="002F3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8AB40" w14:textId="77777777" w:rsidR="00ED1B0A" w:rsidRDefault="00ED1B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51442"/>
    <w:rsid w:val="000B071B"/>
    <w:rsid w:val="000B47CD"/>
    <w:rsid w:val="000B5A36"/>
    <w:rsid w:val="000C22AE"/>
    <w:rsid w:val="000D378F"/>
    <w:rsid w:val="000D3CE4"/>
    <w:rsid w:val="000D5219"/>
    <w:rsid w:val="000D6DAE"/>
    <w:rsid w:val="000E4393"/>
    <w:rsid w:val="00117D80"/>
    <w:rsid w:val="001309FB"/>
    <w:rsid w:val="001762A1"/>
    <w:rsid w:val="001B4A76"/>
    <w:rsid w:val="001C5240"/>
    <w:rsid w:val="001C604C"/>
    <w:rsid w:val="001F1D97"/>
    <w:rsid w:val="001F3813"/>
    <w:rsid w:val="002178BA"/>
    <w:rsid w:val="002204D5"/>
    <w:rsid w:val="002210D5"/>
    <w:rsid w:val="00227040"/>
    <w:rsid w:val="00237B40"/>
    <w:rsid w:val="002462EF"/>
    <w:rsid w:val="00246C17"/>
    <w:rsid w:val="00256336"/>
    <w:rsid w:val="002742C3"/>
    <w:rsid w:val="0028182F"/>
    <w:rsid w:val="002A37D9"/>
    <w:rsid w:val="002C182C"/>
    <w:rsid w:val="002D5607"/>
    <w:rsid w:val="002E1B7B"/>
    <w:rsid w:val="002E6A20"/>
    <w:rsid w:val="002F389D"/>
    <w:rsid w:val="0030332E"/>
    <w:rsid w:val="00331B2F"/>
    <w:rsid w:val="003374BB"/>
    <w:rsid w:val="00347EE0"/>
    <w:rsid w:val="0035222D"/>
    <w:rsid w:val="0038237B"/>
    <w:rsid w:val="003C3FD9"/>
    <w:rsid w:val="003D116F"/>
    <w:rsid w:val="003D7A8C"/>
    <w:rsid w:val="003F293E"/>
    <w:rsid w:val="00401308"/>
    <w:rsid w:val="00423BC5"/>
    <w:rsid w:val="004568D2"/>
    <w:rsid w:val="004612A7"/>
    <w:rsid w:val="00462F6A"/>
    <w:rsid w:val="00467305"/>
    <w:rsid w:val="0048772A"/>
    <w:rsid w:val="004A1F7E"/>
    <w:rsid w:val="004A58A4"/>
    <w:rsid w:val="004B7CB1"/>
    <w:rsid w:val="004F2E56"/>
    <w:rsid w:val="004F40D8"/>
    <w:rsid w:val="00501F47"/>
    <w:rsid w:val="00504D1F"/>
    <w:rsid w:val="00514AB2"/>
    <w:rsid w:val="00524FB2"/>
    <w:rsid w:val="0053765D"/>
    <w:rsid w:val="00551B43"/>
    <w:rsid w:val="005569CA"/>
    <w:rsid w:val="00562EF2"/>
    <w:rsid w:val="00574CFF"/>
    <w:rsid w:val="00586E7D"/>
    <w:rsid w:val="005A48CF"/>
    <w:rsid w:val="005D1D45"/>
    <w:rsid w:val="00601999"/>
    <w:rsid w:val="00611CD0"/>
    <w:rsid w:val="00631549"/>
    <w:rsid w:val="006425B4"/>
    <w:rsid w:val="00653C1B"/>
    <w:rsid w:val="00661781"/>
    <w:rsid w:val="00665F6E"/>
    <w:rsid w:val="006678D7"/>
    <w:rsid w:val="006824D9"/>
    <w:rsid w:val="00684F2B"/>
    <w:rsid w:val="00693D4F"/>
    <w:rsid w:val="00697D23"/>
    <w:rsid w:val="006B0459"/>
    <w:rsid w:val="006B5987"/>
    <w:rsid w:val="006E13C5"/>
    <w:rsid w:val="00706D36"/>
    <w:rsid w:val="00707551"/>
    <w:rsid w:val="007116DC"/>
    <w:rsid w:val="0071403C"/>
    <w:rsid w:val="00717E4B"/>
    <w:rsid w:val="00720F3C"/>
    <w:rsid w:val="00726747"/>
    <w:rsid w:val="0074102F"/>
    <w:rsid w:val="007550BF"/>
    <w:rsid w:val="00780423"/>
    <w:rsid w:val="00781E25"/>
    <w:rsid w:val="00783EB8"/>
    <w:rsid w:val="007958DD"/>
    <w:rsid w:val="007C0543"/>
    <w:rsid w:val="007E0240"/>
    <w:rsid w:val="007F32A3"/>
    <w:rsid w:val="008075CD"/>
    <w:rsid w:val="00837339"/>
    <w:rsid w:val="00845E8E"/>
    <w:rsid w:val="00851E30"/>
    <w:rsid w:val="0088751E"/>
    <w:rsid w:val="008968B6"/>
    <w:rsid w:val="008B4CF6"/>
    <w:rsid w:val="008C7FC3"/>
    <w:rsid w:val="008D6D8D"/>
    <w:rsid w:val="00901958"/>
    <w:rsid w:val="009055E3"/>
    <w:rsid w:val="00905B41"/>
    <w:rsid w:val="00916468"/>
    <w:rsid w:val="0092650E"/>
    <w:rsid w:val="00931C08"/>
    <w:rsid w:val="00931EE1"/>
    <w:rsid w:val="009330E7"/>
    <w:rsid w:val="00934946"/>
    <w:rsid w:val="009423EF"/>
    <w:rsid w:val="0095090C"/>
    <w:rsid w:val="00974C0C"/>
    <w:rsid w:val="009755D7"/>
    <w:rsid w:val="009C2357"/>
    <w:rsid w:val="009C528B"/>
    <w:rsid w:val="009D10A5"/>
    <w:rsid w:val="009D26AE"/>
    <w:rsid w:val="009E1DCF"/>
    <w:rsid w:val="009F7009"/>
    <w:rsid w:val="00A01A91"/>
    <w:rsid w:val="00A07A58"/>
    <w:rsid w:val="00A24E9A"/>
    <w:rsid w:val="00A26B1A"/>
    <w:rsid w:val="00A3085D"/>
    <w:rsid w:val="00A4766C"/>
    <w:rsid w:val="00A65D98"/>
    <w:rsid w:val="00A83D3D"/>
    <w:rsid w:val="00AA1264"/>
    <w:rsid w:val="00AA2D89"/>
    <w:rsid w:val="00AC4AF1"/>
    <w:rsid w:val="00AD3F39"/>
    <w:rsid w:val="00AE4C26"/>
    <w:rsid w:val="00B150A9"/>
    <w:rsid w:val="00B23929"/>
    <w:rsid w:val="00B241C9"/>
    <w:rsid w:val="00B3059C"/>
    <w:rsid w:val="00B33CAA"/>
    <w:rsid w:val="00B50CB4"/>
    <w:rsid w:val="00B50D4E"/>
    <w:rsid w:val="00B50F17"/>
    <w:rsid w:val="00B56BC0"/>
    <w:rsid w:val="00B67290"/>
    <w:rsid w:val="00B73379"/>
    <w:rsid w:val="00B73B62"/>
    <w:rsid w:val="00B92804"/>
    <w:rsid w:val="00BB34EA"/>
    <w:rsid w:val="00BC13B0"/>
    <w:rsid w:val="00BC390D"/>
    <w:rsid w:val="00BE58E6"/>
    <w:rsid w:val="00BF610E"/>
    <w:rsid w:val="00C12E70"/>
    <w:rsid w:val="00C32F69"/>
    <w:rsid w:val="00C42785"/>
    <w:rsid w:val="00C64078"/>
    <w:rsid w:val="00C706FC"/>
    <w:rsid w:val="00C72AF4"/>
    <w:rsid w:val="00CC6DC3"/>
    <w:rsid w:val="00CD10C2"/>
    <w:rsid w:val="00CD3554"/>
    <w:rsid w:val="00CD3865"/>
    <w:rsid w:val="00CE767E"/>
    <w:rsid w:val="00CF024D"/>
    <w:rsid w:val="00D20887"/>
    <w:rsid w:val="00D26ECC"/>
    <w:rsid w:val="00D27855"/>
    <w:rsid w:val="00D4292A"/>
    <w:rsid w:val="00D457B6"/>
    <w:rsid w:val="00D50046"/>
    <w:rsid w:val="00D54881"/>
    <w:rsid w:val="00D66950"/>
    <w:rsid w:val="00D76D88"/>
    <w:rsid w:val="00D808A8"/>
    <w:rsid w:val="00D8497D"/>
    <w:rsid w:val="00D94D9E"/>
    <w:rsid w:val="00DA7D60"/>
    <w:rsid w:val="00DB2AF8"/>
    <w:rsid w:val="00DB350D"/>
    <w:rsid w:val="00DB5592"/>
    <w:rsid w:val="00DD40D9"/>
    <w:rsid w:val="00DE48B4"/>
    <w:rsid w:val="00E03ABC"/>
    <w:rsid w:val="00E154E2"/>
    <w:rsid w:val="00E20918"/>
    <w:rsid w:val="00E300EC"/>
    <w:rsid w:val="00E51820"/>
    <w:rsid w:val="00E56BAB"/>
    <w:rsid w:val="00E67297"/>
    <w:rsid w:val="00E758D6"/>
    <w:rsid w:val="00E82452"/>
    <w:rsid w:val="00E83C1C"/>
    <w:rsid w:val="00E96B11"/>
    <w:rsid w:val="00E96C27"/>
    <w:rsid w:val="00EA12A2"/>
    <w:rsid w:val="00EA2A26"/>
    <w:rsid w:val="00EB3556"/>
    <w:rsid w:val="00ED1B0A"/>
    <w:rsid w:val="00EE1126"/>
    <w:rsid w:val="00EE2FE2"/>
    <w:rsid w:val="00EE4B7A"/>
    <w:rsid w:val="00F0099E"/>
    <w:rsid w:val="00F12607"/>
    <w:rsid w:val="00F15F98"/>
    <w:rsid w:val="00F34748"/>
    <w:rsid w:val="00F4281C"/>
    <w:rsid w:val="00F576B9"/>
    <w:rsid w:val="00F67E96"/>
    <w:rsid w:val="00F721B8"/>
    <w:rsid w:val="00FA70B7"/>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rsid w:val="00BC390D"/>
    <w:pPr>
      <w:tabs>
        <w:tab w:val="clear" w:pos="794"/>
        <w:tab w:val="clear" w:pos="1191"/>
        <w:tab w:val="clear" w:pos="1588"/>
        <w:tab w:val="clear" w:pos="1985"/>
      </w:tabs>
      <w:jc w:val="center"/>
      <w:outlineLvl w:val="0"/>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BC390D"/>
    <w:rPr>
      <w:rFonts w:ascii="Times New Roman" w:hAnsi="Times New Roman"/>
      <w:caps/>
      <w:sz w:val="28"/>
      <w:lang w:val="fr-FR" w:eastAsia="en-US"/>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256336"/>
    <w:pPr>
      <w:spacing w:line="240" w:lineRule="auto"/>
    </w:pPr>
    <w:rPr>
      <w:b/>
      <w:bCs/>
    </w:rPr>
  </w:style>
  <w:style w:type="character" w:customStyle="1" w:styleId="CommentTextChar">
    <w:name w:val="Comment Text Char"/>
    <w:basedOn w:val="DefaultParagraphFont"/>
    <w:link w:val="CommentText"/>
    <w:semiHidden/>
    <w:rsid w:val="00256336"/>
    <w:rPr>
      <w:rFonts w:ascii="Times New Roman" w:hAnsi="Times New Roman"/>
      <w:lang w:val="fr-FR" w:eastAsia="en-US"/>
    </w:rPr>
  </w:style>
  <w:style w:type="character" w:customStyle="1" w:styleId="CommentSubjectChar">
    <w:name w:val="Comment Subject Char"/>
    <w:basedOn w:val="CommentTextChar"/>
    <w:link w:val="CommentSubject"/>
    <w:semiHidden/>
    <w:rsid w:val="00256336"/>
    <w:rPr>
      <w:rFonts w:ascii="Times New Roman" w:hAnsi="Times New Roman"/>
      <w:b/>
      <w:bCs/>
      <w:lang w:val="fr-FR" w:eastAsia="en-US"/>
    </w:rPr>
  </w:style>
  <w:style w:type="paragraph" w:customStyle="1" w:styleId="Normalaftertitle00">
    <w:name w:val="Normal after title00"/>
    <w:basedOn w:val="Normal"/>
    <w:next w:val="Normal"/>
    <w:rsid w:val="00CC6DC3"/>
    <w:pPr>
      <w:tabs>
        <w:tab w:val="clear" w:pos="794"/>
        <w:tab w:val="clear" w:pos="1191"/>
        <w:tab w:val="clear" w:pos="1588"/>
        <w:tab w:val="clear" w:pos="1985"/>
        <w:tab w:val="left" w:pos="1134"/>
        <w:tab w:val="left" w:pos="1871"/>
        <w:tab w:val="left" w:pos="2268"/>
      </w:tabs>
      <w:spacing w:before="280" w:line="240" w:lineRule="auto"/>
      <w:jc w:val="left"/>
    </w:pPr>
    <w:rPr>
      <w:rFonts w:eastAsia="MS Mincho"/>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10</TotalTime>
  <Pages>4</Pages>
  <Words>912</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Resolution xxx – Title</vt:lpstr>
    </vt:vector>
  </TitlesOfParts>
  <Company>ITU</Company>
  <LinksUpToDate>false</LinksUpToDate>
  <CharactersWithSpaces>6226</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11 – Colaboración con la Unión Postal Universal sobre el estudio de servicios que interesan a la vez a los sectores postal y de telecomunicaciones</dc:title>
  <dc:subject>WORLD TELECOMMUNICATION STANDARDIZATION ASSEMBLY - Florianópolis, 5-14 October 2004</dc:subject>
  <dc:creator>ITU-T</dc:creator>
  <cp:keywords>WTSA-24 New Delhi, 15-24 October 2024</cp:keywords>
  <dc:description/>
  <cp:lastModifiedBy>TSB-AC</cp:lastModifiedBy>
  <cp:revision>15</cp:revision>
  <cp:lastPrinted>2024-11-28T16:12:00Z</cp:lastPrinted>
  <dcterms:created xsi:type="dcterms:W3CDTF">2024-11-26T12:41:00Z</dcterms:created>
  <dcterms:modified xsi:type="dcterms:W3CDTF">2024-11-28T16:12:00Z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