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D47156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D47156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D47156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D47156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D47156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4715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D47156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D47156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47156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D47156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47156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D47156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D47156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D47156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D47156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D47156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D4715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D47156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D47156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D47156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D47156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D47156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D47156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D47156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D47156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D47156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D47156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D47156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D47156" w:rsidRDefault="00EA2A26" w:rsidP="00367A2B">
            <w:pPr>
              <w:rPr>
                <w:lang w:val="ru-RU"/>
              </w:rPr>
            </w:pPr>
          </w:p>
        </w:tc>
      </w:tr>
      <w:tr w:rsidR="00EA2A26" w:rsidRPr="00D47156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D4715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4FA0975" w:rsidR="00EA2A26" w:rsidRPr="00D47156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D47156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D47156">
              <w:rPr>
                <w:spacing w:val="-6"/>
                <w:sz w:val="44"/>
                <w:szCs w:val="44"/>
                <w:lang w:val="en-US"/>
              </w:rPr>
              <w:t>11</w:t>
            </w:r>
            <w:r w:rsidR="00845E8E" w:rsidRPr="00D47156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D47156" w:rsidRPr="00D47156">
              <w:rPr>
                <w:spacing w:val="-6"/>
                <w:sz w:val="44"/>
                <w:szCs w:val="44"/>
                <w:lang w:val="ru-RU"/>
              </w:rPr>
              <w:t>Сотрудничество со Всемирным почтовым союзом в исследовании услуг, касающихся как почтового сектора, так и сектора электросвязи</w:t>
            </w:r>
          </w:p>
          <w:p w14:paraId="51262F1D" w14:textId="77777777" w:rsidR="00EA2A26" w:rsidRPr="00D47156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D47156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D47156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D47156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D47156" w:rsidRDefault="00EA2A26" w:rsidP="00EA2A26">
      <w:pPr>
        <w:jc w:val="left"/>
        <w:rPr>
          <w:lang w:val="ru-RU"/>
        </w:rPr>
        <w:sectPr w:rsidR="00EA2A26" w:rsidRPr="00D47156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D47156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D47156">
        <w:rPr>
          <w:lang w:val="ru-RU"/>
        </w:rPr>
        <w:lastRenderedPageBreak/>
        <w:t>ПРЕДИСЛОВИЕ</w:t>
      </w:r>
    </w:p>
    <w:p w14:paraId="09A8E349" w14:textId="77777777" w:rsidR="00E60A09" w:rsidRPr="00D47156" w:rsidRDefault="00E60A09" w:rsidP="00E60A09">
      <w:pPr>
        <w:rPr>
          <w:sz w:val="20"/>
          <w:lang w:val="ru-RU"/>
        </w:rPr>
      </w:pPr>
      <w:bookmarkStart w:id="2" w:name="iitextf"/>
      <w:r w:rsidRPr="00D47156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47156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D47156" w:rsidRDefault="00E60A09" w:rsidP="00E60A09">
      <w:pPr>
        <w:rPr>
          <w:sz w:val="20"/>
          <w:lang w:val="ru-RU"/>
        </w:rPr>
      </w:pPr>
      <w:r w:rsidRPr="00D47156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D47156" w:rsidRDefault="00E60A09" w:rsidP="00E60A09">
      <w:pPr>
        <w:rPr>
          <w:sz w:val="20"/>
          <w:lang w:val="ru-RU"/>
        </w:rPr>
      </w:pPr>
      <w:r w:rsidRPr="00D47156">
        <w:rPr>
          <w:sz w:val="20"/>
          <w:lang w:val="ru-RU"/>
        </w:rPr>
        <w:t xml:space="preserve">Утверждение </w:t>
      </w:r>
      <w:r w:rsidRPr="00D47156">
        <w:rPr>
          <w:caps/>
          <w:sz w:val="20"/>
          <w:lang w:val="ru-RU"/>
        </w:rPr>
        <w:t>р</w:t>
      </w:r>
      <w:r w:rsidRPr="00D47156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D47156">
        <w:rPr>
          <w:sz w:val="20"/>
          <w:lang w:val="ru-RU"/>
        </w:rPr>
        <w:t>.</w:t>
      </w:r>
    </w:p>
    <w:p w14:paraId="7104090E" w14:textId="77777777" w:rsidR="00E60A09" w:rsidRPr="00D47156" w:rsidRDefault="00E60A09" w:rsidP="00E60A09">
      <w:pPr>
        <w:rPr>
          <w:lang w:val="ru-RU"/>
        </w:rPr>
      </w:pPr>
      <w:r w:rsidRPr="00D47156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D47156" w:rsidRDefault="00E60A09" w:rsidP="00E60A09">
      <w:pPr>
        <w:rPr>
          <w:lang w:val="ru-RU"/>
        </w:rPr>
      </w:pPr>
    </w:p>
    <w:p w14:paraId="1BF1A502" w14:textId="77777777" w:rsidR="00E60A09" w:rsidRPr="00D47156" w:rsidRDefault="00E60A09" w:rsidP="00E60A09">
      <w:pPr>
        <w:rPr>
          <w:lang w:val="ru-RU"/>
        </w:rPr>
      </w:pPr>
    </w:p>
    <w:p w14:paraId="2053FC85" w14:textId="77777777" w:rsidR="00E60A09" w:rsidRPr="00D47156" w:rsidRDefault="00E60A09" w:rsidP="00E60A09">
      <w:pPr>
        <w:rPr>
          <w:lang w:val="ru-RU"/>
        </w:rPr>
      </w:pPr>
    </w:p>
    <w:p w14:paraId="510B3609" w14:textId="77777777" w:rsidR="00E60A09" w:rsidRPr="00D47156" w:rsidRDefault="00E60A09" w:rsidP="00E60A09">
      <w:pPr>
        <w:rPr>
          <w:lang w:val="ru-RU"/>
        </w:rPr>
      </w:pPr>
    </w:p>
    <w:p w14:paraId="3624C831" w14:textId="77777777" w:rsidR="00E60A09" w:rsidRPr="00D47156" w:rsidRDefault="00E60A09" w:rsidP="00E60A09">
      <w:pPr>
        <w:rPr>
          <w:lang w:val="ru-RU"/>
        </w:rPr>
      </w:pPr>
    </w:p>
    <w:p w14:paraId="3C20E03C" w14:textId="77777777" w:rsidR="00E60A09" w:rsidRPr="00D47156" w:rsidRDefault="00E60A09" w:rsidP="00E60A09">
      <w:pPr>
        <w:rPr>
          <w:lang w:val="ru-RU"/>
        </w:rPr>
      </w:pPr>
    </w:p>
    <w:p w14:paraId="54472EDE" w14:textId="77777777" w:rsidR="00E60A09" w:rsidRPr="00D47156" w:rsidRDefault="00E60A09" w:rsidP="00E60A09">
      <w:pPr>
        <w:rPr>
          <w:lang w:val="ru-RU"/>
        </w:rPr>
      </w:pPr>
    </w:p>
    <w:p w14:paraId="49DDE904" w14:textId="77777777" w:rsidR="00E60A09" w:rsidRPr="00D47156" w:rsidRDefault="00E60A09" w:rsidP="00E60A09">
      <w:pPr>
        <w:rPr>
          <w:lang w:val="ru-RU"/>
        </w:rPr>
      </w:pPr>
    </w:p>
    <w:p w14:paraId="61412DA5" w14:textId="77777777" w:rsidR="00E60A09" w:rsidRPr="00D47156" w:rsidRDefault="00E60A09" w:rsidP="00E60A09">
      <w:pPr>
        <w:rPr>
          <w:lang w:val="ru-RU"/>
        </w:rPr>
      </w:pPr>
    </w:p>
    <w:p w14:paraId="1C810210" w14:textId="77777777" w:rsidR="00E60A09" w:rsidRPr="00D47156" w:rsidRDefault="00E60A09" w:rsidP="00E60A09">
      <w:pPr>
        <w:rPr>
          <w:lang w:val="ru-RU"/>
        </w:rPr>
      </w:pPr>
    </w:p>
    <w:p w14:paraId="1C38E19A" w14:textId="77777777" w:rsidR="00E60A09" w:rsidRPr="00D47156" w:rsidRDefault="00E60A09" w:rsidP="00E60A09">
      <w:pPr>
        <w:rPr>
          <w:lang w:val="ru-RU"/>
        </w:rPr>
      </w:pPr>
    </w:p>
    <w:p w14:paraId="4D3396DA" w14:textId="77777777" w:rsidR="00E60A09" w:rsidRPr="00D47156" w:rsidRDefault="00E60A09" w:rsidP="00E60A09">
      <w:pPr>
        <w:rPr>
          <w:lang w:val="ru-RU"/>
        </w:rPr>
      </w:pPr>
    </w:p>
    <w:p w14:paraId="4F2F1517" w14:textId="77777777" w:rsidR="00E60A09" w:rsidRPr="00D47156" w:rsidRDefault="00E60A09" w:rsidP="00E60A09">
      <w:pPr>
        <w:rPr>
          <w:lang w:val="ru-RU"/>
        </w:rPr>
      </w:pPr>
    </w:p>
    <w:p w14:paraId="5C4902C6" w14:textId="77777777" w:rsidR="00E60A09" w:rsidRPr="00D47156" w:rsidRDefault="00E60A09" w:rsidP="00E60A09">
      <w:pPr>
        <w:rPr>
          <w:lang w:val="ru-RU"/>
        </w:rPr>
      </w:pPr>
    </w:p>
    <w:p w14:paraId="77FC4396" w14:textId="77777777" w:rsidR="00E60A09" w:rsidRPr="00D47156" w:rsidRDefault="00E60A09" w:rsidP="00E60A09">
      <w:pPr>
        <w:rPr>
          <w:lang w:val="ru-RU"/>
        </w:rPr>
      </w:pPr>
    </w:p>
    <w:p w14:paraId="66D8DB35" w14:textId="77777777" w:rsidR="008B6349" w:rsidRPr="00D47156" w:rsidRDefault="008B6349" w:rsidP="00E60A09">
      <w:pPr>
        <w:rPr>
          <w:lang w:val="ru-RU"/>
        </w:rPr>
      </w:pPr>
    </w:p>
    <w:p w14:paraId="48008D63" w14:textId="77777777" w:rsidR="008B6349" w:rsidRPr="00D47156" w:rsidRDefault="008B6349" w:rsidP="00E60A09">
      <w:pPr>
        <w:rPr>
          <w:lang w:val="ru-RU"/>
        </w:rPr>
      </w:pPr>
    </w:p>
    <w:p w14:paraId="36C41597" w14:textId="77777777" w:rsidR="008B6349" w:rsidRPr="00D47156" w:rsidRDefault="008B6349" w:rsidP="00E60A09">
      <w:pPr>
        <w:rPr>
          <w:lang w:val="ru-RU"/>
        </w:rPr>
      </w:pPr>
    </w:p>
    <w:p w14:paraId="29854E5F" w14:textId="77777777" w:rsidR="008B6349" w:rsidRPr="00D47156" w:rsidRDefault="008B6349" w:rsidP="00E60A09">
      <w:pPr>
        <w:rPr>
          <w:lang w:val="ru-RU"/>
        </w:rPr>
      </w:pPr>
    </w:p>
    <w:p w14:paraId="3941F9B3" w14:textId="77777777" w:rsidR="008B6349" w:rsidRPr="00D47156" w:rsidRDefault="008B6349" w:rsidP="00E60A09">
      <w:pPr>
        <w:rPr>
          <w:lang w:val="ru-RU"/>
        </w:rPr>
      </w:pPr>
    </w:p>
    <w:p w14:paraId="33823CA9" w14:textId="77777777" w:rsidR="00E60A09" w:rsidRPr="00D47156" w:rsidRDefault="00E60A09" w:rsidP="00E60A09">
      <w:pPr>
        <w:rPr>
          <w:lang w:val="ru-RU"/>
        </w:rPr>
      </w:pPr>
    </w:p>
    <w:p w14:paraId="265DF33E" w14:textId="77777777" w:rsidR="00E60A09" w:rsidRPr="00D47156" w:rsidRDefault="00E60A09" w:rsidP="00E60A09">
      <w:pPr>
        <w:rPr>
          <w:lang w:val="ru-RU"/>
        </w:rPr>
      </w:pPr>
    </w:p>
    <w:p w14:paraId="7D494ED0" w14:textId="77777777" w:rsidR="00E60A09" w:rsidRDefault="00E60A09" w:rsidP="00E60A09">
      <w:pPr>
        <w:rPr>
          <w:lang w:val="en-US"/>
        </w:rPr>
      </w:pPr>
    </w:p>
    <w:p w14:paraId="66F791BD" w14:textId="77777777" w:rsidR="00073836" w:rsidRDefault="00073836" w:rsidP="00E60A09">
      <w:pPr>
        <w:rPr>
          <w:lang w:val="en-US"/>
        </w:rPr>
      </w:pPr>
    </w:p>
    <w:p w14:paraId="651E9D3F" w14:textId="77777777" w:rsidR="00073836" w:rsidRPr="00073836" w:rsidRDefault="00073836" w:rsidP="00E60A09">
      <w:pPr>
        <w:rPr>
          <w:lang w:val="en-US"/>
        </w:rPr>
      </w:pPr>
    </w:p>
    <w:p w14:paraId="3554E9A0" w14:textId="77777777" w:rsidR="00E60A09" w:rsidRPr="00D47156" w:rsidRDefault="00E60A09" w:rsidP="00E60A09">
      <w:pPr>
        <w:rPr>
          <w:lang w:val="ru-RU"/>
        </w:rPr>
      </w:pPr>
    </w:p>
    <w:p w14:paraId="15937F0A" w14:textId="3B24DFE4" w:rsidR="00E60A09" w:rsidRPr="00D47156" w:rsidRDefault="00E60A09" w:rsidP="00E60A09">
      <w:pPr>
        <w:jc w:val="center"/>
        <w:rPr>
          <w:sz w:val="20"/>
          <w:lang w:val="ru-RU"/>
        </w:rPr>
      </w:pPr>
      <w:r w:rsidRPr="00D47156">
        <w:rPr>
          <w:sz w:val="20"/>
          <w:lang w:val="ru-RU"/>
        </w:rPr>
        <w:sym w:font="Symbol" w:char="F0E3"/>
      </w:r>
      <w:r w:rsidRPr="00D47156">
        <w:rPr>
          <w:sz w:val="20"/>
          <w:lang w:val="ru-RU"/>
        </w:rPr>
        <w:t>  ITU  </w:t>
      </w:r>
      <w:bookmarkStart w:id="3" w:name="iiannee"/>
      <w:bookmarkEnd w:id="3"/>
      <w:r w:rsidRPr="00D47156">
        <w:rPr>
          <w:sz w:val="20"/>
          <w:lang w:val="ru-RU"/>
        </w:rPr>
        <w:t>2024</w:t>
      </w:r>
    </w:p>
    <w:p w14:paraId="5A25B5AD" w14:textId="6C88F88E" w:rsidR="008968B6" w:rsidRPr="00D47156" w:rsidRDefault="00E60A09" w:rsidP="00EA2A26">
      <w:pPr>
        <w:rPr>
          <w:lang w:val="ru-RU"/>
        </w:rPr>
      </w:pPr>
      <w:r w:rsidRPr="00D4715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D47156" w:rsidRDefault="00B73379" w:rsidP="003374BB">
      <w:pPr>
        <w:pStyle w:val="ResNo"/>
        <w:rPr>
          <w:lang w:val="ru-RU"/>
        </w:rPr>
        <w:sectPr w:rsidR="00B73379" w:rsidRPr="00D47156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0ED0DBD" w14:textId="2BE94A8B" w:rsidR="00D47156" w:rsidRPr="00D47156" w:rsidRDefault="00D47156" w:rsidP="00D47156">
      <w:pPr>
        <w:pStyle w:val="ResNo"/>
        <w:rPr>
          <w:lang w:val="ru-RU"/>
        </w:rPr>
      </w:pPr>
      <w:bookmarkStart w:id="4" w:name="_Toc112777410"/>
      <w:r w:rsidRPr="00D47156">
        <w:rPr>
          <w:lang w:val="ru-RU"/>
        </w:rPr>
        <w:lastRenderedPageBreak/>
        <w:t xml:space="preserve">РЕЗОЛЮЦИЯ </w:t>
      </w:r>
      <w:r w:rsidRPr="00D47156">
        <w:rPr>
          <w:rStyle w:val="href"/>
          <w:lang w:val="ru-RU"/>
        </w:rPr>
        <w:t xml:space="preserve">11 </w:t>
      </w:r>
      <w:r w:rsidRPr="00D47156">
        <w:rPr>
          <w:lang w:val="ru-RU"/>
        </w:rPr>
        <w:t>(</w:t>
      </w:r>
      <w:proofErr w:type="spellStart"/>
      <w:r w:rsidR="00725D98" w:rsidRPr="00D47156">
        <w:rPr>
          <w:caps w:val="0"/>
          <w:lang w:val="ru-RU"/>
        </w:rPr>
        <w:t>Пересм</w:t>
      </w:r>
      <w:proofErr w:type="spellEnd"/>
      <w:r w:rsidR="00725D98" w:rsidRPr="00D47156">
        <w:rPr>
          <w:caps w:val="0"/>
          <w:lang w:val="ru-RU"/>
        </w:rPr>
        <w:t>. Нью-Дели, 2024 г</w:t>
      </w:r>
      <w:r w:rsidRPr="00D47156">
        <w:rPr>
          <w:lang w:val="ru-RU"/>
        </w:rPr>
        <w:t>.)</w:t>
      </w:r>
      <w:bookmarkEnd w:id="4"/>
      <w:r w:rsidRPr="00D47156">
        <w:rPr>
          <w:lang w:val="ru-RU"/>
        </w:rPr>
        <w:t xml:space="preserve"> </w:t>
      </w:r>
    </w:p>
    <w:p w14:paraId="6134EA4B" w14:textId="77777777" w:rsidR="00D47156" w:rsidRPr="00D47156" w:rsidRDefault="00D47156" w:rsidP="00D47156">
      <w:pPr>
        <w:pStyle w:val="Restitle"/>
        <w:rPr>
          <w:lang w:val="ru-RU"/>
        </w:rPr>
      </w:pPr>
      <w:bookmarkStart w:id="5" w:name="_Toc112777411"/>
      <w:r w:rsidRPr="00D47156">
        <w:rPr>
          <w:lang w:val="ru-RU"/>
        </w:rPr>
        <w:t>Сотрудничество со Всемирным почтовым союзом в исследовании услуг, касающихся как почтового сектора, так и сектора электросвязи</w:t>
      </w:r>
      <w:bookmarkEnd w:id="5"/>
    </w:p>
    <w:p w14:paraId="460D28E5" w14:textId="77777777" w:rsidR="00D47156" w:rsidRPr="00D47156" w:rsidRDefault="00D47156" w:rsidP="00D47156">
      <w:pPr>
        <w:pStyle w:val="Resref"/>
        <w:rPr>
          <w:lang w:val="ru-RU"/>
        </w:rPr>
      </w:pPr>
      <w:r w:rsidRPr="00D47156">
        <w:rPr>
          <w:lang w:val="ru-RU"/>
        </w:rPr>
        <w:t>(Малага-</w:t>
      </w:r>
      <w:proofErr w:type="spellStart"/>
      <w:r w:rsidRPr="00D47156">
        <w:rPr>
          <w:lang w:val="ru-RU"/>
        </w:rPr>
        <w:t>Торремолинос</w:t>
      </w:r>
      <w:proofErr w:type="spellEnd"/>
      <w:r w:rsidRPr="00D47156">
        <w:rPr>
          <w:lang w:val="ru-RU"/>
        </w:rPr>
        <w:t xml:space="preserve">, 1984 г.; Хельсинки, 1993 г.; Женева, 1996 г.; Монреаль, 2000 г.; </w:t>
      </w:r>
      <w:r w:rsidRPr="00D47156">
        <w:rPr>
          <w:lang w:val="ru-RU"/>
        </w:rPr>
        <w:br/>
      </w:r>
      <w:proofErr w:type="spellStart"/>
      <w:r w:rsidRPr="00D47156">
        <w:rPr>
          <w:lang w:val="ru-RU"/>
        </w:rPr>
        <w:t>Флорианополис</w:t>
      </w:r>
      <w:proofErr w:type="spellEnd"/>
      <w:r w:rsidRPr="00D47156">
        <w:rPr>
          <w:lang w:val="ru-RU"/>
        </w:rPr>
        <w:t xml:space="preserve">, 2004 г.; Йоханнесбург, 2008 г.; Дубай, 2012 г.; </w:t>
      </w:r>
      <w:proofErr w:type="spellStart"/>
      <w:r w:rsidRPr="00D47156">
        <w:rPr>
          <w:lang w:val="ru-RU"/>
        </w:rPr>
        <w:t>Хаммамет</w:t>
      </w:r>
      <w:proofErr w:type="spellEnd"/>
      <w:r w:rsidRPr="00D47156">
        <w:rPr>
          <w:lang w:val="ru-RU"/>
        </w:rPr>
        <w:t>, 2016 г.; Нью-Дели, 2024 г.)</w:t>
      </w:r>
    </w:p>
    <w:p w14:paraId="01E6B761" w14:textId="77777777" w:rsidR="00D47156" w:rsidRPr="00D47156" w:rsidRDefault="00D47156" w:rsidP="00D47156">
      <w:pPr>
        <w:pStyle w:val="Normalaftertitle0"/>
        <w:rPr>
          <w:lang w:val="ru-RU"/>
        </w:rPr>
      </w:pPr>
      <w:r w:rsidRPr="00D47156">
        <w:rPr>
          <w:lang w:val="ru-RU"/>
        </w:rPr>
        <w:t>Всемирная ассамблея по стандартизации электросвязи (Нью-Дели, 2024 г.),</w:t>
      </w:r>
    </w:p>
    <w:p w14:paraId="0B15C415" w14:textId="77777777" w:rsidR="00D47156" w:rsidRPr="00D47156" w:rsidRDefault="00D47156" w:rsidP="00D47156">
      <w:pPr>
        <w:pStyle w:val="Call"/>
        <w:rPr>
          <w:lang w:val="ru-RU"/>
        </w:rPr>
      </w:pPr>
      <w:r w:rsidRPr="00D47156">
        <w:rPr>
          <w:lang w:val="ru-RU"/>
        </w:rPr>
        <w:t>учитывая</w:t>
      </w:r>
      <w:r w:rsidRPr="00D47156">
        <w:rPr>
          <w:i w:val="0"/>
          <w:iCs/>
          <w:lang w:val="ru-RU"/>
        </w:rPr>
        <w:t>,</w:t>
      </w:r>
    </w:p>
    <w:p w14:paraId="5D1003D0" w14:textId="77777777" w:rsidR="00D47156" w:rsidRPr="00D47156" w:rsidRDefault="00D47156" w:rsidP="00D47156">
      <w:pPr>
        <w:rPr>
          <w:lang w:val="ru-RU"/>
        </w:rPr>
      </w:pPr>
      <w:r w:rsidRPr="00D47156">
        <w:rPr>
          <w:i/>
          <w:iCs/>
          <w:lang w:val="ru-RU"/>
        </w:rPr>
        <w:t>а)</w:t>
      </w:r>
      <w:r w:rsidRPr="00D47156">
        <w:rPr>
          <w:lang w:val="ru-RU"/>
        </w:rPr>
        <w:tab/>
        <w:t>что в рамках системы Организации Объединенных Наций как МСЭ, так и Всемирный почтовый союз (ВПС), как организации, специализирующиеся в области связи,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общества, каждая в сфере своей компетенции;</w:t>
      </w:r>
    </w:p>
    <w:p w14:paraId="4A6F3D83" w14:textId="77777777" w:rsidR="00D47156" w:rsidRPr="00D47156" w:rsidRDefault="00D47156" w:rsidP="00D47156">
      <w:pPr>
        <w:rPr>
          <w:lang w:val="ru-RU"/>
        </w:rPr>
      </w:pPr>
      <w:r w:rsidRPr="00D47156">
        <w:rPr>
          <w:i/>
          <w:iCs/>
          <w:lang w:val="ru-RU"/>
        </w:rPr>
        <w:t>b)</w:t>
      </w:r>
      <w:r w:rsidRPr="00D47156">
        <w:rPr>
          <w:lang w:val="ru-RU"/>
        </w:rPr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14:paraId="289797EB" w14:textId="77777777" w:rsidR="00D47156" w:rsidRPr="00D47156" w:rsidRDefault="00D47156" w:rsidP="00D47156">
      <w:pPr>
        <w:rPr>
          <w:lang w:val="ru-RU"/>
        </w:rPr>
      </w:pPr>
      <w:r w:rsidRPr="00D47156">
        <w:rPr>
          <w:i/>
          <w:iCs/>
          <w:lang w:val="ru-RU"/>
        </w:rPr>
        <w:t>c)</w:t>
      </w:r>
      <w:r w:rsidRPr="00D47156">
        <w:rPr>
          <w:lang w:val="ru-RU"/>
        </w:rPr>
        <w:tab/>
        <w:t xml:space="preserve">пользу от совместного изучения последствий принятия любых новых Рекомендаций Сектора стандартизации электросвязи МСЭ (МСЭ-Т) или </w:t>
      </w:r>
      <w:proofErr w:type="gramStart"/>
      <w:r w:rsidRPr="00D47156">
        <w:rPr>
          <w:lang w:val="ru-RU"/>
        </w:rPr>
        <w:t>внесения</w:t>
      </w:r>
      <w:proofErr w:type="gramEnd"/>
      <w:r w:rsidRPr="00D47156">
        <w:rPr>
          <w:lang w:val="ru-RU"/>
        </w:rPr>
        <w:t xml:space="preserve"> в связи с этим изменений в действующие Рекомендации</w:t>
      </w:r>
      <w:r w:rsidRPr="00D47156">
        <w:rPr>
          <w:iCs/>
          <w:lang w:val="ru-RU"/>
        </w:rPr>
        <w:t xml:space="preserve"> МСЭ-Т</w:t>
      </w:r>
      <w:r w:rsidRPr="00D47156">
        <w:rPr>
          <w:lang w:val="ru-RU"/>
        </w:rPr>
        <w:t>,</w:t>
      </w:r>
    </w:p>
    <w:p w14:paraId="5AABD73B" w14:textId="77777777" w:rsidR="00D47156" w:rsidRPr="00D47156" w:rsidRDefault="00D47156" w:rsidP="00D47156">
      <w:pPr>
        <w:pStyle w:val="Call"/>
        <w:rPr>
          <w:lang w:val="ru-RU"/>
        </w:rPr>
      </w:pPr>
      <w:r w:rsidRPr="00D47156">
        <w:rPr>
          <w:lang w:val="ru-RU"/>
        </w:rPr>
        <w:t>признавая</w:t>
      </w:r>
    </w:p>
    <w:p w14:paraId="0D6CC981" w14:textId="77777777" w:rsidR="00D47156" w:rsidRPr="00D47156" w:rsidRDefault="00D47156" w:rsidP="00D47156">
      <w:pPr>
        <w:rPr>
          <w:i/>
          <w:iCs/>
          <w:lang w:val="ru-RU"/>
        </w:rPr>
      </w:pPr>
      <w:r w:rsidRPr="00D47156">
        <w:rPr>
          <w:i/>
          <w:iCs/>
          <w:lang w:val="ru-RU"/>
        </w:rPr>
        <w:t>a)</w:t>
      </w:r>
      <w:r w:rsidRPr="00D47156">
        <w:rPr>
          <w:i/>
          <w:iCs/>
          <w:lang w:val="ru-RU"/>
        </w:rPr>
        <w:tab/>
      </w:r>
      <w:r w:rsidRPr="00D47156">
        <w:rPr>
          <w:lang w:val="ru-RU"/>
        </w:rPr>
        <w:t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развертыванию и использованию инфраструктуры электросвязи/информационно-коммуникационных технологий (ИКТ), кибербезопасности и цифровых финансовых услуг;</w:t>
      </w:r>
    </w:p>
    <w:p w14:paraId="217B0FE4" w14:textId="77777777" w:rsidR="00D47156" w:rsidRPr="00D47156" w:rsidRDefault="00D47156" w:rsidP="00D47156">
      <w:pPr>
        <w:rPr>
          <w:lang w:val="ru-RU"/>
        </w:rPr>
      </w:pPr>
      <w:r w:rsidRPr="00D47156">
        <w:rPr>
          <w:i/>
          <w:iCs/>
          <w:lang w:val="ru-RU"/>
        </w:rPr>
        <w:t>b)</w:t>
      </w:r>
      <w:r w:rsidRPr="00D47156">
        <w:rPr>
          <w:i/>
          <w:iCs/>
          <w:lang w:val="ru-RU"/>
        </w:rPr>
        <w:tab/>
      </w:r>
      <w:r w:rsidRPr="00D47156">
        <w:rPr>
          <w:lang w:val="ru-RU"/>
        </w:rPr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14:paraId="091D4FE2" w14:textId="77777777" w:rsidR="00D47156" w:rsidRPr="00D47156" w:rsidRDefault="00D47156" w:rsidP="00D47156">
      <w:pPr>
        <w:pStyle w:val="Call"/>
        <w:rPr>
          <w:iCs/>
          <w:lang w:val="ru-RU"/>
        </w:rPr>
      </w:pPr>
      <w:r w:rsidRPr="00D47156">
        <w:rPr>
          <w:lang w:val="ru-RU"/>
        </w:rPr>
        <w:t>напоминая</w:t>
      </w:r>
      <w:r w:rsidRPr="00D47156">
        <w:rPr>
          <w:i w:val="0"/>
          <w:iCs/>
          <w:lang w:val="ru-RU"/>
        </w:rPr>
        <w:t>,</w:t>
      </w:r>
    </w:p>
    <w:p w14:paraId="448E5177" w14:textId="77777777" w:rsidR="00D47156" w:rsidRPr="00D47156" w:rsidRDefault="00D47156" w:rsidP="00D47156">
      <w:pPr>
        <w:rPr>
          <w:lang w:val="ru-RU" w:eastAsia="zh-CN"/>
        </w:rPr>
      </w:pPr>
      <w:r w:rsidRPr="00D47156">
        <w:rPr>
          <w:lang w:val="ru-RU"/>
        </w:rPr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D47156">
        <w:rPr>
          <w:lang w:val="ru-RU" w:eastAsia="zh-CN"/>
        </w:rPr>
        <w:t>",</w:t>
      </w:r>
    </w:p>
    <w:p w14:paraId="14D99824" w14:textId="77777777" w:rsidR="00073836" w:rsidRDefault="00073836" w:rsidP="00D47156">
      <w:pPr>
        <w:rPr>
          <w:lang w:val="en-US"/>
        </w:rPr>
      </w:pPr>
    </w:p>
    <w:p w14:paraId="22D81D32" w14:textId="0BA00482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br w:type="page"/>
      </w:r>
    </w:p>
    <w:p w14:paraId="57E4CE45" w14:textId="77777777" w:rsidR="00D47156" w:rsidRPr="00D47156" w:rsidRDefault="00D47156" w:rsidP="00D47156">
      <w:pPr>
        <w:pStyle w:val="Call"/>
        <w:rPr>
          <w:lang w:val="ru-RU"/>
        </w:rPr>
      </w:pPr>
      <w:r w:rsidRPr="00D47156">
        <w:rPr>
          <w:lang w:val="ru-RU"/>
        </w:rPr>
        <w:lastRenderedPageBreak/>
        <w:t>замечая</w:t>
      </w:r>
      <w:r w:rsidRPr="00D47156">
        <w:rPr>
          <w:i w:val="0"/>
          <w:iCs/>
          <w:lang w:val="ru-RU"/>
        </w:rPr>
        <w:t>,</w:t>
      </w:r>
    </w:p>
    <w:p w14:paraId="7FCA155D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что необходимо обновить темы, представляющие интерес, с целью разработки общих видов деятельности обеих организаций в целях оптимизации использования их ресурсов, а также максимизации их вклада в достижение устойчивых и открытых для всех целей социально-экономического развития,</w:t>
      </w:r>
    </w:p>
    <w:p w14:paraId="06A28AFF" w14:textId="77777777" w:rsidR="00D47156" w:rsidRPr="00D47156" w:rsidRDefault="00D47156" w:rsidP="00D47156">
      <w:pPr>
        <w:pStyle w:val="Call"/>
        <w:keepNext w:val="0"/>
        <w:keepLines w:val="0"/>
        <w:rPr>
          <w:lang w:val="ru-RU"/>
        </w:rPr>
      </w:pPr>
      <w:r w:rsidRPr="00D47156">
        <w:rPr>
          <w:lang w:val="ru-RU"/>
        </w:rPr>
        <w:t>решает</w:t>
      </w:r>
      <w:r w:rsidRPr="00D47156">
        <w:rPr>
          <w:i w:val="0"/>
          <w:iCs/>
          <w:lang w:val="ru-RU"/>
        </w:rPr>
        <w:t>,</w:t>
      </w:r>
    </w:p>
    <w:p w14:paraId="24BB1601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что соответствующие исследовательские комиссии МСЭ</w:t>
      </w:r>
      <w:r w:rsidRPr="00D47156">
        <w:rPr>
          <w:lang w:val="ru-RU"/>
        </w:rPr>
        <w:noBreakHyphen/>
        <w:t>Т должны продолжать сотрудничать с комитетами Совета почтовой эксплуатации (СПЭ) надлежащим образом, на взаимной основе и сводя к минимуму формальности, в частности изучая вопросы, представляющие общий интерес, такие как экономические и стратегические аспекты, касающиеся ИКТ, окружающая среда и циркуляционная экономика, электронные услуги и безопасность, цифровые финансовые услуги, новые и появляющиеся технологии электросвязи/ИКТ, включая приложения искусственного интеллекта (ИИ) в сетях электросвязи/ИКТ,</w:t>
      </w:r>
    </w:p>
    <w:p w14:paraId="3847F523" w14:textId="77777777" w:rsidR="00D47156" w:rsidRPr="00D47156" w:rsidRDefault="00D47156" w:rsidP="00D47156">
      <w:pPr>
        <w:pStyle w:val="Call"/>
        <w:rPr>
          <w:lang w:val="ru-RU"/>
        </w:rPr>
      </w:pPr>
      <w:r w:rsidRPr="00D47156">
        <w:rPr>
          <w:lang w:val="ru-RU"/>
        </w:rPr>
        <w:t>поручает исследовательским комиссиям Сектора стандартизации МСЭ</w:t>
      </w:r>
    </w:p>
    <w:p w14:paraId="3B941236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предоставлять периодический отчет Консультативной группе по стандартизации электросвязи о ходе сотрудничества между МСЭ-T и ВПС,</w:t>
      </w:r>
    </w:p>
    <w:p w14:paraId="3A8B7AEF" w14:textId="77777777" w:rsidR="00D47156" w:rsidRPr="00D47156" w:rsidRDefault="00D47156" w:rsidP="00D47156">
      <w:pPr>
        <w:pStyle w:val="Call"/>
        <w:keepNext w:val="0"/>
        <w:keepLines w:val="0"/>
        <w:rPr>
          <w:lang w:val="ru-RU"/>
        </w:rPr>
      </w:pPr>
      <w:r w:rsidRPr="00D47156">
        <w:rPr>
          <w:lang w:val="ru-RU"/>
        </w:rPr>
        <w:t>поручает Директору Бюро стандартизации электросвязи</w:t>
      </w:r>
    </w:p>
    <w:p w14:paraId="13F7EA16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1</w:t>
      </w:r>
      <w:r w:rsidRPr="00D47156">
        <w:rPr>
          <w:lang w:val="ru-RU"/>
        </w:rPr>
        <w:tab/>
        <w:t>поощрять это сотрудничество между двумя органами и содействовать ему, в частности путем содействия участию должностных лиц МСЭ в соответствующих собраниях СПЭ;</w:t>
      </w:r>
    </w:p>
    <w:p w14:paraId="28DBF781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2</w:t>
      </w:r>
      <w:r w:rsidRPr="00D47156">
        <w:rPr>
          <w:lang w:val="ru-RU"/>
        </w:rPr>
        <w:tab/>
        <w:t>провести консультации с ВПС о создании общей рабочей группы МСЭ-Т и ВПС по сотрудничеству в сфере стандартов в областях, представляющих общий интерес, таких как экономические и стратегические аспекты, касающиеся ИКТ, окружающая среда и циркуляционная экономика, электронные услуги и безопасность, цифровые финансовые услуги, новые и появляющиеся технологии электросвязи/ИКТ, включая приложения ИИ в сетях электросвязи/ИКТ;</w:t>
      </w:r>
    </w:p>
    <w:p w14:paraId="19B2DB78" w14:textId="77777777" w:rsidR="00D47156" w:rsidRPr="00D47156" w:rsidRDefault="00D47156" w:rsidP="00D47156">
      <w:pPr>
        <w:rPr>
          <w:lang w:val="ru-RU"/>
        </w:rPr>
      </w:pPr>
      <w:r w:rsidRPr="00D47156">
        <w:rPr>
          <w:lang w:val="ru-RU"/>
        </w:rPr>
        <w:t>3</w:t>
      </w:r>
      <w:r w:rsidRPr="00D47156">
        <w:rPr>
          <w:lang w:val="ru-RU"/>
        </w:rPr>
        <w:tab/>
        <w:t>поддерживать организацию любых мероприятий и видов деятельности, направленных на повышение эффективности и действенности почтовых услуг путем задействования новых и появляющихся технологий электросвязи /ИКТ.</w:t>
      </w:r>
    </w:p>
    <w:p w14:paraId="250F1BCA" w14:textId="77777777" w:rsidR="006545B8" w:rsidRDefault="006545B8" w:rsidP="00073836">
      <w:pPr>
        <w:rPr>
          <w:lang w:val="en-US"/>
        </w:rPr>
      </w:pPr>
    </w:p>
    <w:p w14:paraId="79CB43CD" w14:textId="77777777" w:rsidR="00073836" w:rsidRDefault="00073836" w:rsidP="00073836">
      <w:pPr>
        <w:rPr>
          <w:lang w:val="en-US"/>
        </w:rPr>
      </w:pPr>
    </w:p>
    <w:p w14:paraId="6DCB8D4E" w14:textId="77777777" w:rsidR="00073836" w:rsidRDefault="00073836" w:rsidP="00073836">
      <w:pPr>
        <w:rPr>
          <w:lang w:val="en-US"/>
        </w:rPr>
      </w:pPr>
    </w:p>
    <w:p w14:paraId="0FADD2F1" w14:textId="77777777" w:rsidR="00073836" w:rsidRDefault="00073836" w:rsidP="00073836">
      <w:pPr>
        <w:rPr>
          <w:lang w:val="en-US"/>
        </w:rPr>
      </w:pPr>
    </w:p>
    <w:p w14:paraId="78FEE0CC" w14:textId="77777777" w:rsidR="00073836" w:rsidRDefault="00073836" w:rsidP="00073836">
      <w:pPr>
        <w:rPr>
          <w:lang w:val="en-US"/>
        </w:rPr>
      </w:pPr>
    </w:p>
    <w:p w14:paraId="4E004887" w14:textId="77777777" w:rsidR="00073836" w:rsidRDefault="00073836" w:rsidP="00073836">
      <w:pPr>
        <w:rPr>
          <w:lang w:val="en-US"/>
        </w:rPr>
      </w:pPr>
    </w:p>
    <w:p w14:paraId="1F3B6000" w14:textId="77777777" w:rsidR="00073836" w:rsidRDefault="00073836" w:rsidP="00073836">
      <w:pPr>
        <w:rPr>
          <w:lang w:val="en-US"/>
        </w:rPr>
      </w:pPr>
    </w:p>
    <w:p w14:paraId="6228C616" w14:textId="77777777" w:rsidR="00073836" w:rsidRDefault="00073836" w:rsidP="00073836">
      <w:pPr>
        <w:rPr>
          <w:lang w:val="en-US"/>
        </w:rPr>
      </w:pPr>
    </w:p>
    <w:p w14:paraId="699FF507" w14:textId="77777777" w:rsidR="00073836" w:rsidRDefault="00073836" w:rsidP="00073836">
      <w:pPr>
        <w:rPr>
          <w:lang w:val="en-US"/>
        </w:rPr>
      </w:pPr>
    </w:p>
    <w:p w14:paraId="3BC74532" w14:textId="77777777" w:rsidR="00073836" w:rsidRDefault="00073836" w:rsidP="00073836">
      <w:pPr>
        <w:rPr>
          <w:lang w:val="en-US"/>
        </w:rPr>
      </w:pPr>
    </w:p>
    <w:p w14:paraId="38BC4C9A" w14:textId="77777777" w:rsidR="00073836" w:rsidRPr="00073836" w:rsidRDefault="00073836" w:rsidP="00073836">
      <w:pPr>
        <w:rPr>
          <w:lang w:val="en-US"/>
        </w:rPr>
      </w:pPr>
    </w:p>
    <w:sectPr w:rsidR="00073836" w:rsidRPr="00073836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9E0F" w14:textId="77777777" w:rsidR="002E1B7B" w:rsidRDefault="002E1B7B">
      <w:r>
        <w:separator/>
      </w:r>
    </w:p>
  </w:endnote>
  <w:endnote w:type="continuationSeparator" w:id="0">
    <w:p w14:paraId="5D3B711D" w14:textId="77777777" w:rsidR="002E1B7B" w:rsidRDefault="002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69D962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351E9" w:rsidRPr="004351E9">
      <w:rPr>
        <w:noProof/>
        <w:szCs w:val="22"/>
        <w:lang w:val="en-US"/>
      </w:rPr>
      <w:t>11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00CE673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950C86" w:rsidRPr="00950C86">
      <w:rPr>
        <w:noProof/>
        <w:szCs w:val="22"/>
        <w:lang w:val="en-US"/>
      </w:rPr>
      <w:t>11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607BEBA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4351E9" w:rsidRPr="004351E9">
      <w:rPr>
        <w:noProof/>
        <w:szCs w:val="22"/>
        <w:lang w:val="en-US"/>
      </w:rPr>
      <w:t>11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4731" w14:textId="77777777" w:rsidR="002E1B7B" w:rsidRDefault="002E1B7B">
      <w:r>
        <w:t>____________________</w:t>
      </w:r>
    </w:p>
  </w:footnote>
  <w:footnote w:type="continuationSeparator" w:id="0">
    <w:p w14:paraId="545A56F1" w14:textId="77777777" w:rsidR="002E1B7B" w:rsidRDefault="002E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73836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351E9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12A63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5D98"/>
    <w:rsid w:val="00726747"/>
    <w:rsid w:val="0074102F"/>
    <w:rsid w:val="007550BF"/>
    <w:rsid w:val="00780423"/>
    <w:rsid w:val="00781E25"/>
    <w:rsid w:val="007828CF"/>
    <w:rsid w:val="00783EB8"/>
    <w:rsid w:val="007958DD"/>
    <w:rsid w:val="007C00E3"/>
    <w:rsid w:val="007C5B49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0C86"/>
    <w:rsid w:val="00974062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2479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4292A"/>
    <w:rsid w:val="00D457B6"/>
    <w:rsid w:val="00D4715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7C5B49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4351E9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4351E9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7C5B49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53</TotalTime>
  <Pages>4</Pages>
  <Words>694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5752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11 (Пересм. Нью-Дели, 2024 г.)  Сотрудничество со Всемирным почтовым союзом в исследовании услуг, касающихся как почтового сектора, так и сектора электросвязи</dc:title>
  <dc:subject>WORLD TELECOMMUNICATION STANDARDIZATION ASSEMBLY - Florianópolis, 5-14 October 2004</dc:subject>
  <dc:creator>ITU-T</dc:creator>
  <cp:keywords/>
  <dc:description/>
  <cp:lastModifiedBy>Berdyeva, Elena</cp:lastModifiedBy>
  <cp:revision>29</cp:revision>
  <cp:lastPrinted>2024-11-26T10:53:00Z</cp:lastPrinted>
  <dcterms:created xsi:type="dcterms:W3CDTF">2024-09-24T12:18:00Z</dcterms:created>
  <dcterms:modified xsi:type="dcterms:W3CDTF">2024-11-26T11:04:00Z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