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1" w:rightFromText="181" w:vertAnchor="page" w:horzAnchor="margin" w:tblpY="506"/>
        <w:tblOverlap w:val="never"/>
        <w:tblW w:w="10740" w:type="dxa"/>
        <w:tblLayout w:type="fixed"/>
        <w:tblLook w:val="0000" w:firstRow="0" w:lastRow="0" w:firstColumn="0" w:lastColumn="0" w:noHBand="0" w:noVBand="0"/>
      </w:tblPr>
      <w:tblGrid>
        <w:gridCol w:w="817"/>
        <w:gridCol w:w="4253"/>
        <w:gridCol w:w="5670"/>
      </w:tblGrid>
      <w:tr w:rsidR="00EA2A26" w:rsidRPr="009170CF" w14:paraId="7078E33C" w14:textId="77777777" w:rsidTr="00367A2B">
        <w:trPr>
          <w:trHeight w:hRule="exact" w:val="426"/>
        </w:trPr>
        <w:tc>
          <w:tcPr>
            <w:tcW w:w="5070" w:type="dxa"/>
            <w:gridSpan w:val="2"/>
          </w:tcPr>
          <w:p w14:paraId="1C1FE4AD" w14:textId="18DD2252" w:rsidR="00EA2A26" w:rsidRPr="009170CF" w:rsidRDefault="00EA2A26" w:rsidP="00A3085D">
            <w:pPr>
              <w:spacing w:before="60"/>
              <w:rPr>
                <w:rFonts w:ascii="Arial" w:eastAsia="Avenir Next W1G Medium" w:hAnsi="Arial" w:cs="Arial"/>
                <w:szCs w:val="24"/>
                <w:lang w:val="ru-RU"/>
              </w:rPr>
            </w:pPr>
            <w:bookmarkStart w:id="0" w:name="c2tope"/>
            <w:bookmarkEnd w:id="0"/>
            <w:proofErr w:type="spellStart"/>
            <w:r w:rsidRPr="009170CF">
              <w:rPr>
                <w:rFonts w:ascii="Arial" w:hAnsi="Arial" w:cs="Arial"/>
                <w:b/>
                <w:color w:val="009CD6"/>
                <w:spacing w:val="-4"/>
                <w:sz w:val="32"/>
                <w:szCs w:val="32"/>
                <w:lang w:val="ru-RU"/>
              </w:rPr>
              <w:t>ITU</w:t>
            </w:r>
            <w:r w:rsidR="001B5C6B" w:rsidRPr="009170CF">
              <w:rPr>
                <w:rFonts w:ascii="Arial" w:hAnsi="Arial" w:cs="Arial"/>
                <w:b/>
                <w:color w:val="292829"/>
                <w:spacing w:val="-4"/>
                <w:sz w:val="32"/>
                <w:szCs w:val="32"/>
                <w:lang w:val="ru-RU"/>
              </w:rPr>
              <w:t>Публикации</w:t>
            </w:r>
            <w:proofErr w:type="spellEnd"/>
          </w:p>
        </w:tc>
        <w:tc>
          <w:tcPr>
            <w:tcW w:w="5670" w:type="dxa"/>
          </w:tcPr>
          <w:p w14:paraId="0E9475D3" w14:textId="543BEFC0" w:rsidR="00EA2A26" w:rsidRPr="009170CF" w:rsidRDefault="001B5C6B" w:rsidP="00A3085D">
            <w:pPr>
              <w:spacing w:before="60"/>
              <w:jc w:val="right"/>
              <w:rPr>
                <w:rFonts w:ascii="Arial" w:eastAsia="Avenir Next W1G Medium" w:hAnsi="Arial" w:cs="Arial"/>
                <w:sz w:val="24"/>
                <w:szCs w:val="24"/>
                <w:lang w:val="ru-RU"/>
              </w:rPr>
            </w:pPr>
            <w:r w:rsidRPr="009170CF">
              <w:rPr>
                <w:rFonts w:ascii="Arial" w:eastAsia="Avenir Next W1G Medium" w:hAnsi="Arial" w:cs="Arial"/>
                <w:b/>
                <w:spacing w:val="-4"/>
                <w:sz w:val="24"/>
                <w:szCs w:val="24"/>
                <w:lang w:val="ru-RU"/>
              </w:rPr>
              <w:t>Международный союз электросвязи</w:t>
            </w:r>
          </w:p>
        </w:tc>
      </w:tr>
      <w:tr w:rsidR="00EA2A26" w:rsidRPr="009170CF" w14:paraId="42C85EB6" w14:textId="77777777" w:rsidTr="00367A2B">
        <w:trPr>
          <w:trHeight w:hRule="exact" w:val="992"/>
        </w:trPr>
        <w:tc>
          <w:tcPr>
            <w:tcW w:w="5070" w:type="dxa"/>
            <w:gridSpan w:val="2"/>
          </w:tcPr>
          <w:p w14:paraId="68B26EDA" w14:textId="1153EEEB" w:rsidR="00EA2A26" w:rsidRPr="009170CF" w:rsidRDefault="001B5C6B" w:rsidP="00367A2B">
            <w:pPr>
              <w:spacing w:before="0"/>
              <w:rPr>
                <w:rFonts w:ascii="Arial" w:eastAsia="Avenir Next W1G Medium" w:hAnsi="Arial" w:cs="Arial"/>
                <w:sz w:val="24"/>
                <w:szCs w:val="24"/>
                <w:lang w:val="ru-RU"/>
              </w:rPr>
            </w:pPr>
            <w:r w:rsidRPr="009170CF">
              <w:rPr>
                <w:rFonts w:ascii="Arial" w:eastAsia="Avenir Next W1G Medium" w:hAnsi="Arial" w:cs="Arial"/>
                <w:sz w:val="24"/>
                <w:szCs w:val="24"/>
                <w:lang w:val="ru-RU"/>
              </w:rPr>
              <w:t>Резолюции</w:t>
            </w:r>
          </w:p>
        </w:tc>
        <w:tc>
          <w:tcPr>
            <w:tcW w:w="5670" w:type="dxa"/>
          </w:tcPr>
          <w:p w14:paraId="20539D5B" w14:textId="015B5046" w:rsidR="00EA2A26" w:rsidRPr="009170CF" w:rsidRDefault="001B5C6B" w:rsidP="00367A2B">
            <w:pPr>
              <w:spacing w:before="0"/>
              <w:jc w:val="right"/>
              <w:rPr>
                <w:rFonts w:ascii="Arial" w:eastAsia="Avenir Next W1G Medium" w:hAnsi="Arial" w:cs="Arial"/>
                <w:sz w:val="24"/>
                <w:szCs w:val="24"/>
                <w:lang w:val="ru-RU"/>
              </w:rPr>
            </w:pPr>
            <w:r w:rsidRPr="009170CF">
              <w:rPr>
                <w:rFonts w:ascii="Arial" w:eastAsia="Avenir Next W1G Medium" w:hAnsi="Arial" w:cs="Arial"/>
                <w:sz w:val="24"/>
                <w:szCs w:val="24"/>
                <w:lang w:val="ru-RU"/>
              </w:rPr>
              <w:t>Сектор стандартизации</w:t>
            </w:r>
          </w:p>
        </w:tc>
      </w:tr>
      <w:tr w:rsidR="00EA2A26" w:rsidRPr="009170CF" w14:paraId="6AE027A4" w14:textId="77777777" w:rsidTr="00367A2B">
        <w:tblPrEx>
          <w:tblCellMar>
            <w:left w:w="85" w:type="dxa"/>
            <w:right w:w="85" w:type="dxa"/>
          </w:tblCellMar>
        </w:tblPrEx>
        <w:trPr>
          <w:gridBefore w:val="1"/>
          <w:wBefore w:w="817" w:type="dxa"/>
          <w:trHeight w:val="709"/>
        </w:trPr>
        <w:tc>
          <w:tcPr>
            <w:tcW w:w="9923" w:type="dxa"/>
            <w:gridSpan w:val="2"/>
          </w:tcPr>
          <w:p w14:paraId="1BE63DDE" w14:textId="77777777" w:rsidR="00EA2A26" w:rsidRPr="009170CF" w:rsidRDefault="00EA2A26" w:rsidP="00367A2B">
            <w:pPr>
              <w:pStyle w:val="BodyText"/>
              <w:spacing w:before="440"/>
              <w:rPr>
                <w:b w:val="0"/>
                <w:bCs w:val="0"/>
                <w:spacing w:val="-6"/>
                <w:sz w:val="44"/>
                <w:szCs w:val="44"/>
                <w:lang w:val="ru-RU"/>
              </w:rPr>
            </w:pPr>
          </w:p>
        </w:tc>
      </w:tr>
      <w:tr w:rsidR="00EA2A26" w:rsidRPr="009170CF" w14:paraId="09112B91" w14:textId="77777777" w:rsidTr="00367A2B">
        <w:tblPrEx>
          <w:tblCellMar>
            <w:left w:w="85" w:type="dxa"/>
            <w:right w:w="85" w:type="dxa"/>
          </w:tblCellMar>
        </w:tblPrEx>
        <w:trPr>
          <w:gridBefore w:val="1"/>
          <w:wBefore w:w="817" w:type="dxa"/>
          <w:trHeight w:val="129"/>
        </w:trPr>
        <w:tc>
          <w:tcPr>
            <w:tcW w:w="9923" w:type="dxa"/>
            <w:gridSpan w:val="2"/>
          </w:tcPr>
          <w:p w14:paraId="345DAF0C" w14:textId="77777777" w:rsidR="00EA2A26" w:rsidRPr="009170CF" w:rsidRDefault="00EA2A26" w:rsidP="00367A2B">
            <w:pPr>
              <w:pStyle w:val="BodyText"/>
              <w:spacing w:after="240"/>
              <w:rPr>
                <w:spacing w:val="-6"/>
                <w:sz w:val="44"/>
                <w:szCs w:val="44"/>
                <w:lang w:val="ru-RU"/>
              </w:rPr>
            </w:pPr>
          </w:p>
        </w:tc>
      </w:tr>
      <w:tr w:rsidR="00EA2A26" w:rsidRPr="009170CF" w14:paraId="594C2C35" w14:textId="77777777" w:rsidTr="00367A2B">
        <w:trPr>
          <w:trHeight w:val="80"/>
        </w:trPr>
        <w:tc>
          <w:tcPr>
            <w:tcW w:w="817" w:type="dxa"/>
          </w:tcPr>
          <w:p w14:paraId="72C102BC" w14:textId="77777777" w:rsidR="00EA2A26" w:rsidRPr="009170CF" w:rsidRDefault="00EA2A26" w:rsidP="00367A2B">
            <w:pPr>
              <w:tabs>
                <w:tab w:val="right" w:pos="9639"/>
              </w:tabs>
              <w:rPr>
                <w:rFonts w:ascii="Arial" w:hAnsi="Arial" w:cs="Arial"/>
                <w:sz w:val="18"/>
                <w:lang w:val="ru-RU"/>
              </w:rPr>
            </w:pPr>
          </w:p>
        </w:tc>
        <w:tc>
          <w:tcPr>
            <w:tcW w:w="9923" w:type="dxa"/>
            <w:gridSpan w:val="2"/>
            <w:tcBorders>
              <w:bottom w:val="single" w:sz="8" w:space="0" w:color="auto"/>
            </w:tcBorders>
          </w:tcPr>
          <w:p w14:paraId="46F1491F" w14:textId="5A28032B" w:rsidR="00EA2A26" w:rsidRPr="009170CF" w:rsidRDefault="001B5C6B" w:rsidP="00EA2A26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djustRightInd/>
              <w:spacing w:before="276"/>
              <w:jc w:val="left"/>
              <w:textAlignment w:val="auto"/>
              <w:rPr>
                <w:rFonts w:ascii="Arial" w:hAnsi="Arial" w:cs="Arial"/>
                <w:sz w:val="36"/>
                <w:szCs w:val="36"/>
                <w:lang w:val="ru-RU"/>
              </w:rPr>
            </w:pPr>
            <w:r w:rsidRPr="009170CF">
              <w:rPr>
                <w:rFonts w:ascii="Arial" w:hAnsi="Arial"/>
                <w:sz w:val="36"/>
                <w:szCs w:val="36"/>
                <w:lang w:val="ru-RU"/>
              </w:rPr>
              <w:t>ВСЕМИРНАЯ АССАМБЛЕЯ ПО СТАНДАРТИЗАЦИИ ЭЛЕКТРОСВЯЗИ</w:t>
            </w:r>
            <w:r w:rsidRPr="009170CF">
              <w:rPr>
                <w:rFonts w:ascii="Arial" w:hAnsi="Arial"/>
                <w:sz w:val="32"/>
                <w:lang w:val="ru-RU"/>
              </w:rPr>
              <w:t xml:space="preserve"> </w:t>
            </w:r>
            <w:r w:rsidR="00EA2A26" w:rsidRPr="009170CF">
              <w:rPr>
                <w:rFonts w:ascii="Arial" w:hAnsi="Arial" w:cs="Arial"/>
                <w:sz w:val="36"/>
                <w:szCs w:val="36"/>
                <w:lang w:val="ru-RU"/>
              </w:rPr>
              <w:br/>
            </w:r>
            <w:r w:rsidR="002D336F" w:rsidRPr="009170CF">
              <w:rPr>
                <w:rFonts w:ascii="Arial" w:hAnsi="Arial" w:cs="Arial"/>
                <w:sz w:val="36"/>
                <w:szCs w:val="36"/>
                <w:lang w:val="ru-RU"/>
              </w:rPr>
              <w:t>Нью-Дели</w:t>
            </w:r>
            <w:r w:rsidR="00EA2A26" w:rsidRPr="009170CF">
              <w:rPr>
                <w:rFonts w:ascii="Arial" w:hAnsi="Arial" w:cs="Arial"/>
                <w:sz w:val="36"/>
                <w:szCs w:val="36"/>
                <w:lang w:val="ru-RU"/>
              </w:rPr>
              <w:t>, 15</w:t>
            </w:r>
            <w:r w:rsidRPr="009170CF">
              <w:rPr>
                <w:rFonts w:ascii="Arial" w:hAnsi="Arial" w:cs="Arial"/>
                <w:sz w:val="36"/>
                <w:szCs w:val="36"/>
                <w:lang w:val="ru-RU"/>
              </w:rPr>
              <w:t>–</w:t>
            </w:r>
            <w:r w:rsidR="00EA2A26" w:rsidRPr="009170CF">
              <w:rPr>
                <w:rFonts w:ascii="Arial" w:hAnsi="Arial" w:cs="Arial"/>
                <w:sz w:val="36"/>
                <w:szCs w:val="36"/>
                <w:lang w:val="ru-RU"/>
              </w:rPr>
              <w:t xml:space="preserve">24 </w:t>
            </w:r>
            <w:r w:rsidRPr="009170CF">
              <w:rPr>
                <w:rFonts w:ascii="Arial" w:hAnsi="Arial" w:cs="Arial"/>
                <w:sz w:val="36"/>
                <w:szCs w:val="36"/>
                <w:lang w:val="ru-RU"/>
              </w:rPr>
              <w:t>октября</w:t>
            </w:r>
            <w:r w:rsidR="00EA2A26" w:rsidRPr="009170CF">
              <w:rPr>
                <w:rFonts w:ascii="Arial" w:hAnsi="Arial" w:cs="Arial"/>
                <w:sz w:val="36"/>
                <w:szCs w:val="36"/>
                <w:lang w:val="ru-RU"/>
              </w:rPr>
              <w:t xml:space="preserve"> 2024</w:t>
            </w:r>
            <w:r w:rsidRPr="009170CF">
              <w:rPr>
                <w:rFonts w:ascii="Arial" w:hAnsi="Arial" w:cs="Arial"/>
                <w:sz w:val="36"/>
                <w:szCs w:val="36"/>
                <w:lang w:val="ru-RU"/>
              </w:rPr>
              <w:t xml:space="preserve"> года</w:t>
            </w:r>
          </w:p>
          <w:p w14:paraId="318F1603" w14:textId="77777777" w:rsidR="00EA2A26" w:rsidRPr="009170CF" w:rsidRDefault="00EA2A26" w:rsidP="00367A2B">
            <w:pPr>
              <w:rPr>
                <w:lang w:val="ru-RU"/>
              </w:rPr>
            </w:pPr>
          </w:p>
        </w:tc>
      </w:tr>
      <w:tr w:rsidR="00EA2A26" w:rsidRPr="009170CF" w14:paraId="40EA4FB7" w14:textId="77777777" w:rsidTr="00367A2B">
        <w:trPr>
          <w:trHeight w:val="743"/>
        </w:trPr>
        <w:tc>
          <w:tcPr>
            <w:tcW w:w="817" w:type="dxa"/>
          </w:tcPr>
          <w:p w14:paraId="5A48D328" w14:textId="77777777" w:rsidR="00EA2A26" w:rsidRPr="009170CF" w:rsidRDefault="00EA2A26" w:rsidP="00367A2B">
            <w:pPr>
              <w:tabs>
                <w:tab w:val="right" w:pos="9639"/>
              </w:tabs>
              <w:rPr>
                <w:rFonts w:ascii="Arial" w:hAnsi="Arial" w:cs="Arial"/>
                <w:sz w:val="48"/>
                <w:szCs w:val="48"/>
                <w:lang w:val="ru-RU"/>
              </w:rPr>
            </w:pPr>
          </w:p>
        </w:tc>
        <w:tc>
          <w:tcPr>
            <w:tcW w:w="9923" w:type="dxa"/>
            <w:gridSpan w:val="2"/>
            <w:tcBorders>
              <w:top w:val="single" w:sz="8" w:space="0" w:color="auto"/>
            </w:tcBorders>
          </w:tcPr>
          <w:p w14:paraId="36D98092" w14:textId="221CD49C" w:rsidR="00EA2A26" w:rsidRPr="009170CF" w:rsidRDefault="001B5C6B" w:rsidP="00F9579B">
            <w:pPr>
              <w:pStyle w:val="BodyText"/>
              <w:spacing w:before="440"/>
              <w:jc w:val="left"/>
              <w:rPr>
                <w:spacing w:val="-6"/>
                <w:sz w:val="44"/>
                <w:szCs w:val="44"/>
                <w:lang w:val="ru-RU"/>
              </w:rPr>
            </w:pPr>
            <w:r w:rsidRPr="009170CF">
              <w:rPr>
                <w:spacing w:val="-6"/>
                <w:sz w:val="44"/>
                <w:szCs w:val="44"/>
                <w:lang w:val="ru-RU"/>
              </w:rPr>
              <w:t xml:space="preserve">Резолюция </w:t>
            </w:r>
            <w:r w:rsidR="00CB3D39" w:rsidRPr="009170CF">
              <w:rPr>
                <w:spacing w:val="-6"/>
                <w:sz w:val="44"/>
                <w:szCs w:val="44"/>
                <w:lang w:val="ru-RU"/>
              </w:rPr>
              <w:t>108</w:t>
            </w:r>
            <w:r w:rsidR="00845E8E" w:rsidRPr="009170CF">
              <w:rPr>
                <w:spacing w:val="-6"/>
                <w:sz w:val="44"/>
                <w:szCs w:val="44"/>
                <w:lang w:val="ru-RU"/>
              </w:rPr>
              <w:t xml:space="preserve"> – </w:t>
            </w:r>
            <w:r w:rsidR="00CB3D39" w:rsidRPr="009170CF">
              <w:rPr>
                <w:spacing w:val="-6"/>
                <w:sz w:val="44"/>
                <w:szCs w:val="44"/>
                <w:lang w:val="ru-RU"/>
              </w:rPr>
              <w:t>Стратегическое планирование в Секторе стандартизации электросвязи МСЭ</w:t>
            </w:r>
          </w:p>
          <w:p w14:paraId="51262F1D" w14:textId="77777777" w:rsidR="00EA2A26" w:rsidRPr="009170CF" w:rsidRDefault="00EA2A26" w:rsidP="00367A2B">
            <w:pPr>
              <w:rPr>
                <w:lang w:val="ru-RU"/>
              </w:rPr>
            </w:pPr>
          </w:p>
        </w:tc>
      </w:tr>
    </w:tbl>
    <w:p w14:paraId="7800F3B2" w14:textId="77777777" w:rsidR="00EA2A26" w:rsidRPr="009170CF" w:rsidRDefault="00EA2A26" w:rsidP="00EA2A2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center"/>
        <w:textAlignment w:val="auto"/>
        <w:rPr>
          <w:sz w:val="18"/>
          <w:lang w:val="ru-RU"/>
        </w:rPr>
      </w:pPr>
      <w:r w:rsidRPr="009170CF">
        <w:rPr>
          <w:rFonts w:ascii="Arial" w:eastAsia="Avenir Next W1G Medium" w:hAnsi="Arial" w:cs="Arial"/>
          <w:szCs w:val="24"/>
          <w:lang w:val="ru-RU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14C388CF" wp14:editId="2C642E50">
                <wp:simplePos x="0" y="0"/>
                <wp:positionH relativeFrom="page">
                  <wp:posOffset>6350</wp:posOffset>
                </wp:positionH>
                <wp:positionV relativeFrom="page">
                  <wp:posOffset>908685</wp:posOffset>
                </wp:positionV>
                <wp:extent cx="7772400" cy="229870"/>
                <wp:effectExtent l="0" t="0" r="0" b="0"/>
                <wp:wrapNone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229870"/>
                          <a:chOff x="0" y="1784"/>
                          <a:chExt cx="11906" cy="362"/>
                        </a:xfrm>
                      </wpg:grpSpPr>
                      <wps:wsp>
                        <wps:cNvPr id="31" name="docshape4"/>
                        <wps:cNvSpPr>
                          <a:spLocks noChangeArrowheads="1"/>
                        </wps:cNvSpPr>
                        <wps:spPr bwMode="auto">
                          <a:xfrm>
                            <a:off x="0" y="1817"/>
                            <a:ext cx="11906" cy="329"/>
                          </a:xfrm>
                          <a:prstGeom prst="rect">
                            <a:avLst/>
                          </a:prstGeom>
                          <a:solidFill>
                            <a:srgbClr val="9D17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docshape5"/>
                        <wps:cNvSpPr>
                          <a:spLocks/>
                        </wps:cNvSpPr>
                        <wps:spPr bwMode="auto">
                          <a:xfrm>
                            <a:off x="1109" y="1784"/>
                            <a:ext cx="627" cy="314"/>
                          </a:xfrm>
                          <a:custGeom>
                            <a:avLst/>
                            <a:gdLst>
                              <a:gd name="T0" fmla="+- 0 1736 1109"/>
                              <a:gd name="T1" fmla="*/ T0 w 627"/>
                              <a:gd name="T2" fmla="+- 0 1784 1784"/>
                              <a:gd name="T3" fmla="*/ 1784 h 314"/>
                              <a:gd name="T4" fmla="+- 0 1109 1109"/>
                              <a:gd name="T5" fmla="*/ T4 w 627"/>
                              <a:gd name="T6" fmla="+- 0 1784 1784"/>
                              <a:gd name="T7" fmla="*/ 1784 h 314"/>
                              <a:gd name="T8" fmla="+- 0 1423 1109"/>
                              <a:gd name="T9" fmla="*/ T8 w 627"/>
                              <a:gd name="T10" fmla="+- 0 2097 1784"/>
                              <a:gd name="T11" fmla="*/ 2097 h 314"/>
                              <a:gd name="T12" fmla="+- 0 1736 1109"/>
                              <a:gd name="T13" fmla="*/ T12 w 627"/>
                              <a:gd name="T14" fmla="+- 0 1784 1784"/>
                              <a:gd name="T15" fmla="*/ 1784 h 3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627" h="314">
                                <a:moveTo>
                                  <a:pt x="627" y="0"/>
                                </a:moveTo>
                                <a:lnTo>
                                  <a:pt x="0" y="0"/>
                                </a:lnTo>
                                <a:lnTo>
                                  <a:pt x="314" y="313"/>
                                </a:lnTo>
                                <a:lnTo>
                                  <a:pt x="6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7CC4C1" id="Group 30" o:spid="_x0000_s1026" style="position:absolute;margin-left:.5pt;margin-top:71.55pt;width:612pt;height:18.1pt;z-index:-251656192;mso-position-horizontal-relative:page;mso-position-vertical-relative:page" coordorigin=",1784" coordsize="11906,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aDO6wMAAIQLAAAOAAAAZHJzL2Uyb0RvYy54bWzcVttu4zYQfS/QfyD42GIjUVYsW4iyCJIm&#10;KLBtF1j1A2iJuqCSqJKy5ezXd4aUbMp1tost0IfmwRE1RzNzzsyQvHt/bBtyEErXsksou/EpEV0m&#10;87orE/p7+vxuQ4keeJfzRnYioa9C0/f33393N/axCGQlm1woAk46HY99Qqth6GPP01klWq5vZC86&#10;MBZStXyApSq9XPERvLeNF/j+2hulynslM6E1vH2yRnpv/BeFyIbfikKLgTQJhdwG86vM7w5/vfs7&#10;HpeK91WdTWnwb8ii5XUHQU+unvjAyV7Vf3PV1pmSWhbDTSZbTxZFnQnDAdgw/4LNi5L73nAp47Hs&#10;TzKBtBc6fbPb7NfDi+o/9R+VzR4eP8jsDw26eGNfxq4d16UFk934i8yhnnw/SEP8WKgWXQAlcjT6&#10;vp70FceBZPAyiqIg9KEMGdiCYLuJpgJkFVTp/BmLNqGtTFb9NH3L2NZf2y9X6wCtHo9tUJPolBgW&#10;HjpJn8XS/06sTxXvhamBRjE+KlLnCV0xSjreggC5zDRCTMIYG0CznNpqSTr5WPGuFA9KybESPIec&#10;mKGw+AAXGirxleKyDYusSrO+rkbBdqERj3ulhxchW4IPCVUwGqZw/PBBD1bOGYJ11LKp8+e6acxC&#10;lbvHRpEDhzHaPrHIf5i8L2BNh+BO4mfWI76B8lhetjY7mb8CRyXtLMLeAQ+VVJ8pGWEOE6r/3HMl&#10;KGl+7kCnLQtDHFyzCG+jABbKtexcC+8ycJXQgRL7+DjYYd/3qi4riMQM6U4+QOMWtSGO+dmspmSh&#10;ff6rPgou++gWhV20BdTCnUmnw2Zh/7FhGPO3lMDQnSdr7pl1EE1TxUwLn6aKx9nedgwWde4S2OFy&#10;6Bd8VebTCKRQkqJtYN/88R3xCYtWa2IiAhMXBjNjYT94JPXJSDD2BQb0WLjahOBv3g3OEVczDFyh&#10;nVRkZfN3A4YzyuYFIlzN63aGYV7h9bxg6/mavEDLE8W384Iz0XUWBqureUHJTs7SzfW82FL7wN9G&#10;VwVjrvgGdVUxdqn/W6V0C5Cy4I3kLgqAhbpWTeZWYCkbtOOp4XhldyrozGM3NSE8waTDgeibue6l&#10;xmMkBbbQ7elq2qUAha34BhiiI9j0IsT7MtjOUQp62h3uy2gGOqFvYOjAbZCJAW7El7cTRQncTnZ2&#10;OHo+IHEkgI9kTKgZ2gqPodDQbuVBpNIgBuRv7BDXHK8Q7WxvOhcHzeOgZtv8vze+MAaiVsDFcpjt&#10;83+Lu4w5W7NGamE/xPTNuX2ihEo4u8ziNNHuofNs/qYEFrD/1aFjrjJw1TMqTddSvEu6a3NInS/P&#10;938BAAD//wMAUEsDBBQABgAIAAAAIQDm8rmA3gAAAAoBAAAPAAAAZHJzL2Rvd25yZXYueG1sTE9N&#10;T8MwDL0j8R8iI3Fj6QeDUZpO0wScJiQ2JLRb1nhttcapmqzt/j3eCU7287PeR76cbCsG7H3jSEE8&#10;i0Aglc40VCn43r0/LED4oMno1hEquKCHZXF7k+vMuJG+cNiGSrAI+UwrqEPoMil9WaPVfuY6JOaO&#10;rrc6MOwraXo9srhtZRJFT9Lqhtih1h2uayxP27NV8DHqcZXGb8PmdFxf9rv5588mRqXu76bVK4iA&#10;U/h7hmt8jg4FZzq4MxkvWsbcJPB4TGMQVz5J5nw68Pb8koIscvm/QvELAAD//wMAUEsBAi0AFAAG&#10;AAgAAAAhALaDOJL+AAAA4QEAABMAAAAAAAAAAAAAAAAAAAAAAFtDb250ZW50X1R5cGVzXS54bWxQ&#10;SwECLQAUAAYACAAAACEAOP0h/9YAAACUAQAACwAAAAAAAAAAAAAAAAAvAQAAX3JlbHMvLnJlbHNQ&#10;SwECLQAUAAYACAAAACEAH8WgzusDAACECwAADgAAAAAAAAAAAAAAAAAuAgAAZHJzL2Uyb0RvYy54&#10;bWxQSwECLQAUAAYACAAAACEA5vK5gN4AAAAKAQAADwAAAAAAAAAAAAAAAABFBgAAZHJzL2Rvd25y&#10;ZXYueG1sUEsFBgAAAAAEAAQA8wAAAFAHAAAAAA==&#10;">
                <v:rect id="docshape4" o:spid="_x0000_s1027" style="position:absolute;top:1817;width:11906;height: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D47UwgAAANsAAAAPAAAAZHJzL2Rvd25yZXYueG1sRI/BasMw&#10;EETvhf6D2EJutRwXQnAshxBoCL2UOPmAxdpaptbKteTE/vuoEMhxmJk3TLGdbCeuNPjWsYJlkoIg&#10;rp1uuVFwOX++r0H4gKyxc0wKZvKwLV9fCsy1u/GJrlVoRISwz1GBCaHPpfS1IYs+cT1x9H7cYDFE&#10;OTRSD3iLcNvJLE1X0mLLccFgT3tD9W81WgUH97WujJ9a3/zx924+Vdk475VavE27DYhAU3iGH+2j&#10;VvCxhP8v8QfI8g4AAP//AwBQSwECLQAUAAYACAAAACEA2+H2y+4AAACFAQAAEwAAAAAAAAAAAAAA&#10;AAAAAAAAW0NvbnRlbnRfVHlwZXNdLnhtbFBLAQItABQABgAIAAAAIQBa9CxbvwAAABUBAAALAAAA&#10;AAAAAAAAAAAAAB8BAABfcmVscy8ucmVsc1BLAQItABQABgAIAAAAIQB5D47UwgAAANsAAAAPAAAA&#10;AAAAAAAAAAAAAAcCAABkcnMvZG93bnJldi54bWxQSwUGAAAAAAMAAwC3AAAA9gIAAAAA&#10;" fillcolor="#9d170a" stroked="f"/>
                <v:shape id="docshape5" o:spid="_x0000_s1028" style="position:absolute;left:1109;top:1784;width:627;height:314;visibility:visible;mso-wrap-style:square;v-text-anchor:top" coordsize="627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zzgwwAAANsAAAAPAAAAZHJzL2Rvd25yZXYueG1sRI9Pi8Iw&#10;FMTvC/sdwhO8LGtqV0qpRlkEQU/ivz0/mmdbbF5KE9v67TeC4HGYmd8wi9VgatFR6yrLCqaTCARx&#10;bnXFhYLzafOdgnAeWWNtmRQ8yMFq+fmxwEzbng/UHX0hAoRdhgpK75tMSpeXZNBNbEMcvKttDfog&#10;20LqFvsAN7WMoyiRBisOCyU2tC4pvx3vRsG+T/PLujo/4q/ZPt3NmoT+ukSp8Wj4nYPwNPh3+NXe&#10;agU/MTy/hB8gl/8AAAD//wMAUEsBAi0AFAAGAAgAAAAhANvh9svuAAAAhQEAABMAAAAAAAAAAAAA&#10;AAAAAAAAAFtDb250ZW50X1R5cGVzXS54bWxQSwECLQAUAAYACAAAACEAWvQsW78AAAAVAQAACwAA&#10;AAAAAAAAAAAAAAAfAQAAX3JlbHMvLnJlbHNQSwECLQAUAAYACAAAACEAwes84MMAAADbAAAADwAA&#10;AAAAAAAAAAAAAAAHAgAAZHJzL2Rvd25yZXYueG1sUEsFBgAAAAADAAMAtwAAAPcCAAAAAA==&#10;" path="m627,l,,314,313,627,xe" stroked="f">
                  <v:path arrowok="t" o:connecttype="custom" o:connectlocs="627,1784;0,1784;314,2097;627,1784" o:connectangles="0,0,0,0"/>
                </v:shape>
                <w10:wrap anchorx="page" anchory="page"/>
              </v:group>
            </w:pict>
          </mc:Fallback>
        </mc:AlternateContent>
      </w:r>
      <w:r w:rsidRPr="009170CF">
        <w:rPr>
          <w:lang w:val="ru-RU"/>
        </w:rPr>
        <w:drawing>
          <wp:anchor distT="0" distB="0" distL="0" distR="0" simplePos="0" relativeHeight="251659264" behindDoc="1" locked="0" layoutInCell="1" allowOverlap="1" wp14:anchorId="1A5186FC" wp14:editId="44B435CE">
            <wp:simplePos x="0" y="0"/>
            <wp:positionH relativeFrom="page">
              <wp:posOffset>6355080</wp:posOffset>
            </wp:positionH>
            <wp:positionV relativeFrom="page">
              <wp:posOffset>9591675</wp:posOffset>
            </wp:positionV>
            <wp:extent cx="737870" cy="813435"/>
            <wp:effectExtent l="0" t="0" r="0" b="0"/>
            <wp:wrapNone/>
            <wp:docPr id="1" name="image1.png" descr="Logo,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Logo, icon&#10;&#10;Description automatically generated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7870" cy="813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91FA29" w14:textId="77777777" w:rsidR="00EA2A26" w:rsidRPr="009170CF" w:rsidRDefault="00EA2A26" w:rsidP="00EA2A26">
      <w:pPr>
        <w:jc w:val="left"/>
        <w:rPr>
          <w:lang w:val="ru-RU"/>
        </w:rPr>
        <w:sectPr w:rsidR="00EA2A26" w:rsidRPr="009170CF" w:rsidSect="00EA2A2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oddPage"/>
          <w:pgSz w:w="11907" w:h="16840" w:code="9"/>
          <w:pgMar w:top="1038" w:right="601" w:bottom="1860" w:left="618" w:header="567" w:footer="284" w:gutter="0"/>
          <w:pgNumType w:start="1"/>
          <w:cols w:space="720"/>
          <w:titlePg/>
          <w:docGrid w:linePitch="326"/>
        </w:sectPr>
      </w:pPr>
    </w:p>
    <w:p w14:paraId="493176D7" w14:textId="77777777" w:rsidR="00E60A09" w:rsidRPr="009170CF" w:rsidRDefault="00E60A09" w:rsidP="00E60A09">
      <w:pPr>
        <w:jc w:val="center"/>
        <w:rPr>
          <w:lang w:val="ru-RU"/>
        </w:rPr>
      </w:pPr>
      <w:bookmarkStart w:id="1" w:name="irecnoe"/>
      <w:bookmarkEnd w:id="1"/>
      <w:r w:rsidRPr="009170CF">
        <w:rPr>
          <w:lang w:val="ru-RU"/>
        </w:rPr>
        <w:lastRenderedPageBreak/>
        <w:t>ПРЕДИСЛОВИЕ</w:t>
      </w:r>
    </w:p>
    <w:p w14:paraId="09A8E349" w14:textId="77777777" w:rsidR="00E60A09" w:rsidRPr="009170CF" w:rsidRDefault="00E60A09" w:rsidP="00E60A09">
      <w:pPr>
        <w:rPr>
          <w:sz w:val="20"/>
          <w:lang w:val="ru-RU"/>
        </w:rPr>
      </w:pPr>
      <w:bookmarkStart w:id="2" w:name="iitextf"/>
      <w:r w:rsidRPr="009170CF">
        <w:rPr>
          <w:sz w:val="20"/>
          <w:lang w:val="ru-RU"/>
        </w:rPr>
        <w:t>Международный союз электросвязи (МСЭ) является специализированным учреждением Организации Объединенных Наций в области электросвязи и информационно-коммуникационных технологий (ИКТ). Сектор стандартизации электросвязи МСЭ (МСЭ</w:t>
      </w:r>
      <w:r w:rsidRPr="009170CF">
        <w:rPr>
          <w:sz w:val="20"/>
          <w:lang w:val="ru-RU"/>
        </w:rPr>
        <w:noBreakHyphen/>
        <w:t>Т) – постоянный орган МСЭ. МСЭ-Т отвечает за изучение технических, эксплуатационных и тарифных вопросов и за выпуск Рекомендаций по ним с целью стандартизации электросвязи на всемирной основе.</w:t>
      </w:r>
    </w:p>
    <w:p w14:paraId="2F241E71" w14:textId="77777777" w:rsidR="00E60A09" w:rsidRPr="009170CF" w:rsidRDefault="00E60A09" w:rsidP="00E60A09">
      <w:pPr>
        <w:rPr>
          <w:sz w:val="20"/>
          <w:lang w:val="ru-RU"/>
        </w:rPr>
      </w:pPr>
      <w:r w:rsidRPr="009170CF">
        <w:rPr>
          <w:sz w:val="20"/>
          <w:lang w:val="ru-RU"/>
        </w:rPr>
        <w:t xml:space="preserve">На Всемирной ассамблее по стандартизации электросвязи (ВАСЭ), которая проводится каждые четыре года, определяются темы для изучения исследовательскими комиссиями МСЭ-Т, которые, в свою очередь, вырабатывают Рекомендации по этим темам. </w:t>
      </w:r>
    </w:p>
    <w:p w14:paraId="17B0B45D" w14:textId="77777777" w:rsidR="00E60A09" w:rsidRPr="009170CF" w:rsidRDefault="00E60A09" w:rsidP="00E60A09">
      <w:pPr>
        <w:rPr>
          <w:sz w:val="20"/>
          <w:lang w:val="ru-RU"/>
        </w:rPr>
      </w:pPr>
      <w:r w:rsidRPr="009170CF">
        <w:rPr>
          <w:sz w:val="20"/>
          <w:lang w:val="ru-RU"/>
        </w:rPr>
        <w:t xml:space="preserve">Утверждение </w:t>
      </w:r>
      <w:r w:rsidRPr="009170CF">
        <w:rPr>
          <w:caps/>
          <w:sz w:val="20"/>
          <w:lang w:val="ru-RU"/>
        </w:rPr>
        <w:t>р</w:t>
      </w:r>
      <w:r w:rsidRPr="009170CF">
        <w:rPr>
          <w:sz w:val="20"/>
          <w:lang w:val="ru-RU"/>
        </w:rPr>
        <w:t>екомендаций МСЭ-Т осуществляется в соответствии с процедурой, изложенной в Резолюции 1 ВАСЭ</w:t>
      </w:r>
      <w:bookmarkEnd w:id="2"/>
      <w:r w:rsidRPr="009170CF">
        <w:rPr>
          <w:sz w:val="20"/>
          <w:lang w:val="ru-RU"/>
        </w:rPr>
        <w:t>.</w:t>
      </w:r>
    </w:p>
    <w:p w14:paraId="7104090E" w14:textId="77777777" w:rsidR="00E60A09" w:rsidRPr="009170CF" w:rsidRDefault="00E60A09" w:rsidP="00E60A09">
      <w:pPr>
        <w:rPr>
          <w:lang w:val="ru-RU"/>
        </w:rPr>
      </w:pPr>
      <w:r w:rsidRPr="009170CF">
        <w:rPr>
          <w:sz w:val="20"/>
          <w:lang w:val="ru-RU"/>
        </w:rPr>
        <w:t>В некоторых областях информационных технологий, которые входят в компетенцию МСЭ-Т, необходимые стандарты разрабатываются на основе сотрудничества с ИСО и МЭК.</w:t>
      </w:r>
    </w:p>
    <w:p w14:paraId="42DC63E8" w14:textId="77777777" w:rsidR="00E60A09" w:rsidRPr="009170CF" w:rsidRDefault="00E60A09" w:rsidP="00E60A09">
      <w:pPr>
        <w:rPr>
          <w:lang w:val="ru-RU"/>
        </w:rPr>
      </w:pPr>
    </w:p>
    <w:p w14:paraId="1BF1A502" w14:textId="77777777" w:rsidR="00E60A09" w:rsidRPr="009170CF" w:rsidRDefault="00E60A09" w:rsidP="00E60A09">
      <w:pPr>
        <w:rPr>
          <w:lang w:val="ru-RU"/>
        </w:rPr>
      </w:pPr>
    </w:p>
    <w:p w14:paraId="2053FC85" w14:textId="77777777" w:rsidR="00E60A09" w:rsidRPr="009170CF" w:rsidRDefault="00E60A09" w:rsidP="00E60A09">
      <w:pPr>
        <w:rPr>
          <w:lang w:val="ru-RU"/>
        </w:rPr>
      </w:pPr>
    </w:p>
    <w:p w14:paraId="510B3609" w14:textId="77777777" w:rsidR="00E60A09" w:rsidRPr="009170CF" w:rsidRDefault="00E60A09" w:rsidP="00E60A09">
      <w:pPr>
        <w:rPr>
          <w:lang w:val="ru-RU"/>
        </w:rPr>
      </w:pPr>
    </w:p>
    <w:p w14:paraId="3624C831" w14:textId="77777777" w:rsidR="00E60A09" w:rsidRPr="009170CF" w:rsidRDefault="00E60A09" w:rsidP="00E60A09">
      <w:pPr>
        <w:rPr>
          <w:lang w:val="ru-RU"/>
        </w:rPr>
      </w:pPr>
    </w:p>
    <w:p w14:paraId="3C20E03C" w14:textId="77777777" w:rsidR="00E60A09" w:rsidRPr="009170CF" w:rsidRDefault="00E60A09" w:rsidP="00E60A09">
      <w:pPr>
        <w:rPr>
          <w:lang w:val="ru-RU"/>
        </w:rPr>
      </w:pPr>
    </w:p>
    <w:p w14:paraId="54472EDE" w14:textId="77777777" w:rsidR="00E60A09" w:rsidRPr="009170CF" w:rsidRDefault="00E60A09" w:rsidP="00E60A09">
      <w:pPr>
        <w:rPr>
          <w:lang w:val="ru-RU"/>
        </w:rPr>
      </w:pPr>
    </w:p>
    <w:p w14:paraId="49DDE904" w14:textId="77777777" w:rsidR="00E60A09" w:rsidRPr="009170CF" w:rsidRDefault="00E60A09" w:rsidP="00E60A09">
      <w:pPr>
        <w:rPr>
          <w:lang w:val="ru-RU"/>
        </w:rPr>
      </w:pPr>
    </w:p>
    <w:p w14:paraId="61412DA5" w14:textId="77777777" w:rsidR="00E60A09" w:rsidRPr="009170CF" w:rsidRDefault="00E60A09" w:rsidP="00E60A09">
      <w:pPr>
        <w:rPr>
          <w:lang w:val="ru-RU"/>
        </w:rPr>
      </w:pPr>
    </w:p>
    <w:p w14:paraId="1C810210" w14:textId="77777777" w:rsidR="00E60A09" w:rsidRPr="009170CF" w:rsidRDefault="00E60A09" w:rsidP="00E60A09">
      <w:pPr>
        <w:rPr>
          <w:lang w:val="ru-RU"/>
        </w:rPr>
      </w:pPr>
    </w:p>
    <w:p w14:paraId="1C38E19A" w14:textId="77777777" w:rsidR="00E60A09" w:rsidRPr="009170CF" w:rsidRDefault="00E60A09" w:rsidP="00E60A09">
      <w:pPr>
        <w:rPr>
          <w:lang w:val="ru-RU"/>
        </w:rPr>
      </w:pPr>
    </w:p>
    <w:p w14:paraId="4D3396DA" w14:textId="77777777" w:rsidR="00E60A09" w:rsidRPr="009170CF" w:rsidRDefault="00E60A09" w:rsidP="00E60A09">
      <w:pPr>
        <w:rPr>
          <w:lang w:val="ru-RU"/>
        </w:rPr>
      </w:pPr>
    </w:p>
    <w:p w14:paraId="4F2F1517" w14:textId="77777777" w:rsidR="00E60A09" w:rsidRPr="009170CF" w:rsidRDefault="00E60A09" w:rsidP="00E60A09">
      <w:pPr>
        <w:rPr>
          <w:lang w:val="ru-RU"/>
        </w:rPr>
      </w:pPr>
    </w:p>
    <w:p w14:paraId="5C4902C6" w14:textId="77777777" w:rsidR="00E60A09" w:rsidRPr="009170CF" w:rsidRDefault="00E60A09" w:rsidP="00E60A09">
      <w:pPr>
        <w:rPr>
          <w:lang w:val="ru-RU"/>
        </w:rPr>
      </w:pPr>
    </w:p>
    <w:p w14:paraId="77FC4396" w14:textId="77777777" w:rsidR="00E60A09" w:rsidRPr="009170CF" w:rsidRDefault="00E60A09" w:rsidP="00E60A09">
      <w:pPr>
        <w:rPr>
          <w:lang w:val="ru-RU"/>
        </w:rPr>
      </w:pPr>
    </w:p>
    <w:p w14:paraId="66D8DB35" w14:textId="77777777" w:rsidR="008B6349" w:rsidRPr="009170CF" w:rsidRDefault="008B6349" w:rsidP="00E60A09">
      <w:pPr>
        <w:rPr>
          <w:lang w:val="ru-RU"/>
        </w:rPr>
      </w:pPr>
    </w:p>
    <w:p w14:paraId="48008D63" w14:textId="77777777" w:rsidR="008B6349" w:rsidRPr="009170CF" w:rsidRDefault="008B6349" w:rsidP="00E60A09">
      <w:pPr>
        <w:rPr>
          <w:lang w:val="ru-RU"/>
        </w:rPr>
      </w:pPr>
    </w:p>
    <w:p w14:paraId="36C41597" w14:textId="77777777" w:rsidR="008B6349" w:rsidRPr="009170CF" w:rsidRDefault="008B6349" w:rsidP="00E60A09">
      <w:pPr>
        <w:rPr>
          <w:lang w:val="ru-RU"/>
        </w:rPr>
      </w:pPr>
    </w:p>
    <w:p w14:paraId="29854E5F" w14:textId="77777777" w:rsidR="008B6349" w:rsidRPr="009170CF" w:rsidRDefault="008B6349" w:rsidP="00E60A09">
      <w:pPr>
        <w:rPr>
          <w:lang w:val="ru-RU"/>
        </w:rPr>
      </w:pPr>
    </w:p>
    <w:p w14:paraId="3941F9B3" w14:textId="77777777" w:rsidR="008B6349" w:rsidRPr="009170CF" w:rsidRDefault="008B6349" w:rsidP="00E60A09">
      <w:pPr>
        <w:rPr>
          <w:lang w:val="ru-RU"/>
        </w:rPr>
      </w:pPr>
    </w:p>
    <w:p w14:paraId="33823CA9" w14:textId="77777777" w:rsidR="00E60A09" w:rsidRPr="009170CF" w:rsidRDefault="00E60A09" w:rsidP="00E60A09">
      <w:pPr>
        <w:rPr>
          <w:lang w:val="ru-RU"/>
        </w:rPr>
      </w:pPr>
    </w:p>
    <w:p w14:paraId="265DF33E" w14:textId="77777777" w:rsidR="00E60A09" w:rsidRPr="009170CF" w:rsidRDefault="00E60A09" w:rsidP="00E60A09">
      <w:pPr>
        <w:rPr>
          <w:lang w:val="ru-RU"/>
        </w:rPr>
      </w:pPr>
    </w:p>
    <w:p w14:paraId="7D494ED0" w14:textId="77777777" w:rsidR="00E60A09" w:rsidRPr="009170CF" w:rsidRDefault="00E60A09" w:rsidP="00E60A09">
      <w:pPr>
        <w:rPr>
          <w:lang w:val="ru-RU"/>
        </w:rPr>
      </w:pPr>
    </w:p>
    <w:p w14:paraId="3554E9A0" w14:textId="77777777" w:rsidR="00E60A09" w:rsidRPr="009170CF" w:rsidRDefault="00E60A09" w:rsidP="00E60A09">
      <w:pPr>
        <w:rPr>
          <w:lang w:val="ru-RU"/>
        </w:rPr>
      </w:pPr>
    </w:p>
    <w:p w14:paraId="0D1B6C2B" w14:textId="77777777" w:rsidR="00D324F1" w:rsidRPr="009170CF" w:rsidRDefault="00D324F1" w:rsidP="00E60A09">
      <w:pPr>
        <w:rPr>
          <w:lang w:val="ru-RU"/>
        </w:rPr>
      </w:pPr>
    </w:p>
    <w:p w14:paraId="648D7BD9" w14:textId="77777777" w:rsidR="00D324F1" w:rsidRPr="009170CF" w:rsidRDefault="00D324F1" w:rsidP="00E60A09">
      <w:pPr>
        <w:rPr>
          <w:lang w:val="ru-RU"/>
        </w:rPr>
      </w:pPr>
    </w:p>
    <w:p w14:paraId="15937F0A" w14:textId="3B24DFE4" w:rsidR="00E60A09" w:rsidRPr="009170CF" w:rsidRDefault="00E60A09" w:rsidP="00E60A09">
      <w:pPr>
        <w:jc w:val="center"/>
        <w:rPr>
          <w:sz w:val="20"/>
          <w:lang w:val="ru-RU"/>
        </w:rPr>
      </w:pPr>
      <w:r w:rsidRPr="009170CF">
        <w:rPr>
          <w:sz w:val="20"/>
          <w:lang w:val="ru-RU"/>
        </w:rPr>
        <w:sym w:font="Symbol" w:char="F0E3"/>
      </w:r>
      <w:r w:rsidRPr="009170CF">
        <w:rPr>
          <w:sz w:val="20"/>
          <w:lang w:val="ru-RU"/>
        </w:rPr>
        <w:t>  ITU  </w:t>
      </w:r>
      <w:bookmarkStart w:id="3" w:name="iiannee"/>
      <w:bookmarkEnd w:id="3"/>
      <w:r w:rsidRPr="009170CF">
        <w:rPr>
          <w:sz w:val="20"/>
          <w:lang w:val="ru-RU"/>
        </w:rPr>
        <w:t>2024</w:t>
      </w:r>
    </w:p>
    <w:p w14:paraId="5A25B5AD" w14:textId="3FBBDADE" w:rsidR="008968B6" w:rsidRPr="009170CF" w:rsidRDefault="00E60A09" w:rsidP="00EA2A26">
      <w:pPr>
        <w:rPr>
          <w:lang w:val="ru-RU"/>
        </w:rPr>
      </w:pPr>
      <w:r w:rsidRPr="009170CF">
        <w:rPr>
          <w:sz w:val="20"/>
          <w:lang w:val="ru-RU"/>
        </w:rPr>
        <w:t>Все права сохранены. Ни одна из частей данной публикации не может быть воспроизведена с помощью каких бы то ни было средств без предварительного письменного разрешения МСЭ.</w:t>
      </w:r>
    </w:p>
    <w:p w14:paraId="73B79B51" w14:textId="77777777" w:rsidR="00B73379" w:rsidRPr="009170CF" w:rsidRDefault="00B73379" w:rsidP="003374BB">
      <w:pPr>
        <w:pStyle w:val="ResNo"/>
        <w:rPr>
          <w:lang w:val="ru-RU"/>
        </w:rPr>
        <w:sectPr w:rsidR="00B73379" w:rsidRPr="009170CF" w:rsidSect="00DE48B4">
          <w:headerReference w:type="even" r:id="rId14"/>
          <w:footerReference w:type="even" r:id="rId15"/>
          <w:footerReference w:type="default" r:id="rId16"/>
          <w:footnotePr>
            <w:numRestart w:val="eachSect"/>
          </w:footnotePr>
          <w:type w:val="evenPage"/>
          <w:pgSz w:w="11907" w:h="16834" w:code="9"/>
          <w:pgMar w:top="1134" w:right="1134" w:bottom="1134" w:left="1134" w:header="567" w:footer="567" w:gutter="0"/>
          <w:paperSrc w:first="15" w:other="15"/>
          <w:pgNumType w:start="1"/>
          <w:cols w:space="720"/>
        </w:sectPr>
      </w:pPr>
    </w:p>
    <w:p w14:paraId="3BA13152" w14:textId="12322D76" w:rsidR="0049254D" w:rsidRPr="009170CF" w:rsidRDefault="0049254D" w:rsidP="0049254D">
      <w:pPr>
        <w:pStyle w:val="ResNo"/>
        <w:rPr>
          <w:lang w:val="ru-RU"/>
        </w:rPr>
      </w:pPr>
      <w:r w:rsidRPr="009170CF">
        <w:rPr>
          <w:lang w:val="ru-RU"/>
        </w:rPr>
        <w:lastRenderedPageBreak/>
        <w:t xml:space="preserve">РЕЗОЛЮЦИЯ </w:t>
      </w:r>
      <w:r w:rsidRPr="009170CF">
        <w:rPr>
          <w:rStyle w:val="href"/>
          <w:rFonts w:eastAsia="SimSun"/>
          <w:lang w:val="ru-RU"/>
        </w:rPr>
        <w:t>108</w:t>
      </w:r>
      <w:r w:rsidRPr="009170CF">
        <w:rPr>
          <w:lang w:val="ru-RU"/>
        </w:rPr>
        <w:t xml:space="preserve"> </w:t>
      </w:r>
      <w:r w:rsidR="009170CF" w:rsidRPr="009170CF">
        <w:rPr>
          <w:caps w:val="0"/>
          <w:lang w:val="ru-RU"/>
        </w:rPr>
        <w:t>(Нью-Дели, 2024 г.)</w:t>
      </w:r>
    </w:p>
    <w:p w14:paraId="31EDFC05" w14:textId="77777777" w:rsidR="0049254D" w:rsidRPr="009170CF" w:rsidRDefault="0049254D" w:rsidP="0049254D">
      <w:pPr>
        <w:pStyle w:val="Restitle"/>
        <w:rPr>
          <w:lang w:val="ru-RU"/>
        </w:rPr>
      </w:pPr>
      <w:r w:rsidRPr="009170CF">
        <w:rPr>
          <w:lang w:val="ru-RU"/>
        </w:rPr>
        <w:t>Стратегическое планирование в Секторе стандартизации электросвязи МСЭ</w:t>
      </w:r>
    </w:p>
    <w:p w14:paraId="11EA0E81" w14:textId="77777777" w:rsidR="0049254D" w:rsidRPr="009170CF" w:rsidRDefault="0049254D" w:rsidP="0049254D">
      <w:pPr>
        <w:pStyle w:val="Resref"/>
        <w:rPr>
          <w:lang w:val="ru-RU"/>
        </w:rPr>
      </w:pPr>
      <w:r w:rsidRPr="009170CF">
        <w:rPr>
          <w:lang w:val="ru-RU"/>
        </w:rPr>
        <w:t>(Нью-Дели, 2024 г.)</w:t>
      </w:r>
    </w:p>
    <w:p w14:paraId="5B3B37AA" w14:textId="77777777" w:rsidR="0049254D" w:rsidRPr="009170CF" w:rsidRDefault="0049254D" w:rsidP="0049254D">
      <w:pPr>
        <w:pStyle w:val="Normalaftertitle0"/>
        <w:rPr>
          <w:lang w:val="ru-RU"/>
        </w:rPr>
      </w:pPr>
      <w:r w:rsidRPr="009170CF">
        <w:rPr>
          <w:lang w:val="ru-RU"/>
        </w:rPr>
        <w:t>Всемирная ассамблея по стандартизации электросвязи (Нью-Дели, 2024 г.),</w:t>
      </w:r>
    </w:p>
    <w:p w14:paraId="09D35592" w14:textId="77777777" w:rsidR="0049254D" w:rsidRPr="009170CF" w:rsidRDefault="0049254D" w:rsidP="0049254D">
      <w:pPr>
        <w:pStyle w:val="Call"/>
        <w:rPr>
          <w:lang w:val="ru-RU"/>
        </w:rPr>
      </w:pPr>
      <w:r w:rsidRPr="009170CF">
        <w:rPr>
          <w:lang w:val="ru-RU"/>
        </w:rPr>
        <w:t>напоминая</w:t>
      </w:r>
    </w:p>
    <w:p w14:paraId="0B86693B" w14:textId="77777777" w:rsidR="0049254D" w:rsidRPr="009170CF" w:rsidRDefault="0049254D" w:rsidP="0049254D">
      <w:pPr>
        <w:rPr>
          <w:lang w:val="ru-RU"/>
        </w:rPr>
      </w:pPr>
      <w:r w:rsidRPr="009170CF">
        <w:rPr>
          <w:i/>
          <w:iCs/>
          <w:lang w:val="ru-RU"/>
        </w:rPr>
        <w:t>a)</w:t>
      </w:r>
      <w:r w:rsidRPr="009170CF">
        <w:rPr>
          <w:lang w:val="ru-RU"/>
        </w:rPr>
        <w:tab/>
        <w:t>о Резолюции 71 (</w:t>
      </w:r>
      <w:proofErr w:type="spellStart"/>
      <w:r w:rsidRPr="009170CF">
        <w:rPr>
          <w:lang w:val="ru-RU"/>
        </w:rPr>
        <w:t>Пересм</w:t>
      </w:r>
      <w:proofErr w:type="spellEnd"/>
      <w:r w:rsidRPr="009170CF">
        <w:rPr>
          <w:lang w:val="ru-RU"/>
        </w:rPr>
        <w:t xml:space="preserve">. Бухарест, 2022 г.) Полномочной конференции о Стратегическом плане Союза на </w:t>
      </w:r>
      <w:proofErr w:type="gramStart"/>
      <w:r w:rsidRPr="009170CF">
        <w:rPr>
          <w:lang w:val="ru-RU"/>
        </w:rPr>
        <w:t>2024−2027</w:t>
      </w:r>
      <w:proofErr w:type="gramEnd"/>
      <w:r w:rsidRPr="009170CF">
        <w:rPr>
          <w:lang w:val="ru-RU"/>
        </w:rPr>
        <w:t xml:space="preserve"> годы;</w:t>
      </w:r>
    </w:p>
    <w:p w14:paraId="3E7FAFD6" w14:textId="77777777" w:rsidR="0049254D" w:rsidRPr="009170CF" w:rsidRDefault="0049254D" w:rsidP="0049254D">
      <w:pPr>
        <w:rPr>
          <w:lang w:val="ru-RU"/>
        </w:rPr>
      </w:pPr>
      <w:r w:rsidRPr="009170CF">
        <w:rPr>
          <w:i/>
          <w:iCs/>
          <w:lang w:val="ru-RU"/>
        </w:rPr>
        <w:t>b)</w:t>
      </w:r>
      <w:r w:rsidRPr="009170CF">
        <w:rPr>
          <w:lang w:val="ru-RU"/>
        </w:rPr>
        <w:tab/>
        <w:t>о Резолюции 151 (</w:t>
      </w:r>
      <w:proofErr w:type="spellStart"/>
      <w:r w:rsidRPr="009170CF">
        <w:rPr>
          <w:lang w:val="ru-RU"/>
        </w:rPr>
        <w:t>Пересм</w:t>
      </w:r>
      <w:proofErr w:type="spellEnd"/>
      <w:r w:rsidRPr="009170CF">
        <w:rPr>
          <w:lang w:val="ru-RU"/>
        </w:rPr>
        <w:t>. Бухарест, 2022 г.) Полномочной конференции о совершенствовании в МСЭ управления, ориентированного на результаты (УОР);</w:t>
      </w:r>
    </w:p>
    <w:p w14:paraId="43896F72" w14:textId="77777777" w:rsidR="0049254D" w:rsidRPr="009170CF" w:rsidRDefault="0049254D" w:rsidP="0049254D">
      <w:pPr>
        <w:rPr>
          <w:lang w:val="ru-RU"/>
        </w:rPr>
      </w:pPr>
      <w:r w:rsidRPr="009170CF">
        <w:rPr>
          <w:i/>
          <w:iCs/>
          <w:lang w:val="ru-RU"/>
        </w:rPr>
        <w:t>c)</w:t>
      </w:r>
      <w:r w:rsidRPr="009170CF">
        <w:rPr>
          <w:lang w:val="ru-RU"/>
        </w:rPr>
        <w:tab/>
        <w:t>о Резолюции 68 (</w:t>
      </w:r>
      <w:proofErr w:type="spellStart"/>
      <w:r w:rsidRPr="009170CF">
        <w:rPr>
          <w:lang w:val="ru-RU"/>
        </w:rPr>
        <w:t>Пересм</w:t>
      </w:r>
      <w:proofErr w:type="spellEnd"/>
      <w:r w:rsidRPr="009170CF">
        <w:rPr>
          <w:lang w:val="ru-RU"/>
        </w:rPr>
        <w:t>. Нью-Дели, 2024 г.) настоящей Ассамблеи о возрастающей роли отраслевых организаций в Секторе стандартизации электросвязи МСЭ (МСЭ-Т);</w:t>
      </w:r>
    </w:p>
    <w:p w14:paraId="0A8545EE" w14:textId="77777777" w:rsidR="0049254D" w:rsidRPr="009170CF" w:rsidRDefault="0049254D" w:rsidP="0049254D">
      <w:pPr>
        <w:rPr>
          <w:lang w:val="ru-RU"/>
        </w:rPr>
      </w:pPr>
      <w:r w:rsidRPr="009170CF">
        <w:rPr>
          <w:i/>
          <w:iCs/>
          <w:lang w:val="ru-RU"/>
        </w:rPr>
        <w:t>d)</w:t>
      </w:r>
      <w:r w:rsidRPr="009170CF">
        <w:rPr>
          <w:lang w:val="ru-RU"/>
        </w:rPr>
        <w:tab/>
        <w:t>ο Резолюции 99 (</w:t>
      </w:r>
      <w:proofErr w:type="spellStart"/>
      <w:r w:rsidRPr="009170CF">
        <w:rPr>
          <w:lang w:val="ru-RU"/>
        </w:rPr>
        <w:t>Пересм</w:t>
      </w:r>
      <w:proofErr w:type="spellEnd"/>
      <w:r w:rsidRPr="009170CF">
        <w:rPr>
          <w:lang w:val="ru-RU"/>
        </w:rPr>
        <w:t>. Нью-Дели, 2024 г.) настоящей Ассамблеи о реструктуризации исследовательских комиссий МСЭ</w:t>
      </w:r>
      <w:r w:rsidRPr="009170CF">
        <w:rPr>
          <w:lang w:val="ru-RU"/>
        </w:rPr>
        <w:noBreakHyphen/>
        <w:t>Т;</w:t>
      </w:r>
    </w:p>
    <w:p w14:paraId="35D862F3" w14:textId="77777777" w:rsidR="0049254D" w:rsidRPr="009170CF" w:rsidRDefault="0049254D" w:rsidP="0049254D">
      <w:pPr>
        <w:rPr>
          <w:lang w:val="ru-RU"/>
        </w:rPr>
      </w:pPr>
      <w:r w:rsidRPr="009170CF">
        <w:rPr>
          <w:i/>
          <w:iCs/>
          <w:lang w:val="ru-RU"/>
        </w:rPr>
        <w:t>e)</w:t>
      </w:r>
      <w:r w:rsidRPr="009170CF">
        <w:rPr>
          <w:lang w:val="ru-RU"/>
        </w:rPr>
        <w:tab/>
        <w:t>о Резолюции 2 (</w:t>
      </w:r>
      <w:proofErr w:type="spellStart"/>
      <w:r w:rsidRPr="009170CF">
        <w:rPr>
          <w:lang w:val="ru-RU"/>
        </w:rPr>
        <w:t>Пересм</w:t>
      </w:r>
      <w:proofErr w:type="spellEnd"/>
      <w:r w:rsidRPr="009170CF">
        <w:rPr>
          <w:lang w:val="ru-RU"/>
        </w:rPr>
        <w:t>. Нью-Дели, 2024 г.) настоящей Ассамблеи о сфере деятельности и мандате исследовательских комиссий МСЭ-Т;</w:t>
      </w:r>
    </w:p>
    <w:p w14:paraId="4958D38D" w14:textId="77777777" w:rsidR="0049254D" w:rsidRPr="009170CF" w:rsidRDefault="0049254D" w:rsidP="0049254D">
      <w:pPr>
        <w:rPr>
          <w:lang w:val="ru-RU"/>
        </w:rPr>
      </w:pPr>
      <w:r w:rsidRPr="009170CF">
        <w:rPr>
          <w:i/>
          <w:iCs/>
          <w:lang w:val="ru-RU"/>
        </w:rPr>
        <w:t>f)</w:t>
      </w:r>
      <w:r w:rsidRPr="009170CF">
        <w:rPr>
          <w:lang w:val="ru-RU"/>
        </w:rPr>
        <w:tab/>
        <w:t>о Резолюции 22 (</w:t>
      </w:r>
      <w:proofErr w:type="spellStart"/>
      <w:r w:rsidRPr="009170CF">
        <w:rPr>
          <w:lang w:val="ru-RU"/>
        </w:rPr>
        <w:t>Пересм</w:t>
      </w:r>
      <w:proofErr w:type="spellEnd"/>
      <w:r w:rsidRPr="009170CF">
        <w:rPr>
          <w:lang w:val="ru-RU"/>
        </w:rPr>
        <w:t>. Нью-Дели, 2024 г.) настоящей Ассамблеи о санкционировании деятельности Консультативной группы по стандартизации электросвязи (КГСЭ) в периоды между всемирными ассамблеями по стандартизации электросвязи,</w:t>
      </w:r>
    </w:p>
    <w:p w14:paraId="6FB8A8CD" w14:textId="77777777" w:rsidR="0049254D" w:rsidRPr="009170CF" w:rsidRDefault="0049254D" w:rsidP="0049254D">
      <w:pPr>
        <w:pStyle w:val="Call"/>
        <w:rPr>
          <w:i w:val="0"/>
          <w:iCs/>
          <w:lang w:val="ru-RU"/>
        </w:rPr>
      </w:pPr>
      <w:r w:rsidRPr="009170CF">
        <w:rPr>
          <w:lang w:val="ru-RU"/>
        </w:rPr>
        <w:t>признавая</w:t>
      </w:r>
      <w:r w:rsidRPr="009170CF">
        <w:rPr>
          <w:i w:val="0"/>
          <w:iCs/>
          <w:lang w:val="ru-RU"/>
        </w:rPr>
        <w:t>,</w:t>
      </w:r>
    </w:p>
    <w:p w14:paraId="1A30C5D9" w14:textId="77777777" w:rsidR="0049254D" w:rsidRPr="009170CF" w:rsidRDefault="0049254D" w:rsidP="0049254D">
      <w:pPr>
        <w:rPr>
          <w:iCs/>
          <w:lang w:val="ru-RU"/>
        </w:rPr>
      </w:pPr>
      <w:r w:rsidRPr="009170CF">
        <w:rPr>
          <w:i/>
          <w:lang w:val="ru-RU"/>
        </w:rPr>
        <w:t>a)</w:t>
      </w:r>
      <w:r w:rsidRPr="009170CF">
        <w:rPr>
          <w:iCs/>
          <w:lang w:val="ru-RU"/>
        </w:rPr>
        <w:tab/>
        <w:t xml:space="preserve">что повышение организационной эффективности МСЭ подчеркивалось в Стратегическом плане Союза на </w:t>
      </w:r>
      <w:proofErr w:type="gramStart"/>
      <w:r w:rsidRPr="009170CF">
        <w:rPr>
          <w:iCs/>
          <w:lang w:val="ru-RU"/>
        </w:rPr>
        <w:t>2024−2027</w:t>
      </w:r>
      <w:proofErr w:type="gramEnd"/>
      <w:r w:rsidRPr="009170CF">
        <w:rPr>
          <w:iCs/>
          <w:lang w:val="ru-RU"/>
        </w:rPr>
        <w:t xml:space="preserve"> годы и в Решении 5 (</w:t>
      </w:r>
      <w:proofErr w:type="spellStart"/>
      <w:r w:rsidRPr="009170CF">
        <w:rPr>
          <w:iCs/>
          <w:lang w:val="ru-RU"/>
        </w:rPr>
        <w:t>Пересм</w:t>
      </w:r>
      <w:proofErr w:type="spellEnd"/>
      <w:r w:rsidRPr="009170CF">
        <w:rPr>
          <w:iCs/>
          <w:lang w:val="ru-RU"/>
        </w:rPr>
        <w:t>. Бухарест, 2022 г.) Полномочной конференции;</w:t>
      </w:r>
    </w:p>
    <w:p w14:paraId="5C22D598" w14:textId="77777777" w:rsidR="0049254D" w:rsidRPr="009170CF" w:rsidRDefault="0049254D" w:rsidP="0049254D">
      <w:pPr>
        <w:rPr>
          <w:iCs/>
          <w:lang w:val="ru-RU"/>
        </w:rPr>
      </w:pPr>
      <w:r w:rsidRPr="009170CF">
        <w:rPr>
          <w:i/>
          <w:lang w:val="ru-RU"/>
        </w:rPr>
        <w:t>b)</w:t>
      </w:r>
      <w:r w:rsidRPr="009170CF">
        <w:rPr>
          <w:iCs/>
          <w:lang w:val="ru-RU"/>
        </w:rPr>
        <w:tab/>
        <w:t>что в Резолюции 71 (</w:t>
      </w:r>
      <w:proofErr w:type="spellStart"/>
      <w:r w:rsidRPr="009170CF">
        <w:rPr>
          <w:iCs/>
          <w:lang w:val="ru-RU"/>
        </w:rPr>
        <w:t>Пересм</w:t>
      </w:r>
      <w:proofErr w:type="spellEnd"/>
      <w:r w:rsidRPr="009170CF">
        <w:rPr>
          <w:iCs/>
          <w:lang w:val="ru-RU"/>
        </w:rPr>
        <w:t>. Бухарест, 2022 г.) признается необходимость того, чтобы МСЭ предоставлял своим членам услуги самого высокого качества и эффективности при достижении ощутимых результатов, максимизируя отдачу от инвестиций членов, оптимизируя структуры затрат и соблюдая высочайшие стандарты прозрачности и подотчетности;</w:t>
      </w:r>
    </w:p>
    <w:p w14:paraId="3F691829" w14:textId="77777777" w:rsidR="0049254D" w:rsidRPr="009170CF" w:rsidRDefault="0049254D" w:rsidP="0049254D">
      <w:pPr>
        <w:rPr>
          <w:lang w:val="ru-RU"/>
        </w:rPr>
      </w:pPr>
      <w:r w:rsidRPr="009170CF">
        <w:rPr>
          <w:i/>
          <w:iCs/>
          <w:lang w:val="ru-RU"/>
        </w:rPr>
        <w:t>c)</w:t>
      </w:r>
      <w:r w:rsidRPr="009170CF">
        <w:rPr>
          <w:lang w:val="ru-RU"/>
        </w:rPr>
        <w:tab/>
        <w:t>что, для того чтобы МСЭ-Т сохранил свою значимость в сфере международной стандартизации, необходимо интегрировать стратегическое планирование и культуру непрерывного развития и совершенствования как ключевой процесс управления, в том числе для обеспечения деятельности исследовательских комиссий МСЭ-Т;</w:t>
      </w:r>
    </w:p>
    <w:p w14:paraId="3DD0C4F8" w14:textId="77777777" w:rsidR="0049254D" w:rsidRPr="009170CF" w:rsidRDefault="0049254D" w:rsidP="0049254D">
      <w:pPr>
        <w:rPr>
          <w:lang w:val="ru-RU"/>
        </w:rPr>
      </w:pPr>
      <w:r w:rsidRPr="009170CF">
        <w:rPr>
          <w:i/>
          <w:iCs/>
          <w:lang w:val="ru-RU"/>
        </w:rPr>
        <w:t>d)</w:t>
      </w:r>
      <w:r w:rsidRPr="009170CF">
        <w:rPr>
          <w:lang w:val="ru-RU"/>
        </w:rPr>
        <w:tab/>
        <w:t>что комплексный подход к стратегическому планированию будет способствовать дальнейшему развитию МСЭ-Т в целях обеспечения соответствия принципам качества, рентабельности, привлекательности и определения стратегических приоритетов в отношении видов деятельности, имеющих существенные ценность и значимость для членов МСЭ-Т, включая представителей отрасли в его составе;</w:t>
      </w:r>
    </w:p>
    <w:p w14:paraId="502369B5" w14:textId="77777777" w:rsidR="0049254D" w:rsidRPr="009170CF" w:rsidRDefault="0049254D" w:rsidP="0049254D">
      <w:pPr>
        <w:rPr>
          <w:lang w:val="ru-RU"/>
        </w:rPr>
      </w:pPr>
      <w:r w:rsidRPr="009170CF">
        <w:rPr>
          <w:i/>
          <w:iCs/>
          <w:lang w:val="ru-RU"/>
        </w:rPr>
        <w:t>e)</w:t>
      </w:r>
      <w:r w:rsidRPr="009170CF">
        <w:rPr>
          <w:lang w:val="ru-RU"/>
        </w:rPr>
        <w:tab/>
        <w:t>что становится все более важным интегрировать такой подход к стратегическому планированию в деятельность МСЭ-Т, учитывая стремительное развитие и потребности членов МСЭ</w:t>
      </w:r>
      <w:r w:rsidRPr="009170CF">
        <w:rPr>
          <w:lang w:val="ru-RU"/>
        </w:rPr>
        <w:noBreakHyphen/>
        <w:t>Т и отрасли, а также для достижения целей в области устойчивого развития;</w:t>
      </w:r>
    </w:p>
    <w:p w14:paraId="3E6FFFB5" w14:textId="77777777" w:rsidR="009170CF" w:rsidRDefault="009170CF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left"/>
        <w:textAlignment w:val="auto"/>
        <w:rPr>
          <w:i/>
          <w:iCs/>
          <w:lang w:val="ru-RU"/>
        </w:rPr>
      </w:pPr>
      <w:r>
        <w:rPr>
          <w:i/>
          <w:iCs/>
          <w:lang w:val="ru-RU"/>
        </w:rPr>
        <w:br w:type="page"/>
      </w:r>
    </w:p>
    <w:p w14:paraId="799B33CB" w14:textId="366E3EE7" w:rsidR="0049254D" w:rsidRPr="009170CF" w:rsidRDefault="0049254D" w:rsidP="0049254D">
      <w:pPr>
        <w:rPr>
          <w:lang w:val="ru-RU"/>
        </w:rPr>
      </w:pPr>
      <w:r w:rsidRPr="009170CF">
        <w:rPr>
          <w:i/>
          <w:iCs/>
          <w:lang w:val="ru-RU"/>
        </w:rPr>
        <w:lastRenderedPageBreak/>
        <w:t>f)</w:t>
      </w:r>
      <w:r w:rsidRPr="009170CF">
        <w:rPr>
          <w:lang w:val="ru-RU"/>
        </w:rPr>
        <w:tab/>
        <w:t>что стратегическое планирование в МСЭ-Т должно быть частью более широкого процесса реализации Стратегического плана Союза и Оперативного плана МСЭ-Т, отражая при этом метод УОР;</w:t>
      </w:r>
    </w:p>
    <w:p w14:paraId="521EFA4A" w14:textId="77777777" w:rsidR="0049254D" w:rsidRPr="009170CF" w:rsidRDefault="0049254D" w:rsidP="0049254D">
      <w:pPr>
        <w:rPr>
          <w:lang w:val="ru-RU"/>
        </w:rPr>
      </w:pPr>
      <w:r w:rsidRPr="009170CF">
        <w:rPr>
          <w:i/>
          <w:iCs/>
          <w:lang w:val="ru-RU"/>
        </w:rPr>
        <w:t>g)</w:t>
      </w:r>
      <w:r w:rsidRPr="009170CF">
        <w:rPr>
          <w:lang w:val="ru-RU"/>
        </w:rPr>
        <w:tab/>
        <w:t>что стратегическое планирование МСЭ-Т необходимо осуществлять с привлечением членов МСЭ-Т,</w:t>
      </w:r>
    </w:p>
    <w:p w14:paraId="0974D95B" w14:textId="77777777" w:rsidR="0049254D" w:rsidRPr="009170CF" w:rsidRDefault="0049254D" w:rsidP="0049254D">
      <w:pPr>
        <w:pStyle w:val="Call"/>
        <w:rPr>
          <w:lang w:val="ru-RU"/>
        </w:rPr>
      </w:pPr>
      <w:r w:rsidRPr="009170CF">
        <w:rPr>
          <w:lang w:val="ru-RU"/>
        </w:rPr>
        <w:t>отмечая</w:t>
      </w:r>
      <w:r w:rsidRPr="009170CF">
        <w:rPr>
          <w:i w:val="0"/>
          <w:iCs/>
          <w:lang w:val="ru-RU"/>
        </w:rPr>
        <w:t>,</w:t>
      </w:r>
    </w:p>
    <w:p w14:paraId="62C31DD2" w14:textId="77777777" w:rsidR="0049254D" w:rsidRPr="009170CF" w:rsidRDefault="0049254D" w:rsidP="0049254D">
      <w:pPr>
        <w:rPr>
          <w:lang w:val="ru-RU"/>
        </w:rPr>
      </w:pPr>
      <w:r w:rsidRPr="009170CF">
        <w:rPr>
          <w:i/>
          <w:iCs/>
          <w:lang w:val="ru-RU"/>
        </w:rPr>
        <w:t>a)</w:t>
      </w:r>
      <w:r w:rsidRPr="009170CF">
        <w:rPr>
          <w:lang w:val="ru-RU"/>
        </w:rPr>
        <w:tab/>
        <w:t>что эффективные и действенные методы работы и программы работы являются ключевыми средствами достижения целей, для того чтобы МСЭ-Т соответствовал своему целевому назначению;</w:t>
      </w:r>
    </w:p>
    <w:p w14:paraId="725BF01B" w14:textId="77777777" w:rsidR="0049254D" w:rsidRPr="009170CF" w:rsidRDefault="0049254D" w:rsidP="0049254D">
      <w:pPr>
        <w:rPr>
          <w:lang w:val="ru-RU"/>
        </w:rPr>
      </w:pPr>
      <w:r w:rsidRPr="009170CF">
        <w:rPr>
          <w:i/>
          <w:iCs/>
          <w:lang w:val="ru-RU"/>
        </w:rPr>
        <w:t>b)</w:t>
      </w:r>
      <w:r w:rsidRPr="009170CF">
        <w:rPr>
          <w:lang w:val="ru-RU"/>
        </w:rPr>
        <w:tab/>
        <w:t>усилия групп Докладчиков КГСЭ, которые направлены на повышение актуальности и соответствия МСЭ-Т своему назначению, а именно на взаимодействие с отраслью, реструктуризацию исследовательских комиссий МСЭ-Т и процесс оценки на собраниях руководителей компаний частного сектора высокого уровня, а также отмечая, что их осуществлению способствовал бы более целостный, комплексный, ориентированный на результаты подход;</w:t>
      </w:r>
    </w:p>
    <w:p w14:paraId="4C172E73" w14:textId="77777777" w:rsidR="0049254D" w:rsidRPr="009170CF" w:rsidRDefault="0049254D" w:rsidP="0049254D">
      <w:pPr>
        <w:rPr>
          <w:lang w:val="ru-RU"/>
        </w:rPr>
      </w:pPr>
      <w:r w:rsidRPr="009170CF">
        <w:rPr>
          <w:i/>
          <w:iCs/>
          <w:lang w:val="ru-RU"/>
        </w:rPr>
        <w:t>c)</w:t>
      </w:r>
      <w:r w:rsidRPr="009170CF">
        <w:rPr>
          <w:lang w:val="ru-RU"/>
        </w:rPr>
        <w:tab/>
        <w:t>что необходима концепция, которая определяет направление общего стратегического планирования МСЭ-Т, включающего постоянный прогресс и совершенствование не только методов работы, реструктуризации исследовательских комиссий и участие отрасли, но и процессы оценки предложений по направлениям работы, с тем чтобы МСЭ-Т мог сосредоточиться на видах деятельности и инициативах, которые оказывают наибольшее воздействие на достижение стратегических целей МСЭ и повышают возможности реагирования на потребности членов;</w:t>
      </w:r>
    </w:p>
    <w:p w14:paraId="305DC852" w14:textId="77777777" w:rsidR="0049254D" w:rsidRPr="009170CF" w:rsidRDefault="0049254D" w:rsidP="0049254D">
      <w:pPr>
        <w:rPr>
          <w:lang w:val="ru-RU"/>
        </w:rPr>
      </w:pPr>
      <w:r w:rsidRPr="009170CF">
        <w:rPr>
          <w:i/>
          <w:iCs/>
          <w:lang w:val="ru-RU"/>
        </w:rPr>
        <w:t>d)</w:t>
      </w:r>
      <w:r w:rsidRPr="009170CF">
        <w:rPr>
          <w:lang w:val="ru-RU"/>
        </w:rPr>
        <w:tab/>
        <w:t>Добавление 6 к Рекомендациям серии А "Руководящие указания по разработке результатов анализа разрыва в стандартизации", которое направлено на укрепление общего понимания необходимой работы, выявление конкурентных преимуществ и раскрытие стратегических возможностей в области стандартизации при оптимизации распределения ресурсов;</w:t>
      </w:r>
    </w:p>
    <w:p w14:paraId="18DAC3C3" w14:textId="77777777" w:rsidR="0049254D" w:rsidRPr="009170CF" w:rsidRDefault="0049254D" w:rsidP="0049254D">
      <w:pPr>
        <w:rPr>
          <w:lang w:val="ru-RU"/>
        </w:rPr>
      </w:pPr>
      <w:r w:rsidRPr="009170CF">
        <w:rPr>
          <w:i/>
          <w:iCs/>
          <w:lang w:val="ru-RU"/>
        </w:rPr>
        <w:t>e)</w:t>
      </w:r>
      <w:r w:rsidRPr="009170CF">
        <w:rPr>
          <w:lang w:val="ru-RU"/>
        </w:rPr>
        <w:tab/>
        <w:t>что в МСЭ-Т существует насущная необходимость в согласовании стратегического планирования МСЭ-Т с планированием финансовых, оперативных и людских ресурсов,</w:t>
      </w:r>
    </w:p>
    <w:p w14:paraId="1B94DEBE" w14:textId="77777777" w:rsidR="0049254D" w:rsidRPr="009170CF" w:rsidRDefault="0049254D" w:rsidP="0049254D">
      <w:pPr>
        <w:pStyle w:val="Call"/>
        <w:rPr>
          <w:lang w:val="ru-RU"/>
        </w:rPr>
      </w:pPr>
      <w:r w:rsidRPr="009170CF">
        <w:rPr>
          <w:lang w:val="ru-RU"/>
        </w:rPr>
        <w:t>решает</w:t>
      </w:r>
    </w:p>
    <w:p w14:paraId="3931DCC4" w14:textId="77777777" w:rsidR="0049254D" w:rsidRPr="009170CF" w:rsidRDefault="0049254D" w:rsidP="0049254D">
      <w:pPr>
        <w:rPr>
          <w:lang w:val="ru-RU"/>
        </w:rPr>
      </w:pPr>
      <w:r w:rsidRPr="009170CF">
        <w:rPr>
          <w:lang w:val="ru-RU"/>
        </w:rPr>
        <w:t>1</w:t>
      </w:r>
      <w:r w:rsidRPr="009170CF">
        <w:rPr>
          <w:lang w:val="ru-RU"/>
        </w:rPr>
        <w:tab/>
        <w:t>интегрировать стратегический подход в процессы МСЭ-Т, чтобы укрепить и позиционировать Сектор стандартизации как сектор, отвечающий своему целевому назначению и тем самым вносящий вклад в реализацию общей стратегии МСЭ;</w:t>
      </w:r>
    </w:p>
    <w:p w14:paraId="48EF1874" w14:textId="77777777" w:rsidR="0049254D" w:rsidRPr="009170CF" w:rsidRDefault="0049254D" w:rsidP="0049254D">
      <w:pPr>
        <w:rPr>
          <w:lang w:val="ru-RU"/>
        </w:rPr>
      </w:pPr>
      <w:r w:rsidRPr="009170CF">
        <w:rPr>
          <w:lang w:val="ru-RU"/>
        </w:rPr>
        <w:t>2</w:t>
      </w:r>
      <w:r w:rsidRPr="009170CF">
        <w:rPr>
          <w:lang w:val="ru-RU"/>
        </w:rPr>
        <w:tab/>
        <w:t>разработать стратегию непрерывного развития и совершенствования МСЭ-T в соответствии со Стратегическим планом Союза, с тем чтобы обеспечить сохранение актуальности и эффективности МСЭ-Т в постоянно изменяющейся среде электросвязи с учетом потребностей всех членов МСЭ,</w:t>
      </w:r>
    </w:p>
    <w:p w14:paraId="1789FE66" w14:textId="77777777" w:rsidR="0049254D" w:rsidRPr="009170CF" w:rsidRDefault="0049254D" w:rsidP="0049254D">
      <w:pPr>
        <w:pStyle w:val="Call"/>
        <w:rPr>
          <w:lang w:val="ru-RU"/>
        </w:rPr>
      </w:pPr>
      <w:r w:rsidRPr="009170CF">
        <w:rPr>
          <w:lang w:val="ru-RU"/>
        </w:rPr>
        <w:t>поручает Консультативной группе по стандартизации электросвязи</w:t>
      </w:r>
    </w:p>
    <w:p w14:paraId="23F143E2" w14:textId="77777777" w:rsidR="0049254D" w:rsidRPr="009170CF" w:rsidRDefault="0049254D" w:rsidP="0049254D">
      <w:pPr>
        <w:rPr>
          <w:lang w:val="ru-RU"/>
        </w:rPr>
      </w:pPr>
      <w:r w:rsidRPr="009170CF">
        <w:rPr>
          <w:lang w:val="ru-RU"/>
        </w:rPr>
        <w:t>1</w:t>
      </w:r>
      <w:r w:rsidRPr="009170CF">
        <w:rPr>
          <w:lang w:val="ru-RU"/>
        </w:rPr>
        <w:tab/>
        <w:t>разработать концепцию, стратегические приоритеты и план действий, включая ценностное предложение МСЭ-Т, отражающие стратегический подход к непрерывному развитию и совершенствованию МСЭ-Т, в сотрудничестве со всеми заинтересованными сторонами МСЭ-Т, включая Бюро стандартизации электросвязи (БСЭ);</w:t>
      </w:r>
    </w:p>
    <w:p w14:paraId="79C5EABF" w14:textId="77777777" w:rsidR="0049254D" w:rsidRPr="009170CF" w:rsidRDefault="0049254D" w:rsidP="0049254D">
      <w:pPr>
        <w:rPr>
          <w:lang w:val="ru-RU"/>
        </w:rPr>
      </w:pPr>
      <w:r w:rsidRPr="009170CF">
        <w:rPr>
          <w:lang w:val="ru-RU"/>
        </w:rPr>
        <w:br w:type="page"/>
      </w:r>
    </w:p>
    <w:p w14:paraId="38CBA3B0" w14:textId="77777777" w:rsidR="0049254D" w:rsidRPr="009170CF" w:rsidRDefault="0049254D" w:rsidP="0049254D">
      <w:pPr>
        <w:keepNext/>
        <w:rPr>
          <w:lang w:val="ru-RU"/>
        </w:rPr>
      </w:pPr>
      <w:r w:rsidRPr="009170CF">
        <w:rPr>
          <w:lang w:val="ru-RU"/>
        </w:rPr>
        <w:lastRenderedPageBreak/>
        <w:t>2</w:t>
      </w:r>
      <w:r w:rsidRPr="009170CF">
        <w:rPr>
          <w:lang w:val="ru-RU"/>
        </w:rPr>
        <w:tab/>
        <w:t>в качестве одного из результатов стратегического подхода МСЭ-Т</w:t>
      </w:r>
    </w:p>
    <w:p w14:paraId="77536BFA" w14:textId="3831C8F4" w:rsidR="0049254D" w:rsidRPr="009170CF" w:rsidRDefault="00B800A4" w:rsidP="0049254D">
      <w:pPr>
        <w:pStyle w:val="enumlev1"/>
        <w:rPr>
          <w:lang w:val="ru-RU"/>
        </w:rPr>
      </w:pPr>
      <w:r w:rsidRPr="0058622B">
        <w:t>i)</w:t>
      </w:r>
      <w:r w:rsidR="0049254D" w:rsidRPr="009170CF">
        <w:rPr>
          <w:lang w:val="ru-RU"/>
        </w:rPr>
        <w:tab/>
        <w:t xml:space="preserve">продолжать совершенствовать согласование оперативного плана МСЭ-Т со Стратегическим планом </w:t>
      </w:r>
      <w:proofErr w:type="gramStart"/>
      <w:r w:rsidR="0049254D" w:rsidRPr="009170CF">
        <w:rPr>
          <w:lang w:val="ru-RU"/>
        </w:rPr>
        <w:t>Союза;</w:t>
      </w:r>
      <w:proofErr w:type="gramEnd"/>
    </w:p>
    <w:p w14:paraId="56625C3E" w14:textId="45050951" w:rsidR="0049254D" w:rsidRPr="009170CF" w:rsidRDefault="00B800A4" w:rsidP="0049254D">
      <w:pPr>
        <w:pStyle w:val="enumlev1"/>
        <w:rPr>
          <w:lang w:val="ru-RU"/>
        </w:rPr>
      </w:pPr>
      <w:r w:rsidRPr="0058622B">
        <w:t>ii)</w:t>
      </w:r>
      <w:r w:rsidR="0049254D" w:rsidRPr="009170CF">
        <w:rPr>
          <w:lang w:val="ru-RU"/>
        </w:rPr>
        <w:tab/>
        <w:t>представлять надлежащий вклад от КГСЭ на рассмотрение Рабочей группы Совета МСЭ по разработке Стратегического и Финансового планов (РГС-СФП</w:t>
      </w:r>
      <w:proofErr w:type="gramStart"/>
      <w:r w:rsidR="0049254D" w:rsidRPr="009170CF">
        <w:rPr>
          <w:lang w:val="ru-RU"/>
        </w:rPr>
        <w:t>);</w:t>
      </w:r>
      <w:proofErr w:type="gramEnd"/>
    </w:p>
    <w:p w14:paraId="16798B45" w14:textId="77777777" w:rsidR="0049254D" w:rsidRPr="009170CF" w:rsidRDefault="0049254D" w:rsidP="0049254D">
      <w:pPr>
        <w:rPr>
          <w:lang w:val="ru-RU"/>
        </w:rPr>
      </w:pPr>
      <w:r w:rsidRPr="009170CF">
        <w:rPr>
          <w:lang w:val="ru-RU"/>
        </w:rPr>
        <w:t>3</w:t>
      </w:r>
      <w:r w:rsidRPr="009170CF">
        <w:rPr>
          <w:lang w:val="ru-RU"/>
        </w:rPr>
        <w:tab/>
        <w:t xml:space="preserve">включить в оперативный план рассмотрение ключевых средств достижения целей, которые способствуют успешному функционированию структуры результатов деятельности МСЭ-Т и включают в том числе взаимодействие с отраслью, отвечающую своему назначению структуру исследовательских комиссий МСЭ-Т и программы работы, эффективную информационно-пропагандистскую деятельность и координацию, активизацию собраний </w:t>
      </w:r>
      <w:r w:rsidRPr="009170CF">
        <w:rPr>
          <w:rStyle w:val="ui-provider"/>
          <w:lang w:val="ru-RU"/>
        </w:rPr>
        <w:t>руководителей компаний частного сектора высокого уровня</w:t>
      </w:r>
      <w:r w:rsidRPr="009170CF">
        <w:rPr>
          <w:lang w:val="ru-RU"/>
        </w:rPr>
        <w:t>, поддержку секретариата БСЭ, веб-сайт МСЭ-Т, эффективные и современные платформы электронных собраний МСЭ-Т, соответствующие руководство и управление, а также непрерывность деятельности;</w:t>
      </w:r>
    </w:p>
    <w:p w14:paraId="4FE09A40" w14:textId="77777777" w:rsidR="0049254D" w:rsidRPr="009170CF" w:rsidRDefault="0049254D" w:rsidP="0049254D">
      <w:pPr>
        <w:rPr>
          <w:lang w:val="ru-RU"/>
        </w:rPr>
      </w:pPr>
      <w:r w:rsidRPr="009170CF">
        <w:rPr>
          <w:lang w:val="ru-RU"/>
        </w:rPr>
        <w:t>4</w:t>
      </w:r>
      <w:r w:rsidRPr="009170CF">
        <w:rPr>
          <w:lang w:val="ru-RU"/>
        </w:rPr>
        <w:tab/>
        <w:t>рассмотреть ход реализации стратегического планирования в МСЭ-Т на основе отчетов БСЭ и соответствующих групп докладчиков КГСЭ на предмет оценки эффективности и представления руководящих указаний по постоянным улучшениям,</w:t>
      </w:r>
    </w:p>
    <w:p w14:paraId="768A6E53" w14:textId="77777777" w:rsidR="0049254D" w:rsidRPr="009170CF" w:rsidRDefault="0049254D" w:rsidP="0049254D">
      <w:pPr>
        <w:pStyle w:val="Call"/>
        <w:rPr>
          <w:lang w:val="ru-RU"/>
        </w:rPr>
      </w:pPr>
      <w:r w:rsidRPr="009170CF">
        <w:rPr>
          <w:lang w:val="ru-RU"/>
        </w:rPr>
        <w:t>поручает Директору Бюро стандартизации электросвязи</w:t>
      </w:r>
    </w:p>
    <w:p w14:paraId="37B767A1" w14:textId="77777777" w:rsidR="0049254D" w:rsidRPr="009170CF" w:rsidRDefault="0049254D" w:rsidP="0049254D">
      <w:pPr>
        <w:rPr>
          <w:szCs w:val="22"/>
          <w:lang w:val="ru-RU"/>
        </w:rPr>
      </w:pPr>
      <w:r w:rsidRPr="009170CF">
        <w:rPr>
          <w:szCs w:val="22"/>
          <w:lang w:val="ru-RU"/>
        </w:rPr>
        <w:t>1</w:t>
      </w:r>
      <w:r w:rsidRPr="009170CF">
        <w:rPr>
          <w:szCs w:val="22"/>
          <w:lang w:val="ru-RU"/>
        </w:rPr>
        <w:tab/>
        <w:t>внедрить в деятельность МСЭ-Т УОР, в том числе с помощью оперативного плана, ориентированного на результаты и согласованного со стратегией МСЭ, учитывая при этом поддержку регионального присутствия со стороны БСЭ и предоставляя в КГСЭ, РГС-СФП и Совет регулярные отчеты о соответствующих планируемых и предпринятых мерах;</w:t>
      </w:r>
    </w:p>
    <w:p w14:paraId="120F6089" w14:textId="77777777" w:rsidR="0049254D" w:rsidRPr="009170CF" w:rsidRDefault="0049254D" w:rsidP="0049254D">
      <w:pPr>
        <w:rPr>
          <w:szCs w:val="22"/>
          <w:lang w:val="ru-RU"/>
        </w:rPr>
      </w:pPr>
      <w:r w:rsidRPr="009170CF">
        <w:rPr>
          <w:szCs w:val="22"/>
          <w:lang w:val="ru-RU"/>
        </w:rPr>
        <w:t>2</w:t>
      </w:r>
      <w:r w:rsidRPr="009170CF">
        <w:rPr>
          <w:szCs w:val="22"/>
          <w:lang w:val="ru-RU"/>
        </w:rPr>
        <w:tab/>
        <w:t>поддерживать стратегическое планирование МСЭ-Т путем разработки подхода МСЭ-Т к управлению рисками, учитывающего стратегические и оперативные риски и соответствующие меры по их смягчению,</w:t>
      </w:r>
    </w:p>
    <w:p w14:paraId="72F72176" w14:textId="77777777" w:rsidR="0049254D" w:rsidRPr="009170CF" w:rsidRDefault="0049254D" w:rsidP="0049254D">
      <w:pPr>
        <w:pStyle w:val="Call"/>
        <w:rPr>
          <w:lang w:val="ru-RU"/>
        </w:rPr>
      </w:pPr>
      <w:r w:rsidRPr="009170CF">
        <w:rPr>
          <w:lang w:val="ru-RU"/>
        </w:rPr>
        <w:t>поручает исследовательским комиссиям Сектора стандартизации электросвязи МСЭ</w:t>
      </w:r>
    </w:p>
    <w:p w14:paraId="0DCBA6D4" w14:textId="77777777" w:rsidR="0049254D" w:rsidRPr="009170CF" w:rsidRDefault="0049254D" w:rsidP="0049254D">
      <w:pPr>
        <w:rPr>
          <w:szCs w:val="22"/>
          <w:lang w:val="ru-RU"/>
        </w:rPr>
      </w:pPr>
      <w:r w:rsidRPr="009170CF">
        <w:rPr>
          <w:szCs w:val="22"/>
          <w:lang w:val="ru-RU"/>
        </w:rPr>
        <w:t>принимать активное участие в процессах стратегического планирования МСЭ-T,</w:t>
      </w:r>
    </w:p>
    <w:p w14:paraId="58CBC956" w14:textId="77777777" w:rsidR="0049254D" w:rsidRPr="009170CF" w:rsidRDefault="0049254D" w:rsidP="0049254D">
      <w:pPr>
        <w:pStyle w:val="Call"/>
        <w:rPr>
          <w:lang w:val="ru-RU"/>
        </w:rPr>
      </w:pPr>
      <w:r w:rsidRPr="009170CF">
        <w:rPr>
          <w:lang w:val="ru-RU"/>
        </w:rPr>
        <w:t>предлагает Государствам-Членам и Членам Сектора</w:t>
      </w:r>
    </w:p>
    <w:p w14:paraId="1CF7DC89" w14:textId="77777777" w:rsidR="0049254D" w:rsidRPr="009170CF" w:rsidRDefault="0049254D" w:rsidP="0049254D">
      <w:pPr>
        <w:rPr>
          <w:lang w:val="ru-RU"/>
        </w:rPr>
      </w:pPr>
      <w:r w:rsidRPr="009170CF">
        <w:rPr>
          <w:lang w:val="ru-RU"/>
        </w:rPr>
        <w:t>вносить вклад в процесс стратегического планирования МСЭ-Т.</w:t>
      </w:r>
    </w:p>
    <w:p w14:paraId="6BD423A5" w14:textId="77777777" w:rsidR="0049254D" w:rsidRDefault="0049254D" w:rsidP="0049254D">
      <w:pPr>
        <w:pStyle w:val="Reasons"/>
        <w:rPr>
          <w:lang w:val="en-US"/>
        </w:rPr>
      </w:pPr>
    </w:p>
    <w:p w14:paraId="66FDC6B9" w14:textId="77777777" w:rsidR="00B800A4" w:rsidRDefault="00B800A4" w:rsidP="0049254D">
      <w:pPr>
        <w:pStyle w:val="Reasons"/>
        <w:rPr>
          <w:lang w:val="en-US"/>
        </w:rPr>
      </w:pPr>
    </w:p>
    <w:p w14:paraId="725CCBE6" w14:textId="77777777" w:rsidR="00B800A4" w:rsidRDefault="00B800A4" w:rsidP="0049254D">
      <w:pPr>
        <w:pStyle w:val="Reasons"/>
        <w:rPr>
          <w:lang w:val="en-US"/>
        </w:rPr>
      </w:pPr>
    </w:p>
    <w:p w14:paraId="4576C8B5" w14:textId="77777777" w:rsidR="00B800A4" w:rsidRDefault="00B800A4" w:rsidP="0049254D">
      <w:pPr>
        <w:pStyle w:val="Reasons"/>
        <w:rPr>
          <w:lang w:val="en-US"/>
        </w:rPr>
      </w:pPr>
    </w:p>
    <w:p w14:paraId="5D0584D1" w14:textId="77777777" w:rsidR="00B800A4" w:rsidRDefault="00B800A4" w:rsidP="0049254D">
      <w:pPr>
        <w:pStyle w:val="Reasons"/>
        <w:rPr>
          <w:lang w:val="en-US"/>
        </w:rPr>
      </w:pPr>
    </w:p>
    <w:p w14:paraId="250C3E14" w14:textId="77777777" w:rsidR="00B800A4" w:rsidRDefault="00B800A4" w:rsidP="0049254D">
      <w:pPr>
        <w:pStyle w:val="Reasons"/>
        <w:rPr>
          <w:lang w:val="en-US"/>
        </w:rPr>
      </w:pPr>
    </w:p>
    <w:p w14:paraId="28664EC8" w14:textId="77777777" w:rsidR="00B800A4" w:rsidRDefault="00B800A4" w:rsidP="0049254D">
      <w:pPr>
        <w:pStyle w:val="Reasons"/>
        <w:rPr>
          <w:lang w:val="en-US"/>
        </w:rPr>
      </w:pPr>
    </w:p>
    <w:p w14:paraId="4393068A" w14:textId="77777777" w:rsidR="00B800A4" w:rsidRPr="00B800A4" w:rsidRDefault="00B800A4" w:rsidP="0049254D">
      <w:pPr>
        <w:pStyle w:val="Reasons"/>
        <w:rPr>
          <w:lang w:val="en-US"/>
        </w:rPr>
      </w:pPr>
    </w:p>
    <w:p w14:paraId="446873C4" w14:textId="77777777" w:rsidR="0049254D" w:rsidRPr="009170CF" w:rsidRDefault="0049254D" w:rsidP="0049254D">
      <w:pPr>
        <w:rPr>
          <w:lang w:val="ru-RU"/>
        </w:rPr>
      </w:pPr>
    </w:p>
    <w:p w14:paraId="7375E701" w14:textId="77777777" w:rsidR="00151BAA" w:rsidRPr="009170CF" w:rsidRDefault="00151BAA" w:rsidP="002F0D02">
      <w:pPr>
        <w:rPr>
          <w:lang w:val="ru-RU"/>
        </w:rPr>
      </w:pPr>
    </w:p>
    <w:sectPr w:rsidR="00151BAA" w:rsidRPr="009170CF" w:rsidSect="009170CF">
      <w:headerReference w:type="default" r:id="rId17"/>
      <w:footerReference w:type="even" r:id="rId18"/>
      <w:footerReference w:type="default" r:id="rId19"/>
      <w:footerReference w:type="first" r:id="rId20"/>
      <w:pgSz w:w="11907" w:h="16834" w:code="9"/>
      <w:pgMar w:top="1134" w:right="1134" w:bottom="1134" w:left="1134" w:header="567" w:footer="567" w:gutter="0"/>
      <w:pgNumType w:start="1"/>
      <w:cols w:space="720"/>
      <w:vAlign w:val="both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797A37" w14:textId="77777777" w:rsidR="00647B88" w:rsidRDefault="00647B88">
      <w:r>
        <w:separator/>
      </w:r>
    </w:p>
  </w:endnote>
  <w:endnote w:type="continuationSeparator" w:id="0">
    <w:p w14:paraId="09619B91" w14:textId="77777777" w:rsidR="00647B88" w:rsidRDefault="00647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A3D577" w14:textId="77777777" w:rsidR="009170CF" w:rsidRDefault="009170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E65CAE" w14:textId="77777777" w:rsidR="009170CF" w:rsidRDefault="009170C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0646CE" w14:textId="77777777" w:rsidR="009170CF" w:rsidRDefault="009170CF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454EDF" w14:textId="77777777" w:rsidR="000D3CE4" w:rsidRPr="00DE48B4" w:rsidRDefault="000D3CE4" w:rsidP="00DE48B4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605C13" w14:textId="77777777" w:rsidR="000D3CE4" w:rsidRPr="008968B6" w:rsidRDefault="000D3CE4" w:rsidP="008968B6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1B2418" w14:textId="51D52D61" w:rsidR="009170CF" w:rsidRPr="009170CF" w:rsidRDefault="00B800A4" w:rsidP="009170CF">
    <w:pPr>
      <w:pStyle w:val="FooterQP"/>
      <w:rPr>
        <w:lang w:val="en-US"/>
      </w:rPr>
    </w:pPr>
    <w:r w:rsidRPr="00E60A09">
      <w:rPr>
        <w:b w:val="0"/>
        <w:bCs/>
        <w:szCs w:val="22"/>
      </w:rPr>
      <w:fldChar w:fldCharType="begin"/>
    </w:r>
    <w:r w:rsidRPr="00E60A09">
      <w:rPr>
        <w:b w:val="0"/>
        <w:bCs/>
        <w:szCs w:val="22"/>
      </w:rPr>
      <w:instrText xml:space="preserve"> PAGE </w:instrText>
    </w:r>
    <w:r w:rsidRPr="00E60A09">
      <w:rPr>
        <w:b w:val="0"/>
        <w:bCs/>
        <w:szCs w:val="22"/>
      </w:rPr>
      <w:fldChar w:fldCharType="separate"/>
    </w:r>
    <w:r>
      <w:rPr>
        <w:b w:val="0"/>
        <w:bCs/>
        <w:szCs w:val="22"/>
      </w:rPr>
      <w:t>2</w:t>
    </w:r>
    <w:r w:rsidRPr="00E60A09">
      <w:rPr>
        <w:b w:val="0"/>
        <w:bCs/>
        <w:szCs w:val="22"/>
      </w:rPr>
      <w:fldChar w:fldCharType="end"/>
    </w:r>
    <w:r w:rsidR="009170CF">
      <w:rPr>
        <w:lang w:val="en-US"/>
      </w:rPr>
      <w:tab/>
    </w:r>
    <w:r w:rsidR="009170CF" w:rsidRPr="00E95096">
      <w:rPr>
        <w:bCs/>
        <w:szCs w:val="22"/>
      </w:rPr>
      <w:t>ВАСЭ-</w:t>
    </w:r>
    <w:r w:rsidR="009170CF">
      <w:rPr>
        <w:bCs/>
        <w:szCs w:val="22"/>
        <w:lang w:val="ru-RU"/>
      </w:rPr>
      <w:t>24</w:t>
    </w:r>
    <w:r w:rsidR="009170CF" w:rsidRPr="00E95096">
      <w:rPr>
        <w:bCs/>
        <w:szCs w:val="22"/>
      </w:rPr>
      <w:t xml:space="preserve"> </w:t>
    </w:r>
    <w:r w:rsidR="009170CF" w:rsidRPr="00E95096">
      <w:rPr>
        <w:bCs/>
        <w:szCs w:val="22"/>
      </w:rPr>
      <w:sym w:font="Symbol" w:char="F02D"/>
    </w:r>
    <w:r w:rsidR="009170CF" w:rsidRPr="00E95096">
      <w:rPr>
        <w:bCs/>
        <w:szCs w:val="22"/>
      </w:rPr>
      <w:t xml:space="preserve"> </w:t>
    </w:r>
    <w:r w:rsidR="009170CF" w:rsidRPr="00E95096">
      <w:rPr>
        <w:bCs/>
        <w:szCs w:val="22"/>
        <w:lang w:val="ru-RU"/>
      </w:rPr>
      <w:t xml:space="preserve">Резолюция </w:t>
    </w:r>
    <w:r w:rsidR="009170CF" w:rsidRPr="00E95096">
      <w:rPr>
        <w:b w:val="0"/>
        <w:bCs/>
        <w:szCs w:val="22"/>
      </w:rPr>
      <w:fldChar w:fldCharType="begin"/>
    </w:r>
    <w:r w:rsidR="009170CF" w:rsidRPr="00E95096">
      <w:rPr>
        <w:bCs/>
        <w:szCs w:val="22"/>
      </w:rPr>
      <w:instrText xml:space="preserve"> STYLEREF  href  \* MERGEFORMAT </w:instrText>
    </w:r>
    <w:r w:rsidR="009170CF" w:rsidRPr="00E95096">
      <w:rPr>
        <w:b w:val="0"/>
        <w:bCs/>
        <w:szCs w:val="22"/>
      </w:rPr>
      <w:fldChar w:fldCharType="separate"/>
    </w:r>
    <w:r w:rsidR="00A174EB" w:rsidRPr="00A174EB">
      <w:rPr>
        <w:noProof/>
        <w:szCs w:val="22"/>
        <w:lang w:val="en-US"/>
      </w:rPr>
      <w:t>108</w:t>
    </w:r>
    <w:r w:rsidR="009170CF" w:rsidRPr="00E95096">
      <w:rPr>
        <w:b w:val="0"/>
        <w:bCs/>
        <w:szCs w:val="22"/>
      </w:rP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582C2A" w14:textId="2969AF80" w:rsidR="009170CF" w:rsidRPr="002F0D02" w:rsidRDefault="002F0D02" w:rsidP="002F0D02">
    <w:pPr>
      <w:pStyle w:val="FooterQP"/>
      <w:rPr>
        <w:lang w:val="en-US"/>
      </w:rPr>
    </w:pPr>
    <w:r>
      <w:rPr>
        <w:lang w:val="en-US"/>
      </w:rPr>
      <w:tab/>
    </w:r>
    <w:r>
      <w:rPr>
        <w:lang w:val="en-US"/>
      </w:rPr>
      <w:tab/>
    </w:r>
    <w:r w:rsidRPr="00E95096">
      <w:rPr>
        <w:bCs/>
        <w:szCs w:val="22"/>
      </w:rPr>
      <w:t>ВАСЭ-</w:t>
    </w:r>
    <w:r>
      <w:rPr>
        <w:bCs/>
        <w:szCs w:val="22"/>
        <w:lang w:val="ru-RU"/>
      </w:rPr>
      <w:t>24</w:t>
    </w:r>
    <w:r w:rsidRPr="00E95096">
      <w:rPr>
        <w:bCs/>
        <w:szCs w:val="22"/>
      </w:rPr>
      <w:t xml:space="preserve"> </w:t>
    </w:r>
    <w:r w:rsidRPr="00E95096">
      <w:rPr>
        <w:bCs/>
        <w:szCs w:val="22"/>
      </w:rPr>
      <w:sym w:font="Symbol" w:char="F02D"/>
    </w:r>
    <w:r w:rsidRPr="00E95096">
      <w:rPr>
        <w:bCs/>
        <w:szCs w:val="22"/>
      </w:rPr>
      <w:t xml:space="preserve"> </w:t>
    </w:r>
    <w:r w:rsidRPr="00E95096">
      <w:rPr>
        <w:bCs/>
        <w:szCs w:val="22"/>
        <w:lang w:val="ru-RU"/>
      </w:rPr>
      <w:t xml:space="preserve">Резолюция </w:t>
    </w:r>
    <w:r w:rsidRPr="00E95096">
      <w:rPr>
        <w:b w:val="0"/>
        <w:bCs/>
        <w:szCs w:val="22"/>
      </w:rPr>
      <w:fldChar w:fldCharType="begin"/>
    </w:r>
    <w:r w:rsidRPr="00E95096">
      <w:rPr>
        <w:bCs/>
        <w:szCs w:val="22"/>
      </w:rPr>
      <w:instrText xml:space="preserve"> STYLEREF  href  \* MERGEFORMAT </w:instrText>
    </w:r>
    <w:r w:rsidRPr="00E95096">
      <w:rPr>
        <w:b w:val="0"/>
        <w:bCs/>
        <w:szCs w:val="22"/>
      </w:rPr>
      <w:fldChar w:fldCharType="separate"/>
    </w:r>
    <w:r w:rsidR="00A174EB" w:rsidRPr="00A174EB">
      <w:rPr>
        <w:noProof/>
        <w:szCs w:val="22"/>
        <w:lang w:val="en-US"/>
      </w:rPr>
      <w:t>108</w:t>
    </w:r>
    <w:r w:rsidRPr="00E95096">
      <w:rPr>
        <w:b w:val="0"/>
        <w:bCs/>
        <w:szCs w:val="22"/>
      </w:rPr>
      <w:fldChar w:fldCharType="end"/>
    </w:r>
    <w:r w:rsidRPr="00E95096">
      <w:rPr>
        <w:bCs/>
        <w:szCs w:val="22"/>
      </w:rPr>
      <w:tab/>
    </w:r>
    <w:r w:rsidRPr="00E60A09">
      <w:rPr>
        <w:b w:val="0"/>
        <w:bCs/>
        <w:szCs w:val="22"/>
      </w:rPr>
      <w:fldChar w:fldCharType="begin"/>
    </w:r>
    <w:r w:rsidRPr="00E60A09">
      <w:rPr>
        <w:b w:val="0"/>
        <w:bCs/>
        <w:szCs w:val="22"/>
      </w:rPr>
      <w:instrText xml:space="preserve"> PAGE </w:instrText>
    </w:r>
    <w:r w:rsidRPr="00E60A09">
      <w:rPr>
        <w:b w:val="0"/>
        <w:bCs/>
        <w:szCs w:val="22"/>
      </w:rPr>
      <w:fldChar w:fldCharType="separate"/>
    </w:r>
    <w:r>
      <w:rPr>
        <w:b w:val="0"/>
        <w:bCs/>
        <w:szCs w:val="22"/>
      </w:rPr>
      <w:t>1</w:t>
    </w:r>
    <w:r w:rsidRPr="00E60A09">
      <w:rPr>
        <w:b w:val="0"/>
        <w:bCs/>
        <w:szCs w:val="22"/>
      </w:rPr>
      <w:fldChar w:fldCharType="end"/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48EB4B" w14:textId="2CF0EF45" w:rsidR="009170CF" w:rsidRPr="009170CF" w:rsidRDefault="009170CF" w:rsidP="009170CF">
    <w:pPr>
      <w:pStyle w:val="FooterQP"/>
      <w:rPr>
        <w:lang w:val="en-US"/>
      </w:rPr>
    </w:pPr>
    <w:r>
      <w:rPr>
        <w:lang w:val="en-US"/>
      </w:rPr>
      <w:tab/>
    </w:r>
    <w:r>
      <w:rPr>
        <w:lang w:val="en-US"/>
      </w:rPr>
      <w:tab/>
    </w:r>
    <w:r w:rsidRPr="00E95096">
      <w:rPr>
        <w:bCs/>
        <w:szCs w:val="22"/>
      </w:rPr>
      <w:t>ВАСЭ-</w:t>
    </w:r>
    <w:r>
      <w:rPr>
        <w:bCs/>
        <w:szCs w:val="22"/>
        <w:lang w:val="ru-RU"/>
      </w:rPr>
      <w:t>24</w:t>
    </w:r>
    <w:r w:rsidRPr="00E95096">
      <w:rPr>
        <w:bCs/>
        <w:szCs w:val="22"/>
      </w:rPr>
      <w:t xml:space="preserve"> </w:t>
    </w:r>
    <w:r w:rsidRPr="00E95096">
      <w:rPr>
        <w:bCs/>
        <w:szCs w:val="22"/>
      </w:rPr>
      <w:sym w:font="Symbol" w:char="F02D"/>
    </w:r>
    <w:r w:rsidRPr="00E95096">
      <w:rPr>
        <w:bCs/>
        <w:szCs w:val="22"/>
      </w:rPr>
      <w:t xml:space="preserve"> </w:t>
    </w:r>
    <w:r w:rsidRPr="00E95096">
      <w:rPr>
        <w:bCs/>
        <w:szCs w:val="22"/>
        <w:lang w:val="ru-RU"/>
      </w:rPr>
      <w:t xml:space="preserve">Резолюция </w:t>
    </w:r>
    <w:r w:rsidRPr="00E95096">
      <w:rPr>
        <w:b w:val="0"/>
        <w:bCs/>
        <w:szCs w:val="22"/>
      </w:rPr>
      <w:fldChar w:fldCharType="begin"/>
    </w:r>
    <w:r w:rsidRPr="00E95096">
      <w:rPr>
        <w:bCs/>
        <w:szCs w:val="22"/>
      </w:rPr>
      <w:instrText xml:space="preserve"> STYLEREF  href  \* MERGEFORMAT </w:instrText>
    </w:r>
    <w:r w:rsidRPr="00E95096">
      <w:rPr>
        <w:b w:val="0"/>
        <w:bCs/>
        <w:szCs w:val="22"/>
      </w:rPr>
      <w:fldChar w:fldCharType="separate"/>
    </w:r>
    <w:r w:rsidR="00A174EB" w:rsidRPr="00A174EB">
      <w:rPr>
        <w:noProof/>
        <w:szCs w:val="22"/>
        <w:lang w:val="en-US"/>
      </w:rPr>
      <w:t>108</w:t>
    </w:r>
    <w:r w:rsidRPr="00E95096">
      <w:rPr>
        <w:b w:val="0"/>
        <w:bCs/>
        <w:szCs w:val="22"/>
      </w:rPr>
      <w:fldChar w:fldCharType="end"/>
    </w:r>
    <w:r w:rsidRPr="00E95096">
      <w:rPr>
        <w:bCs/>
        <w:szCs w:val="22"/>
      </w:rPr>
      <w:tab/>
    </w:r>
    <w:r w:rsidRPr="00E60A09">
      <w:rPr>
        <w:b w:val="0"/>
        <w:bCs/>
        <w:szCs w:val="22"/>
      </w:rPr>
      <w:fldChar w:fldCharType="begin"/>
    </w:r>
    <w:r w:rsidRPr="00E60A09">
      <w:rPr>
        <w:b w:val="0"/>
        <w:bCs/>
        <w:szCs w:val="22"/>
      </w:rPr>
      <w:instrText xml:space="preserve"> PAGE </w:instrText>
    </w:r>
    <w:r w:rsidRPr="00E60A09">
      <w:rPr>
        <w:b w:val="0"/>
        <w:bCs/>
        <w:szCs w:val="22"/>
      </w:rPr>
      <w:fldChar w:fldCharType="separate"/>
    </w:r>
    <w:r>
      <w:rPr>
        <w:b w:val="0"/>
        <w:bCs/>
        <w:szCs w:val="22"/>
      </w:rPr>
      <w:t>1</w:t>
    </w:r>
    <w:r w:rsidRPr="00E60A09">
      <w:rPr>
        <w:b w:val="0"/>
        <w:bCs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D0A8F7" w14:textId="77777777" w:rsidR="00647B88" w:rsidRDefault="00647B88">
      <w:r>
        <w:t>____________________</w:t>
      </w:r>
    </w:p>
  </w:footnote>
  <w:footnote w:type="continuationSeparator" w:id="0">
    <w:p w14:paraId="5D31EBFC" w14:textId="77777777" w:rsidR="00647B88" w:rsidRDefault="00647B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810BE2" w14:textId="77777777" w:rsidR="00EA2A26" w:rsidRDefault="00EA2A26">
    <w:pPr>
      <w:pStyle w:val="Header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56D224" w14:textId="77777777" w:rsidR="00EA2A26" w:rsidRDefault="00EA2A26" w:rsidP="00CE6FBD">
    <w:pPr>
      <w:pStyle w:val="Header"/>
      <w:ind w:right="360"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4BBD08" w14:textId="77777777" w:rsidR="009170CF" w:rsidRDefault="009170CF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D2A584" w14:textId="77777777" w:rsidR="00A65D98" w:rsidRDefault="00A65D98">
    <w:pPr>
      <w:pStyle w:val="Header"/>
      <w:ind w:right="360" w:firstLine="36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2E05BC" w14:textId="4C0EA118" w:rsidR="0049254D" w:rsidRPr="009170CF" w:rsidRDefault="0049254D" w:rsidP="009170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03771CF"/>
    <w:multiLevelType w:val="hybridMultilevel"/>
    <w:tmpl w:val="A6E2B150"/>
    <w:lvl w:ilvl="0" w:tplc="13AC265A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2AD64F5"/>
    <w:multiLevelType w:val="hybridMultilevel"/>
    <w:tmpl w:val="FB7ECF2E"/>
    <w:lvl w:ilvl="0" w:tplc="04090017">
      <w:start w:val="1"/>
      <w:numFmt w:val="lowerLetter"/>
      <w:lvlText w:val="%1)"/>
      <w:lvlJc w:val="left"/>
      <w:pPr>
        <w:tabs>
          <w:tab w:val="num" w:pos="1514"/>
        </w:tabs>
        <w:ind w:left="1514" w:hanging="360"/>
      </w:pPr>
    </w:lvl>
    <w:lvl w:ilvl="1" w:tplc="945E817E">
      <w:start w:val="3"/>
      <w:numFmt w:val="bullet"/>
      <w:lvlText w:val="-"/>
      <w:lvlJc w:val="left"/>
      <w:pPr>
        <w:tabs>
          <w:tab w:val="num" w:pos="2339"/>
        </w:tabs>
        <w:ind w:left="2339" w:hanging="465"/>
      </w:pPr>
      <w:rPr>
        <w:rFonts w:ascii="Times New Roman" w:eastAsia="Times New Roman" w:hAnsi="Times New Roman" w:cs="Times New Roman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954"/>
        </w:tabs>
        <w:ind w:left="295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74"/>
        </w:tabs>
        <w:ind w:left="367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94"/>
        </w:tabs>
        <w:ind w:left="439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14"/>
        </w:tabs>
        <w:ind w:left="511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34"/>
        </w:tabs>
        <w:ind w:left="583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54"/>
        </w:tabs>
        <w:ind w:left="655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74"/>
        </w:tabs>
        <w:ind w:left="7274" w:hanging="180"/>
      </w:pPr>
    </w:lvl>
  </w:abstractNum>
  <w:abstractNum w:abstractNumId="6" w15:restartNumberingAfterBreak="0">
    <w:nsid w:val="04C10297"/>
    <w:multiLevelType w:val="hybridMultilevel"/>
    <w:tmpl w:val="C9E84DA2"/>
    <w:lvl w:ilvl="0" w:tplc="B9C2E4B0">
      <w:start w:val="3"/>
      <w:numFmt w:val="lowerRoman"/>
      <w:lvlText w:val="%1)"/>
      <w:lvlJc w:val="left"/>
      <w:pPr>
        <w:tabs>
          <w:tab w:val="num" w:pos="1514"/>
        </w:tabs>
        <w:ind w:left="1514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594"/>
        </w:tabs>
        <w:ind w:left="1594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4"/>
        </w:tabs>
        <w:ind w:left="1994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4"/>
        </w:tabs>
        <w:ind w:left="2394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794"/>
        </w:tabs>
        <w:ind w:left="2794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4"/>
        </w:tabs>
        <w:ind w:left="3194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4"/>
        </w:tabs>
        <w:ind w:left="3594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994"/>
        </w:tabs>
        <w:ind w:left="3994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94"/>
        </w:tabs>
        <w:ind w:left="4394" w:hanging="400"/>
      </w:pPr>
    </w:lvl>
  </w:abstractNum>
  <w:abstractNum w:abstractNumId="7" w15:restartNumberingAfterBreak="0">
    <w:nsid w:val="06D13142"/>
    <w:multiLevelType w:val="multilevel"/>
    <w:tmpl w:val="FC805C12"/>
    <w:lvl w:ilvl="0">
      <w:start w:val="3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06DB3661"/>
    <w:multiLevelType w:val="hybridMultilevel"/>
    <w:tmpl w:val="18B06554"/>
    <w:lvl w:ilvl="0" w:tplc="C728CD9C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  <w:i w:val="0"/>
        <w:iCs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" w15:restartNumberingAfterBreak="0">
    <w:nsid w:val="0C0E3449"/>
    <w:multiLevelType w:val="hybridMultilevel"/>
    <w:tmpl w:val="12049A1A"/>
    <w:lvl w:ilvl="0" w:tplc="32400C44">
      <w:start w:val="1"/>
      <w:numFmt w:val="lowerLetter"/>
      <w:lvlText w:val="%1)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0" w15:restartNumberingAfterBreak="0">
    <w:nsid w:val="137C3191"/>
    <w:multiLevelType w:val="multilevel"/>
    <w:tmpl w:val="3426EF6A"/>
    <w:lvl w:ilvl="0">
      <w:start w:val="9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2"/>
      <w:numFmt w:val="decimal"/>
      <w:lvlText w:val="10.%2.%3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17E552A1"/>
    <w:multiLevelType w:val="hybridMultilevel"/>
    <w:tmpl w:val="9C3ACEEA"/>
    <w:lvl w:ilvl="0" w:tplc="3C3C5DB6">
      <w:start w:val="3"/>
      <w:numFmt w:val="lowerLetter"/>
      <w:lvlText w:val="%1)"/>
      <w:lvlJc w:val="left"/>
      <w:pPr>
        <w:tabs>
          <w:tab w:val="num" w:pos="1155"/>
        </w:tabs>
        <w:ind w:left="1155" w:hanging="79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EDB2326"/>
    <w:multiLevelType w:val="hybridMultilevel"/>
    <w:tmpl w:val="2A5A240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363433"/>
    <w:multiLevelType w:val="hybridMultilevel"/>
    <w:tmpl w:val="542460AA"/>
    <w:lvl w:ilvl="0" w:tplc="5756D91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40C7644E"/>
    <w:multiLevelType w:val="hybridMultilevel"/>
    <w:tmpl w:val="5D2016D4"/>
    <w:lvl w:ilvl="0" w:tplc="18C6A21C">
      <w:start w:val="1"/>
      <w:numFmt w:val="lowerLetter"/>
      <w:lvlText w:val="%1)"/>
      <w:lvlJc w:val="left"/>
      <w:pPr>
        <w:ind w:left="360" w:hanging="360"/>
      </w:pPr>
      <w:rPr>
        <w:lang w:val="en-GB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58073DB"/>
    <w:multiLevelType w:val="hybridMultilevel"/>
    <w:tmpl w:val="B7F4B89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F4B2CB9"/>
    <w:multiLevelType w:val="multilevel"/>
    <w:tmpl w:val="705E47D8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50A75D95"/>
    <w:multiLevelType w:val="hybridMultilevel"/>
    <w:tmpl w:val="03CCFCEA"/>
    <w:lvl w:ilvl="0" w:tplc="F1829A40">
      <w:start w:val="1"/>
      <w:numFmt w:val="lowerLetter"/>
      <w:lvlText w:val="%1)"/>
      <w:lvlJc w:val="left"/>
      <w:pPr>
        <w:ind w:left="720" w:hanging="72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4580ADD"/>
    <w:multiLevelType w:val="hybridMultilevel"/>
    <w:tmpl w:val="57D874FA"/>
    <w:lvl w:ilvl="0" w:tplc="D16005EA">
      <w:start w:val="3"/>
      <w:numFmt w:val="lowerRoman"/>
      <w:lvlText w:val="%1)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9" w15:restartNumberingAfterBreak="0">
    <w:nsid w:val="559F0960"/>
    <w:multiLevelType w:val="hybridMultilevel"/>
    <w:tmpl w:val="C52E18BE"/>
    <w:lvl w:ilvl="0" w:tplc="0B066290">
      <w:start w:val="1"/>
      <w:numFmt w:val="lowerLetter"/>
      <w:lvlText w:val="%1)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30A9558">
      <w:start w:val="3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6037678"/>
    <w:multiLevelType w:val="hybridMultilevel"/>
    <w:tmpl w:val="36B05B1C"/>
    <w:lvl w:ilvl="0" w:tplc="4D02BE8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68CB65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 Bold" w:eastAsia="Times New Roman" w:hAnsi="Times New Roman Bold"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3BF6C09"/>
    <w:multiLevelType w:val="hybridMultilevel"/>
    <w:tmpl w:val="94225D8E"/>
    <w:lvl w:ilvl="0" w:tplc="92D22FAA">
      <w:start w:val="1"/>
      <w:numFmt w:val="lowerLetter"/>
      <w:lvlText w:val="%1)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10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7F5726E"/>
    <w:multiLevelType w:val="multilevel"/>
    <w:tmpl w:val="4BDC83F4"/>
    <w:lvl w:ilvl="0">
      <w:start w:val="9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  <w:lvl w:ilvl="2">
      <w:start w:val="1"/>
      <w:numFmt w:val="decimal"/>
      <w:lvlText w:val="10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3" w15:restartNumberingAfterBreak="0">
    <w:nsid w:val="6D496900"/>
    <w:multiLevelType w:val="hybridMultilevel"/>
    <w:tmpl w:val="D528DF9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E3C4DA6"/>
    <w:multiLevelType w:val="hybridMultilevel"/>
    <w:tmpl w:val="AA5C218A"/>
    <w:lvl w:ilvl="0" w:tplc="04090017">
      <w:start w:val="1"/>
      <w:numFmt w:val="lowerLetter"/>
      <w:lvlText w:val="%1)"/>
      <w:lvlJc w:val="left"/>
      <w:pPr>
        <w:tabs>
          <w:tab w:val="num" w:pos="450"/>
        </w:tabs>
        <w:ind w:left="450" w:hanging="360"/>
      </w:pPr>
    </w:lvl>
    <w:lvl w:ilvl="1" w:tplc="48DA20EE">
      <w:start w:val="1"/>
      <w:numFmt w:val="decimal"/>
      <w:lvlText w:val="%2"/>
      <w:lvlJc w:val="left"/>
      <w:pPr>
        <w:tabs>
          <w:tab w:val="num" w:pos="1875"/>
        </w:tabs>
        <w:ind w:left="1875" w:hanging="795"/>
      </w:pPr>
      <w:rPr>
        <w:rFonts w:hint="default"/>
      </w:rPr>
    </w:lvl>
    <w:lvl w:ilvl="2" w:tplc="1B001E7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E6A26EA"/>
    <w:multiLevelType w:val="hybridMultilevel"/>
    <w:tmpl w:val="4A180894"/>
    <w:lvl w:ilvl="0" w:tplc="04090017">
      <w:start w:val="1"/>
      <w:numFmt w:val="lowerLetter"/>
      <w:lvlText w:val="%1)"/>
      <w:lvlJc w:val="left"/>
      <w:pPr>
        <w:tabs>
          <w:tab w:val="num" w:pos="1514"/>
        </w:tabs>
        <w:ind w:left="151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34"/>
        </w:tabs>
        <w:ind w:left="223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54"/>
        </w:tabs>
        <w:ind w:left="295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74"/>
        </w:tabs>
        <w:ind w:left="367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94"/>
        </w:tabs>
        <w:ind w:left="439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14"/>
        </w:tabs>
        <w:ind w:left="511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34"/>
        </w:tabs>
        <w:ind w:left="583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54"/>
        </w:tabs>
        <w:ind w:left="655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74"/>
        </w:tabs>
        <w:ind w:left="7274" w:hanging="180"/>
      </w:pPr>
    </w:lvl>
  </w:abstractNum>
  <w:abstractNum w:abstractNumId="26" w15:restartNumberingAfterBreak="0">
    <w:nsid w:val="7AF43A61"/>
    <w:multiLevelType w:val="hybridMultilevel"/>
    <w:tmpl w:val="B890094C"/>
    <w:lvl w:ilvl="0" w:tplc="0C78C4B4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010BA4"/>
    <w:multiLevelType w:val="hybridMultilevel"/>
    <w:tmpl w:val="4AA87EB8"/>
    <w:lvl w:ilvl="0" w:tplc="27E61176">
      <w:start w:val="1"/>
      <w:numFmt w:val="lowerLetter"/>
      <w:lvlText w:val="%1)"/>
      <w:lvlJc w:val="left"/>
      <w:pPr>
        <w:tabs>
          <w:tab w:val="num" w:pos="795"/>
        </w:tabs>
        <w:ind w:left="795" w:hanging="795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D450147"/>
    <w:multiLevelType w:val="hybridMultilevel"/>
    <w:tmpl w:val="166A2A8E"/>
    <w:lvl w:ilvl="0" w:tplc="1FF8DFF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num w:numId="1" w16cid:durableId="1508400534">
    <w:abstractNumId w:val="28"/>
  </w:num>
  <w:num w:numId="2" w16cid:durableId="1539005737">
    <w:abstractNumId w:val="13"/>
  </w:num>
  <w:num w:numId="3" w16cid:durableId="1397506281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22763375">
    <w:abstractNumId w:val="18"/>
  </w:num>
  <w:num w:numId="5" w16cid:durableId="769550680">
    <w:abstractNumId w:val="20"/>
  </w:num>
  <w:num w:numId="6" w16cid:durableId="1028213405">
    <w:abstractNumId w:val="8"/>
  </w:num>
  <w:num w:numId="7" w16cid:durableId="40861194">
    <w:abstractNumId w:val="6"/>
  </w:num>
  <w:num w:numId="8" w16cid:durableId="548878394">
    <w:abstractNumId w:val="26"/>
  </w:num>
  <w:num w:numId="9" w16cid:durableId="170867595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43695314">
    <w:abstractNumId w:val="21"/>
  </w:num>
  <w:num w:numId="11" w16cid:durableId="1320033458">
    <w:abstractNumId w:val="4"/>
  </w:num>
  <w:num w:numId="12" w16cid:durableId="1625772228">
    <w:abstractNumId w:val="14"/>
  </w:num>
  <w:num w:numId="13" w16cid:durableId="1976832084">
    <w:abstractNumId w:val="15"/>
  </w:num>
  <w:num w:numId="14" w16cid:durableId="1031564875">
    <w:abstractNumId w:val="23"/>
  </w:num>
  <w:num w:numId="15" w16cid:durableId="163209178">
    <w:abstractNumId w:val="12"/>
  </w:num>
  <w:num w:numId="16" w16cid:durableId="922253490">
    <w:abstractNumId w:val="27"/>
  </w:num>
  <w:num w:numId="17" w16cid:durableId="100997407">
    <w:abstractNumId w:val="24"/>
  </w:num>
  <w:num w:numId="18" w16cid:durableId="1323191817">
    <w:abstractNumId w:val="19"/>
  </w:num>
  <w:num w:numId="19" w16cid:durableId="1344938320">
    <w:abstractNumId w:val="9"/>
  </w:num>
  <w:num w:numId="20" w16cid:durableId="1045105427">
    <w:abstractNumId w:val="16"/>
  </w:num>
  <w:num w:numId="21" w16cid:durableId="957953241">
    <w:abstractNumId w:val="10"/>
  </w:num>
  <w:num w:numId="22" w16cid:durableId="884409409">
    <w:abstractNumId w:val="22"/>
  </w:num>
  <w:num w:numId="23" w16cid:durableId="1534727971">
    <w:abstractNumId w:val="7"/>
  </w:num>
  <w:num w:numId="24" w16cid:durableId="108009643">
    <w:abstractNumId w:val="25"/>
  </w:num>
  <w:num w:numId="25" w16cid:durableId="16061840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mirrorMargins/>
  <w:proofState w:spelling="clean" w:grammar="clean"/>
  <w:attachedTemplate r:id="rId1"/>
  <w:stylePaneFormatFilter w:val="3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C26"/>
    <w:rsid w:val="00001053"/>
    <w:rsid w:val="00006C17"/>
    <w:rsid w:val="00011D78"/>
    <w:rsid w:val="00015A60"/>
    <w:rsid w:val="00017B45"/>
    <w:rsid w:val="00023463"/>
    <w:rsid w:val="0002728D"/>
    <w:rsid w:val="0003503D"/>
    <w:rsid w:val="00060974"/>
    <w:rsid w:val="000B071B"/>
    <w:rsid w:val="000B47CD"/>
    <w:rsid w:val="000B5A36"/>
    <w:rsid w:val="000C22AE"/>
    <w:rsid w:val="000D378F"/>
    <w:rsid w:val="000D3CE4"/>
    <w:rsid w:val="000D5219"/>
    <w:rsid w:val="000D6DAE"/>
    <w:rsid w:val="000E4393"/>
    <w:rsid w:val="00117D80"/>
    <w:rsid w:val="001309FB"/>
    <w:rsid w:val="00151BAA"/>
    <w:rsid w:val="001762A1"/>
    <w:rsid w:val="001B4A76"/>
    <w:rsid w:val="001B5C6B"/>
    <w:rsid w:val="001C5240"/>
    <w:rsid w:val="001C604C"/>
    <w:rsid w:val="001D71B9"/>
    <w:rsid w:val="001F3813"/>
    <w:rsid w:val="002178BA"/>
    <w:rsid w:val="002204D5"/>
    <w:rsid w:val="002210D5"/>
    <w:rsid w:val="00227040"/>
    <w:rsid w:val="00237B40"/>
    <w:rsid w:val="002462EF"/>
    <w:rsid w:val="00246C17"/>
    <w:rsid w:val="00264852"/>
    <w:rsid w:val="00266279"/>
    <w:rsid w:val="002742C3"/>
    <w:rsid w:val="00281FC7"/>
    <w:rsid w:val="002A60C5"/>
    <w:rsid w:val="002C182C"/>
    <w:rsid w:val="002D336F"/>
    <w:rsid w:val="002D5607"/>
    <w:rsid w:val="002E1B7B"/>
    <w:rsid w:val="002E6A20"/>
    <w:rsid w:val="002F0D02"/>
    <w:rsid w:val="00331B2F"/>
    <w:rsid w:val="003374BB"/>
    <w:rsid w:val="0035222D"/>
    <w:rsid w:val="0038237B"/>
    <w:rsid w:val="003C3FD9"/>
    <w:rsid w:val="003D116F"/>
    <w:rsid w:val="003D7A8C"/>
    <w:rsid w:val="003F293E"/>
    <w:rsid w:val="00420F50"/>
    <w:rsid w:val="004568D2"/>
    <w:rsid w:val="004612A7"/>
    <w:rsid w:val="00462F6A"/>
    <w:rsid w:val="00467305"/>
    <w:rsid w:val="0048772A"/>
    <w:rsid w:val="0049254D"/>
    <w:rsid w:val="004A58A4"/>
    <w:rsid w:val="004B7CB1"/>
    <w:rsid w:val="004E5019"/>
    <w:rsid w:val="004F2E56"/>
    <w:rsid w:val="00501F47"/>
    <w:rsid w:val="00504D1F"/>
    <w:rsid w:val="00524FB2"/>
    <w:rsid w:val="0053765D"/>
    <w:rsid w:val="00555B61"/>
    <w:rsid w:val="005569CA"/>
    <w:rsid w:val="00562EF2"/>
    <w:rsid w:val="00574CFF"/>
    <w:rsid w:val="005D19E5"/>
    <w:rsid w:val="005D1D45"/>
    <w:rsid w:val="005D4393"/>
    <w:rsid w:val="00601999"/>
    <w:rsid w:val="00611CD0"/>
    <w:rsid w:val="00631549"/>
    <w:rsid w:val="006425B4"/>
    <w:rsid w:val="00647B88"/>
    <w:rsid w:val="00653C1B"/>
    <w:rsid w:val="006545B8"/>
    <w:rsid w:val="00665F6E"/>
    <w:rsid w:val="006678D7"/>
    <w:rsid w:val="006747A4"/>
    <w:rsid w:val="006824D9"/>
    <w:rsid w:val="00684F2B"/>
    <w:rsid w:val="00693D4F"/>
    <w:rsid w:val="00697D23"/>
    <w:rsid w:val="006B0459"/>
    <w:rsid w:val="006B5987"/>
    <w:rsid w:val="006E13C5"/>
    <w:rsid w:val="00706D36"/>
    <w:rsid w:val="00707551"/>
    <w:rsid w:val="007116DC"/>
    <w:rsid w:val="0071403C"/>
    <w:rsid w:val="00717E4B"/>
    <w:rsid w:val="00720F3C"/>
    <w:rsid w:val="0072660F"/>
    <w:rsid w:val="00726747"/>
    <w:rsid w:val="0073220E"/>
    <w:rsid w:val="0074102F"/>
    <w:rsid w:val="007550BF"/>
    <w:rsid w:val="00780423"/>
    <w:rsid w:val="00781E25"/>
    <w:rsid w:val="007828CF"/>
    <w:rsid w:val="00783EB8"/>
    <w:rsid w:val="007958DD"/>
    <w:rsid w:val="007C00E3"/>
    <w:rsid w:val="007E0240"/>
    <w:rsid w:val="007F32A3"/>
    <w:rsid w:val="008075CD"/>
    <w:rsid w:val="00837339"/>
    <w:rsid w:val="00845E8E"/>
    <w:rsid w:val="00851E30"/>
    <w:rsid w:val="0088751E"/>
    <w:rsid w:val="008968B6"/>
    <w:rsid w:val="008B4CF6"/>
    <w:rsid w:val="008B6349"/>
    <w:rsid w:val="008C7FC3"/>
    <w:rsid w:val="008D35B7"/>
    <w:rsid w:val="008D6D8D"/>
    <w:rsid w:val="00901958"/>
    <w:rsid w:val="009055E3"/>
    <w:rsid w:val="00905B41"/>
    <w:rsid w:val="00916468"/>
    <w:rsid w:val="009170CF"/>
    <w:rsid w:val="0092650E"/>
    <w:rsid w:val="00931C08"/>
    <w:rsid w:val="00931EE1"/>
    <w:rsid w:val="009330E7"/>
    <w:rsid w:val="00934946"/>
    <w:rsid w:val="009423EF"/>
    <w:rsid w:val="0095090C"/>
    <w:rsid w:val="00971915"/>
    <w:rsid w:val="00974C0C"/>
    <w:rsid w:val="009755D7"/>
    <w:rsid w:val="009C2357"/>
    <w:rsid w:val="009D10A5"/>
    <w:rsid w:val="009D26AE"/>
    <w:rsid w:val="009D3A40"/>
    <w:rsid w:val="009D7132"/>
    <w:rsid w:val="009E1DCF"/>
    <w:rsid w:val="009F7009"/>
    <w:rsid w:val="00A01A91"/>
    <w:rsid w:val="00A174EB"/>
    <w:rsid w:val="00A24E9A"/>
    <w:rsid w:val="00A26B1A"/>
    <w:rsid w:val="00A3085D"/>
    <w:rsid w:val="00A4766C"/>
    <w:rsid w:val="00A65D98"/>
    <w:rsid w:val="00A83D3D"/>
    <w:rsid w:val="00AA1264"/>
    <w:rsid w:val="00AA2D89"/>
    <w:rsid w:val="00AC361F"/>
    <w:rsid w:val="00AC4AF1"/>
    <w:rsid w:val="00AE4C26"/>
    <w:rsid w:val="00B150A9"/>
    <w:rsid w:val="00B23929"/>
    <w:rsid w:val="00B241C9"/>
    <w:rsid w:val="00B3059C"/>
    <w:rsid w:val="00B33CAA"/>
    <w:rsid w:val="00B50CB4"/>
    <w:rsid w:val="00B50D4E"/>
    <w:rsid w:val="00B50F17"/>
    <w:rsid w:val="00B56BC0"/>
    <w:rsid w:val="00B67290"/>
    <w:rsid w:val="00B73379"/>
    <w:rsid w:val="00B73B62"/>
    <w:rsid w:val="00B800A4"/>
    <w:rsid w:val="00B92804"/>
    <w:rsid w:val="00B9509A"/>
    <w:rsid w:val="00BA7AC5"/>
    <w:rsid w:val="00BB34EA"/>
    <w:rsid w:val="00BE58E6"/>
    <w:rsid w:val="00BF610E"/>
    <w:rsid w:val="00C12E70"/>
    <w:rsid w:val="00C17EEB"/>
    <w:rsid w:val="00C32F69"/>
    <w:rsid w:val="00C42785"/>
    <w:rsid w:val="00C437DF"/>
    <w:rsid w:val="00C63087"/>
    <w:rsid w:val="00C64078"/>
    <w:rsid w:val="00C706FC"/>
    <w:rsid w:val="00C72AF4"/>
    <w:rsid w:val="00CB3D39"/>
    <w:rsid w:val="00CB6046"/>
    <w:rsid w:val="00CD10C2"/>
    <w:rsid w:val="00CD3865"/>
    <w:rsid w:val="00CE767E"/>
    <w:rsid w:val="00CF024D"/>
    <w:rsid w:val="00D20887"/>
    <w:rsid w:val="00D26ECC"/>
    <w:rsid w:val="00D324F1"/>
    <w:rsid w:val="00D4292A"/>
    <w:rsid w:val="00D44731"/>
    <w:rsid w:val="00D457B6"/>
    <w:rsid w:val="00D50046"/>
    <w:rsid w:val="00D54881"/>
    <w:rsid w:val="00D66950"/>
    <w:rsid w:val="00D76D88"/>
    <w:rsid w:val="00D8497D"/>
    <w:rsid w:val="00D94D9E"/>
    <w:rsid w:val="00DA7D60"/>
    <w:rsid w:val="00DB0002"/>
    <w:rsid w:val="00DB2AF8"/>
    <w:rsid w:val="00DB5592"/>
    <w:rsid w:val="00DE48B4"/>
    <w:rsid w:val="00E03ABC"/>
    <w:rsid w:val="00E154E2"/>
    <w:rsid w:val="00E20918"/>
    <w:rsid w:val="00E300EC"/>
    <w:rsid w:val="00E309B3"/>
    <w:rsid w:val="00E51820"/>
    <w:rsid w:val="00E56BAB"/>
    <w:rsid w:val="00E60A09"/>
    <w:rsid w:val="00E67297"/>
    <w:rsid w:val="00E758D6"/>
    <w:rsid w:val="00E82452"/>
    <w:rsid w:val="00E83C1C"/>
    <w:rsid w:val="00E84CE6"/>
    <w:rsid w:val="00E96B11"/>
    <w:rsid w:val="00E96C27"/>
    <w:rsid w:val="00E976D9"/>
    <w:rsid w:val="00EA12A2"/>
    <w:rsid w:val="00EA2A26"/>
    <w:rsid w:val="00EB2388"/>
    <w:rsid w:val="00EB3556"/>
    <w:rsid w:val="00EE1126"/>
    <w:rsid w:val="00EE2FE2"/>
    <w:rsid w:val="00EE4B7A"/>
    <w:rsid w:val="00F0099E"/>
    <w:rsid w:val="00F12607"/>
    <w:rsid w:val="00F15F98"/>
    <w:rsid w:val="00F251B6"/>
    <w:rsid w:val="00F34748"/>
    <w:rsid w:val="00F4281C"/>
    <w:rsid w:val="00F4544A"/>
    <w:rsid w:val="00F576B9"/>
    <w:rsid w:val="00F67E96"/>
    <w:rsid w:val="00F9579B"/>
    <w:rsid w:val="00FA70B7"/>
    <w:rsid w:val="00FD23A9"/>
    <w:rsid w:val="00FD7F88"/>
    <w:rsid w:val="00FE715C"/>
    <w:rsid w:val="00FF0521"/>
    <w:rsid w:val="00FF2798"/>
    <w:rsid w:val="00FF6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CE57DB"/>
  <w15:docId w15:val="{4EFD016A-5C5C-47F6-9039-194AE1CE5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170C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pPr>
      <w:spacing w:before="360"/>
      <w:outlineLvl w:val="1"/>
    </w:pPr>
  </w:style>
  <w:style w:type="paragraph" w:styleId="Heading3">
    <w:name w:val="heading 3"/>
    <w:basedOn w:val="Heading1"/>
    <w:next w:val="Normal"/>
    <w:qFormat/>
    <w:pPr>
      <w:spacing w:before="24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</w:style>
  <w:style w:type="paragraph" w:styleId="TOC6">
    <w:name w:val="toc 6"/>
    <w:basedOn w:val="TOC4"/>
    <w:semiHidden/>
  </w:style>
  <w:style w:type="paragraph" w:styleId="TOC5">
    <w:name w:val="toc 5"/>
    <w:basedOn w:val="TOC4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rsid w:val="00B3059C"/>
    <w:rPr>
      <w:position w:val="6"/>
      <w:sz w:val="16"/>
    </w:rPr>
  </w:style>
  <w:style w:type="paragraph" w:styleId="FootnoteText">
    <w:name w:val="footnote text"/>
    <w:basedOn w:val="Note"/>
    <w:link w:val="FootnoteTextChar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 w:line="240" w:lineRule="exact"/>
    </w:pPr>
    <w:rPr>
      <w:sz w:val="20"/>
    </w:rPr>
  </w:style>
  <w:style w:type="character" w:customStyle="1" w:styleId="FootnoteTextChar">
    <w:name w:val="Footnote Text Char"/>
    <w:link w:val="FootnoteText"/>
    <w:rsid w:val="003374BB"/>
    <w:rPr>
      <w:lang w:val="fr-FR" w:eastAsia="en-US" w:bidi="ar-SA"/>
    </w:rPr>
  </w:style>
  <w:style w:type="paragraph" w:customStyle="1" w:styleId="enumlev1">
    <w:name w:val="enumlev1"/>
    <w:basedOn w:val="Normal"/>
    <w:link w:val="enumlev1Char"/>
    <w:qFormat/>
    <w:pPr>
      <w:spacing w:before="80"/>
      <w:ind w:left="794" w:hanging="794"/>
    </w:pPr>
  </w:style>
  <w:style w:type="character" w:customStyle="1" w:styleId="enumlev1Char">
    <w:name w:val="enumlev1 Char"/>
    <w:link w:val="enumlev1"/>
    <w:qFormat/>
    <w:rsid w:val="003374BB"/>
    <w:rPr>
      <w:sz w:val="22"/>
      <w:lang w:val="fr-FR" w:eastAsia="en-US" w:bidi="ar-SA"/>
    </w:r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</w:style>
  <w:style w:type="paragraph" w:customStyle="1" w:styleId="Chaptitle">
    <w:name w:val="Chap_titl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uiPriority w:val="99"/>
    <w:pPr>
      <w:spacing w:before="400"/>
    </w:pPr>
  </w:style>
  <w:style w:type="character" w:styleId="PageNumber">
    <w:name w:val="page number"/>
    <w:basedOn w:val="DefaultParagraphFont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pPr>
      <w:jc w:val="left"/>
    </w:pPr>
  </w:style>
  <w:style w:type="paragraph" w:styleId="BodyTextFirstIndent">
    <w:name w:val="Body Text First Indent"/>
    <w:basedOn w:val="BodyText"/>
    <w:rsid w:val="00EE1126"/>
    <w:pPr>
      <w:spacing w:after="120"/>
      <w:ind w:firstLine="210"/>
    </w:pPr>
    <w:rPr>
      <w:rFonts w:ascii="Times New Roman" w:hAnsi="Times New Roman" w:cs="Times New Roman"/>
      <w:b w:val="0"/>
      <w:bCs w:val="0"/>
      <w:sz w:val="22"/>
    </w:rPr>
  </w:style>
  <w:style w:type="paragraph" w:styleId="BodyText">
    <w:name w:val="Body Text"/>
    <w:basedOn w:val="Normal"/>
    <w:link w:val="BodyTextChar"/>
    <w:uiPriority w:val="1"/>
    <w:qFormat/>
    <w:rPr>
      <w:rFonts w:ascii="Arial" w:hAnsi="Arial" w:cs="Arial"/>
      <w:b/>
      <w:bCs/>
      <w:sz w:val="36"/>
    </w:rPr>
  </w:style>
  <w:style w:type="paragraph" w:customStyle="1" w:styleId="AnnexNoTitle">
    <w:name w:val="Annex_NoTitle"/>
    <w:basedOn w:val="Normal"/>
    <w:next w:val="Normalaftertitle"/>
    <w:pPr>
      <w:keepNext/>
      <w:keepLines/>
      <w:spacing w:before="720" w:after="120"/>
      <w:jc w:val="center"/>
    </w:pPr>
    <w:rPr>
      <w:b/>
      <w:sz w:val="24"/>
    </w:r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AppendixNoTitle">
    <w:name w:val="Appendix_NoTitle"/>
    <w:basedOn w:val="AnnexNoTitle"/>
    <w:next w:val="Normalaftertitle"/>
  </w:style>
  <w:style w:type="character" w:customStyle="1" w:styleId="Artdef">
    <w:name w:val="Art_def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link w:val="CallChar"/>
    <w:uiPriority w:val="99"/>
    <w:pPr>
      <w:keepNext/>
      <w:keepLines/>
      <w:spacing w:before="240"/>
      <w:ind w:left="794"/>
      <w:jc w:val="left"/>
    </w:pPr>
    <w:rPr>
      <w:i/>
    </w:rPr>
  </w:style>
  <w:style w:type="character" w:customStyle="1" w:styleId="CallChar">
    <w:name w:val="Call Char"/>
    <w:link w:val="Call"/>
    <w:rsid w:val="00E03ABC"/>
    <w:rPr>
      <w:i/>
      <w:sz w:val="22"/>
      <w:lang w:val="fr-FR" w:eastAsia="en-US" w:bidi="ar-SA"/>
    </w:rPr>
  </w:style>
  <w:style w:type="paragraph" w:customStyle="1" w:styleId="ChapNo">
    <w:name w:val="Chap_No"/>
    <w:basedOn w:val="Normal"/>
    <w:next w:val="Chaptitl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pPr>
      <w:ind w:left="284"/>
      <w:jc w:val="left"/>
    </w:pPr>
  </w:style>
  <w:style w:type="paragraph" w:styleId="Index3">
    <w:name w:val="index 3"/>
    <w:basedOn w:val="Normal"/>
    <w:next w:val="Normal"/>
    <w:semiHidden/>
    <w:pPr>
      <w:ind w:left="567"/>
      <w:jc w:val="left"/>
    </w:p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RecNo">
    <w:name w:val="Rec_No"/>
    <w:basedOn w:val="Normal"/>
    <w:next w:val="Rectitle"/>
    <w:link w:val="RecNoChar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character" w:customStyle="1" w:styleId="RecNoChar">
    <w:name w:val="Rec_No Char"/>
    <w:link w:val="RecNo"/>
    <w:rsid w:val="003D7A8C"/>
    <w:rPr>
      <w:b/>
      <w:sz w:val="28"/>
      <w:lang w:val="fr-FR" w:eastAsia="en-US" w:bidi="ar-SA"/>
    </w:rPr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date">
    <w:name w:val="Res_date"/>
    <w:basedOn w:val="Recdate"/>
    <w:next w:val="Normalaftertitle"/>
  </w:style>
  <w:style w:type="character" w:customStyle="1" w:styleId="Resdef">
    <w:name w:val="Res_def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link w:val="ResNoChar"/>
    <w:rsid w:val="00EB2388"/>
    <w:pPr>
      <w:tabs>
        <w:tab w:val="clear" w:pos="794"/>
        <w:tab w:val="clear" w:pos="1191"/>
        <w:tab w:val="clear" w:pos="1588"/>
        <w:tab w:val="clear" w:pos="1985"/>
      </w:tabs>
      <w:jc w:val="center"/>
      <w:outlineLvl w:val="0"/>
    </w:pPr>
    <w:rPr>
      <w:b w:val="0"/>
      <w:caps/>
      <w:sz w:val="26"/>
    </w:rPr>
  </w:style>
  <w:style w:type="paragraph" w:customStyle="1" w:styleId="Restitle">
    <w:name w:val="Res_title"/>
    <w:basedOn w:val="Rectitle"/>
    <w:next w:val="Resref"/>
    <w:link w:val="RestitleChar"/>
    <w:uiPriority w:val="99"/>
    <w:rsid w:val="00EB2388"/>
    <w:pPr>
      <w:outlineLvl w:val="0"/>
    </w:pPr>
    <w:rPr>
      <w:sz w:val="26"/>
    </w:rPr>
  </w:style>
  <w:style w:type="paragraph" w:customStyle="1" w:styleId="Resref">
    <w:name w:val="Res_ref"/>
    <w:basedOn w:val="Recref"/>
    <w:next w:val="Resdate"/>
    <w:uiPriority w:val="99"/>
    <w:qFormat/>
  </w:style>
  <w:style w:type="character" w:customStyle="1" w:styleId="RestitleChar">
    <w:name w:val="Res_title Char"/>
    <w:link w:val="Restitle"/>
    <w:uiPriority w:val="99"/>
    <w:rsid w:val="00EB2388"/>
    <w:rPr>
      <w:rFonts w:ascii="Times New Roman" w:hAnsi="Times New Roman"/>
      <w:b/>
      <w:sz w:val="26"/>
      <w:lang w:val="fr-FR" w:eastAsia="en-US"/>
    </w:rPr>
  </w:style>
  <w:style w:type="character" w:customStyle="1" w:styleId="ResNoChar">
    <w:name w:val="Res_No Char"/>
    <w:link w:val="ResNo"/>
    <w:rsid w:val="00EB2388"/>
    <w:rPr>
      <w:rFonts w:ascii="Times New Roman" w:hAnsi="Times New Roman"/>
      <w:caps/>
      <w:sz w:val="26"/>
      <w:lang w:val="fr-FR" w:eastAsia="en-US"/>
    </w:rPr>
  </w:style>
  <w:style w:type="paragraph" w:customStyle="1" w:styleId="SectionNo">
    <w:name w:val="Section_No"/>
    <w:basedOn w:val="Normal"/>
    <w:next w:val="Sectiontitle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character" w:customStyle="1" w:styleId="Tablefreq">
    <w:name w:val="Table_freq"/>
    <w:rPr>
      <w:b/>
      <w:color w:val="auto"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sz w:val="20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styleId="Index5">
    <w:name w:val="index 5"/>
    <w:basedOn w:val="Normal"/>
    <w:next w:val="Normal"/>
    <w:semiHidden/>
    <w:pPr>
      <w:ind w:left="1132"/>
      <w:jc w:val="left"/>
    </w:pPr>
    <w:rPr>
      <w:sz w:val="24"/>
      <w:lang w:val="en-GB"/>
    </w:rPr>
  </w:style>
  <w:style w:type="paragraph" w:styleId="Index4">
    <w:name w:val="index 4"/>
    <w:basedOn w:val="Normal"/>
    <w:next w:val="Normal"/>
    <w:semiHidden/>
    <w:pPr>
      <w:ind w:left="849"/>
      <w:jc w:val="left"/>
    </w:pPr>
    <w:rPr>
      <w:sz w:val="24"/>
      <w:lang w:val="en-GB"/>
    </w:rPr>
  </w:style>
  <w:style w:type="paragraph" w:styleId="BodyText2">
    <w:name w:val="Body Text 2"/>
    <w:basedOn w:val="Normal"/>
    <w:pPr>
      <w:tabs>
        <w:tab w:val="right" w:pos="9639"/>
      </w:tabs>
      <w:spacing w:before="400" w:line="440" w:lineRule="exact"/>
      <w:jc w:val="left"/>
    </w:pPr>
    <w:rPr>
      <w:rFonts w:ascii="Arial" w:hAnsi="Arial" w:cs="Arial"/>
      <w:b/>
      <w:bCs/>
      <w:sz w:val="36"/>
    </w:rPr>
  </w:style>
  <w:style w:type="character" w:customStyle="1" w:styleId="href">
    <w:name w:val="href"/>
    <w:basedOn w:val="DefaultParagraphFont"/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  <w:rPr>
      <w:sz w:val="24"/>
      <w:lang w:val="en-GB"/>
    </w:rPr>
  </w:style>
  <w:style w:type="paragraph" w:customStyle="1" w:styleId="blanc">
    <w:name w:val="blanc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left"/>
    </w:pPr>
    <w:rPr>
      <w:sz w:val="2"/>
      <w:lang w:val="en-US"/>
    </w:rPr>
  </w:style>
  <w:style w:type="paragraph" w:customStyle="1" w:styleId="NormalIndent">
    <w:name w:val="Normal_Indent"/>
    <w:basedOn w:val="Normal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  <w:jc w:val="left"/>
    </w:pPr>
  </w:style>
  <w:style w:type="paragraph" w:customStyle="1" w:styleId="TableTitle">
    <w:name w:val="Table_Title"/>
    <w:basedOn w:val="Normal"/>
    <w:next w:val="Tabletext"/>
    <w:rsid w:val="00A01A91"/>
    <w:pPr>
      <w:keepNext/>
      <w:keepLines/>
      <w:spacing w:before="480" w:after="120"/>
      <w:jc w:val="center"/>
    </w:pPr>
    <w:rPr>
      <w:b/>
      <w:sz w:val="24"/>
      <w:lang w:val="en-GB"/>
    </w:rPr>
  </w:style>
  <w:style w:type="paragraph" w:customStyle="1" w:styleId="Normalaftertitle0">
    <w:name w:val="Normal after title"/>
    <w:basedOn w:val="Normal"/>
    <w:next w:val="Normal"/>
    <w:link w:val="NormalaftertitleChar"/>
    <w:rsid w:val="004A58A4"/>
    <w:pPr>
      <w:spacing w:before="280"/>
    </w:pPr>
    <w:rPr>
      <w:lang w:val="en-GB"/>
    </w:rPr>
  </w:style>
  <w:style w:type="character" w:customStyle="1" w:styleId="docdisplay">
    <w:name w:val="doc_display"/>
    <w:basedOn w:val="DefaultParagraphFont"/>
    <w:rsid w:val="00A83D3D"/>
  </w:style>
  <w:style w:type="paragraph" w:customStyle="1" w:styleId="AnnexNo">
    <w:name w:val="Annex_No"/>
    <w:basedOn w:val="Normal"/>
    <w:next w:val="Normal"/>
    <w:rsid w:val="00C437DF"/>
    <w:pPr>
      <w:keepNext/>
      <w:keepLines/>
      <w:spacing w:before="480" w:after="80"/>
      <w:jc w:val="center"/>
    </w:pPr>
    <w:rPr>
      <w:caps/>
      <w:sz w:val="26"/>
      <w:lang w:val="en-GB"/>
    </w:rPr>
  </w:style>
  <w:style w:type="character" w:customStyle="1" w:styleId="CharChar">
    <w:name w:val="Char Char"/>
    <w:semiHidden/>
    <w:locked/>
    <w:rsid w:val="009D26AE"/>
    <w:rPr>
      <w:sz w:val="24"/>
      <w:lang w:val="en-GB" w:eastAsia="en-US" w:bidi="ar-SA"/>
    </w:rPr>
  </w:style>
  <w:style w:type="character" w:customStyle="1" w:styleId="NormalaftertitleChar">
    <w:name w:val="Normal after title Char"/>
    <w:link w:val="Normalaftertitle0"/>
    <w:locked/>
    <w:rsid w:val="004A58A4"/>
    <w:rPr>
      <w:rFonts w:ascii="Times New Roman" w:hAnsi="Times New Roman"/>
      <w:sz w:val="22"/>
      <w:lang w:val="en-GB" w:eastAsia="en-US"/>
    </w:rPr>
  </w:style>
  <w:style w:type="paragraph" w:styleId="BodyTextIndent">
    <w:name w:val="Body Text Indent"/>
    <w:basedOn w:val="Normal"/>
    <w:rsid w:val="00EE1126"/>
    <w:pPr>
      <w:spacing w:after="120"/>
      <w:ind w:left="283"/>
    </w:pPr>
  </w:style>
  <w:style w:type="paragraph" w:styleId="List2">
    <w:name w:val="List 2"/>
    <w:basedOn w:val="Normal"/>
    <w:rsid w:val="00EE1126"/>
    <w:pPr>
      <w:ind w:left="566" w:hanging="283"/>
    </w:pPr>
    <w:rPr>
      <w:sz w:val="24"/>
    </w:rPr>
  </w:style>
  <w:style w:type="paragraph" w:styleId="BodyTextIndent2">
    <w:name w:val="Body Text Indent 2"/>
    <w:basedOn w:val="Normal"/>
    <w:rsid w:val="008B4CF6"/>
    <w:pPr>
      <w:spacing w:after="120" w:line="480" w:lineRule="auto"/>
      <w:ind w:left="283"/>
    </w:pPr>
  </w:style>
  <w:style w:type="paragraph" w:customStyle="1" w:styleId="Formal">
    <w:name w:val="Formal"/>
    <w:basedOn w:val="ASN1"/>
    <w:rsid w:val="008B4CF6"/>
    <w:pPr>
      <w:overflowPunct w:val="0"/>
      <w:autoSpaceDE w:val="0"/>
      <w:autoSpaceDN w:val="0"/>
      <w:adjustRightInd w:val="0"/>
      <w:textAlignment w:val="baseline"/>
    </w:pPr>
    <w:rPr>
      <w:b w:val="0"/>
      <w:lang w:val="en-US"/>
    </w:rPr>
  </w:style>
  <w:style w:type="paragraph" w:customStyle="1" w:styleId="FigureNo">
    <w:name w:val="Figure_No"/>
    <w:basedOn w:val="Normal"/>
    <w:next w:val="Figuretitle"/>
    <w:uiPriority w:val="99"/>
    <w:rsid w:val="000E4393"/>
    <w:pPr>
      <w:keepNext/>
      <w:keepLines/>
      <w:spacing w:before="480" w:after="120"/>
      <w:jc w:val="center"/>
    </w:pPr>
    <w:rPr>
      <w:caps/>
      <w:sz w:val="24"/>
      <w:lang w:val="en-GB"/>
    </w:rPr>
  </w:style>
  <w:style w:type="paragraph" w:customStyle="1" w:styleId="Figuretitle">
    <w:name w:val="Figure_title"/>
    <w:basedOn w:val="Normal"/>
    <w:next w:val="Normal"/>
    <w:rsid w:val="000E4393"/>
    <w:pPr>
      <w:keepLines/>
      <w:spacing w:before="0" w:after="480"/>
      <w:jc w:val="center"/>
    </w:pPr>
    <w:rPr>
      <w:rFonts w:ascii="Times New Roman Bold" w:hAnsi="Times New Roman Bold"/>
      <w:b/>
      <w:sz w:val="24"/>
      <w:lang w:val="en-GB"/>
    </w:rPr>
  </w:style>
  <w:style w:type="paragraph" w:customStyle="1" w:styleId="AppendixNo">
    <w:name w:val="Appendix_No"/>
    <w:basedOn w:val="Normal"/>
    <w:next w:val="Normal"/>
    <w:rsid w:val="00C437DF"/>
    <w:pPr>
      <w:keepNext/>
      <w:keepLines/>
      <w:spacing w:before="480" w:after="80"/>
      <w:jc w:val="center"/>
    </w:pPr>
    <w:rPr>
      <w:caps/>
      <w:sz w:val="26"/>
      <w:lang w:val="en-GB"/>
    </w:rPr>
  </w:style>
  <w:style w:type="paragraph" w:customStyle="1" w:styleId="Appendixtitle">
    <w:name w:val="Appendix_title"/>
    <w:basedOn w:val="Normal"/>
    <w:next w:val="Normal"/>
    <w:rsid w:val="00C437DF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  <w:lang w:val="en-GB"/>
    </w:rPr>
  </w:style>
  <w:style w:type="character" w:customStyle="1" w:styleId="FooterChar">
    <w:name w:val="Footer Char"/>
    <w:basedOn w:val="DefaultParagraphFont"/>
    <w:link w:val="Footer"/>
    <w:rsid w:val="00AA1264"/>
    <w:rPr>
      <w:rFonts w:ascii="Times New Roman" w:hAnsi="Times New Roman"/>
      <w:sz w:val="22"/>
      <w:lang w:val="fr-FR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A1264"/>
    <w:rPr>
      <w:rFonts w:ascii="Times New Roman" w:hAnsi="Times New Roman"/>
      <w:sz w:val="18"/>
      <w:lang w:val="fr-FR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EA2A26"/>
    <w:rPr>
      <w:rFonts w:ascii="Arial" w:hAnsi="Arial" w:cs="Arial"/>
      <w:b/>
      <w:bCs/>
      <w:sz w:val="36"/>
      <w:lang w:val="fr-FR" w:eastAsia="en-US"/>
    </w:rPr>
  </w:style>
  <w:style w:type="character" w:styleId="Strong">
    <w:name w:val="Strong"/>
    <w:basedOn w:val="DefaultParagraphFont"/>
    <w:uiPriority w:val="22"/>
    <w:qFormat/>
    <w:rsid w:val="002D336F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D19E5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5D19E5"/>
    <w:rPr>
      <w:rFonts w:ascii="Times New Roman" w:hAnsi="Times New Roman"/>
      <w:lang w:val="fr-FR"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5D19E5"/>
    <w:rPr>
      <w:rFonts w:ascii="Times New Roman" w:hAnsi="Times New Roman"/>
      <w:b/>
      <w:bCs/>
      <w:lang w:val="fr-FR" w:eastAsia="en-US"/>
    </w:rPr>
  </w:style>
  <w:style w:type="paragraph" w:customStyle="1" w:styleId="Reasons">
    <w:name w:val="Reasons"/>
    <w:basedOn w:val="Normal"/>
    <w:uiPriority w:val="99"/>
    <w:rsid w:val="008B6349"/>
    <w:pPr>
      <w:tabs>
        <w:tab w:val="clear" w:pos="794"/>
        <w:tab w:val="clear" w:pos="1191"/>
        <w:tab w:val="left" w:pos="1134"/>
      </w:tabs>
      <w:jc w:val="left"/>
    </w:pPr>
    <w:rPr>
      <w:lang w:val="ru-RU"/>
    </w:rPr>
  </w:style>
  <w:style w:type="character" w:customStyle="1" w:styleId="ui-provider">
    <w:name w:val="ui-provider"/>
    <w:basedOn w:val="DefaultParagraphFont"/>
    <w:rsid w:val="004925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footer" Target="foot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footer" Target="foot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rdyeva\AppData\Roaming\Microsoft\Templates\TSB%20PUB\T-REC-FINAL-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T-REC-FINAL-R.dotm</Template>
  <TotalTime>63</TotalTime>
  <Pages>5</Pages>
  <Words>1052</Words>
  <Characters>7690</Characters>
  <Application>Microsoft Office Word</Application>
  <DocSecurity>0</DocSecurity>
  <Lines>64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РЕЗОЛЮЦИЯ 40 (Пересм. Нью-Дели, 2024 г.) Регуляторные и политические аспекты работы Сектора стандартизации электросвязи МСЭ</vt:lpstr>
    </vt:vector>
  </TitlesOfParts>
  <Company>ITU</Company>
  <LinksUpToDate>false</LinksUpToDate>
  <CharactersWithSpaces>8725</CharactersWithSpaces>
  <SharedDoc>false</SharedDoc>
  <HLinks>
    <vt:vector size="6" baseType="variant">
      <vt:variant>
        <vt:i4>5832781</vt:i4>
      </vt:variant>
      <vt:variant>
        <vt:i4>2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РЕЗОЛЮЦИЯ 108 (Нью-Дели, 2024 г.) Стратегическое планирование в Секторе стандартизации электросвязи МСЭ</dc:title>
  <dc:subject>WORLD TELECOMMUNICATION STANDARDIZATION ASSEMBLY - Florianópolis, 5-14 October 2004</dc:subject>
  <dc:creator>ITU-T</dc:creator>
  <cp:keywords/>
  <dc:description/>
  <cp:lastModifiedBy>Berdyeva, Elena</cp:lastModifiedBy>
  <cp:revision>43</cp:revision>
  <cp:lastPrinted>2024-11-27T08:39:00Z</cp:lastPrinted>
  <dcterms:created xsi:type="dcterms:W3CDTF">2024-09-24T12:18:00Z</dcterms:created>
  <dcterms:modified xsi:type="dcterms:W3CDTF">2024-11-27T08:40:00Z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