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638D3ABA" w:rsidR="00EA2A26" w:rsidRPr="00251518" w:rsidRDefault="00347EE0" w:rsidP="00B5549E">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B5549E">
              <w:rPr>
                <w:spacing w:val="-6"/>
                <w:sz w:val="44"/>
                <w:szCs w:val="44"/>
                <w:lang w:val="es-ES"/>
              </w:rPr>
              <w:t>7</w:t>
            </w:r>
            <w:r w:rsidR="00845E8E" w:rsidRPr="00251518">
              <w:rPr>
                <w:spacing w:val="-6"/>
                <w:sz w:val="44"/>
                <w:szCs w:val="44"/>
                <w:lang w:val="es-ES"/>
              </w:rPr>
              <w:t xml:space="preserve"> –</w:t>
            </w:r>
            <w:r w:rsidR="00391AD6">
              <w:rPr>
                <w:spacing w:val="-6"/>
                <w:sz w:val="44"/>
                <w:szCs w:val="44"/>
                <w:lang w:val="es-ES"/>
              </w:rPr>
              <w:t xml:space="preserve"> </w:t>
            </w:r>
            <w:r w:rsidR="00B5549E" w:rsidRPr="00B5549E">
              <w:rPr>
                <w:spacing w:val="-6"/>
                <w:sz w:val="44"/>
                <w:szCs w:val="44"/>
                <w:lang w:val="es-ES"/>
              </w:rPr>
              <w:t>Mejora de la participación de la próxima generación de expertos en las actividades de normalización del Sector de Normalización de las Telecomunicaciones de</w:t>
            </w:r>
            <w:r w:rsidR="00B5549E">
              <w:rPr>
                <w:spacing w:val="-6"/>
                <w:sz w:val="44"/>
                <w:szCs w:val="44"/>
                <w:lang w:val="es-ES"/>
              </w:rPr>
              <w:t> </w:t>
            </w:r>
            <w:r w:rsidR="00B5549E" w:rsidRPr="00B5549E">
              <w:rPr>
                <w:spacing w:val="-6"/>
                <w:sz w:val="44"/>
                <w:szCs w:val="44"/>
                <w:lang w:val="es-ES"/>
              </w:rPr>
              <w:t>la</w:t>
            </w:r>
            <w:r w:rsidR="00B5549E">
              <w:rPr>
                <w:spacing w:val="-6"/>
                <w:sz w:val="44"/>
                <w:szCs w:val="44"/>
                <w:lang w:val="es-ES"/>
              </w:rPr>
              <w:t> </w:t>
            </w:r>
            <w:r w:rsidR="00B5549E" w:rsidRPr="00B5549E">
              <w:rPr>
                <w:spacing w:val="-6"/>
                <w:sz w:val="44"/>
                <w:szCs w:val="44"/>
                <w:lang w:val="es-ES"/>
              </w:rPr>
              <w:t>UIT</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A2F9CEB"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B5549E">
        <w:rPr>
          <w:rStyle w:val="href"/>
          <w:lang w:val="es-ES"/>
        </w:rPr>
        <w:t>7</w:t>
      </w:r>
      <w:r w:rsidR="00AA1264" w:rsidRPr="00DD5D50">
        <w:rPr>
          <w:lang w:val="es-ES"/>
        </w:rPr>
        <w:t xml:space="preserve"> </w:t>
      </w:r>
      <w:r w:rsidR="00DD5D50">
        <w:rPr>
          <w:lang w:val="es-ES"/>
        </w:rPr>
        <w:t>(</w:t>
      </w:r>
      <w:r w:rsidR="00DD5D50" w:rsidRPr="005C2A3C">
        <w:rPr>
          <w:caps w:val="0"/>
          <w:lang w:val="es-ES"/>
        </w:rPr>
        <w:t>Nueva Delhi</w:t>
      </w:r>
      <w:r w:rsidR="00DD5D50" w:rsidRPr="005C2A3C">
        <w:rPr>
          <w:lang w:val="es-ES"/>
        </w:rPr>
        <w:t>, 2024</w:t>
      </w:r>
      <w:r w:rsidR="00DD5D50">
        <w:rPr>
          <w:lang w:val="es-ES"/>
        </w:rPr>
        <w:t>)</w:t>
      </w:r>
    </w:p>
    <w:p w14:paraId="22822F74" w14:textId="77777777" w:rsidR="00B5549E" w:rsidRPr="00C031D0" w:rsidRDefault="00B5549E" w:rsidP="00C42673">
      <w:pPr>
        <w:pStyle w:val="Restitle"/>
        <w:rPr>
          <w:lang w:val="es-ES_tradnl"/>
        </w:rPr>
      </w:pPr>
      <w:r w:rsidRPr="00C031D0">
        <w:rPr>
          <w:lang w:val="es-ES_tradnl"/>
        </w:rPr>
        <w:t xml:space="preserve">Mejora de la participación de la próxima generación </w:t>
      </w:r>
      <w:r>
        <w:rPr>
          <w:lang w:val="es-ES_tradnl"/>
        </w:rPr>
        <w:t xml:space="preserve">de expertos </w:t>
      </w:r>
      <w:r w:rsidRPr="00C031D0">
        <w:rPr>
          <w:lang w:val="es-ES_tradnl"/>
        </w:rPr>
        <w:t xml:space="preserve">en </w:t>
      </w:r>
      <w:r w:rsidRPr="00C031D0">
        <w:rPr>
          <w:lang w:val="es-ES_tradnl"/>
        </w:rPr>
        <w:br/>
        <w:t xml:space="preserve">las actividades de normalización del Sector de Normalización </w:t>
      </w:r>
      <w:r w:rsidRPr="00C031D0">
        <w:rPr>
          <w:lang w:val="es-ES_tradnl"/>
        </w:rPr>
        <w:br/>
        <w:t>de las Telecomunicaciones de la UIT</w:t>
      </w:r>
    </w:p>
    <w:p w14:paraId="7763434A" w14:textId="77777777" w:rsidR="00B5549E" w:rsidRPr="00C031D0" w:rsidRDefault="00B5549E" w:rsidP="00C42673">
      <w:pPr>
        <w:pStyle w:val="Resref"/>
        <w:rPr>
          <w:lang w:val="es-ES_tradnl" w:eastAsia="zh-CN"/>
        </w:rPr>
      </w:pPr>
      <w:r w:rsidRPr="00C031D0">
        <w:rPr>
          <w:lang w:val="es-ES_tradnl"/>
        </w:rPr>
        <w:t>(Nueva Delhi, 2024)</w:t>
      </w:r>
    </w:p>
    <w:p w14:paraId="36195908" w14:textId="77777777" w:rsidR="00B5549E" w:rsidRPr="00C031D0" w:rsidRDefault="00B5549E" w:rsidP="00C42673">
      <w:pPr>
        <w:pStyle w:val="Normalaftertitle01"/>
        <w:rPr>
          <w:lang w:val="es-ES_tradnl" w:eastAsia="zh-CN"/>
        </w:rPr>
      </w:pPr>
      <w:r w:rsidRPr="00C031D0">
        <w:rPr>
          <w:lang w:val="es-ES_tradnl" w:eastAsia="zh-CN"/>
        </w:rPr>
        <w:t xml:space="preserve">La Asamblea Mundial de Normalización de las Telecomunicaciones (Nueva </w:t>
      </w:r>
      <w:r w:rsidRPr="00C031D0">
        <w:rPr>
          <w:lang w:val="es-ES_tradnl"/>
        </w:rPr>
        <w:t>Delhi</w:t>
      </w:r>
      <w:r w:rsidRPr="00C031D0">
        <w:rPr>
          <w:lang w:val="es-ES_tradnl" w:eastAsia="zh-CN"/>
        </w:rPr>
        <w:t>, 2024),</w:t>
      </w:r>
    </w:p>
    <w:p w14:paraId="05795829" w14:textId="77777777" w:rsidR="00B5549E" w:rsidRPr="00C031D0" w:rsidRDefault="00B5549E" w:rsidP="00C42673">
      <w:pPr>
        <w:pStyle w:val="Call"/>
        <w:rPr>
          <w:lang w:val="es-ES_tradnl" w:eastAsia="zh-CN"/>
        </w:rPr>
      </w:pPr>
      <w:r w:rsidRPr="00C031D0">
        <w:rPr>
          <w:lang w:val="es-ES_tradnl" w:eastAsia="zh-CN"/>
        </w:rPr>
        <w:t>recordando</w:t>
      </w:r>
    </w:p>
    <w:p w14:paraId="1B37BE9D" w14:textId="77777777" w:rsidR="00B5549E" w:rsidRPr="00C031D0" w:rsidRDefault="00B5549E" w:rsidP="00C42673">
      <w:pPr>
        <w:rPr>
          <w:lang w:val="es-ES_tradnl" w:eastAsia="zh-CN"/>
        </w:rPr>
      </w:pPr>
      <w:r w:rsidRPr="00C031D0">
        <w:rPr>
          <w:i/>
          <w:iCs/>
          <w:lang w:val="es-ES_tradnl" w:eastAsia="zh-CN"/>
        </w:rPr>
        <w:t>a)</w:t>
      </w:r>
      <w:r w:rsidRPr="00C031D0">
        <w:rPr>
          <w:lang w:val="es-ES_tradnl" w:eastAsia="zh-CN"/>
        </w:rPr>
        <w:tab/>
        <w:t>la Resolución 198 (Rev. Bucarest, 2022) de la Conferencia de Plenipotenciarios, relativa al empoderamiento de la juventud a través de las telecomunicaciones y las tecnologías de la información y de la comunicación;</w:t>
      </w:r>
    </w:p>
    <w:p w14:paraId="44985CD5" w14:textId="77777777" w:rsidR="00B5549E" w:rsidRPr="00C031D0" w:rsidRDefault="00B5549E" w:rsidP="00C42673">
      <w:pPr>
        <w:rPr>
          <w:lang w:val="es-ES_tradnl" w:eastAsia="zh-CN"/>
        </w:rPr>
      </w:pPr>
      <w:r w:rsidRPr="00C031D0">
        <w:rPr>
          <w:i/>
          <w:iCs/>
          <w:lang w:val="es-ES_tradnl" w:eastAsia="zh-CN"/>
        </w:rPr>
        <w:t>b)</w:t>
      </w:r>
      <w:r w:rsidRPr="00C031D0">
        <w:rPr>
          <w:lang w:val="es-ES_tradnl" w:eastAsia="zh-CN"/>
        </w:rPr>
        <w:tab/>
        <w:t>la Resolución 76 (Rev. Kigali, 2022) de la Conferencia Mundial de Desarrollo de las Telecomunicaciones, sobre la promoción de las tecnologías de la información y la comunicación entre los hombres y las mujeres jóvenes para su emancipación social y económica;</w:t>
      </w:r>
    </w:p>
    <w:p w14:paraId="242E4261" w14:textId="77777777" w:rsidR="00B5549E" w:rsidRPr="00C031D0" w:rsidRDefault="00B5549E" w:rsidP="00C42673">
      <w:pPr>
        <w:rPr>
          <w:lang w:val="es-ES_tradnl" w:eastAsia="zh-CN"/>
        </w:rPr>
      </w:pPr>
      <w:r w:rsidRPr="00C031D0">
        <w:rPr>
          <w:i/>
          <w:iCs/>
          <w:lang w:val="es-ES_tradnl" w:eastAsia="zh-CN"/>
        </w:rPr>
        <w:t>c)</w:t>
      </w:r>
      <w:r w:rsidRPr="00C031D0">
        <w:rPr>
          <w:lang w:val="es-ES_tradnl" w:eastAsia="zh-CN"/>
        </w:rPr>
        <w:tab/>
        <w:t>la Resolución 123 (Rev. Bucarest, 2022) de la Conferencia de Plenipotenciarios y la Resolución 44 (Rev. Nueva Delhi, 2024) de la presente Asamblea sobre la r</w:t>
      </w:r>
      <w:r w:rsidRPr="00C031D0">
        <w:rPr>
          <w:lang w:val="es-ES_tradnl"/>
        </w:rPr>
        <w:t>educción de la brecha de normalización (BSG) entre los países en desarrollo</w:t>
      </w:r>
      <w:r w:rsidRPr="00C031D0">
        <w:rPr>
          <w:rStyle w:val="FootnoteReference"/>
          <w:lang w:val="es-ES_tradnl"/>
        </w:rPr>
        <w:footnoteReference w:customMarkFollows="1" w:id="1"/>
        <w:t>1</w:t>
      </w:r>
      <w:r w:rsidRPr="00C031D0">
        <w:rPr>
          <w:lang w:val="es-ES_tradnl"/>
        </w:rPr>
        <w:t xml:space="preserve"> y los desarrollados</w:t>
      </w:r>
      <w:r w:rsidRPr="00C031D0">
        <w:rPr>
          <w:lang w:val="es-ES_tradnl" w:eastAsia="zh-CN"/>
        </w:rPr>
        <w:t>;</w:t>
      </w:r>
    </w:p>
    <w:p w14:paraId="1DB54567" w14:textId="77777777" w:rsidR="00B5549E" w:rsidRPr="00C031D0" w:rsidRDefault="00B5549E" w:rsidP="00C42673">
      <w:pPr>
        <w:rPr>
          <w:lang w:val="es-ES_tradnl" w:eastAsia="zh-CN"/>
        </w:rPr>
      </w:pPr>
      <w:r w:rsidRPr="00C031D0">
        <w:rPr>
          <w:i/>
          <w:iCs/>
          <w:lang w:val="es-ES_tradnl" w:eastAsia="zh-CN"/>
        </w:rPr>
        <w:t>d)</w:t>
      </w:r>
      <w:r w:rsidRPr="00C031D0">
        <w:rPr>
          <w:lang w:val="es-ES_tradnl" w:eastAsia="zh-CN"/>
        </w:rPr>
        <w:tab/>
        <w:t>la Resolución 34 (Rev. Nueva Delhi, 2024) de la presente Asamblea sobre las contribuciones voluntarias,</w:t>
      </w:r>
    </w:p>
    <w:p w14:paraId="4E3442CE" w14:textId="77777777" w:rsidR="00B5549E" w:rsidRPr="00C031D0" w:rsidRDefault="00B5549E" w:rsidP="00C42673">
      <w:pPr>
        <w:pStyle w:val="Call"/>
        <w:rPr>
          <w:lang w:val="es-ES_tradnl"/>
        </w:rPr>
      </w:pPr>
      <w:r w:rsidRPr="00C031D0">
        <w:rPr>
          <w:lang w:val="es-ES_tradnl"/>
        </w:rPr>
        <w:t>reconociendo</w:t>
      </w:r>
    </w:p>
    <w:p w14:paraId="45F3B021" w14:textId="77777777" w:rsidR="00B5549E" w:rsidRPr="00C031D0" w:rsidRDefault="00B5549E" w:rsidP="00C42673">
      <w:pPr>
        <w:rPr>
          <w:rFonts w:eastAsia="SimSun"/>
          <w:lang w:val="es-ES_tradnl" w:eastAsia="zh-CN"/>
        </w:rPr>
      </w:pPr>
      <w:r w:rsidRPr="00C031D0">
        <w:rPr>
          <w:i/>
          <w:iCs/>
          <w:lang w:val="es-ES_tradnl" w:eastAsia="zh-CN"/>
        </w:rPr>
        <w:t>a)</w:t>
      </w:r>
      <w:r w:rsidRPr="00C031D0">
        <w:rPr>
          <w:rFonts w:eastAsia="SimSun"/>
          <w:lang w:val="es-ES_tradnl" w:eastAsia="zh-CN"/>
        </w:rPr>
        <w:tab/>
        <w:t>que la próxima generación de expertos no está formada únicamente por jóvenes profesionales interesados en participar en las actividades de normalización, sino también por profesionales experimentados que tienen interés por este tema;</w:t>
      </w:r>
    </w:p>
    <w:p w14:paraId="30B8ACEB" w14:textId="77777777" w:rsidR="00B5549E" w:rsidRPr="00C031D0" w:rsidRDefault="00B5549E" w:rsidP="00C42673">
      <w:pPr>
        <w:rPr>
          <w:rFonts w:eastAsia="SimSun"/>
          <w:lang w:val="es-ES_tradnl" w:eastAsia="zh-CN"/>
        </w:rPr>
      </w:pPr>
      <w:r w:rsidRPr="00C031D0">
        <w:rPr>
          <w:i/>
          <w:iCs/>
          <w:lang w:val="es-ES_tradnl" w:eastAsia="zh-CN"/>
        </w:rPr>
        <w:t>b)</w:t>
      </w:r>
      <w:r w:rsidRPr="00C031D0">
        <w:rPr>
          <w:lang w:val="es-ES_tradnl" w:eastAsia="zh-CN"/>
        </w:rPr>
        <w:tab/>
      </w:r>
      <w:r w:rsidRPr="00C031D0">
        <w:rPr>
          <w:lang w:val="es-ES_tradnl"/>
        </w:rPr>
        <w:t>que la brecha de normalización no solo divide a los países en desarrollo y a los países desarrollados, sino también a las generaciones de expertos</w:t>
      </w:r>
      <w:r w:rsidRPr="00C031D0">
        <w:rPr>
          <w:rFonts w:eastAsia="SimSun"/>
          <w:lang w:val="es-ES_tradnl" w:eastAsia="zh-CN"/>
        </w:rPr>
        <w:t>;</w:t>
      </w:r>
    </w:p>
    <w:p w14:paraId="37CE7F6D" w14:textId="77777777" w:rsidR="00B5549E" w:rsidRPr="00C031D0" w:rsidRDefault="00B5549E" w:rsidP="00C42673">
      <w:pPr>
        <w:rPr>
          <w:i/>
          <w:iCs/>
          <w:lang w:val="es-ES_tradnl" w:eastAsia="zh-CN"/>
        </w:rPr>
      </w:pPr>
      <w:r w:rsidRPr="00C031D0">
        <w:rPr>
          <w:i/>
          <w:iCs/>
          <w:lang w:val="es-ES_tradnl" w:eastAsia="zh-CN"/>
        </w:rPr>
        <w:t>c)</w:t>
      </w:r>
      <w:r w:rsidRPr="00C031D0">
        <w:rPr>
          <w:i/>
          <w:iCs/>
          <w:lang w:val="es-ES_tradnl" w:eastAsia="zh-CN"/>
        </w:rPr>
        <w:tab/>
      </w:r>
      <w:r w:rsidRPr="00C031D0">
        <w:rPr>
          <w:lang w:val="es-ES_tradnl" w:eastAsia="zh-CN"/>
        </w:rPr>
        <w:t>que la capacitación, y en especial los programas de formación, pueden fomentar la normalización de las telecomunicaciones/TIC como prioridad profesional;</w:t>
      </w:r>
    </w:p>
    <w:p w14:paraId="07FB3A17" w14:textId="77777777" w:rsidR="00B5549E" w:rsidRPr="00C031D0" w:rsidRDefault="00B5549E" w:rsidP="00C42673">
      <w:pPr>
        <w:rPr>
          <w:lang w:val="es-ES_tradnl" w:eastAsia="zh-CN"/>
        </w:rPr>
      </w:pPr>
      <w:r w:rsidRPr="00C031D0">
        <w:rPr>
          <w:i/>
          <w:iCs/>
          <w:lang w:val="es-ES_tradnl" w:eastAsia="zh-CN"/>
        </w:rPr>
        <w:t>d)</w:t>
      </w:r>
      <w:r w:rsidRPr="00C031D0">
        <w:rPr>
          <w:lang w:val="es-ES_tradnl" w:eastAsia="zh-CN"/>
        </w:rPr>
        <w:tab/>
        <w:t>que los programas del Sector de Normalización de las Telecomunicaciones de la (UIT</w:t>
      </w:r>
      <w:r w:rsidRPr="00C031D0">
        <w:rPr>
          <w:lang w:val="es-ES_tradnl" w:eastAsia="zh-CN"/>
        </w:rPr>
        <w:noBreakHyphen/>
        <w:t>T) existentes, como el programa BSG, las conferencias académicas del Caleidoscopio y el programa de formación para nuevos participantes ayudan a dar a conocer el papel del UIT-T en la normalización de las telecomunicaciones/TIC entre la próxima generación de expertos,</w:t>
      </w:r>
    </w:p>
    <w:p w14:paraId="4BF02E64" w14:textId="77777777" w:rsidR="00B5549E" w:rsidRPr="00C031D0" w:rsidRDefault="00B5549E" w:rsidP="00C42673">
      <w:pPr>
        <w:pStyle w:val="Call"/>
        <w:rPr>
          <w:lang w:val="es-ES_tradnl"/>
        </w:rPr>
      </w:pPr>
      <w:r w:rsidRPr="00C031D0">
        <w:rPr>
          <w:lang w:val="es-ES_tradnl"/>
        </w:rPr>
        <w:t>resuelve</w:t>
      </w:r>
    </w:p>
    <w:p w14:paraId="58308858" w14:textId="77777777" w:rsidR="00B5549E" w:rsidRPr="00C031D0" w:rsidRDefault="00B5549E" w:rsidP="00C42673">
      <w:pPr>
        <w:rPr>
          <w:lang w:val="es-ES_tradnl" w:eastAsia="zh-CN"/>
        </w:rPr>
      </w:pPr>
      <w:r w:rsidRPr="00C031D0">
        <w:rPr>
          <w:lang w:val="es-ES_tradnl" w:eastAsia="zh-CN"/>
        </w:rPr>
        <w:t>promover el concepto general, los conocimientos básicos y los beneficios de la normalización de las telecomunicaciones/TIC para fomentar la participación de la próxima generación de expertos en el</w:t>
      </w:r>
      <w:r>
        <w:rPr>
          <w:lang w:val="es-ES_tradnl" w:eastAsia="zh-CN"/>
        </w:rPr>
        <w:t> </w:t>
      </w:r>
      <w:r w:rsidRPr="00C031D0">
        <w:rPr>
          <w:lang w:val="es-ES_tradnl" w:eastAsia="zh-CN"/>
        </w:rPr>
        <w:t>UIT-T,</w:t>
      </w:r>
    </w:p>
    <w:p w14:paraId="58EB85E3" w14:textId="77777777" w:rsidR="00B5549E" w:rsidRPr="00C031D0" w:rsidRDefault="00B5549E" w:rsidP="1C7B5B94">
      <w:pPr>
        <w:pStyle w:val="Call"/>
        <w:rPr>
          <w:lang w:val="es-ES"/>
        </w:rPr>
      </w:pPr>
      <w:r w:rsidRPr="1C7B5B94">
        <w:rPr>
          <w:lang w:val="es-ES"/>
        </w:rPr>
        <w:lastRenderedPageBreak/>
        <w:t>encarga al Director de la Oficina de Normalización de las Telecomunicaciones, en colaboración con el Director de la Oficina de Desarrollo de las Telecomunicaciones</w:t>
      </w:r>
    </w:p>
    <w:p w14:paraId="5E7C4136" w14:textId="77777777" w:rsidR="00B5549E" w:rsidRPr="00C031D0" w:rsidRDefault="00B5549E" w:rsidP="00C42673">
      <w:pPr>
        <w:rPr>
          <w:lang w:val="es-ES_tradnl" w:eastAsia="zh-CN"/>
        </w:rPr>
      </w:pPr>
      <w:r w:rsidRPr="00C031D0">
        <w:rPr>
          <w:lang w:val="es-ES_tradnl" w:eastAsia="zh-CN"/>
        </w:rPr>
        <w:t>1</w:t>
      </w:r>
      <w:r w:rsidRPr="00C031D0">
        <w:rPr>
          <w:lang w:val="es-ES_tradnl" w:eastAsia="zh-CN"/>
        </w:rPr>
        <w:tab/>
      </w:r>
      <w:r>
        <w:rPr>
          <w:lang w:val="es-ES_tradnl" w:eastAsia="zh-CN"/>
        </w:rPr>
        <w:t xml:space="preserve">que </w:t>
      </w:r>
      <w:r w:rsidRPr="00C031D0">
        <w:rPr>
          <w:lang w:val="es-ES_tradnl" w:eastAsia="zh-CN"/>
        </w:rPr>
        <w:t>reutilice el contenido del programa BSG en estrecha colaboración con la Academia de la UIT y otras iniciativas de capacitación de la Oficina de Normalización de las Telecomunicaciones a fin de atraer a la próxima generación de expertos de países tanto desarrollados como en desarrollo;</w:t>
      </w:r>
    </w:p>
    <w:p w14:paraId="5FDE9619" w14:textId="77777777" w:rsidR="00B5549E" w:rsidRPr="00C031D0" w:rsidRDefault="00B5549E" w:rsidP="00C42673">
      <w:pPr>
        <w:rPr>
          <w:lang w:val="es-ES_tradnl" w:eastAsia="zh-CN"/>
        </w:rPr>
      </w:pPr>
      <w:r w:rsidRPr="00C031D0">
        <w:rPr>
          <w:lang w:val="es-ES_tradnl" w:eastAsia="zh-CN"/>
        </w:rPr>
        <w:t>2</w:t>
      </w:r>
      <w:r w:rsidRPr="00C031D0">
        <w:rPr>
          <w:lang w:val="es-ES_tradnl" w:eastAsia="zh-CN"/>
        </w:rPr>
        <w:tab/>
      </w:r>
      <w:r>
        <w:rPr>
          <w:lang w:val="es-ES_tradnl" w:eastAsia="zh-CN"/>
        </w:rPr>
        <w:t xml:space="preserve">que </w:t>
      </w:r>
      <w:r w:rsidRPr="00C031D0">
        <w:rPr>
          <w:lang w:val="es-ES_tradnl" w:eastAsia="zh-CN"/>
        </w:rPr>
        <w:t xml:space="preserve">solicite contribuciones voluntarias a los </w:t>
      </w:r>
      <w:r>
        <w:rPr>
          <w:lang w:val="es-ES_tradnl" w:eastAsia="zh-CN"/>
        </w:rPr>
        <w:t>Miembros</w:t>
      </w:r>
      <w:r w:rsidRPr="00C031D0">
        <w:rPr>
          <w:lang w:val="es-ES_tradnl" w:eastAsia="zh-CN"/>
        </w:rPr>
        <w:t xml:space="preserve"> a fin de preparar materiales mejorados para la capacitación sobre normalización de las telecomunicaciones/TIC de la próxima generación de expertos, y promover y difundir estos productos;</w:t>
      </w:r>
    </w:p>
    <w:p w14:paraId="793122FB" w14:textId="77777777" w:rsidR="00B5549E" w:rsidRPr="00C031D0" w:rsidRDefault="00B5549E" w:rsidP="00C42673">
      <w:pPr>
        <w:rPr>
          <w:lang w:val="es-ES_tradnl" w:eastAsia="zh-CN"/>
        </w:rPr>
      </w:pPr>
      <w:r w:rsidRPr="00C031D0">
        <w:rPr>
          <w:lang w:val="es-ES_tradnl" w:eastAsia="zh-CN"/>
        </w:rPr>
        <w:t>3</w:t>
      </w:r>
      <w:r w:rsidRPr="00C031D0">
        <w:rPr>
          <w:lang w:val="es-ES_tradnl" w:eastAsia="zh-CN"/>
        </w:rPr>
        <w:tab/>
      </w:r>
      <w:r>
        <w:rPr>
          <w:lang w:val="es-ES_tradnl" w:eastAsia="zh-CN"/>
        </w:rPr>
        <w:t xml:space="preserve">que </w:t>
      </w:r>
      <w:r w:rsidRPr="00C031D0">
        <w:rPr>
          <w:lang w:val="es-ES_tradnl" w:eastAsia="zh-CN"/>
        </w:rPr>
        <w:t>evalúe las oportunidades de dar reconocimiento, por ejemplo, premios, a la próxima generación de expertos, lo que contribuye al avance de las labores de normalización del UIT-T;</w:t>
      </w:r>
    </w:p>
    <w:p w14:paraId="6D17F895" w14:textId="77777777" w:rsidR="00B5549E" w:rsidRPr="00C031D0" w:rsidRDefault="00B5549E" w:rsidP="00C42673">
      <w:pPr>
        <w:rPr>
          <w:lang w:val="es-ES_tradnl" w:eastAsia="zh-CN"/>
        </w:rPr>
      </w:pPr>
      <w:r w:rsidRPr="00C031D0">
        <w:rPr>
          <w:lang w:val="es-ES_tradnl" w:eastAsia="zh-CN"/>
        </w:rPr>
        <w:t>4</w:t>
      </w:r>
      <w:r w:rsidRPr="00C031D0">
        <w:rPr>
          <w:lang w:val="es-ES_tradnl" w:eastAsia="zh-CN"/>
        </w:rPr>
        <w:tab/>
      </w:r>
      <w:r>
        <w:rPr>
          <w:lang w:val="es-ES_tradnl" w:eastAsia="zh-CN"/>
        </w:rPr>
        <w:t xml:space="preserve">que </w:t>
      </w:r>
      <w:r w:rsidRPr="00C031D0">
        <w:rPr>
          <w:lang w:val="es-ES_tradnl" w:eastAsia="zh-CN"/>
        </w:rPr>
        <w:t>informe anualmente al Grupo Asesor de Normalización de las Telecomunicaciones sobre la aplicación de la presente Resolución,</w:t>
      </w:r>
    </w:p>
    <w:p w14:paraId="4BA860A4" w14:textId="77777777" w:rsidR="00B5549E" w:rsidRPr="00C031D0" w:rsidRDefault="00B5549E" w:rsidP="00C42673">
      <w:pPr>
        <w:pStyle w:val="Call"/>
        <w:rPr>
          <w:lang w:val="es-ES_tradnl"/>
        </w:rPr>
      </w:pPr>
      <w:r w:rsidRPr="00C031D0">
        <w:rPr>
          <w:lang w:val="es-ES_tradnl"/>
        </w:rPr>
        <w:t xml:space="preserve">invita a las Estados </w:t>
      </w:r>
      <w:r>
        <w:rPr>
          <w:lang w:val="es-ES_tradnl"/>
        </w:rPr>
        <w:t>Miembros</w:t>
      </w:r>
      <w:r w:rsidRPr="00C031D0">
        <w:rPr>
          <w:lang w:val="es-ES_tradnl"/>
        </w:rPr>
        <w:t xml:space="preserve">, </w:t>
      </w:r>
      <w:r>
        <w:rPr>
          <w:lang w:val="es-ES_tradnl"/>
        </w:rPr>
        <w:t>Miembros</w:t>
      </w:r>
      <w:r w:rsidRPr="00C031D0">
        <w:rPr>
          <w:lang w:val="es-ES_tradnl"/>
        </w:rPr>
        <w:t xml:space="preserve"> de Sector, Asociados e Instituciones Académicas</w:t>
      </w:r>
    </w:p>
    <w:p w14:paraId="15905ECE" w14:textId="77777777" w:rsidR="00B5549E" w:rsidRPr="00C031D0" w:rsidRDefault="00B5549E" w:rsidP="00C42673">
      <w:pPr>
        <w:rPr>
          <w:lang w:val="es-ES_tradnl" w:eastAsia="zh-CN"/>
        </w:rPr>
      </w:pPr>
      <w:r w:rsidRPr="00C031D0">
        <w:rPr>
          <w:lang w:val="es-ES_tradnl" w:eastAsia="zh-CN"/>
        </w:rPr>
        <w:t>1</w:t>
      </w:r>
      <w:r w:rsidRPr="00C031D0">
        <w:rPr>
          <w:lang w:val="es-ES_tradnl" w:eastAsia="zh-CN"/>
        </w:rPr>
        <w:tab/>
        <w:t>a respaldar las actividades del UIT-T que promuevan tanto la participación de la próxima generación de expertos en los trabajos de normalización de las telecomunicaciones/TIC como sus beneficios, mediante contribuciones voluntarias y patrocinios;</w:t>
      </w:r>
    </w:p>
    <w:p w14:paraId="5E91B58A" w14:textId="77777777" w:rsidR="00B5549E" w:rsidRPr="00C031D0" w:rsidRDefault="00B5549E" w:rsidP="00C42673">
      <w:pPr>
        <w:rPr>
          <w:lang w:val="es-ES_tradnl" w:eastAsia="zh-CN"/>
        </w:rPr>
      </w:pPr>
      <w:r w:rsidRPr="00C031D0">
        <w:rPr>
          <w:rFonts w:eastAsia="SimSun"/>
          <w:lang w:val="es-ES_tradnl" w:eastAsia="zh-CN"/>
        </w:rPr>
        <w:t>2</w:t>
      </w:r>
      <w:r w:rsidRPr="00C031D0">
        <w:rPr>
          <w:rFonts w:eastAsia="SimSun"/>
          <w:lang w:val="es-ES_tradnl" w:eastAsia="zh-CN"/>
        </w:rPr>
        <w:tab/>
      </w:r>
      <w:r w:rsidRPr="00C031D0">
        <w:rPr>
          <w:lang w:val="es-ES_tradnl" w:eastAsia="zh-CN"/>
        </w:rPr>
        <w:t>a incluir a la próxima generación de expertos en las delegaciones de las reuniones del UIT-T y a apoyar su integración mediante programas de tutoría,</w:t>
      </w:r>
    </w:p>
    <w:p w14:paraId="16EE4B86" w14:textId="77777777" w:rsidR="00B5549E" w:rsidRPr="00C031D0" w:rsidRDefault="00B5549E" w:rsidP="00C42673">
      <w:pPr>
        <w:pStyle w:val="Call"/>
        <w:rPr>
          <w:lang w:val="es-ES_tradnl"/>
        </w:rPr>
      </w:pPr>
      <w:r w:rsidRPr="00C031D0">
        <w:rPr>
          <w:lang w:val="es-ES_tradnl"/>
        </w:rPr>
        <w:t>invita a las Instituciones Académicas</w:t>
      </w:r>
    </w:p>
    <w:p w14:paraId="4ED405BB" w14:textId="77777777" w:rsidR="00B5549E" w:rsidRPr="00C031D0" w:rsidRDefault="00B5549E" w:rsidP="00C42673">
      <w:pPr>
        <w:rPr>
          <w:lang w:val="es-ES_tradnl" w:eastAsia="zh-CN"/>
        </w:rPr>
      </w:pPr>
      <w:r w:rsidRPr="00C031D0">
        <w:rPr>
          <w:lang w:val="es-ES_tradnl" w:eastAsia="zh-CN"/>
        </w:rPr>
        <w:t>1</w:t>
      </w:r>
      <w:r w:rsidRPr="00C031D0">
        <w:rPr>
          <w:lang w:val="es-ES_tradnl" w:eastAsia="zh-CN"/>
        </w:rPr>
        <w:tab/>
        <w:t>a apoyar y promover la participación de expertos de la próxima generación en las labores de normalización, mediante el acceso a la información, la concesión de becas y el reconocimiento de su participación en las actividades del UIT-T, entre otras cosas;</w:t>
      </w:r>
    </w:p>
    <w:p w14:paraId="36ECBDA9" w14:textId="77777777" w:rsidR="00B5549E" w:rsidRPr="00C031D0" w:rsidRDefault="00B5549E" w:rsidP="00C42673">
      <w:pPr>
        <w:rPr>
          <w:lang w:val="es-ES_tradnl" w:eastAsia="zh-CN"/>
        </w:rPr>
      </w:pPr>
      <w:r w:rsidRPr="00C031D0">
        <w:rPr>
          <w:lang w:val="es-ES_tradnl" w:eastAsia="zh-CN"/>
        </w:rPr>
        <w:t>2</w:t>
      </w:r>
      <w:r w:rsidRPr="00C031D0">
        <w:rPr>
          <w:lang w:val="es-ES_tradnl" w:eastAsia="zh-CN"/>
        </w:rPr>
        <w:tab/>
        <w:t>a implicar a jóvenes investigadores y estudiantes en las actividades del UIT-T pertinentes y a fomentar su participación efectiva en ellas;</w:t>
      </w:r>
    </w:p>
    <w:p w14:paraId="3334D75C" w14:textId="77777777" w:rsidR="00B5549E" w:rsidRPr="00C031D0" w:rsidRDefault="00B5549E" w:rsidP="00C42673">
      <w:pPr>
        <w:rPr>
          <w:lang w:val="es-ES_tradnl" w:eastAsia="zh-CN"/>
        </w:rPr>
      </w:pPr>
      <w:r w:rsidRPr="00C031D0">
        <w:rPr>
          <w:lang w:val="es-ES_tradnl" w:eastAsia="zh-CN"/>
        </w:rPr>
        <w:t>3</w:t>
      </w:r>
      <w:r w:rsidRPr="00C031D0">
        <w:rPr>
          <w:lang w:val="es-ES_tradnl" w:eastAsia="zh-CN"/>
        </w:rPr>
        <w:tab/>
        <w:t>a colaborar estrechamente con el UIT-T para promover el concepto de normalización en los planes de estudio.</w:t>
      </w:r>
    </w:p>
    <w:p w14:paraId="0D36AB88" w14:textId="77777777" w:rsidR="00B5549E" w:rsidRPr="00AD1A1A" w:rsidRDefault="00B5549E" w:rsidP="00C42673">
      <w:pPr>
        <w:overflowPunct/>
        <w:autoSpaceDE/>
        <w:autoSpaceDN/>
        <w:adjustRightInd/>
        <w:spacing w:before="0"/>
        <w:textAlignment w:val="auto"/>
        <w:rPr>
          <w:rFonts w:hAnsi="Times New Roman Bold"/>
          <w:b/>
          <w:lang w:val="es-ES"/>
        </w:rPr>
      </w:pPr>
    </w:p>
    <w:p w14:paraId="56357FA5" w14:textId="77777777" w:rsidR="00CD2832" w:rsidRDefault="00CD2832" w:rsidP="00CD2832">
      <w:pPr>
        <w:rPr>
          <w:lang w:val="es-ES"/>
        </w:rPr>
      </w:pPr>
    </w:p>
    <w:p w14:paraId="0C85B6FB" w14:textId="77777777" w:rsidR="00CD2832" w:rsidRDefault="00CD2832" w:rsidP="00CD2832">
      <w:pPr>
        <w:rPr>
          <w:lang w:val="es-ES"/>
        </w:rPr>
      </w:pPr>
    </w:p>
    <w:p w14:paraId="09484B06" w14:textId="77777777" w:rsidR="00CD2832" w:rsidRDefault="00CD2832" w:rsidP="00CD2832">
      <w:pPr>
        <w:rPr>
          <w:lang w:val="es-ES"/>
        </w:rPr>
      </w:pPr>
    </w:p>
    <w:p w14:paraId="0B295D77" w14:textId="77777777" w:rsidR="00CD2832" w:rsidRDefault="00CD2832" w:rsidP="00CD2832">
      <w:pPr>
        <w:rPr>
          <w:lang w:val="es-ES"/>
        </w:rPr>
      </w:pPr>
    </w:p>
    <w:p w14:paraId="22975205" w14:textId="77777777" w:rsidR="00CD2832" w:rsidRDefault="00CD2832" w:rsidP="00CD2832">
      <w:pPr>
        <w:rPr>
          <w:lang w:val="es-ES"/>
        </w:rPr>
      </w:pPr>
    </w:p>
    <w:p w14:paraId="1863532D" w14:textId="77777777" w:rsidR="00CD2832" w:rsidRDefault="00CD2832" w:rsidP="00CD2832">
      <w:pPr>
        <w:rPr>
          <w:lang w:val="es-ES"/>
        </w:rPr>
      </w:pPr>
    </w:p>
    <w:p w14:paraId="66028952" w14:textId="77777777" w:rsidR="00CD2832" w:rsidRPr="00AD1A1A" w:rsidRDefault="00CD2832" w:rsidP="00CD2832">
      <w:pPr>
        <w:rPr>
          <w:lang w:val="es-ES"/>
        </w:rPr>
      </w:pPr>
    </w:p>
    <w:p w14:paraId="43700583" w14:textId="77777777" w:rsidR="00391AD6" w:rsidRPr="00077A2D" w:rsidRDefault="00391AD6" w:rsidP="00CD2832">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C57A1CD"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8D7D48">
      <w:rPr>
        <w:noProof/>
        <w:lang w:val="en-US"/>
      </w:rPr>
      <w:t>107</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90559C0"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8D7D48">
      <w:rPr>
        <w:noProof/>
        <w:lang w:val="en-US"/>
      </w:rPr>
      <w:t>107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9FB8662"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8D7D48">
      <w:rPr>
        <w:noProof/>
        <w:lang w:val="en-US"/>
      </w:rPr>
      <w:t>107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055F4259" w14:textId="77777777" w:rsidR="00B5549E" w:rsidRPr="00D426B3" w:rsidRDefault="00B5549E" w:rsidP="00C42673">
      <w:pPr>
        <w:pStyle w:val="FootnoteText"/>
        <w:rPr>
          <w:lang w:val="es-ES"/>
        </w:rPr>
      </w:pPr>
      <w:r w:rsidRPr="00AD1A1A">
        <w:rPr>
          <w:rStyle w:val="FootnoteReference"/>
          <w:lang w:val="es-ES"/>
        </w:rPr>
        <w:t>1</w:t>
      </w:r>
      <w:r w:rsidRPr="00AD1A1A">
        <w:rPr>
          <w:lang w:val="es-ES"/>
        </w:rPr>
        <w:tab/>
      </w:r>
      <w:r w:rsidRPr="00A33A8F">
        <w:rPr>
          <w:lang w:val="es-ES"/>
        </w:rPr>
        <w:t>Este término 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65F07"/>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91AD6"/>
    <w:rsid w:val="003C3FD9"/>
    <w:rsid w:val="003D116F"/>
    <w:rsid w:val="003D7A8C"/>
    <w:rsid w:val="003F293E"/>
    <w:rsid w:val="00401308"/>
    <w:rsid w:val="00406B22"/>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C3E96"/>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5E8E"/>
    <w:rsid w:val="00851E30"/>
    <w:rsid w:val="0088751E"/>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A6DF9"/>
    <w:rsid w:val="00AC4AF1"/>
    <w:rsid w:val="00AC4BB8"/>
    <w:rsid w:val="00AE4C26"/>
    <w:rsid w:val="00B150A9"/>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8E6"/>
    <w:rsid w:val="00BF610E"/>
    <w:rsid w:val="00C12E70"/>
    <w:rsid w:val="00C32F69"/>
    <w:rsid w:val="00C42785"/>
    <w:rsid w:val="00C64078"/>
    <w:rsid w:val="00C706FC"/>
    <w:rsid w:val="00C72AF4"/>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22</TotalTime>
  <Pages>4</Pages>
  <Words>895</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Resolución 107 – Mejora de la participación de la próxima generación de expertos en las actividades de normalización del Sector de Normalización de las Telecomunicaciones de la UIT</vt:lpstr>
    </vt:vector>
  </TitlesOfParts>
  <Company>ITU</Company>
  <LinksUpToDate>false</LinksUpToDate>
  <CharactersWithSpaces>5984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107 – Mejora de la participación de la próxima generación de expertos en las actividades de normalización del Sector de Normalización de las Telecomunicaciones de la UIT</dc:title>
  <dc:subject>ASAMBLEA MUNDIAL DE NORMALIZACIÓN DE LAS TELECOMUNICACIONES</dc:subject>
  <dc:creator>ITU-T</dc:creator>
  <cp:keywords/>
  <dc:description/>
  <cp:lastModifiedBy>Saez Grau, Ricardo</cp:lastModifiedBy>
  <cp:revision>19</cp:revision>
  <cp:lastPrinted>2024-11-27T10:28:00Z</cp:lastPrinted>
  <dcterms:created xsi:type="dcterms:W3CDTF">2024-11-26T13:57:00Z</dcterms:created>
  <dcterms:modified xsi:type="dcterms:W3CDTF">2024-11-27T10:29:00Z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