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6362E0F" w:rsidR="00EA2A26" w:rsidRPr="00C65373" w:rsidRDefault="00EA2A26" w:rsidP="00A3085D">
            <w:pPr>
              <w:spacing w:before="60"/>
              <w:rPr>
                <w:rFonts w:ascii="Arial" w:eastAsia="SimHei" w:hAnsi="Arial" w:cs="Arial"/>
                <w:noProof/>
                <w:szCs w:val="24"/>
                <w:lang w:eastAsia="zh-CN"/>
              </w:rPr>
            </w:pPr>
            <w:bookmarkStart w:id="0" w:name="c2tope"/>
            <w:bookmarkEnd w:id="0"/>
            <w:r w:rsidRPr="00C65373">
              <w:rPr>
                <w:rFonts w:ascii="Arial" w:eastAsia="SimHei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="004D6FF6" w:rsidRPr="00C65373">
              <w:rPr>
                <w:rFonts w:ascii="Arial" w:eastAsia="SimHei" w:hAnsi="Arial" w:cs="Arial"/>
                <w:b/>
                <w:color w:val="292829"/>
                <w:spacing w:val="-4"/>
                <w:sz w:val="32"/>
                <w:szCs w:val="32"/>
                <w:lang w:eastAsia="zh-CN"/>
              </w:rPr>
              <w:t>出版物</w:t>
            </w:r>
          </w:p>
        </w:tc>
        <w:tc>
          <w:tcPr>
            <w:tcW w:w="5670" w:type="dxa"/>
          </w:tcPr>
          <w:p w14:paraId="0E9475D3" w14:textId="2CB736BA" w:rsidR="00EA2A26" w:rsidRPr="00C65373" w:rsidRDefault="00370DE5" w:rsidP="00A3085D">
            <w:pPr>
              <w:spacing w:before="6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b/>
                <w:spacing w:val="-4"/>
                <w:szCs w:val="24"/>
              </w:rPr>
              <w:t>国际电信联盟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4ABAE432" w:rsidR="00EA2A26" w:rsidRPr="00C65373" w:rsidRDefault="000F33F8" w:rsidP="00367A2B">
            <w:pPr>
              <w:spacing w:before="0"/>
              <w:rPr>
                <w:rFonts w:ascii="Arial" w:eastAsia="SimHei" w:hAnsi="Arial" w:cs="Arial"/>
                <w:szCs w:val="24"/>
              </w:rPr>
            </w:pPr>
            <w:r w:rsidRPr="00C65373">
              <w:rPr>
                <w:rFonts w:ascii="Arial" w:eastAsia="SimHei" w:hAnsi="Arial" w:cs="Arial"/>
                <w:szCs w:val="24"/>
                <w:lang w:eastAsia="zh-CN"/>
              </w:rPr>
              <w:t>决议</w:t>
            </w:r>
          </w:p>
        </w:tc>
        <w:tc>
          <w:tcPr>
            <w:tcW w:w="5670" w:type="dxa"/>
          </w:tcPr>
          <w:p w14:paraId="20539D5B" w14:textId="2850E370" w:rsidR="00EA2A26" w:rsidRPr="00C65373" w:rsidRDefault="000843D3" w:rsidP="00367A2B">
            <w:pPr>
              <w:spacing w:before="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szCs w:val="24"/>
              </w:rPr>
              <w:t>电信标准化部门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2825B1" w:rsidRDefault="00EA2A26" w:rsidP="00367A2B">
            <w:pPr>
              <w:pStyle w:val="BodyText"/>
              <w:spacing w:before="440"/>
              <w:rPr>
                <w:rFonts w:ascii="SimHei" w:eastAsia="SimHei" w:hAnsi="SimHei"/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2825B1" w:rsidRDefault="00EA2A26" w:rsidP="00367A2B">
            <w:pPr>
              <w:pStyle w:val="BodyText"/>
              <w:spacing w:before="120" w:after="240"/>
              <w:rPr>
                <w:rFonts w:ascii="SimHei" w:eastAsia="SimHei" w:hAnsi="SimHei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370DE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5507C8BE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33CE5A24" w:rsidR="00EA2A26" w:rsidRPr="002825B1" w:rsidRDefault="008C46CF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</w:pPr>
            <w:r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t>世界电信标准化全会</w:t>
            </w:r>
            <w:r w:rsidR="00EA2A26"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br/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新德里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，</w:t>
            </w:r>
            <w:r w:rsidR="00EA2A26"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20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年</w:t>
            </w:r>
            <w:r w:rsidR="004B23A7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0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月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15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-2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日</w:t>
            </w:r>
          </w:p>
          <w:p w14:paraId="318F1603" w14:textId="77777777" w:rsidR="00EA2A26" w:rsidRPr="002825B1" w:rsidRDefault="00EA2A26" w:rsidP="00367A2B">
            <w:pPr>
              <w:rPr>
                <w:rFonts w:ascii="Arial" w:eastAsia="SimHei" w:hAnsi="Arial" w:cs="Arial"/>
                <w:lang w:val="en-GB" w:eastAsia="zh-CN"/>
              </w:rPr>
            </w:pPr>
          </w:p>
        </w:tc>
      </w:tr>
      <w:tr w:rsidR="00EA2A26" w:rsidRPr="0033681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 w:eastAsia="zh-CN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0CE6AFFE" w:rsidR="00EA2A26" w:rsidRPr="002825B1" w:rsidRDefault="00AB2633" w:rsidP="00843454">
            <w:pPr>
              <w:pStyle w:val="BodyText"/>
              <w:spacing w:before="440" w:line="240" w:lineRule="auto"/>
              <w:jc w:val="left"/>
              <w:rPr>
                <w:rFonts w:eastAsia="SimHei"/>
                <w:spacing w:val="-6"/>
                <w:sz w:val="44"/>
                <w:szCs w:val="44"/>
                <w:lang w:val="en-GB" w:eastAsia="zh-CN"/>
              </w:rPr>
            </w:pP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第</w:t>
            </w:r>
            <w:r w:rsidR="00A33A7A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107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号决议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845E8E"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–</w:t>
            </w:r>
            <w:r w:rsidR="00AB4404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A33A7A" w:rsidRPr="00A33A7A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加强下一代专家参与</w:t>
            </w:r>
            <w:r w:rsidR="00A33A7A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br/>
            </w:r>
            <w:r w:rsidR="00A33A7A" w:rsidRPr="00A33A7A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国际电</w:t>
            </w:r>
            <w:proofErr w:type="gramStart"/>
            <w:r w:rsidR="00A33A7A" w:rsidRPr="00A33A7A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联电信</w:t>
            </w:r>
            <w:proofErr w:type="gramEnd"/>
            <w:r w:rsidR="00A33A7A" w:rsidRPr="00A33A7A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标准化部门的标准化活动</w:t>
            </w:r>
          </w:p>
          <w:p w14:paraId="51262F1D" w14:textId="77777777" w:rsidR="00EA2A26" w:rsidRPr="002825B1" w:rsidRDefault="00EA2A26" w:rsidP="00367A2B">
            <w:pPr>
              <w:rPr>
                <w:rFonts w:ascii="Arial" w:eastAsia="SimHei" w:hAnsi="Arial" w:cs="Arial"/>
                <w:lang w:eastAsia="zh-CN"/>
              </w:rPr>
            </w:pPr>
          </w:p>
        </w:tc>
      </w:tr>
    </w:tbl>
    <w:p w14:paraId="7800F3B2" w14:textId="77777777" w:rsidR="00EA2A26" w:rsidRPr="00A14194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eastAsia="zh-CN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33681A" w:rsidRDefault="00EA2A26" w:rsidP="00EA2A26">
      <w:pPr>
        <w:jc w:val="left"/>
        <w:rPr>
          <w:lang w:eastAsia="zh-CN"/>
        </w:rPr>
        <w:sectPr w:rsidR="00EA2A26" w:rsidRPr="0033681A" w:rsidSect="00EA2A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640B1B4E" w14:textId="70C943D7" w:rsidR="000E4393" w:rsidRPr="00346698" w:rsidRDefault="00F07EEC" w:rsidP="00141741">
      <w:pPr>
        <w:spacing w:before="480" w:line="240" w:lineRule="auto"/>
        <w:jc w:val="center"/>
        <w:rPr>
          <w:szCs w:val="24"/>
          <w:lang w:val="en-US" w:eastAsia="zh-CN"/>
        </w:rPr>
      </w:pPr>
      <w:bookmarkStart w:id="1" w:name="irecnoe"/>
      <w:bookmarkEnd w:id="1"/>
      <w:r w:rsidRPr="00346698">
        <w:rPr>
          <w:rFonts w:hint="eastAsia"/>
          <w:szCs w:val="24"/>
          <w:lang w:val="en-US" w:eastAsia="zh-CN"/>
        </w:rPr>
        <w:lastRenderedPageBreak/>
        <w:t>前言</w:t>
      </w:r>
    </w:p>
    <w:p w14:paraId="28286A50" w14:textId="77777777" w:rsidR="00141741" w:rsidRPr="00346698" w:rsidRDefault="00141741" w:rsidP="00141741">
      <w:pPr>
        <w:pStyle w:val="Normal2"/>
        <w:spacing w:before="360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国际电信联盟（</w:t>
      </w:r>
      <w:r w:rsidRPr="00346698">
        <w:rPr>
          <w:rFonts w:hint="eastAsia"/>
          <w:szCs w:val="24"/>
          <w:lang w:eastAsia="zh-CN"/>
        </w:rPr>
        <w:t>ITU</w:t>
      </w:r>
      <w:r w:rsidRPr="00346698">
        <w:rPr>
          <w:rFonts w:hint="eastAsia"/>
          <w:szCs w:val="24"/>
          <w:lang w:eastAsia="zh-CN"/>
        </w:rPr>
        <w:t>）是从事电信领域工作的联合国专门机构。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（国际电信联盟电信标准化部门）是国际电联的常设机构，负责研究技术、操作和资费问题，并发布有关上述内容的建议书，以便在世界范围内实现电信标准化。</w:t>
      </w:r>
    </w:p>
    <w:p w14:paraId="31834772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每四年一届的世界电信标准化全会（</w:t>
      </w:r>
      <w:r w:rsidRPr="00346698">
        <w:rPr>
          <w:rFonts w:hint="eastAsia"/>
          <w:szCs w:val="24"/>
          <w:lang w:eastAsia="zh-CN"/>
        </w:rPr>
        <w:t>WTSA</w:t>
      </w:r>
      <w:r w:rsidRPr="00346698">
        <w:rPr>
          <w:rFonts w:hint="eastAsia"/>
          <w:szCs w:val="24"/>
          <w:lang w:eastAsia="zh-CN"/>
        </w:rPr>
        <w:t>）确定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各研究组的课题，再由各研究组制定有关这些课题的建议书。</w:t>
      </w:r>
    </w:p>
    <w:p w14:paraId="1458A5BA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世界电信标准化全会第</w:t>
      </w:r>
      <w:r w:rsidRPr="00346698">
        <w:rPr>
          <w:rFonts w:hint="eastAsia"/>
          <w:szCs w:val="24"/>
          <w:lang w:eastAsia="zh-CN"/>
        </w:rPr>
        <w:t>1</w:t>
      </w:r>
      <w:r w:rsidRPr="00346698">
        <w:rPr>
          <w:rFonts w:hint="eastAsia"/>
          <w:szCs w:val="24"/>
          <w:lang w:eastAsia="zh-CN"/>
        </w:rPr>
        <w:t>号决议规定了批准</w:t>
      </w:r>
      <w:r w:rsidRPr="00346698">
        <w:rPr>
          <w:szCs w:val="24"/>
          <w:lang w:val="en-US" w:eastAsia="zh-CN"/>
        </w:rPr>
        <w:t>ITU-T</w:t>
      </w:r>
      <w:r w:rsidRPr="00346698">
        <w:rPr>
          <w:rFonts w:hint="eastAsia"/>
          <w:szCs w:val="24"/>
          <w:lang w:eastAsia="zh-CN"/>
        </w:rPr>
        <w:t>建议书所须遵循的程序。</w:t>
      </w:r>
    </w:p>
    <w:p w14:paraId="0422050D" w14:textId="27DA84B9" w:rsidR="00141741" w:rsidRPr="00F81B8E" w:rsidRDefault="00141741" w:rsidP="00E32EEC">
      <w:pPr>
        <w:pStyle w:val="Normal2"/>
        <w:rPr>
          <w:sz w:val="20"/>
          <w:lang w:val="en-GB" w:eastAsia="zh-CN"/>
        </w:rPr>
      </w:pPr>
      <w:r w:rsidRPr="00346698">
        <w:rPr>
          <w:rFonts w:hint="eastAsia"/>
          <w:szCs w:val="24"/>
          <w:lang w:eastAsia="zh-CN"/>
        </w:rPr>
        <w:t>属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研究范围的一些信息技术领域的必要标准是与国际标准化组织（</w:t>
      </w:r>
      <w:r w:rsidRPr="00346698">
        <w:rPr>
          <w:rFonts w:hint="eastAsia"/>
          <w:szCs w:val="24"/>
          <w:lang w:eastAsia="zh-CN"/>
        </w:rPr>
        <w:t>ISO</w:t>
      </w:r>
      <w:r w:rsidRPr="00346698">
        <w:rPr>
          <w:rFonts w:hint="eastAsia"/>
          <w:szCs w:val="24"/>
          <w:lang w:eastAsia="zh-CN"/>
        </w:rPr>
        <w:t>）和国际电工技术委员会（</w:t>
      </w:r>
      <w:r w:rsidRPr="00346698">
        <w:rPr>
          <w:rFonts w:hint="eastAsia"/>
          <w:szCs w:val="24"/>
          <w:lang w:eastAsia="zh-CN"/>
        </w:rPr>
        <w:t>IEC</w:t>
      </w:r>
      <w:r w:rsidRPr="00346698">
        <w:rPr>
          <w:rFonts w:hint="eastAsia"/>
          <w:szCs w:val="24"/>
          <w:lang w:eastAsia="zh-CN"/>
        </w:rPr>
        <w:t>）协作制定的。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5C488F" w14:textId="77777777" w:rsidR="000E4393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98241EF" w14:textId="77777777" w:rsidR="00DF1AFD" w:rsidRPr="00F81B8E" w:rsidRDefault="00DF1AFD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9F6B1E2" w14:textId="77777777" w:rsidR="00EA2A26" w:rsidRPr="00E32EEC" w:rsidRDefault="00EA2A26" w:rsidP="00EA2A26">
      <w:pPr>
        <w:spacing w:before="120" w:line="240" w:lineRule="auto"/>
        <w:rPr>
          <w:szCs w:val="22"/>
          <w:lang w:val="en-GB" w:eastAsia="zh-CN"/>
        </w:rPr>
      </w:pPr>
    </w:p>
    <w:p w14:paraId="4812ECBE" w14:textId="00301AD8" w:rsidR="00EA2A26" w:rsidRDefault="00EA2A26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DF1AFD">
        <w:rPr>
          <w:szCs w:val="22"/>
          <w:lang w:val="en-GB"/>
        </w:rPr>
        <w:sym w:font="Symbol" w:char="F0E3"/>
      </w:r>
      <w:r w:rsidRPr="00DF1AFD">
        <w:rPr>
          <w:szCs w:val="22"/>
          <w:lang w:val="en-GB" w:eastAsia="zh-CN"/>
        </w:rPr>
        <w:t> </w:t>
      </w:r>
      <w:r w:rsidR="00953471" w:rsidRPr="00DF1AFD">
        <w:rPr>
          <w:rFonts w:hint="eastAsia"/>
          <w:szCs w:val="22"/>
          <w:lang w:val="en-GB" w:eastAsia="zh-CN"/>
        </w:rPr>
        <w:t>国际电联</w:t>
      </w:r>
      <w:r w:rsidR="00953471" w:rsidRPr="00DF1AFD">
        <w:rPr>
          <w:rFonts w:hint="eastAsia"/>
          <w:szCs w:val="22"/>
          <w:lang w:val="en-GB" w:eastAsia="zh-CN"/>
        </w:rPr>
        <w:t xml:space="preserve"> </w:t>
      </w:r>
      <w:r w:rsidRPr="00DF1AFD">
        <w:rPr>
          <w:szCs w:val="22"/>
          <w:lang w:val="en-GB" w:eastAsia="zh-CN"/>
        </w:rPr>
        <w:t>20</w:t>
      </w:r>
      <w:r w:rsidR="0007772C" w:rsidRPr="00DF1AFD">
        <w:rPr>
          <w:rFonts w:hint="eastAsia"/>
          <w:szCs w:val="22"/>
          <w:lang w:val="en-GB" w:eastAsia="zh-CN"/>
        </w:rPr>
        <w:t>24</w:t>
      </w:r>
    </w:p>
    <w:p w14:paraId="44AA25C4" w14:textId="77777777" w:rsidR="00B73379" w:rsidRDefault="00FC6CA4" w:rsidP="00DF1AFD">
      <w:pPr>
        <w:rPr>
          <w:sz w:val="20"/>
          <w:lang w:val="en-GB" w:eastAsia="zh-CN"/>
        </w:rPr>
      </w:pPr>
      <w:r w:rsidRPr="00E32EEC">
        <w:rPr>
          <w:rFonts w:hint="eastAsia"/>
          <w:szCs w:val="22"/>
          <w:lang w:val="en-GB" w:eastAsia="zh-CN"/>
        </w:rPr>
        <w:t>版权所有。未经国际电联事先书面许可，不得以任何手段复制本出版物的任何部分。</w:t>
      </w:r>
    </w:p>
    <w:p w14:paraId="03F90964" w14:textId="77777777" w:rsidR="00CF0C69" w:rsidRDefault="00CF0C69" w:rsidP="00953471">
      <w:pPr>
        <w:ind w:firstLineChars="200" w:firstLine="400"/>
        <w:rPr>
          <w:sz w:val="20"/>
          <w:lang w:val="en-GB" w:eastAsia="zh-CN"/>
        </w:rPr>
      </w:pPr>
    </w:p>
    <w:p w14:paraId="73B79B51" w14:textId="1F45D117" w:rsidR="00CF0C69" w:rsidRPr="00953471" w:rsidRDefault="00CF0C69" w:rsidP="00953471">
      <w:pPr>
        <w:ind w:firstLineChars="200" w:firstLine="480"/>
        <w:rPr>
          <w:lang w:eastAsia="zh-CN"/>
        </w:rPr>
        <w:sectPr w:rsidR="00CF0C69" w:rsidRPr="00953471" w:rsidSect="00DE48B4">
          <w:headerReference w:type="even" r:id="rId15"/>
          <w:footerReference w:type="even" r:id="rId16"/>
          <w:footerReference w:type="default" r:id="rId17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0A1513E4" w14:textId="77777777" w:rsidR="007256BA" w:rsidRDefault="007256BA" w:rsidP="007256BA">
      <w:pPr>
        <w:pStyle w:val="ResNo"/>
        <w:outlineLvl w:val="0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7256BA">
        <w:rPr>
          <w:rStyle w:val="href"/>
          <w:lang w:eastAsia="zh-CN"/>
        </w:rPr>
        <w:t>107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年，新德里）</w:t>
      </w:r>
    </w:p>
    <w:p w14:paraId="65A8C90C" w14:textId="60BF7905" w:rsidR="007256BA" w:rsidRDefault="007256BA" w:rsidP="007256BA">
      <w:pPr>
        <w:pStyle w:val="Restitle"/>
        <w:outlineLvl w:val="0"/>
        <w:rPr>
          <w:lang w:eastAsia="zh-CN"/>
        </w:rPr>
      </w:pPr>
      <w:r w:rsidRPr="00D10D45">
        <w:rPr>
          <w:rFonts w:hint="eastAsia"/>
          <w:lang w:eastAsia="zh-CN"/>
        </w:rPr>
        <w:t>加强下一代专家参与</w:t>
      </w:r>
      <w:r>
        <w:rPr>
          <w:rFonts w:hint="eastAsia"/>
          <w:lang w:eastAsia="zh-CN"/>
        </w:rPr>
        <w:t>国际电</w:t>
      </w:r>
      <w:proofErr w:type="gramStart"/>
      <w:r>
        <w:rPr>
          <w:rFonts w:hint="eastAsia"/>
          <w:lang w:eastAsia="zh-CN"/>
        </w:rPr>
        <w:t>联电信</w:t>
      </w:r>
      <w:proofErr w:type="gramEnd"/>
      <w:r>
        <w:rPr>
          <w:lang w:val="en-GB" w:eastAsia="zh-CN"/>
        </w:rPr>
        <w:br/>
      </w:r>
      <w:r>
        <w:rPr>
          <w:rFonts w:hint="eastAsia"/>
          <w:lang w:eastAsia="zh-CN"/>
        </w:rPr>
        <w:t>标准化部门的</w:t>
      </w:r>
      <w:r w:rsidRPr="00D10D45">
        <w:rPr>
          <w:rFonts w:hint="eastAsia"/>
          <w:lang w:eastAsia="zh-CN"/>
        </w:rPr>
        <w:t>标准化活动</w:t>
      </w:r>
    </w:p>
    <w:p w14:paraId="1735CC8B" w14:textId="77777777" w:rsidR="007256BA" w:rsidRPr="008C51BA" w:rsidRDefault="007256BA" w:rsidP="007256BA">
      <w:pPr>
        <w:pStyle w:val="Resref"/>
        <w:rPr>
          <w:lang w:eastAsia="zh-CN"/>
        </w:rPr>
      </w:pPr>
      <w:r w:rsidRPr="00194A84">
        <w:rPr>
          <w:rFonts w:hint="eastAsia"/>
          <w:lang w:eastAsia="zh-CN"/>
        </w:rPr>
        <w:t>（</w:t>
      </w:r>
      <w:r w:rsidRPr="0014046B">
        <w:rPr>
          <w:rStyle w:val="Italic"/>
          <w:rFonts w:hint="eastAsia"/>
          <w:lang w:eastAsia="zh-CN"/>
        </w:rPr>
        <w:t>2024</w:t>
      </w:r>
      <w:r w:rsidRPr="0014046B">
        <w:rPr>
          <w:rStyle w:val="Italic"/>
          <w:rFonts w:hint="eastAsia"/>
          <w:lang w:eastAsia="zh-CN"/>
        </w:rPr>
        <w:t>年，新德里</w:t>
      </w:r>
      <w:r w:rsidRPr="00194A84">
        <w:rPr>
          <w:rFonts w:hint="eastAsia"/>
          <w:lang w:eastAsia="zh-CN"/>
        </w:rPr>
        <w:t>）</w:t>
      </w:r>
    </w:p>
    <w:p w14:paraId="05F4BBA7" w14:textId="77777777" w:rsidR="007256BA" w:rsidRPr="008C51BA" w:rsidRDefault="007256BA" w:rsidP="007256BA">
      <w:pPr>
        <w:pStyle w:val="Normalaftertitle0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</w:t>
      </w:r>
      <w:r w:rsidRPr="002B04C3">
        <w:rPr>
          <w:rFonts w:hint="eastAsia"/>
          <w:lang w:eastAsia="zh-CN"/>
        </w:rPr>
        <w:t>），</w:t>
      </w:r>
    </w:p>
    <w:p w14:paraId="18CFB044" w14:textId="77777777" w:rsidR="007256BA" w:rsidRPr="008C51BA" w:rsidRDefault="007256BA" w:rsidP="007256BA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忆及</w:t>
      </w:r>
    </w:p>
    <w:p w14:paraId="72A9D5D3" w14:textId="77777777" w:rsidR="007256BA" w:rsidRDefault="007256BA" w:rsidP="007256BA">
      <w:pPr>
        <w:rPr>
          <w:lang w:eastAsia="zh-CN"/>
        </w:rPr>
      </w:pPr>
      <w:r w:rsidRPr="009C764B">
        <w:rPr>
          <w:rFonts w:hint="eastAsia"/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全权代表大会关于</w:t>
      </w:r>
      <w:r w:rsidRPr="00571B6F">
        <w:rPr>
          <w:rFonts w:asciiTheme="majorEastAsia" w:eastAsiaTheme="majorEastAsia" w:hAnsiTheme="majorEastAsia" w:hint="eastAsia"/>
          <w:lang w:eastAsia="zh-CN"/>
        </w:rPr>
        <w:t>通过电信</w:t>
      </w:r>
      <w:r w:rsidRPr="0053620C">
        <w:rPr>
          <w:rFonts w:eastAsiaTheme="majorEastAsia"/>
          <w:lang w:eastAsia="zh-CN"/>
        </w:rPr>
        <w:t>/</w:t>
      </w:r>
      <w:r w:rsidRPr="00571B6F">
        <w:rPr>
          <w:rFonts w:asciiTheme="majorEastAsia" w:eastAsiaTheme="majorEastAsia" w:hAnsiTheme="majorEastAsia"/>
          <w:lang w:eastAsia="zh-CN"/>
        </w:rPr>
        <w:t>信息通信技术</w:t>
      </w:r>
      <w:r w:rsidRPr="00571B6F">
        <w:rPr>
          <w:rFonts w:eastAsiaTheme="majorEastAsia" w:hint="eastAsia"/>
          <w:lang w:eastAsia="zh-CN"/>
        </w:rPr>
        <w:t>（</w:t>
      </w:r>
      <w:r w:rsidRPr="00571B6F">
        <w:rPr>
          <w:rFonts w:eastAsiaTheme="majorEastAsia"/>
          <w:lang w:eastAsia="zh-CN"/>
        </w:rPr>
        <w:t>ICT</w:t>
      </w:r>
      <w:r w:rsidRPr="00571B6F">
        <w:rPr>
          <w:rFonts w:eastAsiaTheme="majorEastAsia" w:hint="eastAsia"/>
          <w:lang w:eastAsia="zh-CN"/>
        </w:rPr>
        <w:t>）</w:t>
      </w:r>
      <w:r w:rsidRPr="00571B6F">
        <w:rPr>
          <w:rFonts w:asciiTheme="majorEastAsia" w:eastAsiaTheme="majorEastAsia" w:hAnsiTheme="majorEastAsia" w:hint="eastAsia"/>
          <w:lang w:eastAsia="zh-CN"/>
        </w:rPr>
        <w:t>增强青年权能</w:t>
      </w:r>
      <w:r>
        <w:rPr>
          <w:rFonts w:hint="eastAsia"/>
          <w:lang w:eastAsia="zh-CN"/>
        </w:rPr>
        <w:t>的第</w:t>
      </w:r>
      <w:r>
        <w:rPr>
          <w:rFonts w:hint="eastAsia"/>
          <w:lang w:eastAsia="zh-CN"/>
        </w:rPr>
        <w:t>198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年，布加勒斯特，修订版）；</w:t>
      </w:r>
    </w:p>
    <w:p w14:paraId="787CF789" w14:textId="77777777" w:rsidR="007256BA" w:rsidRDefault="007256BA" w:rsidP="007256BA">
      <w:pPr>
        <w:rPr>
          <w:lang w:eastAsia="zh-CN"/>
        </w:rPr>
      </w:pPr>
      <w:r>
        <w:rPr>
          <w:rFonts w:hint="eastAsia"/>
          <w:i/>
          <w:iCs/>
          <w:lang w:eastAsia="zh-CN"/>
        </w:rPr>
        <w:t>b</w:t>
      </w:r>
      <w:r w:rsidRPr="00AC0AD5">
        <w:rPr>
          <w:rFonts w:hint="eastAsia"/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世界电信发展大会关于</w:t>
      </w:r>
      <w:r w:rsidRPr="00571B6F">
        <w:rPr>
          <w:rFonts w:asciiTheme="minorEastAsia" w:eastAsiaTheme="minorEastAsia" w:hAnsiTheme="minorEastAsia" w:hint="eastAsia"/>
          <w:lang w:eastAsia="zh-CN"/>
        </w:rPr>
        <w:t>为实现社会和经济赋能在男女青年中推广信息通信技术</w:t>
      </w:r>
      <w:r>
        <w:rPr>
          <w:rFonts w:hint="eastAsia"/>
          <w:lang w:eastAsia="zh-CN"/>
        </w:rPr>
        <w:t>的第</w:t>
      </w:r>
      <w:r>
        <w:rPr>
          <w:rFonts w:hint="eastAsia"/>
          <w:lang w:eastAsia="zh-CN"/>
        </w:rPr>
        <w:t>76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年，基加利，修订版）；</w:t>
      </w:r>
    </w:p>
    <w:p w14:paraId="6D313495" w14:textId="77777777" w:rsidR="007256BA" w:rsidRDefault="007256BA" w:rsidP="007256BA">
      <w:pPr>
        <w:rPr>
          <w:lang w:eastAsia="zh-CN"/>
        </w:rPr>
      </w:pPr>
      <w:r>
        <w:rPr>
          <w:rFonts w:hint="eastAsia"/>
          <w:i/>
          <w:iCs/>
          <w:lang w:eastAsia="zh-CN"/>
        </w:rPr>
        <w:t>c</w:t>
      </w:r>
      <w:r w:rsidRPr="00AC0AD5">
        <w:rPr>
          <w:rFonts w:hint="eastAsia"/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全权代表大会关于</w:t>
      </w:r>
      <w:r w:rsidRPr="00571B6F">
        <w:rPr>
          <w:rFonts w:asciiTheme="majorEastAsia" w:eastAsiaTheme="majorEastAsia" w:hAnsiTheme="majorEastAsia" w:hint="eastAsia"/>
          <w:lang w:eastAsia="zh-CN"/>
        </w:rPr>
        <w:t>缩小发展中国家</w:t>
      </w:r>
      <w:r w:rsidRPr="002B0926">
        <w:rPr>
          <w:rStyle w:val="FootnoteReference"/>
          <w:rFonts w:eastAsiaTheme="majorEastAsia"/>
          <w:lang w:eastAsia="zh-CN"/>
        </w:rPr>
        <w:footnoteReference w:customMarkFollows="1" w:id="1"/>
        <w:t>1</w:t>
      </w:r>
      <w:r w:rsidRPr="00571B6F">
        <w:rPr>
          <w:rFonts w:asciiTheme="majorEastAsia" w:eastAsiaTheme="majorEastAsia" w:hAnsiTheme="majorEastAsia" w:hint="eastAsia"/>
          <w:lang w:eastAsia="zh-CN"/>
        </w:rPr>
        <w:t>与发达国家之间在标准化工作方面的差距的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123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年，布加勒斯特，修订版）和本届全会第</w:t>
      </w:r>
      <w:r>
        <w:rPr>
          <w:rFonts w:hint="eastAsia"/>
          <w:lang w:eastAsia="zh-CN"/>
        </w:rPr>
        <w:t>44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年，新德里，修订版）；</w:t>
      </w:r>
    </w:p>
    <w:p w14:paraId="13BB350A" w14:textId="77777777" w:rsidR="007256BA" w:rsidRPr="008C51BA" w:rsidRDefault="007256BA" w:rsidP="007256BA">
      <w:pPr>
        <w:rPr>
          <w:lang w:eastAsia="zh-CN"/>
        </w:rPr>
      </w:pPr>
      <w:r>
        <w:rPr>
          <w:rFonts w:hint="eastAsia"/>
          <w:i/>
          <w:iCs/>
          <w:lang w:eastAsia="zh-CN"/>
        </w:rPr>
        <w:t>d</w:t>
      </w:r>
      <w:r w:rsidRPr="00AC0AD5">
        <w:rPr>
          <w:rFonts w:hint="eastAsia"/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本届全会</w:t>
      </w:r>
      <w:r w:rsidRPr="00571B6F">
        <w:rPr>
          <w:rFonts w:asciiTheme="minorEastAsia" w:eastAsiaTheme="minorEastAsia" w:hAnsiTheme="minorEastAsia" w:hint="eastAsia"/>
          <w:lang w:eastAsia="zh-CN"/>
        </w:rPr>
        <w:t>关于自愿</w:t>
      </w:r>
      <w:r>
        <w:rPr>
          <w:rFonts w:asciiTheme="minorEastAsia" w:eastAsiaTheme="minorEastAsia" w:hAnsiTheme="minorEastAsia" w:hint="eastAsia"/>
          <w:lang w:eastAsia="zh-CN"/>
        </w:rPr>
        <w:t>捐赠</w:t>
      </w:r>
      <w:r>
        <w:rPr>
          <w:rFonts w:hint="eastAsia"/>
          <w:lang w:eastAsia="zh-CN"/>
        </w:rPr>
        <w:t>的第</w:t>
      </w:r>
      <w:r>
        <w:rPr>
          <w:rFonts w:hint="eastAsia"/>
          <w:lang w:eastAsia="zh-CN"/>
        </w:rPr>
        <w:t>34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年，新德里，修订版），</w:t>
      </w:r>
    </w:p>
    <w:p w14:paraId="0FEE6C52" w14:textId="77777777" w:rsidR="007256BA" w:rsidRPr="008C51BA" w:rsidRDefault="007256BA" w:rsidP="007256BA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48BE354B" w14:textId="77777777" w:rsidR="007256BA" w:rsidRDefault="007256BA" w:rsidP="007256BA">
      <w:pPr>
        <w:rPr>
          <w:lang w:eastAsia="zh-CN"/>
        </w:rPr>
      </w:pPr>
      <w:r w:rsidRPr="00AC0AD5">
        <w:rPr>
          <w:rFonts w:hint="eastAsia"/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下一代专家不仅包括有兴趣参与标准化活动的青年专业人员，而且包括对这一领域感兴趣的经验丰富的专业人士；</w:t>
      </w:r>
    </w:p>
    <w:p w14:paraId="440F5E3B" w14:textId="77777777" w:rsidR="007256BA" w:rsidRDefault="007256BA" w:rsidP="007256BA">
      <w:pPr>
        <w:rPr>
          <w:lang w:eastAsia="zh-CN"/>
        </w:rPr>
      </w:pPr>
      <w:r w:rsidRPr="00AC0AD5">
        <w:rPr>
          <w:rFonts w:hint="eastAsia"/>
          <w:i/>
          <w:iCs/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标准化工作差距不仅体现在发展中国家与发达国家之间，也体现在各代专家之间；</w:t>
      </w:r>
    </w:p>
    <w:p w14:paraId="1C9ECB10" w14:textId="77777777" w:rsidR="007256BA" w:rsidRPr="008C51BA" w:rsidRDefault="007256BA" w:rsidP="007256BA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E71E23">
        <w:rPr>
          <w:i/>
          <w:iCs/>
          <w:lang w:eastAsia="zh-CN"/>
        </w:rPr>
        <w:t>)</w:t>
      </w:r>
      <w:r w:rsidRPr="008C51BA">
        <w:rPr>
          <w:lang w:eastAsia="zh-CN"/>
        </w:rPr>
        <w:tab/>
      </w:r>
      <w:r w:rsidRPr="00171AFD">
        <w:rPr>
          <w:rFonts w:hint="eastAsia"/>
          <w:lang w:eastAsia="zh-CN"/>
        </w:rPr>
        <w:t>包括培训计划在内的能力建设可促进将电信</w:t>
      </w:r>
      <w:r w:rsidRPr="00171AFD">
        <w:rPr>
          <w:rFonts w:hint="eastAsia"/>
          <w:lang w:eastAsia="zh-CN"/>
        </w:rPr>
        <w:t>/ICT</w:t>
      </w:r>
      <w:r w:rsidRPr="00171AFD">
        <w:rPr>
          <w:rFonts w:hint="eastAsia"/>
          <w:lang w:eastAsia="zh-CN"/>
        </w:rPr>
        <w:t>标准化作为职业优先</w:t>
      </w:r>
      <w:r>
        <w:rPr>
          <w:rFonts w:hint="eastAsia"/>
          <w:lang w:eastAsia="zh-CN"/>
        </w:rPr>
        <w:t>选择</w:t>
      </w:r>
      <w:r w:rsidRPr="00171AFD">
        <w:rPr>
          <w:rFonts w:hint="eastAsia"/>
          <w:lang w:eastAsia="zh-CN"/>
        </w:rPr>
        <w:t>的理解</w:t>
      </w:r>
      <w:r>
        <w:rPr>
          <w:rFonts w:hint="eastAsia"/>
          <w:lang w:eastAsia="zh-CN"/>
        </w:rPr>
        <w:t>；</w:t>
      </w:r>
    </w:p>
    <w:p w14:paraId="12E0DF2F" w14:textId="77777777" w:rsidR="007256BA" w:rsidRDefault="007256BA" w:rsidP="007256BA">
      <w:pPr>
        <w:rPr>
          <w:lang w:eastAsia="zh-CN"/>
        </w:rPr>
      </w:pPr>
      <w:r>
        <w:rPr>
          <w:i/>
          <w:iCs/>
          <w:lang w:eastAsia="zh-CN"/>
        </w:rPr>
        <w:t>d</w:t>
      </w:r>
      <w:r w:rsidRPr="00E71E23">
        <w:rPr>
          <w:i/>
          <w:iCs/>
          <w:lang w:eastAsia="zh-CN"/>
        </w:rPr>
        <w:t>)</w:t>
      </w:r>
      <w:r w:rsidRPr="008C51BA">
        <w:rPr>
          <w:lang w:eastAsia="zh-CN"/>
        </w:rPr>
        <w:tab/>
      </w:r>
      <w:r>
        <w:rPr>
          <w:rFonts w:hint="eastAsia"/>
          <w:lang w:eastAsia="zh-CN"/>
        </w:rPr>
        <w:t>国际电联电信标准化部门（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）</w:t>
      </w:r>
      <w:r w:rsidRPr="00171AFD">
        <w:rPr>
          <w:rFonts w:hint="eastAsia"/>
          <w:lang w:eastAsia="zh-CN"/>
        </w:rPr>
        <w:t>现有的项目，如缩小标准化工作差距（</w:t>
      </w:r>
      <w:r w:rsidRPr="00171AFD">
        <w:rPr>
          <w:rFonts w:hint="eastAsia"/>
          <w:lang w:eastAsia="zh-CN"/>
        </w:rPr>
        <w:t>BSG</w:t>
      </w:r>
      <w:r w:rsidRPr="00171AFD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项目</w:t>
      </w:r>
      <w:r w:rsidRPr="00171AFD">
        <w:rPr>
          <w:rFonts w:hint="eastAsia"/>
          <w:lang w:eastAsia="zh-CN"/>
        </w:rPr>
        <w:t>、大视野学术大会和新</w:t>
      </w:r>
      <w:r>
        <w:rPr>
          <w:rFonts w:hint="eastAsia"/>
          <w:lang w:eastAsia="zh-CN"/>
        </w:rPr>
        <w:t>成员</w:t>
      </w:r>
      <w:r w:rsidRPr="00171AFD">
        <w:rPr>
          <w:rFonts w:hint="eastAsia"/>
          <w:lang w:eastAsia="zh-CN"/>
        </w:rPr>
        <w:t>会议，有助于在下一代专家中</w:t>
      </w:r>
      <w:r>
        <w:rPr>
          <w:rFonts w:hint="eastAsia"/>
          <w:lang w:eastAsia="zh-CN"/>
        </w:rPr>
        <w:t>宣传</w:t>
      </w:r>
      <w:r w:rsidRPr="00171AFD">
        <w:rPr>
          <w:rFonts w:hint="eastAsia"/>
          <w:lang w:eastAsia="zh-CN"/>
        </w:rPr>
        <w:t>ITU-T</w:t>
      </w:r>
      <w:r w:rsidRPr="00171AFD">
        <w:rPr>
          <w:rFonts w:hint="eastAsia"/>
          <w:lang w:eastAsia="zh-CN"/>
        </w:rPr>
        <w:t>在电信</w:t>
      </w:r>
      <w:r w:rsidRPr="00171AFD">
        <w:rPr>
          <w:rFonts w:hint="eastAsia"/>
          <w:lang w:eastAsia="zh-CN"/>
        </w:rPr>
        <w:t>/ICT</w:t>
      </w:r>
      <w:r w:rsidRPr="00171AFD">
        <w:rPr>
          <w:rFonts w:hint="eastAsia"/>
          <w:lang w:eastAsia="zh-CN"/>
        </w:rPr>
        <w:t>标准化方面的作用，</w:t>
      </w:r>
    </w:p>
    <w:p w14:paraId="57DED4A8" w14:textId="77777777" w:rsidR="007256BA" w:rsidRPr="008C51BA" w:rsidRDefault="007256BA" w:rsidP="007256BA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做出决议</w:t>
      </w:r>
    </w:p>
    <w:p w14:paraId="1A910EEB" w14:textId="77777777" w:rsidR="007256BA" w:rsidRDefault="007256BA" w:rsidP="007256B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推广电信</w:t>
      </w:r>
      <w:r>
        <w:rPr>
          <w:rFonts w:hint="eastAsia"/>
          <w:lang w:eastAsia="zh-CN"/>
        </w:rPr>
        <w:t>/ICT</w:t>
      </w:r>
      <w:r>
        <w:rPr>
          <w:rFonts w:hint="eastAsia"/>
          <w:lang w:eastAsia="zh-CN"/>
        </w:rPr>
        <w:t>标准化的一般概念、基本知识和惠益，以便鼓励下一代专家参与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的活动，</w:t>
      </w:r>
    </w:p>
    <w:p w14:paraId="49F617B3" w14:textId="77777777" w:rsidR="007256BA" w:rsidRPr="00851B1A" w:rsidRDefault="007256BA" w:rsidP="007256BA">
      <w:pPr>
        <w:rPr>
          <w:lang w:eastAsia="zh-CN"/>
        </w:rPr>
      </w:pPr>
      <w:r w:rsidRPr="00851B1A">
        <w:rPr>
          <w:lang w:eastAsia="zh-CN"/>
        </w:rPr>
        <w:br w:type="page"/>
      </w:r>
    </w:p>
    <w:p w14:paraId="00F80F10" w14:textId="77777777" w:rsidR="007256BA" w:rsidRPr="008C51BA" w:rsidRDefault="007256BA" w:rsidP="007256BA">
      <w:pPr>
        <w:pStyle w:val="Call"/>
        <w:rPr>
          <w:lang w:eastAsia="zh-CN"/>
        </w:rPr>
      </w:pPr>
      <w:r w:rsidRPr="00C8248F">
        <w:rPr>
          <w:rFonts w:hint="eastAsia"/>
          <w:lang w:eastAsia="zh-CN"/>
        </w:rPr>
        <w:lastRenderedPageBreak/>
        <w:t>责成电信标准化局主任与电信发展局主任协作</w:t>
      </w:r>
    </w:p>
    <w:p w14:paraId="476694E8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与国际电联学院和电信发展局的其它能力建设举措密切协作，重复利用</w:t>
      </w:r>
      <w:r>
        <w:rPr>
          <w:rFonts w:hint="eastAsia"/>
          <w:lang w:eastAsia="zh-CN"/>
        </w:rPr>
        <w:t>BSG</w:t>
      </w:r>
      <w:r>
        <w:rPr>
          <w:rFonts w:hint="eastAsia"/>
          <w:lang w:eastAsia="zh-CN"/>
        </w:rPr>
        <w:t>内容，以吸引发达国家和发展中国家的下一代专家；</w:t>
      </w:r>
    </w:p>
    <w:p w14:paraId="456B55AF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Pr="00171AFD">
        <w:rPr>
          <w:lang w:eastAsia="zh-CN"/>
        </w:rPr>
        <w:t>请成员自愿</w:t>
      </w:r>
      <w:r>
        <w:rPr>
          <w:rFonts w:hint="eastAsia"/>
          <w:lang w:eastAsia="zh-CN"/>
        </w:rPr>
        <w:t>捐赠</w:t>
      </w:r>
      <w:r w:rsidRPr="00171AFD">
        <w:rPr>
          <w:lang w:eastAsia="zh-CN"/>
        </w:rPr>
        <w:t>，以便为下一代专家开发</w:t>
      </w:r>
      <w:r>
        <w:rPr>
          <w:rFonts w:hint="eastAsia"/>
          <w:lang w:eastAsia="zh-CN"/>
        </w:rPr>
        <w:t>进一步完善的</w:t>
      </w:r>
      <w:r w:rsidRPr="00171AFD">
        <w:rPr>
          <w:lang w:eastAsia="zh-CN"/>
        </w:rPr>
        <w:t>电信</w:t>
      </w:r>
      <w:r w:rsidRPr="00171AFD">
        <w:rPr>
          <w:lang w:eastAsia="zh-CN"/>
        </w:rPr>
        <w:t>/ICT</w:t>
      </w:r>
      <w:r w:rsidRPr="00171AFD">
        <w:rPr>
          <w:lang w:eastAsia="zh-CN"/>
        </w:rPr>
        <w:t>标准化培训</w:t>
      </w:r>
      <w:r>
        <w:rPr>
          <w:rFonts w:hint="eastAsia"/>
          <w:lang w:eastAsia="zh-CN"/>
        </w:rPr>
        <w:t>资料</w:t>
      </w:r>
      <w:r w:rsidRPr="00171AFD">
        <w:rPr>
          <w:lang w:eastAsia="zh-CN"/>
        </w:rPr>
        <w:t>，并</w:t>
      </w:r>
      <w:r>
        <w:rPr>
          <w:rFonts w:hint="eastAsia"/>
          <w:lang w:eastAsia="zh-CN"/>
        </w:rPr>
        <w:t>推广和分发</w:t>
      </w:r>
      <w:r w:rsidRPr="00171AFD">
        <w:rPr>
          <w:lang w:eastAsia="zh-CN"/>
        </w:rPr>
        <w:t>这些可交付成果</w:t>
      </w:r>
      <w:r>
        <w:rPr>
          <w:rFonts w:hint="eastAsia"/>
          <w:lang w:eastAsia="zh-CN"/>
        </w:rPr>
        <w:t>；</w:t>
      </w:r>
    </w:p>
    <w:p w14:paraId="41C2F1DE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2E2407">
        <w:rPr>
          <w:rFonts w:hint="eastAsia"/>
          <w:lang w:eastAsia="zh-CN"/>
        </w:rPr>
        <w:t>评估设立包括奖项在内的相关机遇的可行性，以</w:t>
      </w:r>
      <w:r w:rsidRPr="00171AFD">
        <w:rPr>
          <w:rFonts w:hint="eastAsia"/>
          <w:lang w:eastAsia="zh-CN"/>
        </w:rPr>
        <w:t>表彰下一代专家</w:t>
      </w:r>
      <w:r>
        <w:rPr>
          <w:rFonts w:hint="eastAsia"/>
          <w:lang w:eastAsia="zh-CN"/>
        </w:rPr>
        <w:t>，由此助力</w:t>
      </w:r>
      <w:r w:rsidRPr="00171AFD">
        <w:rPr>
          <w:rFonts w:hint="eastAsia"/>
          <w:lang w:eastAsia="zh-CN"/>
        </w:rPr>
        <w:t>推进</w:t>
      </w:r>
      <w:r w:rsidRPr="00171AFD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的</w:t>
      </w:r>
      <w:r w:rsidRPr="00171AFD">
        <w:rPr>
          <w:rFonts w:hint="eastAsia"/>
          <w:lang w:eastAsia="zh-CN"/>
        </w:rPr>
        <w:t>标准化工作</w:t>
      </w:r>
      <w:r>
        <w:rPr>
          <w:rFonts w:hint="eastAsia"/>
          <w:lang w:eastAsia="zh-CN"/>
        </w:rPr>
        <w:t>；</w:t>
      </w:r>
    </w:p>
    <w:p w14:paraId="6EC59C93" w14:textId="77777777" w:rsidR="007256BA" w:rsidRPr="008C51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每年一次向电信标准化顾问组报告这一决议的实施情况，</w:t>
      </w:r>
    </w:p>
    <w:p w14:paraId="2E14A5D2" w14:textId="77777777" w:rsidR="007256BA" w:rsidRPr="008C51BA" w:rsidRDefault="007256BA" w:rsidP="007256BA">
      <w:pPr>
        <w:pStyle w:val="Call"/>
        <w:rPr>
          <w:lang w:eastAsia="zh-CN"/>
        </w:rPr>
      </w:pPr>
      <w:r w:rsidRPr="00C8248F">
        <w:rPr>
          <w:rFonts w:hint="eastAsia"/>
          <w:lang w:eastAsia="zh-CN"/>
        </w:rPr>
        <w:t>请成员国、部门成员、部门准成员</w:t>
      </w:r>
      <w:r>
        <w:rPr>
          <w:rFonts w:hint="eastAsia"/>
          <w:lang w:eastAsia="zh-CN"/>
        </w:rPr>
        <w:t>和学术成员</w:t>
      </w:r>
    </w:p>
    <w:p w14:paraId="692A2AD9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利用自愿捐赠和赞助，支持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促进下一代专家参与电信</w:t>
      </w:r>
      <w:r>
        <w:rPr>
          <w:rFonts w:hint="eastAsia"/>
          <w:lang w:eastAsia="zh-CN"/>
        </w:rPr>
        <w:t>/ICT</w:t>
      </w:r>
      <w:r>
        <w:rPr>
          <w:rFonts w:hint="eastAsia"/>
          <w:lang w:eastAsia="zh-CN"/>
        </w:rPr>
        <w:t>标准化工作并享有相关惠益的活动；</w:t>
      </w:r>
    </w:p>
    <w:p w14:paraId="11BAC491" w14:textId="77777777" w:rsidR="007256BA" w:rsidRPr="008C51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将下一代专家纳入其参加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会议的代表团，并通过导师计划为他们的融入提供支持，</w:t>
      </w:r>
    </w:p>
    <w:p w14:paraId="45139A36" w14:textId="77777777" w:rsidR="007256BA" w:rsidRPr="008C51BA" w:rsidRDefault="007256BA" w:rsidP="007256BA">
      <w:pPr>
        <w:pStyle w:val="Call"/>
        <w:rPr>
          <w:lang w:eastAsia="zh-CN"/>
        </w:rPr>
      </w:pPr>
      <w:proofErr w:type="gramStart"/>
      <w:r>
        <w:rPr>
          <w:rFonts w:hint="eastAsia"/>
          <w:lang w:eastAsia="zh-CN"/>
        </w:rPr>
        <w:t>请学术</w:t>
      </w:r>
      <w:proofErr w:type="gramEnd"/>
      <w:r>
        <w:rPr>
          <w:rFonts w:hint="eastAsia"/>
          <w:lang w:eastAsia="zh-CN"/>
        </w:rPr>
        <w:t>成员</w:t>
      </w:r>
    </w:p>
    <w:p w14:paraId="1C0FD18D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支持和促进下一代专家参与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标准化工作，包括为其提供信息、发放与会补贴和对其参与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活动表示认可；</w:t>
      </w:r>
    </w:p>
    <w:p w14:paraId="25E6D016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让刚入职的研究人员和学生参与相关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活动，赋予他们有效参与的能力；</w:t>
      </w:r>
    </w:p>
    <w:p w14:paraId="22C9A8DF" w14:textId="77777777" w:rsidR="007256BA" w:rsidRDefault="007256BA" w:rsidP="007256BA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与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密切协作，以便在学术课程中推广标准化概念。</w:t>
      </w:r>
    </w:p>
    <w:p w14:paraId="2D60346D" w14:textId="77777777" w:rsidR="007256BA" w:rsidRDefault="007256BA" w:rsidP="007256BA">
      <w:pPr>
        <w:pStyle w:val="Reasons"/>
        <w:rPr>
          <w:lang w:eastAsia="zh-CN"/>
        </w:rPr>
      </w:pPr>
    </w:p>
    <w:p w14:paraId="3850DF44" w14:textId="3E670A7A" w:rsidR="00DF1AFD" w:rsidRPr="007256BA" w:rsidRDefault="00DF1AFD" w:rsidP="00526543">
      <w:pPr>
        <w:rPr>
          <w:lang w:val="en-GB" w:eastAsia="zh-CN"/>
        </w:rPr>
      </w:pPr>
    </w:p>
    <w:p w14:paraId="4505C7CF" w14:textId="77777777" w:rsidR="004D3C2C" w:rsidRDefault="004D3C2C" w:rsidP="00526543">
      <w:pPr>
        <w:rPr>
          <w:lang w:eastAsia="zh-CN"/>
        </w:rPr>
      </w:pPr>
    </w:p>
    <w:p w14:paraId="27552560" w14:textId="77777777" w:rsidR="007256BA" w:rsidRDefault="007256BA" w:rsidP="00526543">
      <w:pPr>
        <w:rPr>
          <w:lang w:eastAsia="zh-CN"/>
        </w:rPr>
      </w:pPr>
    </w:p>
    <w:p w14:paraId="46A2919D" w14:textId="77777777" w:rsidR="007256BA" w:rsidRPr="00526543" w:rsidRDefault="007256BA" w:rsidP="00526543">
      <w:pPr>
        <w:rPr>
          <w:lang w:eastAsia="zh-CN"/>
        </w:rPr>
      </w:pPr>
    </w:p>
    <w:p w14:paraId="1C5E3B77" w14:textId="4DAB9F81" w:rsidR="00DF1AFD" w:rsidRDefault="00DF1AFD" w:rsidP="00526543">
      <w:pPr>
        <w:rPr>
          <w:lang w:eastAsia="zh-CN"/>
        </w:rPr>
      </w:pPr>
    </w:p>
    <w:p w14:paraId="589C57CF" w14:textId="77777777" w:rsidR="00AB4404" w:rsidRPr="00526543" w:rsidRDefault="00AB4404" w:rsidP="00526543">
      <w:pPr>
        <w:rPr>
          <w:lang w:eastAsia="zh-CN"/>
        </w:rPr>
      </w:pPr>
    </w:p>
    <w:p w14:paraId="6A78B6F6" w14:textId="77777777" w:rsidR="00E03ABC" w:rsidRPr="00526543" w:rsidRDefault="00E03ABC" w:rsidP="00526543">
      <w:pPr>
        <w:rPr>
          <w:lang w:eastAsia="zh-CN"/>
        </w:rPr>
      </w:pPr>
    </w:p>
    <w:sectPr w:rsidR="00E03ABC" w:rsidRPr="00526543" w:rsidSect="007267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0ACFF" w14:textId="77777777" w:rsidR="006B2E7F" w:rsidRDefault="006B2E7F">
      <w:r>
        <w:separator/>
      </w:r>
    </w:p>
  </w:endnote>
  <w:endnote w:type="continuationSeparator" w:id="0">
    <w:p w14:paraId="7FE1733A" w14:textId="77777777" w:rsidR="006B2E7F" w:rsidRDefault="006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D65C" w14:textId="77777777" w:rsidR="00DF1AFD" w:rsidRDefault="00DF1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C26A6" w14:textId="77777777" w:rsidR="00DF1AFD" w:rsidRDefault="00DF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1DD5" w14:textId="77777777" w:rsidR="00DF1AFD" w:rsidRDefault="00DF1A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7CC82570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D42182">
      <w:rPr>
        <w:noProof/>
        <w:lang w:val="en-US"/>
      </w:rPr>
      <w:t>107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4CB3940D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D42182">
      <w:rPr>
        <w:noProof/>
        <w:lang w:val="en-US"/>
      </w:rPr>
      <w:t>107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10E663B0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Pr="00DF1AFD">
      <w:rPr>
        <w:lang w:val="en-US"/>
      </w:rPr>
      <w:t xml:space="preserve"> – </w:t>
    </w:r>
    <w:r w:rsidR="00E93AC9" w:rsidRPr="00DF1AFD">
      <w:rPr>
        <w:rFonts w:hint="eastAsia"/>
        <w:lang w:val="en-US" w:eastAsia="zh-CN"/>
      </w:rPr>
      <w:t>第</w:t>
    </w:r>
    <w:r w:rsidRPr="00DF1AFD">
      <w:fldChar w:fldCharType="begin"/>
    </w:r>
    <w:r w:rsidRPr="00DF1AFD">
      <w:rPr>
        <w:lang w:val="en-US"/>
      </w:rPr>
      <w:instrText>styleref href</w:instrText>
    </w:r>
    <w:r w:rsidRPr="00DF1AFD">
      <w:fldChar w:fldCharType="separate"/>
    </w:r>
    <w:r w:rsidR="00D42182">
      <w:rPr>
        <w:noProof/>
        <w:lang w:val="en-US"/>
      </w:rPr>
      <w:t>107</w:t>
    </w:r>
    <w:r w:rsidRPr="00DF1AFD">
      <w:fldChar w:fldCharType="end"/>
    </w:r>
    <w:r w:rsidR="00E93AC9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96E4" w14:textId="77777777" w:rsidR="006B2E7F" w:rsidRDefault="006B2E7F">
      <w:r>
        <w:t>____________________</w:t>
      </w:r>
    </w:p>
  </w:footnote>
  <w:footnote w:type="continuationSeparator" w:id="0">
    <w:p w14:paraId="013FA157" w14:textId="77777777" w:rsidR="006B2E7F" w:rsidRDefault="006B2E7F">
      <w:r>
        <w:continuationSeparator/>
      </w:r>
    </w:p>
  </w:footnote>
  <w:footnote w:id="1">
    <w:p w14:paraId="5EC80307" w14:textId="77777777" w:rsidR="007256BA" w:rsidRDefault="007256BA" w:rsidP="007256BA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这些国家</w:t>
      </w:r>
      <w:r w:rsidRPr="00B379AE">
        <w:rPr>
          <w:rFonts w:hint="eastAsia"/>
          <w:lang w:eastAsia="zh-CN"/>
        </w:rPr>
        <w:t>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6299" w14:textId="77777777" w:rsidR="00DF1AFD" w:rsidRDefault="00DF1A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73A3F"/>
    <w:rsid w:val="0007772C"/>
    <w:rsid w:val="000843D3"/>
    <w:rsid w:val="000B071B"/>
    <w:rsid w:val="000B47CD"/>
    <w:rsid w:val="000B5A36"/>
    <w:rsid w:val="000C22AE"/>
    <w:rsid w:val="000C26CC"/>
    <w:rsid w:val="000D378F"/>
    <w:rsid w:val="000D3CE4"/>
    <w:rsid w:val="000D5219"/>
    <w:rsid w:val="000D6DAE"/>
    <w:rsid w:val="000E4393"/>
    <w:rsid w:val="000F33F8"/>
    <w:rsid w:val="001077E5"/>
    <w:rsid w:val="00117D80"/>
    <w:rsid w:val="00120886"/>
    <w:rsid w:val="00123A0C"/>
    <w:rsid w:val="001309FB"/>
    <w:rsid w:val="00141741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742C3"/>
    <w:rsid w:val="002825B1"/>
    <w:rsid w:val="00285B9F"/>
    <w:rsid w:val="002C182C"/>
    <w:rsid w:val="002D5607"/>
    <w:rsid w:val="002E1B7B"/>
    <w:rsid w:val="002E6A20"/>
    <w:rsid w:val="00330BF4"/>
    <w:rsid w:val="00331B2F"/>
    <w:rsid w:val="003374BB"/>
    <w:rsid w:val="00346698"/>
    <w:rsid w:val="0035222D"/>
    <w:rsid w:val="00370DE5"/>
    <w:rsid w:val="0038237B"/>
    <w:rsid w:val="00390D83"/>
    <w:rsid w:val="003C3FD9"/>
    <w:rsid w:val="003D116F"/>
    <w:rsid w:val="003D3DD5"/>
    <w:rsid w:val="003D7A8C"/>
    <w:rsid w:val="003F212E"/>
    <w:rsid w:val="003F293E"/>
    <w:rsid w:val="00410114"/>
    <w:rsid w:val="00443754"/>
    <w:rsid w:val="004568D2"/>
    <w:rsid w:val="004612A7"/>
    <w:rsid w:val="00462F6A"/>
    <w:rsid w:val="00467305"/>
    <w:rsid w:val="00482375"/>
    <w:rsid w:val="0048772A"/>
    <w:rsid w:val="00490B7D"/>
    <w:rsid w:val="004A58A4"/>
    <w:rsid w:val="004A78C2"/>
    <w:rsid w:val="004B23A7"/>
    <w:rsid w:val="004B7CB1"/>
    <w:rsid w:val="004D09AC"/>
    <w:rsid w:val="004D3C2C"/>
    <w:rsid w:val="004D6FF6"/>
    <w:rsid w:val="004F2E56"/>
    <w:rsid w:val="00501F47"/>
    <w:rsid w:val="00504D1F"/>
    <w:rsid w:val="00524FB2"/>
    <w:rsid w:val="00526543"/>
    <w:rsid w:val="0053765D"/>
    <w:rsid w:val="0054155E"/>
    <w:rsid w:val="00541FB7"/>
    <w:rsid w:val="005457B6"/>
    <w:rsid w:val="005534D7"/>
    <w:rsid w:val="005569CA"/>
    <w:rsid w:val="00562EF2"/>
    <w:rsid w:val="00565747"/>
    <w:rsid w:val="00566436"/>
    <w:rsid w:val="00574CFF"/>
    <w:rsid w:val="005D1D45"/>
    <w:rsid w:val="00601999"/>
    <w:rsid w:val="00611CD0"/>
    <w:rsid w:val="00631549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2E7F"/>
    <w:rsid w:val="006B5987"/>
    <w:rsid w:val="006E13C5"/>
    <w:rsid w:val="006F01CD"/>
    <w:rsid w:val="006F72F4"/>
    <w:rsid w:val="00706D36"/>
    <w:rsid w:val="00707551"/>
    <w:rsid w:val="007116DC"/>
    <w:rsid w:val="0071403C"/>
    <w:rsid w:val="00717E4B"/>
    <w:rsid w:val="00717FC0"/>
    <w:rsid w:val="00720F3C"/>
    <w:rsid w:val="007256BA"/>
    <w:rsid w:val="00726747"/>
    <w:rsid w:val="0074102F"/>
    <w:rsid w:val="007550BF"/>
    <w:rsid w:val="00756CA5"/>
    <w:rsid w:val="00780423"/>
    <w:rsid w:val="00781E25"/>
    <w:rsid w:val="00783EB8"/>
    <w:rsid w:val="007958DD"/>
    <w:rsid w:val="007B6474"/>
    <w:rsid w:val="007D13B4"/>
    <w:rsid w:val="007E0240"/>
    <w:rsid w:val="007F32A3"/>
    <w:rsid w:val="008075CD"/>
    <w:rsid w:val="00823AB1"/>
    <w:rsid w:val="00837339"/>
    <w:rsid w:val="00843454"/>
    <w:rsid w:val="00845E8E"/>
    <w:rsid w:val="00851E30"/>
    <w:rsid w:val="0088751E"/>
    <w:rsid w:val="008968B6"/>
    <w:rsid w:val="008A73EB"/>
    <w:rsid w:val="008B4CF6"/>
    <w:rsid w:val="008C46CF"/>
    <w:rsid w:val="008C7FC3"/>
    <w:rsid w:val="008D4A0D"/>
    <w:rsid w:val="008D6D8D"/>
    <w:rsid w:val="008E3EF3"/>
    <w:rsid w:val="008E4278"/>
    <w:rsid w:val="00901958"/>
    <w:rsid w:val="009055E3"/>
    <w:rsid w:val="00905B41"/>
    <w:rsid w:val="00916468"/>
    <w:rsid w:val="0092650E"/>
    <w:rsid w:val="009301C1"/>
    <w:rsid w:val="00931C08"/>
    <w:rsid w:val="00931EE1"/>
    <w:rsid w:val="009330E7"/>
    <w:rsid w:val="00934946"/>
    <w:rsid w:val="009423EF"/>
    <w:rsid w:val="0095090C"/>
    <w:rsid w:val="009517D7"/>
    <w:rsid w:val="00953471"/>
    <w:rsid w:val="00965E76"/>
    <w:rsid w:val="00974C0C"/>
    <w:rsid w:val="009755D7"/>
    <w:rsid w:val="009C2357"/>
    <w:rsid w:val="009C39E4"/>
    <w:rsid w:val="009D10A5"/>
    <w:rsid w:val="009D26AE"/>
    <w:rsid w:val="009D447B"/>
    <w:rsid w:val="009E1DCF"/>
    <w:rsid w:val="009F7009"/>
    <w:rsid w:val="00A01A91"/>
    <w:rsid w:val="00A03B1F"/>
    <w:rsid w:val="00A24E9A"/>
    <w:rsid w:val="00A26B1A"/>
    <w:rsid w:val="00A3085D"/>
    <w:rsid w:val="00A33A7A"/>
    <w:rsid w:val="00A42BA1"/>
    <w:rsid w:val="00A4766C"/>
    <w:rsid w:val="00A64521"/>
    <w:rsid w:val="00A65D98"/>
    <w:rsid w:val="00A83D3D"/>
    <w:rsid w:val="00AA1264"/>
    <w:rsid w:val="00AA1D27"/>
    <w:rsid w:val="00AA2D89"/>
    <w:rsid w:val="00AB1DD4"/>
    <w:rsid w:val="00AB2633"/>
    <w:rsid w:val="00AB4404"/>
    <w:rsid w:val="00AC02D1"/>
    <w:rsid w:val="00AC0AFD"/>
    <w:rsid w:val="00AC4AF1"/>
    <w:rsid w:val="00AD167C"/>
    <w:rsid w:val="00AE4C26"/>
    <w:rsid w:val="00B07593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E58E6"/>
    <w:rsid w:val="00BF610E"/>
    <w:rsid w:val="00C12E70"/>
    <w:rsid w:val="00C32F69"/>
    <w:rsid w:val="00C42785"/>
    <w:rsid w:val="00C46BDC"/>
    <w:rsid w:val="00C64078"/>
    <w:rsid w:val="00C65373"/>
    <w:rsid w:val="00C706FC"/>
    <w:rsid w:val="00C72AF4"/>
    <w:rsid w:val="00CB2274"/>
    <w:rsid w:val="00CD10C2"/>
    <w:rsid w:val="00CD3865"/>
    <w:rsid w:val="00CD517B"/>
    <w:rsid w:val="00CE767E"/>
    <w:rsid w:val="00CF024D"/>
    <w:rsid w:val="00CF0C69"/>
    <w:rsid w:val="00D20887"/>
    <w:rsid w:val="00D252EF"/>
    <w:rsid w:val="00D26ECC"/>
    <w:rsid w:val="00D42182"/>
    <w:rsid w:val="00D4292A"/>
    <w:rsid w:val="00D457B6"/>
    <w:rsid w:val="00D50046"/>
    <w:rsid w:val="00D54881"/>
    <w:rsid w:val="00D5557A"/>
    <w:rsid w:val="00D55C4C"/>
    <w:rsid w:val="00D63743"/>
    <w:rsid w:val="00D66950"/>
    <w:rsid w:val="00D76D88"/>
    <w:rsid w:val="00D8497D"/>
    <w:rsid w:val="00D85D53"/>
    <w:rsid w:val="00D94D9E"/>
    <w:rsid w:val="00D96CEE"/>
    <w:rsid w:val="00DA7D60"/>
    <w:rsid w:val="00DB2AF8"/>
    <w:rsid w:val="00DB5592"/>
    <w:rsid w:val="00DD345D"/>
    <w:rsid w:val="00DE48B4"/>
    <w:rsid w:val="00DF1AFD"/>
    <w:rsid w:val="00E03ABC"/>
    <w:rsid w:val="00E154E2"/>
    <w:rsid w:val="00E20918"/>
    <w:rsid w:val="00E300EC"/>
    <w:rsid w:val="00E32EEC"/>
    <w:rsid w:val="00E51820"/>
    <w:rsid w:val="00E56BAB"/>
    <w:rsid w:val="00E67297"/>
    <w:rsid w:val="00E758D6"/>
    <w:rsid w:val="00E82452"/>
    <w:rsid w:val="00E83C1C"/>
    <w:rsid w:val="00E9008A"/>
    <w:rsid w:val="00E913E3"/>
    <w:rsid w:val="00E93AC9"/>
    <w:rsid w:val="00E96B11"/>
    <w:rsid w:val="00E96C27"/>
    <w:rsid w:val="00EA12A2"/>
    <w:rsid w:val="00EA2A26"/>
    <w:rsid w:val="00EB3556"/>
    <w:rsid w:val="00EC2D19"/>
    <w:rsid w:val="00EE1126"/>
    <w:rsid w:val="00EE2FE2"/>
    <w:rsid w:val="00EE4B7A"/>
    <w:rsid w:val="00F0099E"/>
    <w:rsid w:val="00F07EEC"/>
    <w:rsid w:val="00F12607"/>
    <w:rsid w:val="00F15F98"/>
    <w:rsid w:val="00F250DC"/>
    <w:rsid w:val="00F34748"/>
    <w:rsid w:val="00F4281C"/>
    <w:rsid w:val="00F576B9"/>
    <w:rsid w:val="00F67E96"/>
    <w:rsid w:val="00FA70B7"/>
    <w:rsid w:val="00FC6CA4"/>
    <w:rsid w:val="00FD23A9"/>
    <w:rsid w:val="00FE50DE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7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qFormat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rsid w:val="0007772C"/>
    <w:pPr>
      <w:keepNext/>
      <w:keepLines/>
      <w:spacing w:before="240"/>
      <w:ind w:left="794"/>
      <w:jc w:val="left"/>
    </w:pPr>
    <w:rPr>
      <w:rFonts w:ascii="STKaiti" w:eastAsia="STKaiti" w:hAnsi="STKaiti"/>
    </w:rPr>
  </w:style>
  <w:style w:type="character" w:customStyle="1" w:styleId="CallChar">
    <w:name w:val="Call Char"/>
    <w:link w:val="Call"/>
    <w:rsid w:val="0007772C"/>
    <w:rPr>
      <w:rFonts w:ascii="STKaiti" w:eastAsia="STKaiti" w:hAnsi="STKaiti"/>
      <w:sz w:val="24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qFormat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qFormat/>
  </w:style>
  <w:style w:type="paragraph" w:customStyle="1" w:styleId="Resref">
    <w:name w:val="Res_ref"/>
    <w:basedOn w:val="Recref"/>
    <w:next w:val="Resdate"/>
    <w:qFormat/>
    <w:rsid w:val="00443754"/>
    <w:rPr>
      <w:rFonts w:eastAsia="STKaiti"/>
      <w:i w:val="0"/>
    </w:rPr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  <w:qFormat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qFormat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customStyle="1" w:styleId="Normal2">
    <w:name w:val="Normal2"/>
    <w:basedOn w:val="Normal"/>
    <w:rsid w:val="00141741"/>
    <w:pPr>
      <w:spacing w:before="200" w:line="300" w:lineRule="exact"/>
      <w:ind w:firstLine="51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26CC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26CC"/>
    <w:rPr>
      <w:rFonts w:ascii="Times New Roman" w:hAnsi="Times New Roman"/>
      <w:b/>
      <w:bCs/>
      <w:lang w:val="fr-FR" w:eastAsia="en-US"/>
    </w:rPr>
  </w:style>
  <w:style w:type="paragraph" w:customStyle="1" w:styleId="Normalnoindent">
    <w:name w:val="Normal no indent"/>
    <w:basedOn w:val="Normal"/>
    <w:rsid w:val="00120886"/>
    <w:pPr>
      <w:tabs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</w:pPr>
    <w:rPr>
      <w:lang w:val="en-GB"/>
    </w:rPr>
  </w:style>
  <w:style w:type="paragraph" w:customStyle="1" w:styleId="Reasons">
    <w:name w:val="Reasons"/>
    <w:basedOn w:val="Normal"/>
    <w:uiPriority w:val="99"/>
    <w:qFormat/>
    <w:rsid w:val="007256B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  <w:jc w:val="left"/>
    </w:pPr>
    <w:rPr>
      <w:lang w:val="en-GB"/>
    </w:rPr>
  </w:style>
  <w:style w:type="character" w:customStyle="1" w:styleId="Italic">
    <w:name w:val="Italic"/>
    <w:rsid w:val="007256BA"/>
    <w:rPr>
      <w:rFonts w:eastAsia="STKait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BDB-BC8C-4664-B117-D51C1938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68</TotalTime>
  <Pages>4</Pages>
  <Words>1274</Words>
  <Characters>258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第107号决议 – 加强下一代专家参与国际电联电信标准化部门的标准化活动</vt:lpstr>
    </vt:vector>
  </TitlesOfParts>
  <Company>ITU</Company>
  <LinksUpToDate>false</LinksUpToDate>
  <CharactersWithSpaces>1529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第107号决议 – 加强下一代专家参与国际电联电信标准化部门的标准化活动</dc:title>
  <dc:subject>WORLD TELECOMMUNICATION STANDARDIZATION ASSEMBLY - Florianópolis, 5-14 October 2004</dc:subject>
  <dc:creator>ITU-T</dc:creator>
  <cp:keywords>WTSA-24 New Delhi, 15-24 October 2024</cp:keywords>
  <dc:description/>
  <cp:lastModifiedBy>Liu, Sanping</cp:lastModifiedBy>
  <cp:revision>59</cp:revision>
  <cp:lastPrinted>2024-11-27T13:36:00Z</cp:lastPrinted>
  <dcterms:created xsi:type="dcterms:W3CDTF">2024-09-24T12:18:00Z</dcterms:created>
  <dcterms:modified xsi:type="dcterms:W3CDTF">2024-11-27T13:37:00Z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