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8641B8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8641B8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8641B8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8641B8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8641B8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8641B8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8641B8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8641B8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8641B8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8641B8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8641B8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8641B8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8641B8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8641B8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8641B8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8641B8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8641B8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8641B8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8641B8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8641B8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8641B8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8641B8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8641B8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8641B8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8641B8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8641B8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8641B8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8641B8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8641B8" w:rsidRDefault="00EA2A26" w:rsidP="00367A2B">
            <w:pPr>
              <w:rPr>
                <w:lang w:val="ru-RU"/>
              </w:rPr>
            </w:pPr>
          </w:p>
        </w:tc>
      </w:tr>
      <w:tr w:rsidR="00EA2A26" w:rsidRPr="008641B8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8641B8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60C10F64" w:rsidR="00EA2A26" w:rsidRPr="008641B8" w:rsidRDefault="001B5C6B" w:rsidP="00B64FF6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8641B8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B64FF6" w:rsidRPr="008641B8">
              <w:rPr>
                <w:spacing w:val="-6"/>
                <w:sz w:val="44"/>
                <w:szCs w:val="44"/>
                <w:lang w:val="ru-RU"/>
              </w:rPr>
              <w:t>106</w:t>
            </w:r>
            <w:r w:rsidR="00845E8E" w:rsidRPr="008641B8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B64FF6" w:rsidRPr="008641B8">
              <w:rPr>
                <w:spacing w:val="-6"/>
                <w:sz w:val="44"/>
                <w:szCs w:val="44"/>
                <w:lang w:val="ru-RU"/>
              </w:rPr>
              <w:t>Активизация деятельности по стандартизации в области устойчивой цифровой трансформации</w:t>
            </w:r>
          </w:p>
          <w:p w14:paraId="51262F1D" w14:textId="77777777" w:rsidR="00EA2A26" w:rsidRPr="008641B8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8641B8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8641B8">
        <w:rPr>
          <w:rFonts w:ascii="Arial" w:eastAsia="Avenir Next W1G Medium" w:hAnsi="Arial" w:cs="Arial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8641B8">
        <w:rPr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8641B8" w:rsidRDefault="00EA2A26" w:rsidP="00EA2A26">
      <w:pPr>
        <w:jc w:val="left"/>
        <w:rPr>
          <w:lang w:val="ru-RU"/>
        </w:rPr>
        <w:sectPr w:rsidR="00EA2A26" w:rsidRPr="008641B8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8641B8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8641B8">
        <w:rPr>
          <w:lang w:val="ru-RU"/>
        </w:rPr>
        <w:lastRenderedPageBreak/>
        <w:t>ПРЕДИСЛОВИЕ</w:t>
      </w:r>
    </w:p>
    <w:p w14:paraId="09A8E349" w14:textId="77777777" w:rsidR="00E60A09" w:rsidRPr="008641B8" w:rsidRDefault="00E60A09" w:rsidP="00E60A09">
      <w:pPr>
        <w:rPr>
          <w:sz w:val="20"/>
          <w:lang w:val="ru-RU"/>
        </w:rPr>
      </w:pPr>
      <w:bookmarkStart w:id="2" w:name="iitextf"/>
      <w:r w:rsidRPr="008641B8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8641B8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8641B8" w:rsidRDefault="00E60A09" w:rsidP="00E60A09">
      <w:pPr>
        <w:rPr>
          <w:sz w:val="20"/>
          <w:lang w:val="ru-RU"/>
        </w:rPr>
      </w:pPr>
      <w:r w:rsidRPr="008641B8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8641B8" w:rsidRDefault="00E60A09" w:rsidP="00E60A09">
      <w:pPr>
        <w:rPr>
          <w:sz w:val="20"/>
          <w:lang w:val="ru-RU"/>
        </w:rPr>
      </w:pPr>
      <w:r w:rsidRPr="008641B8">
        <w:rPr>
          <w:sz w:val="20"/>
          <w:lang w:val="ru-RU"/>
        </w:rPr>
        <w:t xml:space="preserve">Утверждение </w:t>
      </w:r>
      <w:r w:rsidRPr="008641B8">
        <w:rPr>
          <w:caps/>
          <w:sz w:val="20"/>
          <w:lang w:val="ru-RU"/>
        </w:rPr>
        <w:t>р</w:t>
      </w:r>
      <w:r w:rsidRPr="008641B8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8641B8">
        <w:rPr>
          <w:sz w:val="20"/>
          <w:lang w:val="ru-RU"/>
        </w:rPr>
        <w:t>.</w:t>
      </w:r>
    </w:p>
    <w:p w14:paraId="7104090E" w14:textId="77777777" w:rsidR="00E60A09" w:rsidRPr="008641B8" w:rsidRDefault="00E60A09" w:rsidP="00E60A09">
      <w:pPr>
        <w:rPr>
          <w:lang w:val="ru-RU"/>
        </w:rPr>
      </w:pPr>
      <w:r w:rsidRPr="008641B8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8641B8" w:rsidRDefault="00E60A09" w:rsidP="00E60A09">
      <w:pPr>
        <w:rPr>
          <w:lang w:val="ru-RU"/>
        </w:rPr>
      </w:pPr>
    </w:p>
    <w:p w14:paraId="1BF1A502" w14:textId="77777777" w:rsidR="00E60A09" w:rsidRPr="008641B8" w:rsidRDefault="00E60A09" w:rsidP="00E60A09">
      <w:pPr>
        <w:rPr>
          <w:lang w:val="ru-RU"/>
        </w:rPr>
      </w:pPr>
    </w:p>
    <w:p w14:paraId="2053FC85" w14:textId="77777777" w:rsidR="00E60A09" w:rsidRPr="008641B8" w:rsidRDefault="00E60A09" w:rsidP="00E60A09">
      <w:pPr>
        <w:rPr>
          <w:lang w:val="ru-RU"/>
        </w:rPr>
      </w:pPr>
    </w:p>
    <w:p w14:paraId="510B3609" w14:textId="77777777" w:rsidR="00E60A09" w:rsidRPr="008641B8" w:rsidRDefault="00E60A09" w:rsidP="00E60A09">
      <w:pPr>
        <w:rPr>
          <w:lang w:val="ru-RU"/>
        </w:rPr>
      </w:pPr>
    </w:p>
    <w:p w14:paraId="3624C831" w14:textId="77777777" w:rsidR="00E60A09" w:rsidRPr="008641B8" w:rsidRDefault="00E60A09" w:rsidP="00E60A09">
      <w:pPr>
        <w:rPr>
          <w:lang w:val="ru-RU"/>
        </w:rPr>
      </w:pPr>
    </w:p>
    <w:p w14:paraId="3C20E03C" w14:textId="77777777" w:rsidR="00E60A09" w:rsidRPr="008641B8" w:rsidRDefault="00E60A09" w:rsidP="00E60A09">
      <w:pPr>
        <w:rPr>
          <w:lang w:val="ru-RU"/>
        </w:rPr>
      </w:pPr>
    </w:p>
    <w:p w14:paraId="54472EDE" w14:textId="77777777" w:rsidR="00E60A09" w:rsidRPr="008641B8" w:rsidRDefault="00E60A09" w:rsidP="00E60A09">
      <w:pPr>
        <w:rPr>
          <w:lang w:val="ru-RU"/>
        </w:rPr>
      </w:pPr>
    </w:p>
    <w:p w14:paraId="49DDE904" w14:textId="77777777" w:rsidR="00E60A09" w:rsidRPr="008641B8" w:rsidRDefault="00E60A09" w:rsidP="00E60A09">
      <w:pPr>
        <w:rPr>
          <w:lang w:val="ru-RU"/>
        </w:rPr>
      </w:pPr>
    </w:p>
    <w:p w14:paraId="61412DA5" w14:textId="77777777" w:rsidR="00E60A09" w:rsidRPr="008641B8" w:rsidRDefault="00E60A09" w:rsidP="00E60A09">
      <w:pPr>
        <w:rPr>
          <w:lang w:val="ru-RU"/>
        </w:rPr>
      </w:pPr>
    </w:p>
    <w:p w14:paraId="1C810210" w14:textId="77777777" w:rsidR="00E60A09" w:rsidRPr="008641B8" w:rsidRDefault="00E60A09" w:rsidP="00E60A09">
      <w:pPr>
        <w:rPr>
          <w:lang w:val="ru-RU"/>
        </w:rPr>
      </w:pPr>
    </w:p>
    <w:p w14:paraId="1C38E19A" w14:textId="77777777" w:rsidR="00E60A09" w:rsidRPr="008641B8" w:rsidRDefault="00E60A09" w:rsidP="00E60A09">
      <w:pPr>
        <w:rPr>
          <w:lang w:val="ru-RU"/>
        </w:rPr>
      </w:pPr>
    </w:p>
    <w:p w14:paraId="4D3396DA" w14:textId="77777777" w:rsidR="00E60A09" w:rsidRPr="008641B8" w:rsidRDefault="00E60A09" w:rsidP="00E60A09">
      <w:pPr>
        <w:rPr>
          <w:lang w:val="ru-RU"/>
        </w:rPr>
      </w:pPr>
    </w:p>
    <w:p w14:paraId="4F2F1517" w14:textId="77777777" w:rsidR="00E60A09" w:rsidRPr="008641B8" w:rsidRDefault="00E60A09" w:rsidP="00E60A09">
      <w:pPr>
        <w:rPr>
          <w:lang w:val="ru-RU"/>
        </w:rPr>
      </w:pPr>
    </w:p>
    <w:p w14:paraId="5C4902C6" w14:textId="77777777" w:rsidR="00E60A09" w:rsidRPr="008641B8" w:rsidRDefault="00E60A09" w:rsidP="00E60A09">
      <w:pPr>
        <w:rPr>
          <w:lang w:val="ru-RU"/>
        </w:rPr>
      </w:pPr>
    </w:p>
    <w:p w14:paraId="77FC4396" w14:textId="77777777" w:rsidR="00E60A09" w:rsidRPr="008641B8" w:rsidRDefault="00E60A09" w:rsidP="00E60A09">
      <w:pPr>
        <w:rPr>
          <w:lang w:val="ru-RU"/>
        </w:rPr>
      </w:pPr>
    </w:p>
    <w:p w14:paraId="66D8DB35" w14:textId="77777777" w:rsidR="008B6349" w:rsidRPr="008641B8" w:rsidRDefault="008B6349" w:rsidP="00E60A09">
      <w:pPr>
        <w:rPr>
          <w:lang w:val="ru-RU"/>
        </w:rPr>
      </w:pPr>
    </w:p>
    <w:p w14:paraId="48008D63" w14:textId="77777777" w:rsidR="008B6349" w:rsidRPr="008641B8" w:rsidRDefault="008B6349" w:rsidP="00E60A09">
      <w:pPr>
        <w:rPr>
          <w:lang w:val="ru-RU"/>
        </w:rPr>
      </w:pPr>
    </w:p>
    <w:p w14:paraId="36C41597" w14:textId="77777777" w:rsidR="008B6349" w:rsidRPr="008641B8" w:rsidRDefault="008B6349" w:rsidP="00E60A09">
      <w:pPr>
        <w:rPr>
          <w:lang w:val="ru-RU"/>
        </w:rPr>
      </w:pPr>
    </w:p>
    <w:p w14:paraId="29854E5F" w14:textId="77777777" w:rsidR="008B6349" w:rsidRPr="008641B8" w:rsidRDefault="008B6349" w:rsidP="00E60A09">
      <w:pPr>
        <w:rPr>
          <w:lang w:val="ru-RU"/>
        </w:rPr>
      </w:pPr>
    </w:p>
    <w:p w14:paraId="3941F9B3" w14:textId="77777777" w:rsidR="008B6349" w:rsidRPr="008641B8" w:rsidRDefault="008B6349" w:rsidP="00E60A09">
      <w:pPr>
        <w:rPr>
          <w:lang w:val="ru-RU"/>
        </w:rPr>
      </w:pPr>
    </w:p>
    <w:p w14:paraId="33823CA9" w14:textId="77777777" w:rsidR="00E60A09" w:rsidRPr="008641B8" w:rsidRDefault="00E60A09" w:rsidP="00E60A09">
      <w:pPr>
        <w:rPr>
          <w:lang w:val="ru-RU"/>
        </w:rPr>
      </w:pPr>
    </w:p>
    <w:p w14:paraId="265DF33E" w14:textId="77777777" w:rsidR="00E60A09" w:rsidRPr="008641B8" w:rsidRDefault="00E60A09" w:rsidP="00E60A09">
      <w:pPr>
        <w:rPr>
          <w:lang w:val="ru-RU"/>
        </w:rPr>
      </w:pPr>
    </w:p>
    <w:p w14:paraId="7D494ED0" w14:textId="77777777" w:rsidR="00E60A09" w:rsidRPr="008641B8" w:rsidRDefault="00E60A09" w:rsidP="00E60A09">
      <w:pPr>
        <w:rPr>
          <w:lang w:val="ru-RU"/>
        </w:rPr>
      </w:pPr>
    </w:p>
    <w:p w14:paraId="3554E9A0" w14:textId="77777777" w:rsidR="00E60A09" w:rsidRPr="008641B8" w:rsidRDefault="00E60A09" w:rsidP="00E60A09">
      <w:pPr>
        <w:rPr>
          <w:lang w:val="ru-RU"/>
        </w:rPr>
      </w:pPr>
    </w:p>
    <w:p w14:paraId="0D1B6C2B" w14:textId="77777777" w:rsidR="00D324F1" w:rsidRPr="008641B8" w:rsidRDefault="00D324F1" w:rsidP="00E60A09">
      <w:pPr>
        <w:rPr>
          <w:lang w:val="ru-RU"/>
        </w:rPr>
      </w:pPr>
    </w:p>
    <w:p w14:paraId="648D7BD9" w14:textId="77777777" w:rsidR="00D324F1" w:rsidRPr="008641B8" w:rsidRDefault="00D324F1" w:rsidP="00E60A09">
      <w:pPr>
        <w:rPr>
          <w:lang w:val="ru-RU"/>
        </w:rPr>
      </w:pPr>
    </w:p>
    <w:p w14:paraId="15937F0A" w14:textId="3B24DFE4" w:rsidR="00E60A09" w:rsidRPr="008641B8" w:rsidRDefault="00E60A09" w:rsidP="00E60A09">
      <w:pPr>
        <w:jc w:val="center"/>
        <w:rPr>
          <w:sz w:val="20"/>
          <w:lang w:val="ru-RU"/>
        </w:rPr>
      </w:pPr>
      <w:r w:rsidRPr="008641B8">
        <w:rPr>
          <w:sz w:val="20"/>
          <w:lang w:val="ru-RU"/>
        </w:rPr>
        <w:sym w:font="Symbol" w:char="F0E3"/>
      </w:r>
      <w:r w:rsidRPr="008641B8">
        <w:rPr>
          <w:sz w:val="20"/>
          <w:lang w:val="ru-RU"/>
        </w:rPr>
        <w:t>  ITU  </w:t>
      </w:r>
      <w:bookmarkStart w:id="3" w:name="iiannee"/>
      <w:bookmarkEnd w:id="3"/>
      <w:r w:rsidRPr="008641B8">
        <w:rPr>
          <w:sz w:val="20"/>
          <w:lang w:val="ru-RU"/>
        </w:rPr>
        <w:t>2024</w:t>
      </w:r>
    </w:p>
    <w:p w14:paraId="5A25B5AD" w14:textId="3FBBDADE" w:rsidR="008968B6" w:rsidRPr="008641B8" w:rsidRDefault="00E60A09" w:rsidP="00EA2A26">
      <w:pPr>
        <w:rPr>
          <w:lang w:val="ru-RU"/>
        </w:rPr>
      </w:pPr>
      <w:r w:rsidRPr="008641B8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8641B8" w:rsidRDefault="00B73379" w:rsidP="003374BB">
      <w:pPr>
        <w:pStyle w:val="ResNo"/>
        <w:rPr>
          <w:lang w:val="ru-RU"/>
        </w:rPr>
        <w:sectPr w:rsidR="00B73379" w:rsidRPr="008641B8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2B358781" w14:textId="0DA3771C" w:rsidR="00B64FF6" w:rsidRPr="008641B8" w:rsidRDefault="00B64FF6" w:rsidP="00B64FF6">
      <w:pPr>
        <w:pStyle w:val="ResNo"/>
        <w:rPr>
          <w:lang w:val="ru-RU"/>
        </w:rPr>
      </w:pPr>
      <w:r w:rsidRPr="008641B8">
        <w:rPr>
          <w:lang w:val="ru-RU"/>
        </w:rPr>
        <w:lastRenderedPageBreak/>
        <w:t xml:space="preserve">РЕЗОЛЮЦИЯ </w:t>
      </w:r>
      <w:r w:rsidRPr="000068A9">
        <w:rPr>
          <w:rStyle w:val="href"/>
          <w:lang w:val="ru-RU"/>
        </w:rPr>
        <w:t>106</w:t>
      </w:r>
      <w:r w:rsidRPr="008641B8">
        <w:rPr>
          <w:lang w:val="ru-RU"/>
        </w:rPr>
        <w:t xml:space="preserve"> </w:t>
      </w:r>
      <w:r w:rsidR="008641B8" w:rsidRPr="008641B8">
        <w:rPr>
          <w:caps w:val="0"/>
          <w:lang w:val="ru-RU"/>
        </w:rPr>
        <w:t>(Нью-Дели, 2024 г.)</w:t>
      </w:r>
    </w:p>
    <w:p w14:paraId="3F9C1BE2" w14:textId="77777777" w:rsidR="00B64FF6" w:rsidRPr="008641B8" w:rsidRDefault="00B64FF6" w:rsidP="00B64FF6">
      <w:pPr>
        <w:pStyle w:val="Restitle"/>
        <w:rPr>
          <w:rFonts w:eastAsia="MS Mincho"/>
          <w:lang w:val="ru-RU"/>
        </w:rPr>
      </w:pPr>
      <w:r w:rsidRPr="008641B8">
        <w:rPr>
          <w:lang w:val="ru-RU"/>
        </w:rPr>
        <w:t xml:space="preserve">Активизация деятельности по стандартизации в области устойчивой </w:t>
      </w:r>
      <w:r w:rsidRPr="008641B8">
        <w:rPr>
          <w:lang w:val="ru-RU"/>
        </w:rPr>
        <w:br/>
        <w:t>цифровой трансформации</w:t>
      </w:r>
    </w:p>
    <w:p w14:paraId="62E67388" w14:textId="77777777" w:rsidR="00B64FF6" w:rsidRPr="008641B8" w:rsidRDefault="00B64FF6" w:rsidP="00B64FF6">
      <w:pPr>
        <w:pStyle w:val="Resref"/>
        <w:rPr>
          <w:lang w:val="ru-RU"/>
        </w:rPr>
      </w:pPr>
      <w:r w:rsidRPr="008641B8">
        <w:rPr>
          <w:lang w:val="ru-RU"/>
        </w:rPr>
        <w:t>(Нью-Дели, 2024 г.)</w:t>
      </w:r>
    </w:p>
    <w:p w14:paraId="3DEB1EB8" w14:textId="77777777" w:rsidR="00B64FF6" w:rsidRPr="008641B8" w:rsidRDefault="00B64FF6" w:rsidP="00B64FF6">
      <w:pPr>
        <w:pStyle w:val="Normalaftertitle0"/>
        <w:rPr>
          <w:rFonts w:eastAsia="Calibri-Light"/>
          <w:lang w:val="ru-RU"/>
        </w:rPr>
      </w:pPr>
      <w:r w:rsidRPr="008641B8">
        <w:rPr>
          <w:rFonts w:eastAsia="Calibri-Light"/>
          <w:lang w:val="ru-RU"/>
        </w:rPr>
        <w:t>Всемирная ассамблея по стандартизации электросвязи (Нью-Дели, 2024 г.),</w:t>
      </w:r>
    </w:p>
    <w:p w14:paraId="00064B6B" w14:textId="77777777" w:rsidR="00B64FF6" w:rsidRPr="008641B8" w:rsidRDefault="00B64FF6" w:rsidP="00B64FF6">
      <w:pPr>
        <w:pStyle w:val="Call"/>
        <w:rPr>
          <w:lang w:val="ru-RU"/>
        </w:rPr>
      </w:pPr>
      <w:r w:rsidRPr="008641B8">
        <w:rPr>
          <w:lang w:val="ru-RU"/>
        </w:rPr>
        <w:t>напоминая</w:t>
      </w:r>
      <w:r w:rsidRPr="008641B8">
        <w:rPr>
          <w:i w:val="0"/>
          <w:iCs/>
          <w:lang w:val="ru-RU"/>
        </w:rPr>
        <w:t>,</w:t>
      </w:r>
    </w:p>
    <w:p w14:paraId="0C8801CB" w14:textId="77777777" w:rsidR="00B64FF6" w:rsidRPr="008641B8" w:rsidRDefault="00B64FF6" w:rsidP="00B64FF6">
      <w:pPr>
        <w:rPr>
          <w:rFonts w:eastAsia="Calibri-Light"/>
          <w:lang w:val="ru-RU"/>
        </w:rPr>
      </w:pPr>
      <w:r w:rsidRPr="008641B8">
        <w:rPr>
          <w:rFonts w:eastAsia="Calibri-Light"/>
          <w:i/>
          <w:iCs/>
          <w:lang w:val="ru-RU"/>
        </w:rPr>
        <w:t>a)</w:t>
      </w:r>
      <w:r w:rsidRPr="008641B8">
        <w:rPr>
          <w:rFonts w:eastAsia="Calibri-Light"/>
          <w:lang w:val="ru-RU"/>
        </w:rPr>
        <w:tab/>
      </w:r>
      <w:r w:rsidRPr="008641B8">
        <w:rPr>
          <w:lang w:val="ru-RU"/>
        </w:rPr>
        <w:t xml:space="preserve">что в Стратегическом плане Союза на </w:t>
      </w:r>
      <w:proofErr w:type="gramStart"/>
      <w:r w:rsidRPr="008641B8">
        <w:rPr>
          <w:lang w:val="ru-RU"/>
        </w:rPr>
        <w:t>2024−2027</w:t>
      </w:r>
      <w:proofErr w:type="gramEnd"/>
      <w:r w:rsidRPr="008641B8">
        <w:rPr>
          <w:lang w:val="ru-RU"/>
        </w:rPr>
        <w:t> годы, утвержденном в Резолюции 71 (</w:t>
      </w:r>
      <w:proofErr w:type="spellStart"/>
      <w:r w:rsidRPr="008641B8">
        <w:rPr>
          <w:lang w:val="ru-RU"/>
        </w:rPr>
        <w:t>Пересм</w:t>
      </w:r>
      <w:proofErr w:type="spellEnd"/>
      <w:r w:rsidRPr="008641B8">
        <w:rPr>
          <w:lang w:val="ru-RU"/>
        </w:rPr>
        <w:t>. Бухарест, 2022 г.) Полномочной конференции, указано, что устойчивая цифровая трансформация является одной из стратегических целей Союза в содействии прогрессу в реализации Направлений деятельности Всемирной встречи на высшем уровне по вопросам информационного общества (ВВУИО) и Повестки дня Организации Объединенных Наций в области устойчивого развития на период до 2030 года</w:t>
      </w:r>
      <w:r w:rsidRPr="008641B8">
        <w:rPr>
          <w:rFonts w:eastAsia="Calibri-Light"/>
          <w:lang w:val="ru-RU"/>
        </w:rPr>
        <w:t>;</w:t>
      </w:r>
    </w:p>
    <w:p w14:paraId="58B98BE2" w14:textId="77777777" w:rsidR="00B64FF6" w:rsidRPr="008641B8" w:rsidRDefault="00B64FF6" w:rsidP="00B64FF6">
      <w:pPr>
        <w:rPr>
          <w:rFonts w:eastAsia="Calibri-Light"/>
          <w:lang w:val="ru-RU"/>
        </w:rPr>
      </w:pPr>
      <w:r w:rsidRPr="008641B8">
        <w:rPr>
          <w:rFonts w:eastAsia="Calibri-Light"/>
          <w:i/>
          <w:iCs/>
          <w:lang w:val="ru-RU"/>
        </w:rPr>
        <w:t>b)</w:t>
      </w:r>
      <w:r w:rsidRPr="008641B8">
        <w:rPr>
          <w:rFonts w:eastAsia="Calibri-Light"/>
          <w:lang w:val="ru-RU"/>
        </w:rPr>
        <w:tab/>
      </w:r>
      <w:r w:rsidRPr="008641B8">
        <w:rPr>
          <w:rFonts w:eastAsiaTheme="minorEastAsia"/>
          <w:lang w:val="ru-RU" w:eastAsia="ko-KR"/>
        </w:rPr>
        <w:t>о Резолюции 44 (</w:t>
      </w:r>
      <w:proofErr w:type="spellStart"/>
      <w:r w:rsidRPr="008641B8">
        <w:rPr>
          <w:rFonts w:eastAsiaTheme="minorEastAsia"/>
          <w:lang w:val="ru-RU" w:eastAsia="ko-KR"/>
        </w:rPr>
        <w:t>Пересм</w:t>
      </w:r>
      <w:proofErr w:type="spellEnd"/>
      <w:r w:rsidRPr="008641B8">
        <w:rPr>
          <w:rFonts w:eastAsiaTheme="minorEastAsia"/>
          <w:lang w:val="ru-RU" w:eastAsia="ko-KR"/>
        </w:rPr>
        <w:t>. Нью-Дели, 2024 г.) настоящей Ассамблеи о преодолении разрыва в стандартизации между развивающимися</w:t>
      </w:r>
      <w:r w:rsidRPr="008641B8">
        <w:rPr>
          <w:rStyle w:val="FootnoteReference"/>
          <w:rFonts w:eastAsia="Calibri-Light"/>
          <w:lang w:val="ru-RU"/>
        </w:rPr>
        <w:footnoteReference w:customMarkFollows="1" w:id="1"/>
        <w:t>1</w:t>
      </w:r>
      <w:r w:rsidRPr="008641B8">
        <w:rPr>
          <w:rFonts w:eastAsiaTheme="minorEastAsia"/>
          <w:lang w:val="ru-RU" w:eastAsia="ko-KR"/>
        </w:rPr>
        <w:t xml:space="preserve"> и развитыми странами</w:t>
      </w:r>
      <w:r w:rsidRPr="008641B8">
        <w:rPr>
          <w:rFonts w:eastAsia="Calibri-Light"/>
          <w:lang w:val="ru-RU"/>
        </w:rPr>
        <w:t>;</w:t>
      </w:r>
    </w:p>
    <w:p w14:paraId="61383B01" w14:textId="77777777" w:rsidR="00B64FF6" w:rsidRPr="008641B8" w:rsidRDefault="00B64FF6" w:rsidP="00B64FF6">
      <w:pPr>
        <w:rPr>
          <w:rFonts w:eastAsia="Calibri-Light"/>
          <w:lang w:val="ru-RU"/>
        </w:rPr>
      </w:pPr>
      <w:r w:rsidRPr="008641B8">
        <w:rPr>
          <w:rFonts w:eastAsia="Calibri-Light"/>
          <w:i/>
          <w:iCs/>
          <w:lang w:val="ru-RU"/>
        </w:rPr>
        <w:t>c)</w:t>
      </w:r>
      <w:r w:rsidRPr="008641B8">
        <w:rPr>
          <w:rFonts w:eastAsia="Calibri-Light"/>
          <w:lang w:val="ru-RU"/>
        </w:rPr>
        <w:tab/>
      </w:r>
      <w:r w:rsidRPr="008641B8">
        <w:rPr>
          <w:rFonts w:eastAsiaTheme="minorEastAsia"/>
          <w:lang w:val="ru-RU" w:eastAsia="ko-KR"/>
        </w:rPr>
        <w:t>о Резолюции 89 (Кигали, 2022 г.) Всемирной конференции по развитию электросвязи (ВКРЭ) о цифровой трансформации для устойчивого развития</w:t>
      </w:r>
      <w:r w:rsidRPr="008641B8">
        <w:rPr>
          <w:rFonts w:eastAsia="Calibri-Light"/>
          <w:lang w:val="ru-RU"/>
        </w:rPr>
        <w:t>;</w:t>
      </w:r>
    </w:p>
    <w:p w14:paraId="453C7E30" w14:textId="77777777" w:rsidR="00B64FF6" w:rsidRPr="008641B8" w:rsidRDefault="00B64FF6" w:rsidP="00B64FF6">
      <w:pPr>
        <w:rPr>
          <w:rFonts w:eastAsia="Calibri-Light"/>
          <w:lang w:val="ru-RU"/>
        </w:rPr>
      </w:pPr>
      <w:r w:rsidRPr="008641B8">
        <w:rPr>
          <w:rFonts w:eastAsia="Calibri-Light"/>
          <w:i/>
          <w:iCs/>
          <w:lang w:val="ru-RU"/>
        </w:rPr>
        <w:t>d)</w:t>
      </w:r>
      <w:r w:rsidRPr="008641B8">
        <w:rPr>
          <w:rFonts w:eastAsia="Calibri-Light"/>
          <w:lang w:val="ru-RU"/>
        </w:rPr>
        <w:tab/>
        <w:t>о Резолюции 73 (</w:t>
      </w:r>
      <w:proofErr w:type="spellStart"/>
      <w:r w:rsidRPr="008641B8">
        <w:rPr>
          <w:rFonts w:eastAsia="Calibri-Light"/>
          <w:lang w:val="ru-RU"/>
        </w:rPr>
        <w:t>Пересм</w:t>
      </w:r>
      <w:proofErr w:type="spellEnd"/>
      <w:r w:rsidRPr="008641B8">
        <w:rPr>
          <w:rFonts w:eastAsia="Calibri-Light"/>
          <w:lang w:val="ru-RU"/>
        </w:rPr>
        <w:t>. Нью-Дели, 2024 г.) настоящей Ассамблеи об информационно-коммуникационных технологиях (ИКТ), окружающей среде, изменении климата и циркуляционной экономике;</w:t>
      </w:r>
    </w:p>
    <w:p w14:paraId="3CC1D5B3" w14:textId="77777777" w:rsidR="00B64FF6" w:rsidRPr="008641B8" w:rsidRDefault="00B64FF6" w:rsidP="00B64FF6">
      <w:pPr>
        <w:rPr>
          <w:rFonts w:eastAsia="Calibri-Light"/>
          <w:lang w:val="ru-RU"/>
        </w:rPr>
      </w:pPr>
      <w:r w:rsidRPr="008641B8">
        <w:rPr>
          <w:rFonts w:eastAsia="Calibri-Light"/>
          <w:i/>
          <w:iCs/>
          <w:lang w:val="ru-RU"/>
        </w:rPr>
        <w:t>e)</w:t>
      </w:r>
      <w:r w:rsidRPr="008641B8">
        <w:rPr>
          <w:rFonts w:eastAsia="Calibri-Light"/>
          <w:lang w:val="ru-RU"/>
        </w:rPr>
        <w:tab/>
      </w:r>
      <w:r w:rsidRPr="008641B8">
        <w:rPr>
          <w:rFonts w:eastAsiaTheme="minorEastAsia"/>
          <w:lang w:val="ru-RU" w:eastAsia="ko-KR"/>
        </w:rPr>
        <w:t>о Резолюции 2 (</w:t>
      </w:r>
      <w:proofErr w:type="spellStart"/>
      <w:r w:rsidRPr="008641B8">
        <w:rPr>
          <w:rFonts w:eastAsiaTheme="minorEastAsia"/>
          <w:lang w:val="ru-RU" w:eastAsia="ko-KR"/>
        </w:rPr>
        <w:t>Пересм</w:t>
      </w:r>
      <w:proofErr w:type="spellEnd"/>
      <w:r w:rsidRPr="008641B8">
        <w:rPr>
          <w:rFonts w:eastAsiaTheme="minorEastAsia"/>
          <w:lang w:val="ru-RU" w:eastAsia="ko-KR"/>
        </w:rPr>
        <w:t>. Кигали, 2022 г.) ВКРЭ, содержащей описание сферы деятельности исследовательских комиссий Сектора развития электросвязи МСЭ (МСЭ-D), в которой указано, что цифровая трансформация является объектом деятельности 2-й Исследовательской комиссии МСЭ-D</w:t>
      </w:r>
      <w:r w:rsidRPr="008641B8">
        <w:rPr>
          <w:rFonts w:eastAsia="Calibri-Light"/>
          <w:lang w:val="ru-RU"/>
        </w:rPr>
        <w:t>,</w:t>
      </w:r>
    </w:p>
    <w:p w14:paraId="732FFAD5" w14:textId="77777777" w:rsidR="00B64FF6" w:rsidRPr="008641B8" w:rsidRDefault="00B64FF6" w:rsidP="00B64FF6">
      <w:pPr>
        <w:pStyle w:val="Call"/>
        <w:rPr>
          <w:lang w:val="ru-RU"/>
        </w:rPr>
      </w:pPr>
      <w:r w:rsidRPr="008641B8">
        <w:rPr>
          <w:rFonts w:eastAsiaTheme="minorEastAsia"/>
          <w:lang w:val="ru-RU" w:eastAsia="ko-KR"/>
        </w:rPr>
        <w:t>учитывая</w:t>
      </w:r>
      <w:r w:rsidRPr="008641B8">
        <w:rPr>
          <w:rFonts w:eastAsiaTheme="minorEastAsia"/>
          <w:i w:val="0"/>
          <w:iCs/>
          <w:lang w:val="ru-RU" w:eastAsia="ko-KR"/>
        </w:rPr>
        <w:t>,</w:t>
      </w:r>
    </w:p>
    <w:p w14:paraId="12B6B02C" w14:textId="77777777" w:rsidR="00B64FF6" w:rsidRPr="008641B8" w:rsidRDefault="00B64FF6" w:rsidP="00B64FF6">
      <w:pPr>
        <w:rPr>
          <w:rFonts w:eastAsia="Calibri-Light"/>
          <w:lang w:val="ru-RU"/>
        </w:rPr>
      </w:pPr>
      <w:r w:rsidRPr="008641B8">
        <w:rPr>
          <w:rFonts w:eastAsia="Calibri-Light"/>
          <w:i/>
          <w:iCs/>
          <w:lang w:val="ru-RU"/>
        </w:rPr>
        <w:t>a)</w:t>
      </w:r>
      <w:r w:rsidRPr="008641B8">
        <w:rPr>
          <w:rFonts w:eastAsia="Calibri-Light"/>
          <w:lang w:val="ru-RU"/>
        </w:rPr>
        <w:tab/>
        <w:t xml:space="preserve">что цифровая трансформация на основе использования новых и появляющихся технологий электросвязи/ИКТ, создающая возможности для внедрения новых услуг и приложений и содействующая развитию информационного общества, является ключевым фактором прогресса в обеспечении устойчивого развития, и это следует принимать во внимание в работе Сектора </w:t>
      </w:r>
      <w:r w:rsidRPr="008641B8">
        <w:rPr>
          <w:rFonts w:eastAsiaTheme="minorEastAsia"/>
          <w:lang w:val="ru-RU" w:eastAsia="ko-KR"/>
        </w:rPr>
        <w:t>стандартизации электросвязи МСЭ (</w:t>
      </w:r>
      <w:r w:rsidRPr="008641B8">
        <w:rPr>
          <w:rFonts w:eastAsia="Calibri-Light"/>
          <w:lang w:val="ru-RU"/>
        </w:rPr>
        <w:t>МСЭ-Т);</w:t>
      </w:r>
    </w:p>
    <w:p w14:paraId="059145F4" w14:textId="77777777" w:rsidR="00B64FF6" w:rsidRPr="008641B8" w:rsidRDefault="00B64FF6" w:rsidP="00B64FF6">
      <w:pPr>
        <w:rPr>
          <w:rFonts w:eastAsia="Calibri-Light"/>
          <w:lang w:val="ru-RU"/>
        </w:rPr>
      </w:pPr>
      <w:r w:rsidRPr="008641B8">
        <w:rPr>
          <w:rFonts w:eastAsia="Calibri-Light"/>
          <w:i/>
          <w:iCs/>
          <w:lang w:val="ru-RU"/>
        </w:rPr>
        <w:t>b)</w:t>
      </w:r>
      <w:r w:rsidRPr="008641B8">
        <w:rPr>
          <w:rFonts w:eastAsia="Calibri-Light"/>
          <w:lang w:val="ru-RU"/>
        </w:rPr>
        <w:tab/>
        <w:t>что существует потребность в незамедлительной разработке высококачественных, ориентированных на спрос, функционально совместимых и недискриминационных Рекомендаций и руководящих указаний МСЭ-Т, а также в обмене передовым опытом для поддержки и упрощения своевременной деятельности в области электросвязи/ИКТ, которая обеспечивает поддержку и упрощение устойчивой цифровой трансформации, в особенности для развивающихся стран, которые находятся на начальном этапе внедрения;</w:t>
      </w:r>
    </w:p>
    <w:p w14:paraId="31355D6F" w14:textId="77777777" w:rsidR="00B64FF6" w:rsidRPr="008641B8" w:rsidRDefault="00B64FF6" w:rsidP="00B64FF6">
      <w:pPr>
        <w:rPr>
          <w:rFonts w:eastAsia="Calibri-Light"/>
          <w:lang w:val="ru-RU"/>
        </w:rPr>
      </w:pPr>
      <w:r w:rsidRPr="008641B8">
        <w:rPr>
          <w:rFonts w:eastAsia="Calibri-Light"/>
          <w:i/>
          <w:iCs/>
          <w:lang w:val="ru-RU"/>
        </w:rPr>
        <w:t>c)</w:t>
      </w:r>
      <w:r w:rsidRPr="008641B8">
        <w:rPr>
          <w:rFonts w:eastAsia="Calibri-Light"/>
          <w:lang w:val="ru-RU"/>
        </w:rPr>
        <w:tab/>
      </w:r>
      <w:r w:rsidRPr="008641B8">
        <w:rPr>
          <w:lang w:val="ru-RU"/>
        </w:rPr>
        <w:t>ч</w:t>
      </w:r>
      <w:r w:rsidRPr="008641B8">
        <w:rPr>
          <w:rFonts w:eastAsia="Calibri-Light"/>
          <w:lang w:val="ru-RU"/>
        </w:rPr>
        <w:t>то существует также необходимость в расширении и упрощении сотрудничества между организациями по разработке стандартов (ОРС) в области устойчивой цифровой трансформации, для того чтобы не допускать дублирования работы и обеспечивать эффективное использование ресурсов,</w:t>
      </w:r>
    </w:p>
    <w:p w14:paraId="674E4337" w14:textId="77777777" w:rsidR="00B64FF6" w:rsidRPr="008641B8" w:rsidRDefault="00B64FF6" w:rsidP="00B64FF6">
      <w:pPr>
        <w:overflowPunct/>
        <w:autoSpaceDE/>
        <w:autoSpaceDN/>
        <w:adjustRightInd/>
        <w:spacing w:before="0"/>
        <w:textAlignment w:val="auto"/>
        <w:rPr>
          <w:i/>
          <w:lang w:val="ru-RU"/>
        </w:rPr>
      </w:pPr>
      <w:r w:rsidRPr="008641B8">
        <w:rPr>
          <w:lang w:val="ru-RU"/>
        </w:rPr>
        <w:br w:type="page"/>
      </w:r>
    </w:p>
    <w:p w14:paraId="4075714B" w14:textId="77777777" w:rsidR="00B64FF6" w:rsidRPr="008641B8" w:rsidRDefault="00B64FF6" w:rsidP="00B64FF6">
      <w:pPr>
        <w:pStyle w:val="Call"/>
        <w:rPr>
          <w:lang w:val="ru-RU"/>
        </w:rPr>
      </w:pPr>
      <w:r w:rsidRPr="008641B8">
        <w:rPr>
          <w:lang w:val="ru-RU"/>
        </w:rPr>
        <w:lastRenderedPageBreak/>
        <w:t>учитывая далее</w:t>
      </w:r>
      <w:r w:rsidRPr="008641B8">
        <w:rPr>
          <w:i w:val="0"/>
          <w:iCs/>
          <w:lang w:val="ru-RU"/>
        </w:rPr>
        <w:t>,</w:t>
      </w:r>
    </w:p>
    <w:p w14:paraId="74881BB1" w14:textId="77777777" w:rsidR="00B64FF6" w:rsidRPr="008641B8" w:rsidRDefault="00B64FF6" w:rsidP="00B64FF6">
      <w:pPr>
        <w:rPr>
          <w:rFonts w:eastAsia="Calibri-Light"/>
          <w:lang w:val="ru-RU"/>
        </w:rPr>
      </w:pPr>
      <w:r w:rsidRPr="008641B8">
        <w:rPr>
          <w:rFonts w:eastAsia="Calibri-Light"/>
          <w:lang w:val="ru-RU"/>
        </w:rPr>
        <w:t>что разработанные МСЭ-Т Рекомендации, руководящие указания и примеры передового опыта, поддерживающие и упрощающие процесс цифровой трансформации, будут способствовать реализации Повестки дня в области устойчивого развития на период до 2030 года и выполнению решений ВВУИО,</w:t>
      </w:r>
    </w:p>
    <w:p w14:paraId="249B4027" w14:textId="77777777" w:rsidR="00B64FF6" w:rsidRPr="008641B8" w:rsidRDefault="00B64FF6" w:rsidP="00B64FF6">
      <w:pPr>
        <w:pStyle w:val="Call"/>
        <w:rPr>
          <w:lang w:val="ru-RU"/>
        </w:rPr>
      </w:pPr>
      <w:r w:rsidRPr="008641B8">
        <w:rPr>
          <w:lang w:val="ru-RU"/>
        </w:rPr>
        <w:t>отмечая</w:t>
      </w:r>
      <w:r w:rsidRPr="008641B8">
        <w:rPr>
          <w:i w:val="0"/>
          <w:iCs/>
          <w:lang w:val="ru-RU"/>
        </w:rPr>
        <w:t>,</w:t>
      </w:r>
    </w:p>
    <w:p w14:paraId="72F8CC8A" w14:textId="77777777" w:rsidR="00B64FF6" w:rsidRPr="008641B8" w:rsidRDefault="00B64FF6" w:rsidP="00B64FF6">
      <w:pPr>
        <w:tabs>
          <w:tab w:val="left" w:pos="720"/>
        </w:tabs>
        <w:rPr>
          <w:lang w:val="ru-RU"/>
        </w:rPr>
      </w:pPr>
      <w:r w:rsidRPr="008641B8">
        <w:rPr>
          <w:lang w:val="ru-RU"/>
        </w:rPr>
        <w:t>что в июне 2023 года Консультативная группа по стандартизации электросвязи (КГСЭ) создала Группу Докладчика по устойчивой цифровой трансформации (ГД-DT),</w:t>
      </w:r>
    </w:p>
    <w:p w14:paraId="4DCBC910" w14:textId="77777777" w:rsidR="00B64FF6" w:rsidRPr="008641B8" w:rsidRDefault="00B64FF6" w:rsidP="00B64FF6">
      <w:pPr>
        <w:pStyle w:val="Call"/>
        <w:rPr>
          <w:highlight w:val="yellow"/>
          <w:lang w:val="ru-RU"/>
        </w:rPr>
      </w:pPr>
      <w:r w:rsidRPr="008641B8">
        <w:rPr>
          <w:lang w:val="ru-RU"/>
        </w:rPr>
        <w:t>принимая во внимание</w:t>
      </w:r>
      <w:r w:rsidRPr="008641B8">
        <w:rPr>
          <w:i w:val="0"/>
          <w:iCs/>
          <w:lang w:val="ru-RU"/>
        </w:rPr>
        <w:t>,</w:t>
      </w:r>
    </w:p>
    <w:p w14:paraId="1DED3944" w14:textId="77777777" w:rsidR="00B64FF6" w:rsidRPr="008641B8" w:rsidRDefault="00B64FF6" w:rsidP="00B64FF6">
      <w:pPr>
        <w:rPr>
          <w:rFonts w:eastAsia="Calibri-Light"/>
          <w:lang w:val="ru-RU"/>
        </w:rPr>
      </w:pPr>
      <w:r w:rsidRPr="008641B8">
        <w:rPr>
          <w:rFonts w:eastAsia="Calibri-Light"/>
          <w:i/>
          <w:iCs/>
          <w:lang w:val="ru-RU"/>
        </w:rPr>
        <w:t>a)</w:t>
      </w:r>
      <w:r w:rsidRPr="008641B8">
        <w:rPr>
          <w:rFonts w:eastAsia="Calibri-Light"/>
          <w:lang w:val="ru-RU"/>
        </w:rPr>
        <w:tab/>
        <w:t>что члены МСЭ-T могут обеспечить возможность устойчивой цифровой трансформации и пользоваться ее преимуществами путем разработки и применения Рекомендаций МСЭ-T;</w:t>
      </w:r>
    </w:p>
    <w:p w14:paraId="30BAA000" w14:textId="77777777" w:rsidR="00B64FF6" w:rsidRPr="008641B8" w:rsidRDefault="00B64FF6" w:rsidP="00B64FF6">
      <w:pPr>
        <w:rPr>
          <w:rFonts w:eastAsia="Calibri-Light"/>
          <w:lang w:val="ru-RU"/>
        </w:rPr>
      </w:pPr>
      <w:r w:rsidRPr="008641B8">
        <w:rPr>
          <w:rFonts w:eastAsia="Calibri-Light"/>
          <w:i/>
          <w:iCs/>
          <w:lang w:val="ru-RU"/>
        </w:rPr>
        <w:t>b)</w:t>
      </w:r>
      <w:r w:rsidRPr="008641B8">
        <w:rPr>
          <w:rFonts w:eastAsia="Calibri-Light"/>
          <w:lang w:val="ru-RU"/>
        </w:rPr>
        <w:tab/>
        <w:t>что разработка и применение Рекомендаций МСЭ-Т требуют широкого участия и сотрудничества всех соответствующих заинтересованных сторон;</w:t>
      </w:r>
    </w:p>
    <w:p w14:paraId="0298DF9E" w14:textId="77777777" w:rsidR="00B64FF6" w:rsidRPr="008641B8" w:rsidRDefault="00B64FF6" w:rsidP="00B64FF6">
      <w:pPr>
        <w:rPr>
          <w:rFonts w:eastAsia="Calibri-Light"/>
          <w:lang w:val="ru-RU"/>
        </w:rPr>
      </w:pPr>
      <w:r w:rsidRPr="008641B8">
        <w:rPr>
          <w:rFonts w:eastAsia="Calibri-Light"/>
          <w:i/>
          <w:iCs/>
          <w:lang w:val="ru-RU"/>
        </w:rPr>
        <w:t>c)</w:t>
      </w:r>
      <w:r w:rsidRPr="008641B8">
        <w:rPr>
          <w:rFonts w:eastAsia="Calibri-Light"/>
          <w:lang w:val="ru-RU"/>
        </w:rPr>
        <w:tab/>
        <w:t>что необходима тесная координация и сотрудничество с исследовательскими комиссиями МСЭ-D для содействия устойчивой цифровой трансформации в интересах развивающихся стран,</w:t>
      </w:r>
    </w:p>
    <w:p w14:paraId="3DC76C0B" w14:textId="77777777" w:rsidR="00B64FF6" w:rsidRPr="008641B8" w:rsidRDefault="00B64FF6" w:rsidP="00B64FF6">
      <w:pPr>
        <w:pStyle w:val="Call"/>
        <w:rPr>
          <w:lang w:val="ru-RU"/>
        </w:rPr>
      </w:pPr>
      <w:r w:rsidRPr="008641B8">
        <w:rPr>
          <w:lang w:val="ru-RU"/>
        </w:rPr>
        <w:t>решает</w:t>
      </w:r>
    </w:p>
    <w:p w14:paraId="2688ABF4" w14:textId="77777777" w:rsidR="00B64FF6" w:rsidRPr="008641B8" w:rsidRDefault="00B64FF6" w:rsidP="00B64FF6">
      <w:pPr>
        <w:rPr>
          <w:lang w:val="ru-RU"/>
        </w:rPr>
      </w:pPr>
      <w:r w:rsidRPr="008641B8">
        <w:rPr>
          <w:rFonts w:eastAsia="Calibri-Light"/>
          <w:iCs/>
          <w:lang w:val="ru-RU"/>
        </w:rPr>
        <w:t>1</w:t>
      </w:r>
      <w:r w:rsidRPr="008641B8">
        <w:rPr>
          <w:rFonts w:eastAsia="Calibri-Light"/>
          <w:lang w:val="ru-RU"/>
        </w:rPr>
        <w:tab/>
      </w:r>
      <w:r w:rsidRPr="008641B8">
        <w:rPr>
          <w:rFonts w:eastAsia="MS Mincho"/>
          <w:lang w:val="ru-RU" w:eastAsia="ja-JP"/>
        </w:rPr>
        <w:t>эффективно объединять разработанные МСЭ-T руководящие указания, Рекомендации, технические отчеты, примеры передового опыта и сценарии использования, которые могут содействовать глобальной устойчивой цифровой трансформации, используя для этого центр глобальных ресурсов</w:t>
      </w:r>
      <w:r w:rsidRPr="008641B8">
        <w:rPr>
          <w:lang w:val="ru-RU"/>
        </w:rPr>
        <w:t xml:space="preserve"> МСЭ;</w:t>
      </w:r>
    </w:p>
    <w:p w14:paraId="643984D5" w14:textId="77777777" w:rsidR="00B64FF6" w:rsidRPr="008641B8" w:rsidRDefault="00B64FF6" w:rsidP="00B64FF6">
      <w:pPr>
        <w:rPr>
          <w:lang w:val="ru-RU"/>
        </w:rPr>
      </w:pPr>
      <w:r w:rsidRPr="008641B8">
        <w:rPr>
          <w:rFonts w:eastAsia="Calibri-Light"/>
          <w:iCs/>
          <w:lang w:val="ru-RU"/>
        </w:rPr>
        <w:t>2</w:t>
      </w:r>
      <w:r w:rsidRPr="008641B8">
        <w:rPr>
          <w:rFonts w:eastAsia="Calibri-Light"/>
          <w:lang w:val="ru-RU"/>
        </w:rPr>
        <w:tab/>
      </w:r>
      <w:r w:rsidRPr="008641B8">
        <w:rPr>
          <w:rFonts w:eastAsia="MS Mincho"/>
          <w:lang w:val="ru-RU" w:eastAsia="ja-JP"/>
        </w:rPr>
        <w:t>содействовать сотрудничеству и взаимодействию в рамках Союза и с другими соответствующими заинтересованными сторонами для обмена знаниями и передовым опытом, а также проводить работу для формирования общего понимания аспектов стандартизации электросвязи/ИКТ, связанных с устойчивой цифровой трансформацией</w:t>
      </w:r>
      <w:r w:rsidRPr="008641B8">
        <w:rPr>
          <w:lang w:val="ru-RU"/>
        </w:rPr>
        <w:t>;</w:t>
      </w:r>
    </w:p>
    <w:p w14:paraId="0DA9CD61" w14:textId="77777777" w:rsidR="00B64FF6" w:rsidRPr="008641B8" w:rsidRDefault="00B64FF6" w:rsidP="00B64FF6">
      <w:pPr>
        <w:rPr>
          <w:lang w:val="ru-RU"/>
        </w:rPr>
      </w:pPr>
      <w:r w:rsidRPr="008641B8">
        <w:rPr>
          <w:rFonts w:eastAsia="Calibri-Light"/>
          <w:iCs/>
          <w:lang w:val="ru-RU"/>
        </w:rPr>
        <w:t>3</w:t>
      </w:r>
      <w:r w:rsidRPr="008641B8">
        <w:rPr>
          <w:rFonts w:eastAsia="Calibri-Light"/>
          <w:lang w:val="ru-RU"/>
        </w:rPr>
        <w:tab/>
        <w:t>содействовать своевременной разработке руководящих указаний по внедрению для содействия принятию Рекомендаций МСЭ-Т, в особенности Рекомендаций, которые касаются</w:t>
      </w:r>
      <w:r w:rsidRPr="008641B8">
        <w:rPr>
          <w:rFonts w:eastAsia="MS Mincho"/>
          <w:lang w:val="ru-RU" w:eastAsia="ja-JP"/>
        </w:rPr>
        <w:t xml:space="preserve"> электросвязи/ИКТ, обеспечивающих</w:t>
      </w:r>
      <w:r w:rsidRPr="008641B8">
        <w:rPr>
          <w:rFonts w:eastAsia="Calibri-Light"/>
          <w:lang w:val="ru-RU"/>
        </w:rPr>
        <w:t xml:space="preserve"> возможность устойчивой цифровой трансформации и ее оценки, а также создавать потенциал для применения таких Рекомендаций МСЭ-Т</w:t>
      </w:r>
      <w:r w:rsidRPr="008641B8">
        <w:rPr>
          <w:lang w:val="ru-RU"/>
        </w:rPr>
        <w:t>;</w:t>
      </w:r>
    </w:p>
    <w:p w14:paraId="4638A83A" w14:textId="77777777" w:rsidR="00B64FF6" w:rsidRPr="008641B8" w:rsidRDefault="00B64FF6" w:rsidP="00B64FF6">
      <w:pPr>
        <w:rPr>
          <w:lang w:val="ru-RU"/>
        </w:rPr>
      </w:pPr>
      <w:r w:rsidRPr="008641B8">
        <w:rPr>
          <w:rFonts w:eastAsia="Calibri-Light"/>
          <w:iCs/>
          <w:lang w:val="ru-RU"/>
        </w:rPr>
        <w:t>4</w:t>
      </w:r>
      <w:r w:rsidRPr="008641B8">
        <w:rPr>
          <w:rFonts w:eastAsia="Calibri-Light"/>
          <w:lang w:val="ru-RU"/>
        </w:rPr>
        <w:tab/>
      </w:r>
      <w:r w:rsidRPr="008641B8">
        <w:rPr>
          <w:rFonts w:eastAsia="MS Mincho"/>
          <w:lang w:val="ru-RU" w:eastAsia="ja-JP"/>
        </w:rPr>
        <w:t>поощрять участие членов, в особенности Академических организаций и развивающихся стран, в деятельности МСЭ по устойчивой цифровой трансформации</w:t>
      </w:r>
      <w:r w:rsidRPr="008641B8">
        <w:rPr>
          <w:lang w:val="ru-RU"/>
        </w:rPr>
        <w:t>,</w:t>
      </w:r>
    </w:p>
    <w:p w14:paraId="069A966F" w14:textId="77777777" w:rsidR="00B64FF6" w:rsidRPr="008641B8" w:rsidRDefault="00B64FF6" w:rsidP="00B64FF6">
      <w:pPr>
        <w:pStyle w:val="Call"/>
        <w:rPr>
          <w:lang w:val="ru-RU"/>
        </w:rPr>
      </w:pPr>
      <w:r w:rsidRPr="008641B8">
        <w:rPr>
          <w:lang w:val="ru-RU"/>
        </w:rPr>
        <w:t>решает поручить Консультативной группе по стандартизации электросвязи</w:t>
      </w:r>
    </w:p>
    <w:p w14:paraId="7389E03C" w14:textId="77777777" w:rsidR="00B64FF6" w:rsidRPr="008641B8" w:rsidRDefault="00B64FF6" w:rsidP="00B64FF6">
      <w:pPr>
        <w:rPr>
          <w:lang w:val="ru-RU"/>
        </w:rPr>
      </w:pPr>
      <w:r w:rsidRPr="008641B8">
        <w:rPr>
          <w:lang w:val="ru-RU"/>
        </w:rPr>
        <w:t>предпринять все необходимые шаги для содействия и активизации деятельности по стандартизации</w:t>
      </w:r>
      <w:r w:rsidRPr="008641B8">
        <w:rPr>
          <w:rFonts w:eastAsia="MS Mincho"/>
          <w:lang w:val="ru-RU" w:eastAsia="ja-JP"/>
        </w:rPr>
        <w:t xml:space="preserve"> электросвязи/ИКТ</w:t>
      </w:r>
      <w:r w:rsidRPr="008641B8">
        <w:rPr>
          <w:lang w:val="ru-RU"/>
        </w:rPr>
        <w:t>, которая поддерживает и облегчает устойчивую цифровую трансформацию, включая продолжение деятельности ГД-DT,</w:t>
      </w:r>
    </w:p>
    <w:p w14:paraId="0B6C5BAE" w14:textId="77777777" w:rsidR="00B64FF6" w:rsidRPr="008641B8" w:rsidRDefault="00B64FF6" w:rsidP="00B64FF6">
      <w:pPr>
        <w:pStyle w:val="Call"/>
        <w:rPr>
          <w:lang w:val="ru-RU"/>
        </w:rPr>
      </w:pPr>
      <w:r w:rsidRPr="008641B8">
        <w:rPr>
          <w:rFonts w:eastAsiaTheme="minorEastAsia"/>
          <w:lang w:val="ru-RU" w:eastAsia="ko-KR"/>
        </w:rPr>
        <w:t>решает поручить Директору Бюро стандартизации электросвязи</w:t>
      </w:r>
    </w:p>
    <w:p w14:paraId="5705DBAE" w14:textId="77777777" w:rsidR="00B64FF6" w:rsidRPr="008641B8" w:rsidRDefault="00B64FF6" w:rsidP="00B64FF6">
      <w:pPr>
        <w:rPr>
          <w:lang w:val="ru-RU"/>
        </w:rPr>
      </w:pPr>
      <w:r w:rsidRPr="008641B8">
        <w:rPr>
          <w:lang w:val="ru-RU"/>
        </w:rPr>
        <w:t xml:space="preserve">предоставлять развивающимся странам помощь в более эффективном создании потенциала для работы по стандартизации </w:t>
      </w:r>
      <w:r w:rsidRPr="008641B8">
        <w:rPr>
          <w:rFonts w:eastAsia="MS Mincho"/>
          <w:lang w:val="ru-RU" w:eastAsia="ja-JP"/>
        </w:rPr>
        <w:t>электросвязи/ИКТ</w:t>
      </w:r>
      <w:r w:rsidRPr="008641B8">
        <w:rPr>
          <w:lang w:val="ru-RU"/>
        </w:rPr>
        <w:t xml:space="preserve"> в области устойчивой цифровой трансформации, в том числе путем сотрудничества с соответствующими академическими организациями, экспертными сообществами, организациями по разработке стандартов и другими заинтересованными сторонами,</w:t>
      </w:r>
    </w:p>
    <w:p w14:paraId="16C98844" w14:textId="77777777" w:rsidR="00B64FF6" w:rsidRPr="008641B8" w:rsidRDefault="00B64FF6" w:rsidP="00B64FF6">
      <w:pPr>
        <w:rPr>
          <w:lang w:val="ru-RU"/>
        </w:rPr>
      </w:pPr>
      <w:r w:rsidRPr="008641B8">
        <w:rPr>
          <w:lang w:val="ru-RU"/>
        </w:rPr>
        <w:br w:type="page"/>
      </w:r>
    </w:p>
    <w:p w14:paraId="4C7D5B50" w14:textId="77777777" w:rsidR="00B64FF6" w:rsidRPr="008641B8" w:rsidRDefault="00B64FF6" w:rsidP="00B64FF6">
      <w:pPr>
        <w:pStyle w:val="Call"/>
        <w:rPr>
          <w:lang w:val="ru-RU"/>
        </w:rPr>
      </w:pPr>
      <w:r w:rsidRPr="008641B8">
        <w:rPr>
          <w:rFonts w:eastAsiaTheme="minorEastAsia"/>
          <w:lang w:val="ru-RU" w:eastAsia="ko-KR"/>
        </w:rPr>
        <w:lastRenderedPageBreak/>
        <w:t>поручает исследовательским комиссиям Сектора стандартизации МСЭ в рамках их существующих мандатов</w:t>
      </w:r>
    </w:p>
    <w:p w14:paraId="0024F843" w14:textId="77777777" w:rsidR="00B64FF6" w:rsidRPr="008641B8" w:rsidRDefault="00B64FF6" w:rsidP="00B64FF6">
      <w:pPr>
        <w:rPr>
          <w:lang w:val="ru-RU"/>
        </w:rPr>
      </w:pPr>
      <w:r w:rsidRPr="008641B8">
        <w:rPr>
          <w:lang w:val="ru-RU"/>
        </w:rPr>
        <w:t>1</w:t>
      </w:r>
      <w:r w:rsidRPr="008641B8">
        <w:rPr>
          <w:lang w:val="ru-RU"/>
        </w:rPr>
        <w:tab/>
        <w:t>разработать Рекомендации МСЭ-Т, руководящие указания и примеры передового опыта, которые помогут членам, в особенности развивающимся странам, воспользоваться преимуществами новых и появляющихся технологий электросвязи/ИКТ для поддержки устойчивой цифровой трансформации в различных отраслях и электросвязи/ИКТ, в рамках мандата МСЭ;</w:t>
      </w:r>
    </w:p>
    <w:p w14:paraId="2554E0E8" w14:textId="77777777" w:rsidR="00B64FF6" w:rsidRPr="008641B8" w:rsidRDefault="00B64FF6" w:rsidP="00B64FF6">
      <w:pPr>
        <w:rPr>
          <w:lang w:val="ru-RU"/>
        </w:rPr>
      </w:pPr>
      <w:r w:rsidRPr="008641B8">
        <w:rPr>
          <w:lang w:val="ru-RU"/>
        </w:rPr>
        <w:t>2</w:t>
      </w:r>
      <w:r w:rsidRPr="008641B8">
        <w:rPr>
          <w:lang w:val="ru-RU"/>
        </w:rPr>
        <w:tab/>
        <w:t>осуществлять координацию и сотрудничество с другими группами в рамках МСЭ, признанными ОРС и учреждениями, на которые возложена основная ответственность за разработку стандартов и создание потенциала в области устойчивой цифровой трансформации;</w:t>
      </w:r>
    </w:p>
    <w:p w14:paraId="4444F175" w14:textId="77777777" w:rsidR="00B64FF6" w:rsidRPr="008641B8" w:rsidRDefault="00B64FF6" w:rsidP="00B64FF6">
      <w:pPr>
        <w:rPr>
          <w:lang w:val="ru-RU"/>
        </w:rPr>
      </w:pPr>
      <w:r w:rsidRPr="008641B8">
        <w:rPr>
          <w:rFonts w:eastAsia="Calibri-Light"/>
          <w:lang w:val="ru-RU"/>
        </w:rPr>
        <w:t>3</w:t>
      </w:r>
      <w:r w:rsidRPr="008641B8">
        <w:rPr>
          <w:rFonts w:eastAsia="Calibri-Light"/>
          <w:lang w:val="ru-RU"/>
        </w:rPr>
        <w:tab/>
      </w:r>
      <w:r w:rsidRPr="008641B8">
        <w:rPr>
          <w:rFonts w:eastAsiaTheme="minorEastAsia"/>
          <w:lang w:val="ru-RU" w:eastAsia="ko-KR"/>
        </w:rPr>
        <w:t>разрабатывать и популяризировать Рекомендации МСЭ-Т по использованию цифровых технологий, приложений, услуг и платформ, связанных с технологиями электросвязи/ИКТ, для обеспечения устойчивой цифровой трансформации</w:t>
      </w:r>
      <w:r w:rsidRPr="008641B8">
        <w:rPr>
          <w:rFonts w:eastAsia="Calibri-Light"/>
          <w:lang w:val="ru-RU"/>
        </w:rPr>
        <w:t>,</w:t>
      </w:r>
    </w:p>
    <w:p w14:paraId="23F0012E" w14:textId="77777777" w:rsidR="00B64FF6" w:rsidRPr="008641B8" w:rsidRDefault="00B64FF6" w:rsidP="00B64FF6">
      <w:pPr>
        <w:pStyle w:val="Call"/>
        <w:rPr>
          <w:lang w:val="ru-RU"/>
        </w:rPr>
      </w:pPr>
      <w:r w:rsidRPr="008641B8">
        <w:rPr>
          <w:rFonts w:eastAsiaTheme="minorEastAsia"/>
          <w:lang w:val="ru-RU" w:eastAsia="ko-KR"/>
        </w:rPr>
        <w:t>предлагает Государствам-Членам, Членам Сектора, Ассоциированным членам и Академическим организациям</w:t>
      </w:r>
    </w:p>
    <w:p w14:paraId="4969F5DC" w14:textId="77777777" w:rsidR="00B64FF6" w:rsidRPr="008641B8" w:rsidRDefault="00B64FF6" w:rsidP="00B64FF6">
      <w:pPr>
        <w:rPr>
          <w:rFonts w:eastAsia="Calibri-Light"/>
          <w:lang w:val="ru-RU"/>
        </w:rPr>
      </w:pPr>
      <w:r w:rsidRPr="008641B8">
        <w:rPr>
          <w:rFonts w:eastAsiaTheme="minorEastAsia"/>
          <w:lang w:val="ru-RU" w:eastAsia="ko-KR"/>
        </w:rPr>
        <w:t>вносить вклад в исследования и разработку МСЭ-Т Рекомендаций, руководящих указаний и примеров передового опыта в области электросвязи/ИКТ, поддерживающих устойчивую цифровую трансформацию</w:t>
      </w:r>
      <w:r w:rsidRPr="008641B8">
        <w:rPr>
          <w:rFonts w:eastAsia="Calibri-Light"/>
          <w:lang w:val="ru-RU"/>
        </w:rPr>
        <w:t>.</w:t>
      </w:r>
    </w:p>
    <w:p w14:paraId="7375E701" w14:textId="77777777" w:rsidR="00151BAA" w:rsidRDefault="00151BAA" w:rsidP="000068A9">
      <w:pPr>
        <w:rPr>
          <w:lang w:val="en-US"/>
        </w:rPr>
      </w:pPr>
    </w:p>
    <w:p w14:paraId="5FF04A64" w14:textId="77777777" w:rsidR="000068A9" w:rsidRDefault="000068A9" w:rsidP="000068A9">
      <w:pPr>
        <w:rPr>
          <w:lang w:val="en-US"/>
        </w:rPr>
      </w:pPr>
    </w:p>
    <w:p w14:paraId="5FD6AC88" w14:textId="77777777" w:rsidR="000068A9" w:rsidRDefault="000068A9" w:rsidP="000068A9">
      <w:pPr>
        <w:rPr>
          <w:lang w:val="en-US"/>
        </w:rPr>
      </w:pPr>
    </w:p>
    <w:p w14:paraId="582B4E9F" w14:textId="77777777" w:rsidR="000068A9" w:rsidRDefault="000068A9" w:rsidP="000068A9">
      <w:pPr>
        <w:rPr>
          <w:lang w:val="en-US"/>
        </w:rPr>
      </w:pPr>
    </w:p>
    <w:p w14:paraId="0CB3FD16" w14:textId="77777777" w:rsidR="000068A9" w:rsidRDefault="000068A9" w:rsidP="000068A9">
      <w:pPr>
        <w:rPr>
          <w:lang w:val="en-US"/>
        </w:rPr>
      </w:pPr>
    </w:p>
    <w:p w14:paraId="4882A331" w14:textId="77777777" w:rsidR="000068A9" w:rsidRDefault="000068A9" w:rsidP="000068A9">
      <w:pPr>
        <w:rPr>
          <w:lang w:val="en-US"/>
        </w:rPr>
      </w:pPr>
    </w:p>
    <w:p w14:paraId="09CCB424" w14:textId="77777777" w:rsidR="000068A9" w:rsidRDefault="000068A9" w:rsidP="000068A9">
      <w:pPr>
        <w:rPr>
          <w:lang w:val="en-US"/>
        </w:rPr>
      </w:pPr>
    </w:p>
    <w:p w14:paraId="5299FFBA" w14:textId="77777777" w:rsidR="000068A9" w:rsidRDefault="000068A9" w:rsidP="000068A9">
      <w:pPr>
        <w:rPr>
          <w:lang w:val="en-US"/>
        </w:rPr>
      </w:pPr>
    </w:p>
    <w:p w14:paraId="5046419F" w14:textId="77777777" w:rsidR="000068A9" w:rsidRDefault="000068A9" w:rsidP="000068A9">
      <w:pPr>
        <w:rPr>
          <w:lang w:val="en-US"/>
        </w:rPr>
      </w:pPr>
    </w:p>
    <w:p w14:paraId="493BEB5D" w14:textId="77777777" w:rsidR="000068A9" w:rsidRDefault="000068A9" w:rsidP="000068A9">
      <w:pPr>
        <w:rPr>
          <w:lang w:val="en-US"/>
        </w:rPr>
      </w:pPr>
    </w:p>
    <w:p w14:paraId="534A7FB8" w14:textId="77777777" w:rsidR="000068A9" w:rsidRDefault="000068A9" w:rsidP="000068A9">
      <w:pPr>
        <w:rPr>
          <w:lang w:val="en-US"/>
        </w:rPr>
      </w:pPr>
    </w:p>
    <w:p w14:paraId="0724B8FE" w14:textId="77777777" w:rsidR="000068A9" w:rsidRDefault="000068A9" w:rsidP="000068A9">
      <w:pPr>
        <w:rPr>
          <w:lang w:val="en-US"/>
        </w:rPr>
      </w:pPr>
    </w:p>
    <w:p w14:paraId="5D29047F" w14:textId="77777777" w:rsidR="000068A9" w:rsidRDefault="000068A9" w:rsidP="000068A9">
      <w:pPr>
        <w:rPr>
          <w:lang w:val="en-US"/>
        </w:rPr>
      </w:pPr>
    </w:p>
    <w:p w14:paraId="0277803C" w14:textId="77777777" w:rsidR="000068A9" w:rsidRDefault="000068A9" w:rsidP="000068A9">
      <w:pPr>
        <w:rPr>
          <w:lang w:val="en-US"/>
        </w:rPr>
      </w:pPr>
    </w:p>
    <w:p w14:paraId="5905AEC9" w14:textId="77777777" w:rsidR="000068A9" w:rsidRDefault="000068A9" w:rsidP="000068A9">
      <w:pPr>
        <w:rPr>
          <w:lang w:val="en-US"/>
        </w:rPr>
      </w:pPr>
    </w:p>
    <w:p w14:paraId="409AAF59" w14:textId="77777777" w:rsidR="000068A9" w:rsidRDefault="000068A9" w:rsidP="000068A9">
      <w:pPr>
        <w:rPr>
          <w:lang w:val="en-US"/>
        </w:rPr>
      </w:pPr>
    </w:p>
    <w:p w14:paraId="692EA229" w14:textId="77777777" w:rsidR="000068A9" w:rsidRPr="000068A9" w:rsidRDefault="000068A9" w:rsidP="000068A9">
      <w:pPr>
        <w:rPr>
          <w:lang w:val="en-US"/>
        </w:rPr>
      </w:pPr>
    </w:p>
    <w:sectPr w:rsidR="000068A9" w:rsidRPr="000068A9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Ligh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180E09A4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C33918" w:rsidRPr="00C33918">
      <w:rPr>
        <w:noProof/>
        <w:szCs w:val="22"/>
        <w:lang w:val="en-US"/>
      </w:rPr>
      <w:t>106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793AAAD2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C33918" w:rsidRPr="00C33918">
      <w:rPr>
        <w:noProof/>
        <w:szCs w:val="22"/>
        <w:lang w:val="en-US"/>
      </w:rPr>
      <w:t>106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6543BE84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C33918" w:rsidRPr="00C33918">
      <w:rPr>
        <w:noProof/>
        <w:szCs w:val="22"/>
        <w:lang w:val="en-US"/>
      </w:rPr>
      <w:t>106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  <w:footnote w:id="1">
    <w:p w14:paraId="0109E2F3" w14:textId="77777777" w:rsidR="00B64FF6" w:rsidRPr="000068A9" w:rsidRDefault="00B64FF6" w:rsidP="00B64FF6">
      <w:pPr>
        <w:pStyle w:val="FootnoteText"/>
        <w:rPr>
          <w:lang w:val="ru-RU"/>
        </w:rPr>
      </w:pPr>
      <w:r w:rsidRPr="000068A9">
        <w:rPr>
          <w:rStyle w:val="FootnoteReference"/>
          <w:lang w:val="ru-RU"/>
        </w:rPr>
        <w:t>1</w:t>
      </w:r>
      <w:r w:rsidRPr="000068A9">
        <w:rPr>
          <w:lang w:val="ru-RU"/>
        </w:rPr>
        <w:t xml:space="preserve"> </w:t>
      </w:r>
      <w:r w:rsidRPr="000068A9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8A9"/>
    <w:rsid w:val="00006C17"/>
    <w:rsid w:val="00011D78"/>
    <w:rsid w:val="00015A60"/>
    <w:rsid w:val="00017B45"/>
    <w:rsid w:val="00023463"/>
    <w:rsid w:val="0002728D"/>
    <w:rsid w:val="0003503D"/>
    <w:rsid w:val="00060974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51BAA"/>
    <w:rsid w:val="001762A1"/>
    <w:rsid w:val="001B4A76"/>
    <w:rsid w:val="001B5C6B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64852"/>
    <w:rsid w:val="00266279"/>
    <w:rsid w:val="002742C3"/>
    <w:rsid w:val="00281FC7"/>
    <w:rsid w:val="002A60C5"/>
    <w:rsid w:val="002C182C"/>
    <w:rsid w:val="002D336F"/>
    <w:rsid w:val="002D5607"/>
    <w:rsid w:val="002E1B7B"/>
    <w:rsid w:val="002E6A20"/>
    <w:rsid w:val="00331B2F"/>
    <w:rsid w:val="003374BB"/>
    <w:rsid w:val="0035222D"/>
    <w:rsid w:val="0038237B"/>
    <w:rsid w:val="003C3FD9"/>
    <w:rsid w:val="003D116F"/>
    <w:rsid w:val="003D7A8C"/>
    <w:rsid w:val="003F293E"/>
    <w:rsid w:val="00420F50"/>
    <w:rsid w:val="004568D2"/>
    <w:rsid w:val="004612A7"/>
    <w:rsid w:val="00462F6A"/>
    <w:rsid w:val="00467305"/>
    <w:rsid w:val="0048772A"/>
    <w:rsid w:val="004A58A4"/>
    <w:rsid w:val="004B7CB1"/>
    <w:rsid w:val="004E5019"/>
    <w:rsid w:val="004F2E56"/>
    <w:rsid w:val="00501F47"/>
    <w:rsid w:val="00504D1F"/>
    <w:rsid w:val="00524FB2"/>
    <w:rsid w:val="0053765D"/>
    <w:rsid w:val="00555B61"/>
    <w:rsid w:val="005569CA"/>
    <w:rsid w:val="00562EF2"/>
    <w:rsid w:val="00574CFF"/>
    <w:rsid w:val="005C5FA5"/>
    <w:rsid w:val="005D19E5"/>
    <w:rsid w:val="005D1D45"/>
    <w:rsid w:val="005D4393"/>
    <w:rsid w:val="00601999"/>
    <w:rsid w:val="00611CD0"/>
    <w:rsid w:val="00631549"/>
    <w:rsid w:val="006425B4"/>
    <w:rsid w:val="00647B88"/>
    <w:rsid w:val="00653C1B"/>
    <w:rsid w:val="006545B8"/>
    <w:rsid w:val="00665F6E"/>
    <w:rsid w:val="006678D7"/>
    <w:rsid w:val="006747A4"/>
    <w:rsid w:val="006824D9"/>
    <w:rsid w:val="00684F2B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17E4B"/>
    <w:rsid w:val="00720F3C"/>
    <w:rsid w:val="00726747"/>
    <w:rsid w:val="0073220E"/>
    <w:rsid w:val="0074102F"/>
    <w:rsid w:val="007550BF"/>
    <w:rsid w:val="00780423"/>
    <w:rsid w:val="00781E25"/>
    <w:rsid w:val="007828CF"/>
    <w:rsid w:val="00783EB8"/>
    <w:rsid w:val="007958DD"/>
    <w:rsid w:val="007C00E3"/>
    <w:rsid w:val="007E0240"/>
    <w:rsid w:val="007F32A3"/>
    <w:rsid w:val="008075CD"/>
    <w:rsid w:val="00837339"/>
    <w:rsid w:val="00845E8E"/>
    <w:rsid w:val="00851E30"/>
    <w:rsid w:val="008641B8"/>
    <w:rsid w:val="0088751E"/>
    <w:rsid w:val="008968B6"/>
    <w:rsid w:val="008B4CF6"/>
    <w:rsid w:val="008B6349"/>
    <w:rsid w:val="008C7FC3"/>
    <w:rsid w:val="008D6D8D"/>
    <w:rsid w:val="008F1BA2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71915"/>
    <w:rsid w:val="00974C0C"/>
    <w:rsid w:val="009755D7"/>
    <w:rsid w:val="009C2357"/>
    <w:rsid w:val="009D10A5"/>
    <w:rsid w:val="009D26AE"/>
    <w:rsid w:val="009D3A40"/>
    <w:rsid w:val="009D7132"/>
    <w:rsid w:val="009E1DCF"/>
    <w:rsid w:val="009F7009"/>
    <w:rsid w:val="00A01A91"/>
    <w:rsid w:val="00A24E9A"/>
    <w:rsid w:val="00A26B1A"/>
    <w:rsid w:val="00A3085D"/>
    <w:rsid w:val="00A4766C"/>
    <w:rsid w:val="00A65D98"/>
    <w:rsid w:val="00A83D3D"/>
    <w:rsid w:val="00AA1264"/>
    <w:rsid w:val="00AA2D89"/>
    <w:rsid w:val="00AC4AF1"/>
    <w:rsid w:val="00AE4C26"/>
    <w:rsid w:val="00B0646C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4FF6"/>
    <w:rsid w:val="00B67290"/>
    <w:rsid w:val="00B73379"/>
    <w:rsid w:val="00B73B62"/>
    <w:rsid w:val="00B92804"/>
    <w:rsid w:val="00B9509A"/>
    <w:rsid w:val="00BA7AC5"/>
    <w:rsid w:val="00BB34EA"/>
    <w:rsid w:val="00BE58E6"/>
    <w:rsid w:val="00BF610E"/>
    <w:rsid w:val="00C12E70"/>
    <w:rsid w:val="00C32F69"/>
    <w:rsid w:val="00C33918"/>
    <w:rsid w:val="00C42785"/>
    <w:rsid w:val="00C437DF"/>
    <w:rsid w:val="00C63087"/>
    <w:rsid w:val="00C64078"/>
    <w:rsid w:val="00C706FC"/>
    <w:rsid w:val="00C72AF4"/>
    <w:rsid w:val="00CB6046"/>
    <w:rsid w:val="00CD10C2"/>
    <w:rsid w:val="00CD3865"/>
    <w:rsid w:val="00CE767E"/>
    <w:rsid w:val="00CF024D"/>
    <w:rsid w:val="00D20887"/>
    <w:rsid w:val="00D26ECC"/>
    <w:rsid w:val="00D324F1"/>
    <w:rsid w:val="00D4292A"/>
    <w:rsid w:val="00D44731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5592"/>
    <w:rsid w:val="00DE48B4"/>
    <w:rsid w:val="00E03ABC"/>
    <w:rsid w:val="00E154E2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84CE6"/>
    <w:rsid w:val="00E96B11"/>
    <w:rsid w:val="00E96C27"/>
    <w:rsid w:val="00E976D9"/>
    <w:rsid w:val="00EA12A2"/>
    <w:rsid w:val="00EA2A26"/>
    <w:rsid w:val="00EB2388"/>
    <w:rsid w:val="00EB3556"/>
    <w:rsid w:val="00EE1126"/>
    <w:rsid w:val="00EE2FE2"/>
    <w:rsid w:val="00EE4B7A"/>
    <w:rsid w:val="00EF33A2"/>
    <w:rsid w:val="00F0099E"/>
    <w:rsid w:val="00F12607"/>
    <w:rsid w:val="00F15F98"/>
    <w:rsid w:val="00F251B6"/>
    <w:rsid w:val="00F34748"/>
    <w:rsid w:val="00F4281C"/>
    <w:rsid w:val="00F4544A"/>
    <w:rsid w:val="00F576B9"/>
    <w:rsid w:val="00F67E96"/>
    <w:rsid w:val="00F9579B"/>
    <w:rsid w:val="00FA70B7"/>
    <w:rsid w:val="00FD23A9"/>
    <w:rsid w:val="00FD7F88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EB2388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EB2388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EB2388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EB2388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58</TotalTime>
  <Pages>5</Pages>
  <Words>925</Words>
  <Characters>7019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106 (Нью-Дели, 2024 г.) Активизация деятельности по стандартизации в области устойчивой цифровой трансформации</vt:lpstr>
    </vt:vector>
  </TitlesOfParts>
  <Company>ITU</Company>
  <LinksUpToDate>false</LinksUpToDate>
  <CharactersWithSpaces>7929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106 (Нью-Дели, 2024 г.) Активизация деятельности по стандартизации в области устойчивой цифровой трансформации</dc:title>
  <dc:subject>WORLD TELECOMMUNICATION STANDARDIZATION ASSEMBLY - Florianópolis, 5-14 October 2004</dc:subject>
  <dc:creator>ITU-T</dc:creator>
  <cp:keywords/>
  <dc:description/>
  <cp:lastModifiedBy>Berdyeva, Elena</cp:lastModifiedBy>
  <cp:revision>39</cp:revision>
  <cp:lastPrinted>2024-11-27T08:46:00Z</cp:lastPrinted>
  <dcterms:created xsi:type="dcterms:W3CDTF">2024-09-24T12:18:00Z</dcterms:created>
  <dcterms:modified xsi:type="dcterms:W3CDTF">2024-11-27T08:47:00Z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