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International Telecommunication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Resolutions</w:t>
            </w:r>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r w:rsidRPr="00EA2A26">
              <w:rPr>
                <w:rFonts w:ascii="Arial" w:eastAsia="Avenir Next W1G Medium" w:hAnsi="Arial" w:cs="Arial"/>
                <w:sz w:val="24"/>
                <w:szCs w:val="24"/>
              </w:rPr>
              <w:t>Standardization Sector</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C3375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C3375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6693AEBC" w:rsidR="00EA2A26" w:rsidRPr="001108C2" w:rsidRDefault="00EA2A26" w:rsidP="008D6223">
            <w:pPr>
              <w:pStyle w:val="BodyText"/>
              <w:spacing w:before="440"/>
              <w:jc w:val="left"/>
              <w:rPr>
                <w:spacing w:val="-6"/>
                <w:sz w:val="44"/>
                <w:szCs w:val="44"/>
                <w:lang w:val="en-GB"/>
              </w:rPr>
            </w:pPr>
            <w:bookmarkStart w:id="1" w:name="_Hlk183524451"/>
            <w:bookmarkStart w:id="2" w:name="_Hlk183590204"/>
            <w:r>
              <w:rPr>
                <w:spacing w:val="-6"/>
                <w:sz w:val="44"/>
                <w:szCs w:val="44"/>
                <w:lang w:val="en-GB"/>
              </w:rPr>
              <w:t xml:space="preserve">Resolution </w:t>
            </w:r>
            <w:r w:rsidR="00E8144B">
              <w:rPr>
                <w:spacing w:val="-6"/>
                <w:sz w:val="44"/>
                <w:szCs w:val="44"/>
                <w:lang w:val="en-GB"/>
              </w:rPr>
              <w:t>10</w:t>
            </w:r>
            <w:r w:rsidR="00FC43B7">
              <w:rPr>
                <w:spacing w:val="-6"/>
                <w:sz w:val="44"/>
                <w:szCs w:val="44"/>
                <w:lang w:val="en-GB"/>
              </w:rPr>
              <w:t>6</w:t>
            </w:r>
            <w:r w:rsidR="00845E8E">
              <w:rPr>
                <w:spacing w:val="-6"/>
                <w:sz w:val="44"/>
                <w:szCs w:val="44"/>
                <w:lang w:val="en-GB"/>
              </w:rPr>
              <w:t xml:space="preserve"> – </w:t>
            </w:r>
            <w:bookmarkEnd w:id="1"/>
            <w:bookmarkEnd w:id="2"/>
            <w:r w:rsidR="00FC43B7" w:rsidRPr="00FC43B7">
              <w:rPr>
                <w:spacing w:val="-6"/>
                <w:sz w:val="44"/>
                <w:szCs w:val="44"/>
                <w:lang w:val="en-GB"/>
              </w:rPr>
              <w:t>Enhancing standardization activities on sustainable digital transformation</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3" w:name="irecnoe"/>
      <w:bookmarkEnd w:id="3"/>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25388E0D" w:rsidR="008D6223" w:rsidRPr="00BF4E62" w:rsidRDefault="00672358" w:rsidP="007C2680">
      <w:pPr>
        <w:pStyle w:val="ResNo"/>
        <w:outlineLvl w:val="0"/>
        <w:rPr>
          <w:lang w:val="en-GB"/>
        </w:rPr>
      </w:pPr>
      <w:r w:rsidRPr="00BF4E62">
        <w:rPr>
          <w:lang w:val="en-GB"/>
        </w:rPr>
        <w:lastRenderedPageBreak/>
        <w:t xml:space="preserve">RESOLUTION </w:t>
      </w:r>
      <w:r w:rsidRPr="00BF4E62">
        <w:rPr>
          <w:rStyle w:val="href"/>
          <w:lang w:val="en-GB"/>
        </w:rPr>
        <w:t>10</w:t>
      </w:r>
      <w:r w:rsidR="00FC43B7">
        <w:rPr>
          <w:rStyle w:val="href"/>
          <w:lang w:val="en-GB"/>
        </w:rPr>
        <w:t>6</w:t>
      </w:r>
      <w:r w:rsidRPr="00BF4E62">
        <w:rPr>
          <w:lang w:val="en-GB"/>
        </w:rPr>
        <w:t xml:space="preserve"> (N</w:t>
      </w:r>
      <w:r w:rsidRPr="00BF4E62">
        <w:rPr>
          <w:caps w:val="0"/>
          <w:lang w:val="en-GB"/>
        </w:rPr>
        <w:t>ew</w:t>
      </w:r>
      <w:r w:rsidRPr="00BF4E62">
        <w:rPr>
          <w:lang w:val="en-GB"/>
        </w:rPr>
        <w:t> D</w:t>
      </w:r>
      <w:r w:rsidRPr="00BF4E62">
        <w:rPr>
          <w:caps w:val="0"/>
          <w:lang w:val="en-GB"/>
        </w:rPr>
        <w:t>elhi</w:t>
      </w:r>
      <w:r w:rsidRPr="00BF4E62">
        <w:rPr>
          <w:lang w:val="en-GB"/>
        </w:rPr>
        <w:t>, 2024)</w:t>
      </w:r>
    </w:p>
    <w:p w14:paraId="1BC32344" w14:textId="77777777" w:rsidR="00FC43B7" w:rsidRPr="00FC43B7" w:rsidRDefault="00FC43B7" w:rsidP="00977D2F">
      <w:pPr>
        <w:pStyle w:val="Reptitle"/>
        <w:outlineLvl w:val="0"/>
        <w:rPr>
          <w:rFonts w:eastAsia="MS Mincho"/>
          <w:lang w:val="en-GB"/>
        </w:rPr>
      </w:pPr>
      <w:r w:rsidRPr="00FC43B7">
        <w:rPr>
          <w:lang w:val="en-GB"/>
        </w:rPr>
        <w:t>Enhancing standardization activities on sustainable digital transformation</w:t>
      </w:r>
    </w:p>
    <w:p w14:paraId="282C964F" w14:textId="77777777" w:rsidR="00FC43B7" w:rsidRPr="00FC43B7" w:rsidRDefault="00FC43B7" w:rsidP="00FC43B7">
      <w:pPr>
        <w:pStyle w:val="Resref"/>
        <w:rPr>
          <w:lang w:val="en-GB"/>
        </w:rPr>
      </w:pPr>
      <w:r w:rsidRPr="00FC43B7">
        <w:rPr>
          <w:lang w:val="en-GB"/>
        </w:rPr>
        <w:t>(New Delhi, 2024)</w:t>
      </w:r>
    </w:p>
    <w:p w14:paraId="518F2DCA" w14:textId="77777777" w:rsidR="00FC43B7" w:rsidRPr="00174C13" w:rsidRDefault="00FC43B7" w:rsidP="00FC43B7">
      <w:pPr>
        <w:pStyle w:val="Normalaftertitle0"/>
        <w:rPr>
          <w:rFonts w:eastAsia="Calibri-Light"/>
        </w:rPr>
      </w:pPr>
      <w:r w:rsidRPr="00174C13">
        <w:rPr>
          <w:rFonts w:eastAsia="Calibri-Light"/>
        </w:rPr>
        <w:t>The World Telecommunication Standardization Assembly (New Delhi, 2024),</w:t>
      </w:r>
    </w:p>
    <w:p w14:paraId="7CDC7718" w14:textId="77777777" w:rsidR="00FC43B7" w:rsidRPr="00FC43B7" w:rsidRDefault="00FC43B7" w:rsidP="00FC43B7">
      <w:pPr>
        <w:pStyle w:val="Call"/>
        <w:rPr>
          <w:lang w:val="en-GB"/>
        </w:rPr>
      </w:pPr>
      <w:r w:rsidRPr="00FC43B7">
        <w:rPr>
          <w:lang w:val="en-GB"/>
        </w:rPr>
        <w:t>recalling</w:t>
      </w:r>
    </w:p>
    <w:p w14:paraId="30D1D652" w14:textId="77777777" w:rsidR="00FC43B7" w:rsidRPr="00FC43B7" w:rsidRDefault="00FC43B7" w:rsidP="00FC43B7">
      <w:pPr>
        <w:rPr>
          <w:rFonts w:eastAsia="Calibri-Light"/>
          <w:lang w:val="en-GB"/>
        </w:rPr>
      </w:pPr>
      <w:r w:rsidRPr="00FC43B7">
        <w:rPr>
          <w:rFonts w:eastAsia="Calibri-Light"/>
          <w:i/>
          <w:iCs/>
          <w:lang w:val="en-GB"/>
        </w:rPr>
        <w:t>a)</w:t>
      </w:r>
      <w:r w:rsidRPr="00FC43B7">
        <w:rPr>
          <w:rFonts w:eastAsia="Calibri-Light"/>
          <w:lang w:val="en-GB"/>
        </w:rPr>
        <w:tab/>
        <w:t>that the strategic plan for the Union for 2024-2027, approved by means of Resolution 71 (Rev. Bucharest, 2022) of the Plenipotentiary Conference, establishes sustainable digital transformation as a strategic goal of the Union in facilitating progress towards the implementation of the World Summit on the Information Society (WSIS) action lines and the United Nations 2030 Agenda for Sustainable Development;</w:t>
      </w:r>
    </w:p>
    <w:p w14:paraId="7D17D257" w14:textId="77777777" w:rsidR="00FC43B7" w:rsidRPr="00FC43B7" w:rsidRDefault="00FC43B7" w:rsidP="00FC43B7">
      <w:pPr>
        <w:rPr>
          <w:rFonts w:eastAsia="Calibri-Light"/>
          <w:lang w:val="en-GB"/>
        </w:rPr>
      </w:pPr>
      <w:r w:rsidRPr="00FC43B7">
        <w:rPr>
          <w:rFonts w:eastAsia="Calibri-Light"/>
          <w:i/>
          <w:iCs/>
          <w:lang w:val="en-GB"/>
        </w:rPr>
        <w:t>b)</w:t>
      </w:r>
      <w:r w:rsidRPr="00FC43B7">
        <w:rPr>
          <w:rFonts w:eastAsia="Calibri-Light"/>
          <w:lang w:val="en-GB"/>
        </w:rPr>
        <w:tab/>
        <w:t>Resolution 44 (Rev. New Delhi, 2024) of this assembly, on bridging the standardization gap between developing</w:t>
      </w:r>
      <w:r w:rsidRPr="00FC43B7">
        <w:rPr>
          <w:rStyle w:val="FootnoteReference"/>
          <w:szCs w:val="24"/>
          <w:lang w:val="en-GB"/>
        </w:rPr>
        <w:footnoteReference w:customMarkFollows="1" w:id="1"/>
        <w:t>1</w:t>
      </w:r>
      <w:r w:rsidRPr="00FC43B7">
        <w:rPr>
          <w:rFonts w:eastAsia="Calibri-Light"/>
          <w:lang w:val="en-GB"/>
        </w:rPr>
        <w:t xml:space="preserve"> and developed countries;</w:t>
      </w:r>
    </w:p>
    <w:p w14:paraId="15ED498C" w14:textId="77777777" w:rsidR="00FC43B7" w:rsidRPr="00FC43B7" w:rsidRDefault="00FC43B7" w:rsidP="00FC43B7">
      <w:pPr>
        <w:rPr>
          <w:rFonts w:eastAsia="Calibri-Light"/>
          <w:lang w:val="en-GB"/>
        </w:rPr>
      </w:pPr>
      <w:r w:rsidRPr="00FC43B7">
        <w:rPr>
          <w:rFonts w:eastAsia="Calibri-Light"/>
          <w:i/>
          <w:iCs/>
          <w:lang w:val="en-GB"/>
        </w:rPr>
        <w:t>c)</w:t>
      </w:r>
      <w:r w:rsidRPr="00FC43B7">
        <w:rPr>
          <w:rFonts w:eastAsia="Calibri-Light"/>
          <w:lang w:val="en-GB"/>
        </w:rPr>
        <w:tab/>
        <w:t>Resolution 89 (Kigali, 2022) of the World Telecommunication Development Conference (WTDC), on digital transformation for sustainable development;</w:t>
      </w:r>
    </w:p>
    <w:p w14:paraId="4B2B2FBD" w14:textId="77777777" w:rsidR="00FC43B7" w:rsidRPr="00FC43B7" w:rsidRDefault="00FC43B7" w:rsidP="00FC43B7">
      <w:pPr>
        <w:rPr>
          <w:rFonts w:eastAsia="Calibri-Light"/>
          <w:lang w:val="en-GB"/>
        </w:rPr>
      </w:pPr>
      <w:r w:rsidRPr="00FC43B7">
        <w:rPr>
          <w:rFonts w:eastAsia="Calibri-Light"/>
          <w:i/>
          <w:iCs/>
          <w:lang w:val="en-GB"/>
        </w:rPr>
        <w:t>d)</w:t>
      </w:r>
      <w:r w:rsidRPr="00FC43B7">
        <w:rPr>
          <w:rFonts w:eastAsia="Calibri-Light"/>
          <w:lang w:val="en-GB"/>
        </w:rPr>
        <w:tab/>
        <w:t>Resolution 73 (Rev. New Delhi, 2024) of this assembly, on information and communication technologies (ICTs), environment, climate change and circular economy;</w:t>
      </w:r>
    </w:p>
    <w:p w14:paraId="52D3421F" w14:textId="77777777" w:rsidR="00FC43B7" w:rsidRPr="00FC43B7" w:rsidRDefault="00FC43B7" w:rsidP="00FC43B7">
      <w:pPr>
        <w:rPr>
          <w:rFonts w:eastAsia="Calibri-Light"/>
          <w:lang w:val="en-GB"/>
        </w:rPr>
      </w:pPr>
      <w:r w:rsidRPr="00FC43B7">
        <w:rPr>
          <w:rFonts w:eastAsia="Calibri-Light"/>
          <w:i/>
          <w:iCs/>
          <w:lang w:val="en-GB"/>
        </w:rPr>
        <w:t>e)</w:t>
      </w:r>
      <w:r w:rsidRPr="00FC43B7">
        <w:rPr>
          <w:rFonts w:eastAsia="Calibri-Light"/>
          <w:lang w:val="en-GB"/>
        </w:rPr>
        <w:tab/>
        <w:t>Resolution 2 (Rev. Kigali, 2022) of WTDC, describing the scope of ITU Telecommunication Development Sector (ITU</w:t>
      </w:r>
      <w:r w:rsidRPr="00FC43B7">
        <w:rPr>
          <w:rFonts w:eastAsia="Calibri-Light"/>
          <w:lang w:val="en-GB"/>
        </w:rPr>
        <w:noBreakHyphen/>
        <w:t>D) study groups and indicating that the focus of ITU</w:t>
      </w:r>
      <w:r w:rsidRPr="00FC43B7">
        <w:rPr>
          <w:rFonts w:eastAsia="Calibri-Light"/>
          <w:lang w:val="en-GB"/>
        </w:rPr>
        <w:noBreakHyphen/>
        <w:t>D Study Group 2 is digital transformation,</w:t>
      </w:r>
    </w:p>
    <w:p w14:paraId="0D9C7EA6" w14:textId="77777777" w:rsidR="00FC43B7" w:rsidRPr="00FC43B7" w:rsidRDefault="00FC43B7" w:rsidP="00FC43B7">
      <w:pPr>
        <w:pStyle w:val="Call"/>
        <w:rPr>
          <w:lang w:val="en-GB"/>
        </w:rPr>
      </w:pPr>
      <w:r w:rsidRPr="00FC43B7">
        <w:rPr>
          <w:lang w:val="en-GB"/>
        </w:rPr>
        <w:t>considering</w:t>
      </w:r>
    </w:p>
    <w:p w14:paraId="47B3628C" w14:textId="77777777" w:rsidR="00FC43B7" w:rsidRPr="00FC43B7" w:rsidRDefault="00FC43B7" w:rsidP="00FC43B7">
      <w:pPr>
        <w:rPr>
          <w:rFonts w:eastAsia="Calibri-Light"/>
          <w:lang w:val="en-GB"/>
        </w:rPr>
      </w:pPr>
      <w:r w:rsidRPr="00FC43B7">
        <w:rPr>
          <w:rFonts w:eastAsia="Calibri-Light"/>
          <w:i/>
          <w:iCs/>
          <w:lang w:val="en-GB"/>
        </w:rPr>
        <w:t>a)</w:t>
      </w:r>
      <w:r w:rsidRPr="00FC43B7">
        <w:rPr>
          <w:rFonts w:eastAsia="Calibri-Light"/>
          <w:lang w:val="en-GB"/>
        </w:rPr>
        <w:tab/>
        <w:t>that digital transformation through utilizing new and emerging telecommunications/ICTs, enabling new services and applications and promoting the information society is a key enabler for making progress towards sustainable development, which shall be taken into account in the work of the ITU Telecommunication Standardization Sector (ITU‑T);</w:t>
      </w:r>
    </w:p>
    <w:p w14:paraId="47D87032" w14:textId="77777777" w:rsidR="00FC43B7" w:rsidRPr="00FC43B7" w:rsidRDefault="00FC43B7" w:rsidP="00FC43B7">
      <w:pPr>
        <w:rPr>
          <w:rFonts w:eastAsia="Calibri-Light"/>
          <w:lang w:val="en-GB"/>
        </w:rPr>
      </w:pPr>
      <w:r w:rsidRPr="00FC43B7">
        <w:rPr>
          <w:rFonts w:eastAsia="Calibri-Light"/>
          <w:i/>
          <w:iCs/>
          <w:lang w:val="en-GB"/>
        </w:rPr>
        <w:t>b)</w:t>
      </w:r>
      <w:r w:rsidRPr="00FC43B7">
        <w:rPr>
          <w:rFonts w:eastAsia="Calibri-Light"/>
          <w:lang w:val="en-GB"/>
        </w:rPr>
        <w:tab/>
        <w:t>that there is a need to rapidly develop high-quality, demand-driven, interoperable, and non-discriminatory ITU</w:t>
      </w:r>
      <w:r w:rsidRPr="00FC43B7">
        <w:rPr>
          <w:rFonts w:eastAsia="Calibri-Light"/>
          <w:lang w:val="en-GB"/>
        </w:rPr>
        <w:noBreakHyphen/>
        <w:t>T Recommendations and guidelines and exchange best practices to support and facilitate telecommunication/ICT activities that support and facilitate sustainable digital transformation in a timely manner, in particular for developing countries, at the initial stage of their introduction;</w:t>
      </w:r>
    </w:p>
    <w:p w14:paraId="5555181D" w14:textId="77777777" w:rsidR="00FC43B7" w:rsidRPr="00FC43B7" w:rsidRDefault="00FC43B7" w:rsidP="00FC43B7">
      <w:pPr>
        <w:rPr>
          <w:rFonts w:eastAsia="Calibri-Light"/>
          <w:lang w:val="en-GB"/>
        </w:rPr>
      </w:pPr>
      <w:r w:rsidRPr="00FC43B7">
        <w:rPr>
          <w:rFonts w:eastAsia="Calibri-Light"/>
          <w:i/>
          <w:iCs/>
          <w:lang w:val="en-GB"/>
        </w:rPr>
        <w:t>c)</w:t>
      </w:r>
      <w:r w:rsidRPr="00FC43B7">
        <w:rPr>
          <w:rFonts w:eastAsia="Calibri-Light"/>
          <w:lang w:val="en-GB"/>
        </w:rPr>
        <w:tab/>
        <w:t>that there is also a need to extend and facilitate cooperation among standards-development organizations (SDOs) on sustainable digital transformation to avoid duplication of work and achieve efficient use of resources,</w:t>
      </w:r>
    </w:p>
    <w:p w14:paraId="3C8AE43B" w14:textId="77777777" w:rsidR="00FC43B7" w:rsidRPr="00FC43B7" w:rsidRDefault="00FC43B7" w:rsidP="00FC43B7">
      <w:pPr>
        <w:overflowPunct/>
        <w:autoSpaceDE/>
        <w:autoSpaceDN/>
        <w:adjustRightInd/>
        <w:spacing w:before="0"/>
        <w:textAlignment w:val="auto"/>
        <w:rPr>
          <w:i/>
          <w:lang w:val="en-GB"/>
        </w:rPr>
      </w:pPr>
      <w:r w:rsidRPr="00FC43B7">
        <w:rPr>
          <w:lang w:val="en-GB"/>
        </w:rPr>
        <w:br w:type="page"/>
      </w:r>
    </w:p>
    <w:p w14:paraId="37628127" w14:textId="77777777" w:rsidR="00FC43B7" w:rsidRPr="00FC43B7" w:rsidRDefault="00FC43B7" w:rsidP="00FC43B7">
      <w:pPr>
        <w:pStyle w:val="Call"/>
        <w:rPr>
          <w:lang w:val="en-GB"/>
        </w:rPr>
      </w:pPr>
      <w:r w:rsidRPr="00FC43B7">
        <w:rPr>
          <w:lang w:val="en-GB"/>
        </w:rPr>
        <w:lastRenderedPageBreak/>
        <w:t>considering further</w:t>
      </w:r>
    </w:p>
    <w:p w14:paraId="59018737" w14:textId="77777777" w:rsidR="00FC43B7" w:rsidRPr="00FC43B7" w:rsidRDefault="00FC43B7" w:rsidP="00FC43B7">
      <w:pPr>
        <w:rPr>
          <w:rFonts w:eastAsia="Calibri-Light"/>
          <w:lang w:val="en-GB"/>
        </w:rPr>
      </w:pPr>
      <w:r w:rsidRPr="00FC43B7">
        <w:rPr>
          <w:rFonts w:eastAsia="Calibri-Light"/>
          <w:lang w:val="en-GB"/>
        </w:rPr>
        <w:t>that ITU</w:t>
      </w:r>
      <w:r w:rsidRPr="00FC43B7">
        <w:rPr>
          <w:rFonts w:eastAsia="Calibri-Light"/>
          <w:lang w:val="en-GB"/>
        </w:rPr>
        <w:noBreakHyphen/>
        <w:t>T Recommendations, guidelines and best practices that support and facilitate sustainable digital transformation will contribute towards achievement of the 2030 Agenda for Sustainable Development and the WSIS Outcomes,</w:t>
      </w:r>
    </w:p>
    <w:p w14:paraId="2AAD1EDA" w14:textId="77777777" w:rsidR="00FC43B7" w:rsidRPr="00FC43B7" w:rsidRDefault="00FC43B7" w:rsidP="00FC43B7">
      <w:pPr>
        <w:pStyle w:val="Call"/>
        <w:rPr>
          <w:lang w:val="en-GB"/>
        </w:rPr>
      </w:pPr>
      <w:r w:rsidRPr="00FC43B7">
        <w:rPr>
          <w:lang w:val="en-GB"/>
        </w:rPr>
        <w:t>noting</w:t>
      </w:r>
    </w:p>
    <w:p w14:paraId="4E854AD1" w14:textId="77777777" w:rsidR="00FC43B7" w:rsidRPr="00FC43B7" w:rsidRDefault="00FC43B7" w:rsidP="00FC43B7">
      <w:pPr>
        <w:rPr>
          <w:lang w:val="en-GB"/>
        </w:rPr>
      </w:pPr>
      <w:r w:rsidRPr="00FC43B7">
        <w:rPr>
          <w:rFonts w:eastAsia="Calibri-Light"/>
          <w:lang w:val="en-GB"/>
        </w:rPr>
        <w:t>that the Telecommunication Standardization Advisory Group created the Rapporteur Group on sustainable digital transformation (RG</w:t>
      </w:r>
      <w:r w:rsidRPr="00FC43B7">
        <w:rPr>
          <w:rFonts w:eastAsia="Calibri-Light"/>
          <w:lang w:val="en-GB"/>
        </w:rPr>
        <w:noBreakHyphen/>
        <w:t>DT) in June 2023</w:t>
      </w:r>
      <w:r w:rsidRPr="00FC43B7">
        <w:rPr>
          <w:lang w:val="en-GB"/>
        </w:rPr>
        <w:t>,</w:t>
      </w:r>
    </w:p>
    <w:p w14:paraId="6A94018D" w14:textId="77777777" w:rsidR="00FC43B7" w:rsidRPr="00FC43B7" w:rsidRDefault="00FC43B7" w:rsidP="00FC43B7">
      <w:pPr>
        <w:pStyle w:val="Call"/>
        <w:rPr>
          <w:lang w:val="en-GB"/>
        </w:rPr>
      </w:pPr>
      <w:r w:rsidRPr="00FC43B7">
        <w:rPr>
          <w:lang w:val="en-GB"/>
        </w:rPr>
        <w:t>taking into account</w:t>
      </w:r>
    </w:p>
    <w:p w14:paraId="4B0C5EF4" w14:textId="77777777" w:rsidR="00FC43B7" w:rsidRPr="00FC43B7" w:rsidRDefault="00FC43B7" w:rsidP="00FC43B7">
      <w:pPr>
        <w:rPr>
          <w:rFonts w:eastAsia="Calibri-Light"/>
          <w:lang w:val="en-GB"/>
        </w:rPr>
      </w:pPr>
      <w:r w:rsidRPr="00FC43B7">
        <w:rPr>
          <w:rFonts w:eastAsia="Calibri-Light"/>
          <w:i/>
          <w:iCs/>
          <w:lang w:val="en-GB"/>
        </w:rPr>
        <w:t>a)</w:t>
      </w:r>
      <w:r w:rsidRPr="00FC43B7">
        <w:rPr>
          <w:rFonts w:eastAsia="Calibri-Light"/>
          <w:lang w:val="en-GB"/>
        </w:rPr>
        <w:tab/>
        <w:t>that ITU</w:t>
      </w:r>
      <w:r w:rsidRPr="00FC43B7">
        <w:rPr>
          <w:rFonts w:eastAsia="Calibri-Light"/>
          <w:lang w:val="en-GB"/>
        </w:rPr>
        <w:noBreakHyphen/>
        <w:t>T members could enable, and benefit from, sustainable digital transformation by developing and applying ITU</w:t>
      </w:r>
      <w:r w:rsidRPr="00FC43B7">
        <w:rPr>
          <w:rFonts w:eastAsia="Calibri-Light"/>
          <w:lang w:val="en-GB"/>
        </w:rPr>
        <w:noBreakHyphen/>
        <w:t>T Recommendations;</w:t>
      </w:r>
    </w:p>
    <w:p w14:paraId="34A3A396" w14:textId="77777777" w:rsidR="00FC43B7" w:rsidRPr="00FC43B7" w:rsidRDefault="00FC43B7" w:rsidP="00FC43B7">
      <w:pPr>
        <w:rPr>
          <w:rFonts w:eastAsia="Calibri-Light"/>
          <w:lang w:val="en-GB"/>
        </w:rPr>
      </w:pPr>
      <w:r w:rsidRPr="00FC43B7">
        <w:rPr>
          <w:rFonts w:eastAsia="Calibri-Light"/>
          <w:i/>
          <w:iCs/>
          <w:lang w:val="en-GB"/>
        </w:rPr>
        <w:t>b)</w:t>
      </w:r>
      <w:r w:rsidRPr="00FC43B7">
        <w:rPr>
          <w:rFonts w:eastAsia="Calibri-Light"/>
          <w:lang w:val="en-GB"/>
        </w:rPr>
        <w:tab/>
        <w:t>that development and implementation of ITU</w:t>
      </w:r>
      <w:r w:rsidRPr="00FC43B7">
        <w:rPr>
          <w:rFonts w:eastAsia="Calibri-Light"/>
          <w:lang w:val="en-GB"/>
        </w:rPr>
        <w:noBreakHyphen/>
        <w:t>T Recommendations require broad participation and collaboration among all relevant stakeholders;</w:t>
      </w:r>
    </w:p>
    <w:p w14:paraId="04C78F62" w14:textId="77777777" w:rsidR="00FC43B7" w:rsidRPr="00FC43B7" w:rsidRDefault="00FC43B7" w:rsidP="00FC43B7">
      <w:pPr>
        <w:rPr>
          <w:rFonts w:eastAsia="Calibri-Light"/>
          <w:lang w:val="en-GB"/>
        </w:rPr>
      </w:pPr>
      <w:r w:rsidRPr="00FC43B7">
        <w:rPr>
          <w:rFonts w:eastAsia="Calibri-Light"/>
          <w:i/>
          <w:iCs/>
          <w:lang w:val="en-GB"/>
        </w:rPr>
        <w:t>c)</w:t>
      </w:r>
      <w:r w:rsidRPr="00FC43B7">
        <w:rPr>
          <w:rFonts w:eastAsia="Calibri-Light"/>
          <w:lang w:val="en-GB"/>
        </w:rPr>
        <w:tab/>
        <w:t>the need to closely coordinate and collaborate with ITU</w:t>
      </w:r>
      <w:r w:rsidRPr="00FC43B7">
        <w:rPr>
          <w:rFonts w:eastAsia="Calibri-Light"/>
          <w:lang w:val="en-GB"/>
        </w:rPr>
        <w:noBreakHyphen/>
        <w:t>D study groups to promote sustainable digital transformation for developing countries,</w:t>
      </w:r>
    </w:p>
    <w:p w14:paraId="76D44690" w14:textId="77777777" w:rsidR="00FC43B7" w:rsidRPr="00FC43B7" w:rsidRDefault="00FC43B7" w:rsidP="00FC43B7">
      <w:pPr>
        <w:pStyle w:val="Call"/>
        <w:rPr>
          <w:lang w:val="en-GB"/>
        </w:rPr>
      </w:pPr>
      <w:r w:rsidRPr="00FC43B7">
        <w:rPr>
          <w:lang w:val="en-GB"/>
        </w:rPr>
        <w:t xml:space="preserve">resolves </w:t>
      </w:r>
    </w:p>
    <w:p w14:paraId="48A409B5" w14:textId="77777777" w:rsidR="00FC43B7" w:rsidRPr="00FC43B7" w:rsidRDefault="00FC43B7" w:rsidP="00FC43B7">
      <w:pPr>
        <w:rPr>
          <w:lang w:val="en-GB"/>
        </w:rPr>
      </w:pPr>
      <w:r w:rsidRPr="00FC43B7">
        <w:rPr>
          <w:rFonts w:eastAsia="Calibri-Light"/>
          <w:iCs/>
          <w:lang w:val="en-GB"/>
        </w:rPr>
        <w:t>1</w:t>
      </w:r>
      <w:r w:rsidRPr="00FC43B7">
        <w:rPr>
          <w:rFonts w:eastAsia="Calibri-Light"/>
          <w:lang w:val="en-GB"/>
        </w:rPr>
        <w:tab/>
      </w:r>
      <w:r w:rsidRPr="00FC43B7">
        <w:rPr>
          <w:lang w:val="en-GB"/>
        </w:rPr>
        <w:t>to effectively consolidate guidelines, Recommendations, technical reports, best practices and use cases developed by ITU</w:t>
      </w:r>
      <w:r w:rsidRPr="00FC43B7">
        <w:rPr>
          <w:lang w:val="en-GB"/>
        </w:rPr>
        <w:noBreakHyphen/>
        <w:t>T which could facilitate global sustainable digital transformation, through the use of the ITU global resource hub;</w:t>
      </w:r>
    </w:p>
    <w:p w14:paraId="58154749" w14:textId="77777777" w:rsidR="00FC43B7" w:rsidRPr="00FC43B7" w:rsidRDefault="00FC43B7" w:rsidP="00FC43B7">
      <w:pPr>
        <w:rPr>
          <w:lang w:val="en-GB"/>
        </w:rPr>
      </w:pPr>
      <w:r w:rsidRPr="00FC43B7">
        <w:rPr>
          <w:rFonts w:eastAsia="Calibri-Light"/>
          <w:iCs/>
          <w:lang w:val="en-GB"/>
        </w:rPr>
        <w:t>2</w:t>
      </w:r>
      <w:r w:rsidRPr="00FC43B7">
        <w:rPr>
          <w:rFonts w:eastAsia="Calibri-Light"/>
          <w:lang w:val="en-GB"/>
        </w:rPr>
        <w:tab/>
      </w:r>
      <w:r w:rsidRPr="00FC43B7">
        <w:rPr>
          <w:lang w:val="en-GB"/>
        </w:rPr>
        <w:t>to foster cooperation and collaboration within the Union and with other relevant stakeholders to share knowledge and best practices, and explore common understandings on telecommunication/ICT standardization aspects of sustainable digital transformation;</w:t>
      </w:r>
    </w:p>
    <w:p w14:paraId="435C8FE4" w14:textId="77777777" w:rsidR="00FC43B7" w:rsidRPr="00FC43B7" w:rsidRDefault="00FC43B7" w:rsidP="00FC43B7">
      <w:pPr>
        <w:rPr>
          <w:lang w:val="en-GB"/>
        </w:rPr>
      </w:pPr>
      <w:r w:rsidRPr="00FC43B7">
        <w:rPr>
          <w:rFonts w:eastAsia="Calibri-Light"/>
          <w:iCs/>
          <w:lang w:val="en-GB"/>
        </w:rPr>
        <w:t>3</w:t>
      </w:r>
      <w:r w:rsidRPr="00FC43B7">
        <w:rPr>
          <w:rFonts w:eastAsia="Calibri-Light"/>
          <w:lang w:val="en-GB"/>
        </w:rPr>
        <w:tab/>
      </w:r>
      <w:r w:rsidRPr="00FC43B7">
        <w:rPr>
          <w:lang w:val="en-GB"/>
        </w:rPr>
        <w:t>to promote the timely development of implementation guidelines to assist with the adoption of ITU‑T Recommendations, in particular those related to telecommunications/ICTs that enable sustainable digital transformation and its evaluation, and build capacity in the implementation of such ITU</w:t>
      </w:r>
      <w:r w:rsidRPr="00FC43B7">
        <w:rPr>
          <w:lang w:val="en-GB"/>
        </w:rPr>
        <w:noBreakHyphen/>
        <w:t>T Recommendations;</w:t>
      </w:r>
    </w:p>
    <w:p w14:paraId="5108E589" w14:textId="77777777" w:rsidR="00FC43B7" w:rsidRPr="00FC43B7" w:rsidRDefault="00FC43B7" w:rsidP="00FC43B7">
      <w:pPr>
        <w:rPr>
          <w:lang w:val="en-GB"/>
        </w:rPr>
      </w:pPr>
      <w:r w:rsidRPr="00FC43B7">
        <w:rPr>
          <w:rFonts w:eastAsia="Calibri-Light"/>
          <w:iCs/>
          <w:lang w:val="en-GB"/>
        </w:rPr>
        <w:t>4</w:t>
      </w:r>
      <w:r w:rsidRPr="00FC43B7">
        <w:rPr>
          <w:rFonts w:eastAsia="Calibri-Light"/>
          <w:lang w:val="en-GB"/>
        </w:rPr>
        <w:tab/>
      </w:r>
      <w:r w:rsidRPr="00FC43B7">
        <w:rPr>
          <w:lang w:val="en-GB"/>
        </w:rPr>
        <w:t>to encourage the participation of members, in particular Academia and developing countries, in ITU</w:t>
      </w:r>
      <w:r w:rsidRPr="00FC43B7">
        <w:rPr>
          <w:lang w:val="en-GB"/>
        </w:rPr>
        <w:noBreakHyphen/>
        <w:t>T's activities on sustainable digital transformation,</w:t>
      </w:r>
    </w:p>
    <w:p w14:paraId="5D5A8C17" w14:textId="77777777" w:rsidR="00FC43B7" w:rsidRPr="00FC43B7" w:rsidRDefault="00FC43B7" w:rsidP="00FC43B7">
      <w:pPr>
        <w:pStyle w:val="Call"/>
        <w:rPr>
          <w:lang w:val="en-GB"/>
        </w:rPr>
      </w:pPr>
      <w:r w:rsidRPr="00FC43B7">
        <w:rPr>
          <w:lang w:val="en-GB"/>
        </w:rPr>
        <w:t>resolves to instruct the Telecommunication Standardization Advisory Group</w:t>
      </w:r>
    </w:p>
    <w:p w14:paraId="75BD2798" w14:textId="77777777" w:rsidR="00FC43B7" w:rsidRPr="00FC43B7" w:rsidRDefault="00FC43B7" w:rsidP="00FC43B7">
      <w:pPr>
        <w:rPr>
          <w:lang w:val="en-GB"/>
        </w:rPr>
      </w:pPr>
      <w:r w:rsidRPr="00FC43B7">
        <w:rPr>
          <w:lang w:val="en-GB"/>
        </w:rPr>
        <w:t>to take all necessary steps to promote and enhance telecommunication/ICT standardization activities that support and facilitate sustainable digital transformation, including continuation of RG</w:t>
      </w:r>
      <w:r w:rsidRPr="00FC43B7">
        <w:rPr>
          <w:lang w:val="en-GB"/>
        </w:rPr>
        <w:noBreakHyphen/>
        <w:t>DT,</w:t>
      </w:r>
    </w:p>
    <w:p w14:paraId="74A4D8DE" w14:textId="77777777" w:rsidR="00FC43B7" w:rsidRPr="00FC43B7" w:rsidRDefault="00FC43B7" w:rsidP="00FC43B7">
      <w:pPr>
        <w:pStyle w:val="Call"/>
        <w:rPr>
          <w:lang w:val="en-GB"/>
        </w:rPr>
      </w:pPr>
      <w:r w:rsidRPr="00FC43B7">
        <w:rPr>
          <w:lang w:val="en-GB"/>
        </w:rPr>
        <w:t>resolves to instruct the Director of the Telecommunication Standardization Bureau</w:t>
      </w:r>
    </w:p>
    <w:p w14:paraId="7320B727" w14:textId="77777777" w:rsidR="00FC43B7" w:rsidRPr="00FC43B7" w:rsidRDefault="00FC43B7" w:rsidP="00FC43B7">
      <w:pPr>
        <w:rPr>
          <w:lang w:val="en-GB"/>
        </w:rPr>
      </w:pPr>
      <w:r w:rsidRPr="00FC43B7">
        <w:rPr>
          <w:lang w:val="en-GB"/>
        </w:rPr>
        <w:t>to provide developing countries with assistance to enhance capacity building in telecommunication/ICT standardization activities on sustainable digital transformation, including through collaboration with the relevant academia, expert communities, SDOs and other stakeholders,</w:t>
      </w:r>
    </w:p>
    <w:p w14:paraId="491F52C5" w14:textId="77777777" w:rsidR="00FC43B7" w:rsidRPr="00FC43B7" w:rsidRDefault="00FC43B7" w:rsidP="00FC43B7">
      <w:pPr>
        <w:rPr>
          <w:lang w:val="en-GB"/>
        </w:rPr>
      </w:pPr>
      <w:r w:rsidRPr="00FC43B7">
        <w:rPr>
          <w:lang w:val="en-GB"/>
        </w:rPr>
        <w:br w:type="page"/>
      </w:r>
    </w:p>
    <w:p w14:paraId="51B7364B" w14:textId="77777777" w:rsidR="00FC43B7" w:rsidRPr="00FC43B7" w:rsidRDefault="00FC43B7" w:rsidP="00FC43B7">
      <w:pPr>
        <w:pStyle w:val="Call"/>
        <w:rPr>
          <w:lang w:val="en-GB"/>
        </w:rPr>
      </w:pPr>
      <w:r w:rsidRPr="00FC43B7">
        <w:rPr>
          <w:lang w:val="en-GB"/>
        </w:rPr>
        <w:lastRenderedPageBreak/>
        <w:t>instructs the study groups of the ITU Telecommunication Standardization Sector, within their existing mandates</w:t>
      </w:r>
    </w:p>
    <w:p w14:paraId="7CAAB635" w14:textId="77777777" w:rsidR="00FC43B7" w:rsidRPr="00FC43B7" w:rsidRDefault="00FC43B7" w:rsidP="00FC43B7">
      <w:pPr>
        <w:rPr>
          <w:lang w:val="en-GB"/>
        </w:rPr>
      </w:pPr>
      <w:r w:rsidRPr="00FC43B7">
        <w:rPr>
          <w:lang w:val="en-GB"/>
        </w:rPr>
        <w:t>1</w:t>
      </w:r>
      <w:r w:rsidRPr="00FC43B7">
        <w:rPr>
          <w:lang w:val="en-GB"/>
        </w:rPr>
        <w:tab/>
        <w:t>to develop ITU</w:t>
      </w:r>
      <w:r w:rsidRPr="00FC43B7">
        <w:rPr>
          <w:lang w:val="en-GB"/>
        </w:rPr>
        <w:noBreakHyphen/>
        <w:t>T Recommendations, guidelines and best practices that will help the membership, in particular developing countries, to take advantage of new and emerging telecommunications/ICTs in order to support sustainable digital transformation across different industries and telecommunications/ICTs within ITU's mandate;</w:t>
      </w:r>
    </w:p>
    <w:p w14:paraId="3C1CFCBA" w14:textId="77777777" w:rsidR="00FC43B7" w:rsidRPr="00FC43B7" w:rsidRDefault="00FC43B7" w:rsidP="00FC43B7">
      <w:pPr>
        <w:rPr>
          <w:lang w:val="en-GB"/>
        </w:rPr>
      </w:pPr>
      <w:r w:rsidRPr="00FC43B7">
        <w:rPr>
          <w:lang w:val="en-GB"/>
        </w:rPr>
        <w:t>2</w:t>
      </w:r>
      <w:r w:rsidRPr="00FC43B7">
        <w:rPr>
          <w:lang w:val="en-GB"/>
        </w:rPr>
        <w:tab/>
        <w:t>to coordinate and collaborate with other groups within ITU and recognized SDOs and institutions with primary responsibility for standards development and capacity building in the area of sustainable digital transformation;</w:t>
      </w:r>
    </w:p>
    <w:p w14:paraId="3F182D95" w14:textId="77777777" w:rsidR="00FC43B7" w:rsidRPr="00FC43B7" w:rsidRDefault="00FC43B7" w:rsidP="00FC43B7">
      <w:pPr>
        <w:rPr>
          <w:lang w:val="en-GB"/>
        </w:rPr>
      </w:pPr>
      <w:r w:rsidRPr="00FC43B7">
        <w:rPr>
          <w:rFonts w:eastAsia="Calibri-Light"/>
          <w:lang w:val="en-GB"/>
        </w:rPr>
        <w:t>3</w:t>
      </w:r>
      <w:r w:rsidRPr="00FC43B7">
        <w:rPr>
          <w:rFonts w:eastAsia="Calibri-Light"/>
          <w:lang w:val="en-GB"/>
        </w:rPr>
        <w:tab/>
        <w:t>to develop and promote ITU</w:t>
      </w:r>
      <w:r w:rsidRPr="00FC43B7">
        <w:rPr>
          <w:rFonts w:eastAsia="Calibri-Light"/>
          <w:lang w:val="en-GB"/>
        </w:rPr>
        <w:noBreakHyphen/>
        <w:t>T Recommendations to leverage digital technologies, applications, services and platforms related to telecommunications/ICTs, in order to drive sustainable digital transformation,</w:t>
      </w:r>
    </w:p>
    <w:p w14:paraId="1D9987F2" w14:textId="77777777" w:rsidR="00FC43B7" w:rsidRPr="00FC43B7" w:rsidRDefault="00FC43B7" w:rsidP="00FC43B7">
      <w:pPr>
        <w:pStyle w:val="Call"/>
        <w:rPr>
          <w:lang w:val="en-GB"/>
        </w:rPr>
      </w:pPr>
      <w:r w:rsidRPr="00FC43B7">
        <w:rPr>
          <w:lang w:val="en-GB"/>
        </w:rPr>
        <w:t>invites Member States, Sector Members, Associates and Academia</w:t>
      </w:r>
    </w:p>
    <w:p w14:paraId="26010816" w14:textId="77777777" w:rsidR="00FC43B7" w:rsidRPr="00FC43B7" w:rsidRDefault="00FC43B7" w:rsidP="00FC43B7">
      <w:pPr>
        <w:rPr>
          <w:rFonts w:eastAsia="Calibri-Light"/>
          <w:lang w:val="en-GB"/>
        </w:rPr>
      </w:pPr>
      <w:r w:rsidRPr="00FC43B7">
        <w:rPr>
          <w:rFonts w:eastAsia="Calibri-Light"/>
          <w:lang w:val="en-GB"/>
        </w:rPr>
        <w:t>to contribute to studies and development of ITU</w:t>
      </w:r>
      <w:r w:rsidRPr="00FC43B7">
        <w:rPr>
          <w:rFonts w:eastAsia="Calibri-Light"/>
          <w:lang w:val="en-GB"/>
        </w:rPr>
        <w:noBreakHyphen/>
        <w:t>T Recommendations, guidelines and best practices related to telecommunications/ICTs in support of sustainable digital transformation.</w:t>
      </w:r>
    </w:p>
    <w:p w14:paraId="109FFE2D" w14:textId="77777777" w:rsidR="00FC43B7" w:rsidRPr="00FC43B7" w:rsidRDefault="00FC43B7" w:rsidP="00FC43B7">
      <w:pPr>
        <w:rPr>
          <w:lang w:val="en-GB"/>
        </w:rPr>
      </w:pPr>
    </w:p>
    <w:p w14:paraId="27CCB3CE" w14:textId="77777777" w:rsidR="002451C3" w:rsidRDefault="002451C3" w:rsidP="00880DC7">
      <w:pPr>
        <w:rPr>
          <w:lang w:val="en-GB"/>
        </w:rPr>
      </w:pPr>
    </w:p>
    <w:p w14:paraId="682BEF36" w14:textId="77777777" w:rsidR="002451C3" w:rsidRDefault="002451C3" w:rsidP="00880DC7">
      <w:pPr>
        <w:rPr>
          <w:lang w:val="en-GB"/>
        </w:rPr>
      </w:pPr>
    </w:p>
    <w:p w14:paraId="050130DB" w14:textId="77777777" w:rsidR="00977D2F" w:rsidRDefault="00977D2F" w:rsidP="00880DC7">
      <w:pPr>
        <w:rPr>
          <w:lang w:val="en-GB"/>
        </w:rPr>
      </w:pPr>
    </w:p>
    <w:p w14:paraId="57614983" w14:textId="77777777" w:rsidR="00977D2F" w:rsidRDefault="00977D2F" w:rsidP="00880DC7">
      <w:pPr>
        <w:rPr>
          <w:lang w:val="en-GB"/>
        </w:rPr>
      </w:pPr>
    </w:p>
    <w:p w14:paraId="11A7E274" w14:textId="77777777" w:rsidR="00977D2F" w:rsidRDefault="00977D2F" w:rsidP="00880DC7">
      <w:pPr>
        <w:rPr>
          <w:lang w:val="en-GB"/>
        </w:rPr>
      </w:pPr>
    </w:p>
    <w:p w14:paraId="6B904B61" w14:textId="77777777" w:rsidR="00977D2F" w:rsidRDefault="00977D2F" w:rsidP="00880DC7">
      <w:pPr>
        <w:rPr>
          <w:lang w:val="en-GB"/>
        </w:rPr>
      </w:pPr>
    </w:p>
    <w:p w14:paraId="26929879" w14:textId="77777777" w:rsidR="00977D2F" w:rsidRDefault="00977D2F" w:rsidP="00880DC7">
      <w:pPr>
        <w:rPr>
          <w:lang w:val="en-GB"/>
        </w:rPr>
      </w:pPr>
    </w:p>
    <w:p w14:paraId="6E3B342E" w14:textId="77777777" w:rsidR="00977D2F" w:rsidRDefault="00977D2F" w:rsidP="00880DC7">
      <w:pPr>
        <w:rPr>
          <w:lang w:val="en-GB"/>
        </w:rPr>
      </w:pPr>
    </w:p>
    <w:p w14:paraId="5AC80758" w14:textId="77777777" w:rsidR="00977D2F" w:rsidRDefault="00977D2F" w:rsidP="00880DC7">
      <w:pPr>
        <w:rPr>
          <w:lang w:val="en-GB"/>
        </w:rPr>
      </w:pPr>
    </w:p>
    <w:p w14:paraId="00F9CC41" w14:textId="77777777" w:rsidR="00977D2F" w:rsidRDefault="00977D2F" w:rsidP="00880DC7">
      <w:pPr>
        <w:rPr>
          <w:lang w:val="en-GB"/>
        </w:rPr>
      </w:pPr>
    </w:p>
    <w:p w14:paraId="5A36864E" w14:textId="77777777" w:rsidR="00977D2F" w:rsidRDefault="00977D2F" w:rsidP="00880DC7">
      <w:pPr>
        <w:rPr>
          <w:lang w:val="en-GB"/>
        </w:rPr>
      </w:pPr>
    </w:p>
    <w:p w14:paraId="61C95F69" w14:textId="77777777" w:rsidR="00977D2F" w:rsidRDefault="00977D2F" w:rsidP="00880DC7">
      <w:pPr>
        <w:rPr>
          <w:lang w:val="en-GB"/>
        </w:rPr>
      </w:pPr>
    </w:p>
    <w:p w14:paraId="778918A1" w14:textId="77777777" w:rsidR="00977D2F" w:rsidRDefault="00977D2F" w:rsidP="00880DC7">
      <w:pPr>
        <w:rPr>
          <w:lang w:val="en-GB"/>
        </w:rPr>
      </w:pPr>
    </w:p>
    <w:sectPr w:rsidR="00977D2F"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4820EF4"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EB1E42">
      <w:rPr>
        <w:noProof/>
        <w:lang w:val="en-US"/>
      </w:rPr>
      <w:t>106</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6B40D38"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EB1E42">
      <w:rPr>
        <w:noProof/>
        <w:lang w:val="en-US"/>
      </w:rPr>
      <w:t>106</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43A64F0"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EB1E42">
      <w:rPr>
        <w:noProof/>
        <w:lang w:val="en-US"/>
      </w:rPr>
      <w:t>106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64E6B114" w14:textId="77777777" w:rsidR="00FC43B7" w:rsidRPr="00FC43B7" w:rsidRDefault="00FC43B7" w:rsidP="00FC43B7">
      <w:pPr>
        <w:pStyle w:val="FootnoteText"/>
        <w:rPr>
          <w:lang w:val="en-GB"/>
        </w:rPr>
      </w:pPr>
      <w:r w:rsidRPr="00FC43B7">
        <w:rPr>
          <w:rStyle w:val="FootnoteReference"/>
          <w:lang w:val="en-GB"/>
        </w:rPr>
        <w:t>1</w:t>
      </w:r>
      <w:r w:rsidRPr="00FC43B7">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64C52"/>
    <w:rsid w:val="00084CC4"/>
    <w:rsid w:val="00087AFB"/>
    <w:rsid w:val="00093F2C"/>
    <w:rsid w:val="000B071B"/>
    <w:rsid w:val="000B47CD"/>
    <w:rsid w:val="000B5A36"/>
    <w:rsid w:val="000C22AE"/>
    <w:rsid w:val="000D1CBD"/>
    <w:rsid w:val="000D378F"/>
    <w:rsid w:val="000D3CE4"/>
    <w:rsid w:val="000D5219"/>
    <w:rsid w:val="000D6DAE"/>
    <w:rsid w:val="000E4393"/>
    <w:rsid w:val="000F35E0"/>
    <w:rsid w:val="00110377"/>
    <w:rsid w:val="001108C2"/>
    <w:rsid w:val="00117D80"/>
    <w:rsid w:val="001309FB"/>
    <w:rsid w:val="0013728F"/>
    <w:rsid w:val="00154098"/>
    <w:rsid w:val="00155126"/>
    <w:rsid w:val="00167BFE"/>
    <w:rsid w:val="001726A1"/>
    <w:rsid w:val="00173F88"/>
    <w:rsid w:val="001762A1"/>
    <w:rsid w:val="001A3B9B"/>
    <w:rsid w:val="001A6B2D"/>
    <w:rsid w:val="001A731D"/>
    <w:rsid w:val="001B4A76"/>
    <w:rsid w:val="001B7EDA"/>
    <w:rsid w:val="001C5240"/>
    <w:rsid w:val="001C604C"/>
    <w:rsid w:val="001D787F"/>
    <w:rsid w:val="001E034B"/>
    <w:rsid w:val="001F3813"/>
    <w:rsid w:val="001F4757"/>
    <w:rsid w:val="0020756B"/>
    <w:rsid w:val="002178BA"/>
    <w:rsid w:val="002204D5"/>
    <w:rsid w:val="002210D5"/>
    <w:rsid w:val="00227040"/>
    <w:rsid w:val="00235304"/>
    <w:rsid w:val="00237B40"/>
    <w:rsid w:val="002451C3"/>
    <w:rsid w:val="002462EF"/>
    <w:rsid w:val="00246C17"/>
    <w:rsid w:val="002506CC"/>
    <w:rsid w:val="002742C3"/>
    <w:rsid w:val="002768B4"/>
    <w:rsid w:val="002B6530"/>
    <w:rsid w:val="002B768D"/>
    <w:rsid w:val="002C182C"/>
    <w:rsid w:val="002D5607"/>
    <w:rsid w:val="002E1B7B"/>
    <w:rsid w:val="002E6A20"/>
    <w:rsid w:val="0031766C"/>
    <w:rsid w:val="00327797"/>
    <w:rsid w:val="0033029C"/>
    <w:rsid w:val="00331B2F"/>
    <w:rsid w:val="00333C0C"/>
    <w:rsid w:val="003374BB"/>
    <w:rsid w:val="003468A3"/>
    <w:rsid w:val="00347F93"/>
    <w:rsid w:val="0035222D"/>
    <w:rsid w:val="00362E61"/>
    <w:rsid w:val="00376E6C"/>
    <w:rsid w:val="0038237B"/>
    <w:rsid w:val="003878EC"/>
    <w:rsid w:val="003956EC"/>
    <w:rsid w:val="003975E9"/>
    <w:rsid w:val="003C21D1"/>
    <w:rsid w:val="003C3FD9"/>
    <w:rsid w:val="003D116F"/>
    <w:rsid w:val="003D6362"/>
    <w:rsid w:val="003D7A8C"/>
    <w:rsid w:val="003F1DB8"/>
    <w:rsid w:val="003F293E"/>
    <w:rsid w:val="003F454F"/>
    <w:rsid w:val="00402B77"/>
    <w:rsid w:val="00426BCB"/>
    <w:rsid w:val="00447527"/>
    <w:rsid w:val="004568D2"/>
    <w:rsid w:val="004612A7"/>
    <w:rsid w:val="00462F6A"/>
    <w:rsid w:val="00466277"/>
    <w:rsid w:val="00467305"/>
    <w:rsid w:val="00475E04"/>
    <w:rsid w:val="0048772A"/>
    <w:rsid w:val="004922F4"/>
    <w:rsid w:val="004A0C82"/>
    <w:rsid w:val="004A58A4"/>
    <w:rsid w:val="004B7CB1"/>
    <w:rsid w:val="004C0A9D"/>
    <w:rsid w:val="004D34E3"/>
    <w:rsid w:val="004E12C9"/>
    <w:rsid w:val="004F2E56"/>
    <w:rsid w:val="004F32A2"/>
    <w:rsid w:val="004F58B0"/>
    <w:rsid w:val="005008B2"/>
    <w:rsid w:val="00501F47"/>
    <w:rsid w:val="00504D1F"/>
    <w:rsid w:val="00510BA8"/>
    <w:rsid w:val="005111F4"/>
    <w:rsid w:val="0051138F"/>
    <w:rsid w:val="00524FB2"/>
    <w:rsid w:val="005325E3"/>
    <w:rsid w:val="0053390B"/>
    <w:rsid w:val="0053765D"/>
    <w:rsid w:val="005569CA"/>
    <w:rsid w:val="0055722F"/>
    <w:rsid w:val="00562EF2"/>
    <w:rsid w:val="00574CFF"/>
    <w:rsid w:val="00580A1C"/>
    <w:rsid w:val="005A5015"/>
    <w:rsid w:val="005D01E1"/>
    <w:rsid w:val="005D1D45"/>
    <w:rsid w:val="005D373F"/>
    <w:rsid w:val="005D5226"/>
    <w:rsid w:val="00601999"/>
    <w:rsid w:val="006038D8"/>
    <w:rsid w:val="0061154B"/>
    <w:rsid w:val="00611CD0"/>
    <w:rsid w:val="00631549"/>
    <w:rsid w:val="00632F08"/>
    <w:rsid w:val="006425B4"/>
    <w:rsid w:val="006452F7"/>
    <w:rsid w:val="00653C1B"/>
    <w:rsid w:val="006574F2"/>
    <w:rsid w:val="00664B8D"/>
    <w:rsid w:val="00665F6E"/>
    <w:rsid w:val="006678D7"/>
    <w:rsid w:val="00667C83"/>
    <w:rsid w:val="00672358"/>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20DB"/>
    <w:rsid w:val="00743214"/>
    <w:rsid w:val="007550BF"/>
    <w:rsid w:val="007604BC"/>
    <w:rsid w:val="0076138E"/>
    <w:rsid w:val="00780240"/>
    <w:rsid w:val="00780423"/>
    <w:rsid w:val="00781E25"/>
    <w:rsid w:val="00783EB8"/>
    <w:rsid w:val="007958DD"/>
    <w:rsid w:val="007C2680"/>
    <w:rsid w:val="007D05BA"/>
    <w:rsid w:val="007E0240"/>
    <w:rsid w:val="007F32A3"/>
    <w:rsid w:val="008075CD"/>
    <w:rsid w:val="00812C00"/>
    <w:rsid w:val="008137FA"/>
    <w:rsid w:val="00821A49"/>
    <w:rsid w:val="008305DC"/>
    <w:rsid w:val="008354D2"/>
    <w:rsid w:val="00837339"/>
    <w:rsid w:val="00845E8E"/>
    <w:rsid w:val="00851E30"/>
    <w:rsid w:val="0086130D"/>
    <w:rsid w:val="008756CA"/>
    <w:rsid w:val="00880DC7"/>
    <w:rsid w:val="0088751E"/>
    <w:rsid w:val="00890FC7"/>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06DF3"/>
    <w:rsid w:val="00916468"/>
    <w:rsid w:val="009166F1"/>
    <w:rsid w:val="009219DE"/>
    <w:rsid w:val="0092650E"/>
    <w:rsid w:val="00931C08"/>
    <w:rsid w:val="00931EE1"/>
    <w:rsid w:val="009330E7"/>
    <w:rsid w:val="00934946"/>
    <w:rsid w:val="009423EF"/>
    <w:rsid w:val="009452F3"/>
    <w:rsid w:val="0095090C"/>
    <w:rsid w:val="0096681E"/>
    <w:rsid w:val="00974C0C"/>
    <w:rsid w:val="009755D7"/>
    <w:rsid w:val="00977D2F"/>
    <w:rsid w:val="00980416"/>
    <w:rsid w:val="009C2357"/>
    <w:rsid w:val="009C7DD4"/>
    <w:rsid w:val="009D10A5"/>
    <w:rsid w:val="009D26AE"/>
    <w:rsid w:val="009E1DCF"/>
    <w:rsid w:val="009E77D8"/>
    <w:rsid w:val="009F7009"/>
    <w:rsid w:val="00A01A91"/>
    <w:rsid w:val="00A069E9"/>
    <w:rsid w:val="00A06A7C"/>
    <w:rsid w:val="00A24E9A"/>
    <w:rsid w:val="00A26B1A"/>
    <w:rsid w:val="00A3085D"/>
    <w:rsid w:val="00A419BA"/>
    <w:rsid w:val="00A4766C"/>
    <w:rsid w:val="00A65D98"/>
    <w:rsid w:val="00A77112"/>
    <w:rsid w:val="00A82A12"/>
    <w:rsid w:val="00A83D3D"/>
    <w:rsid w:val="00AA1264"/>
    <w:rsid w:val="00AA2D89"/>
    <w:rsid w:val="00AA3A93"/>
    <w:rsid w:val="00AC4AF1"/>
    <w:rsid w:val="00AD0EBA"/>
    <w:rsid w:val="00AE4C26"/>
    <w:rsid w:val="00AF7A71"/>
    <w:rsid w:val="00B150A9"/>
    <w:rsid w:val="00B20B99"/>
    <w:rsid w:val="00B223AE"/>
    <w:rsid w:val="00B23929"/>
    <w:rsid w:val="00B241C9"/>
    <w:rsid w:val="00B2784D"/>
    <w:rsid w:val="00B2792D"/>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4E62"/>
    <w:rsid w:val="00BF610E"/>
    <w:rsid w:val="00C05E08"/>
    <w:rsid w:val="00C12E70"/>
    <w:rsid w:val="00C32F69"/>
    <w:rsid w:val="00C3375C"/>
    <w:rsid w:val="00C42785"/>
    <w:rsid w:val="00C64078"/>
    <w:rsid w:val="00C706FC"/>
    <w:rsid w:val="00C72AF4"/>
    <w:rsid w:val="00C77514"/>
    <w:rsid w:val="00C84984"/>
    <w:rsid w:val="00C90C0E"/>
    <w:rsid w:val="00C9125E"/>
    <w:rsid w:val="00CB7F83"/>
    <w:rsid w:val="00CD10C2"/>
    <w:rsid w:val="00CD3865"/>
    <w:rsid w:val="00CE767E"/>
    <w:rsid w:val="00CF024D"/>
    <w:rsid w:val="00CF3971"/>
    <w:rsid w:val="00D13205"/>
    <w:rsid w:val="00D15E51"/>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01E"/>
    <w:rsid w:val="00DB2AF8"/>
    <w:rsid w:val="00DB4C1B"/>
    <w:rsid w:val="00DB5592"/>
    <w:rsid w:val="00DB58AC"/>
    <w:rsid w:val="00DC0E45"/>
    <w:rsid w:val="00DC0FE1"/>
    <w:rsid w:val="00DE25F7"/>
    <w:rsid w:val="00DE36C2"/>
    <w:rsid w:val="00DE48B4"/>
    <w:rsid w:val="00DF6304"/>
    <w:rsid w:val="00E03ABC"/>
    <w:rsid w:val="00E1221A"/>
    <w:rsid w:val="00E12E0E"/>
    <w:rsid w:val="00E154E2"/>
    <w:rsid w:val="00E20918"/>
    <w:rsid w:val="00E300EC"/>
    <w:rsid w:val="00E51820"/>
    <w:rsid w:val="00E56BAB"/>
    <w:rsid w:val="00E63996"/>
    <w:rsid w:val="00E67297"/>
    <w:rsid w:val="00E758D6"/>
    <w:rsid w:val="00E8144B"/>
    <w:rsid w:val="00E82452"/>
    <w:rsid w:val="00E83C1C"/>
    <w:rsid w:val="00E929AB"/>
    <w:rsid w:val="00E96B11"/>
    <w:rsid w:val="00E96C27"/>
    <w:rsid w:val="00EA12A2"/>
    <w:rsid w:val="00EA2A26"/>
    <w:rsid w:val="00EB1E42"/>
    <w:rsid w:val="00EB3556"/>
    <w:rsid w:val="00EE1126"/>
    <w:rsid w:val="00EE2FE2"/>
    <w:rsid w:val="00EE4B7A"/>
    <w:rsid w:val="00EE50B5"/>
    <w:rsid w:val="00EF574C"/>
    <w:rsid w:val="00F0099E"/>
    <w:rsid w:val="00F12607"/>
    <w:rsid w:val="00F12B7D"/>
    <w:rsid w:val="00F15F98"/>
    <w:rsid w:val="00F34748"/>
    <w:rsid w:val="00F4281C"/>
    <w:rsid w:val="00F435B9"/>
    <w:rsid w:val="00F46782"/>
    <w:rsid w:val="00F576B9"/>
    <w:rsid w:val="00F62655"/>
    <w:rsid w:val="00F67E96"/>
    <w:rsid w:val="00F71C39"/>
    <w:rsid w:val="00F7777E"/>
    <w:rsid w:val="00FA70B7"/>
    <w:rsid w:val="00FA7783"/>
    <w:rsid w:val="00FA7A27"/>
    <w:rsid w:val="00FC3FE7"/>
    <w:rsid w:val="00FC43B7"/>
    <w:rsid w:val="00FD23A9"/>
    <w:rsid w:val="00FD74FC"/>
    <w:rsid w:val="00FE715C"/>
    <w:rsid w:val="00FF0521"/>
    <w:rsid w:val="00FF2798"/>
    <w:rsid w:val="00FF46B1"/>
    <w:rsid w:val="00FF638D"/>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uiPriority w:val="99"/>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5</Pages>
  <Words>931</Words>
  <Characters>6295</Characters>
  <Application>Microsoft Office Word</Application>
  <DocSecurity>0</DocSecurity>
  <Lines>224</Lines>
  <Paragraphs>150</Paragraphs>
  <ScaleCrop>false</ScaleCrop>
  <HeadingPairs>
    <vt:vector size="2" baseType="variant">
      <vt:variant>
        <vt:lpstr>Title</vt:lpstr>
      </vt:variant>
      <vt:variant>
        <vt:i4>1</vt:i4>
      </vt:variant>
    </vt:vector>
  </HeadingPairs>
  <TitlesOfParts>
    <vt:vector size="1" baseType="lpstr">
      <vt:lpstr>Resolution 104 – Promoting and strengthening standardization activities for vehicular communications</vt:lpstr>
    </vt:vector>
  </TitlesOfParts>
  <Company>ITU</Company>
  <LinksUpToDate>false</LinksUpToDate>
  <CharactersWithSpaces>7076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106 – Enhancing standardization activities on sustainable digital transformation</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2024-11-27T10:03:00Z</cp:lastPrinted>
  <dcterms:created xsi:type="dcterms:W3CDTF">2024-11-27T09:55:00Z</dcterms:created>
  <dcterms:modified xsi:type="dcterms:W3CDTF">2024-11-27T10:04:00Z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