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302DC1AC" w:rsidR="003425B8" w:rsidRPr="00E224A1" w:rsidRDefault="003425B8" w:rsidP="00777189">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C40F68">
        <w:t>10</w:t>
      </w:r>
      <w:r w:rsidR="00777189">
        <w:t>6</w:t>
      </w:r>
      <w:r w:rsidRPr="00E224A1">
        <w:rPr>
          <w:rFonts w:hint="cs"/>
          <w:rtl/>
        </w:rPr>
        <w:t xml:space="preserve"> </w:t>
      </w:r>
      <w:r w:rsidRPr="00E224A1">
        <w:rPr>
          <w:lang w:val="en-GB"/>
        </w:rPr>
        <w:t>–</w:t>
      </w:r>
      <w:r w:rsidRPr="00E224A1">
        <w:rPr>
          <w:rFonts w:hint="cs"/>
          <w:rtl/>
        </w:rPr>
        <w:t xml:space="preserve"> </w:t>
      </w:r>
      <w:r w:rsidR="00777189" w:rsidRPr="00777189">
        <w:rPr>
          <w:rFonts w:hint="cs"/>
          <w:rtl/>
          <w:lang w:bidi="ar-JO"/>
        </w:rPr>
        <w:t>تعزيز أنشطة التقييس في مجال التحول الرقمي المستدام</w:t>
      </w:r>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216A1BE5" w:rsidR="00AF6585" w:rsidRPr="002B66D2" w:rsidRDefault="00FB4581" w:rsidP="00157183">
      <w:pPr>
        <w:pStyle w:val="ResNo"/>
        <w:rPr>
          <w:rtl/>
        </w:rPr>
      </w:pPr>
      <w:bookmarkStart w:id="4" w:name="_Toc111642708"/>
      <w:bookmarkStart w:id="5" w:name="_Toc111646776"/>
      <w:r w:rsidRPr="002B66D2">
        <w:rPr>
          <w:rFonts w:hint="cs"/>
          <w:rtl/>
        </w:rPr>
        <w:lastRenderedPageBreak/>
        <w:t>القرار</w:t>
      </w:r>
      <w:r w:rsidRPr="002B66D2">
        <w:rPr>
          <w:rtl/>
        </w:rPr>
        <w:t xml:space="preserve"> </w:t>
      </w:r>
      <w:r w:rsidR="00C40F68">
        <w:rPr>
          <w:rStyle w:val="href"/>
        </w:rPr>
        <w:t>10</w:t>
      </w:r>
      <w:r w:rsidR="00777189">
        <w:rPr>
          <w:rStyle w:val="href"/>
        </w:rPr>
        <w:t>6</w:t>
      </w:r>
      <w:r w:rsidRPr="002B66D2">
        <w:rPr>
          <w:rFonts w:hint="cs"/>
          <w:rtl/>
        </w:rPr>
        <w:t xml:space="preserve"> (المراجَع في نيودلهي، 2024)</w:t>
      </w:r>
      <w:bookmarkEnd w:id="4"/>
      <w:bookmarkEnd w:id="5"/>
    </w:p>
    <w:p w14:paraId="4C2463DA" w14:textId="6DD8DFA1" w:rsidR="00AF6585" w:rsidRDefault="00777189" w:rsidP="00777189">
      <w:pPr>
        <w:pStyle w:val="Restitle"/>
      </w:pPr>
      <w:r w:rsidRPr="00777189">
        <w:rPr>
          <w:rFonts w:hint="cs"/>
          <w:rtl/>
          <w:lang w:bidi="ar-JO"/>
        </w:rPr>
        <w:t>تعزيز أنشطة التقييس في مجال التحول الرقمي المستدام</w:t>
      </w:r>
    </w:p>
    <w:p w14:paraId="07E10C4C" w14:textId="77777777" w:rsidR="00777189" w:rsidRDefault="00777189" w:rsidP="00777189">
      <w:pPr>
        <w:pStyle w:val="Resref"/>
        <w:rPr>
          <w:iCs w:val="0"/>
          <w:u w:val="single"/>
          <w:rtl/>
          <w:lang w:bidi="ar-EG"/>
        </w:rPr>
      </w:pPr>
      <w:r>
        <w:rPr>
          <w:rFonts w:hint="cs"/>
          <w:rtl/>
          <w:lang w:val="es-ES" w:bidi="ar-EG"/>
        </w:rPr>
        <w:t>(نيودلهي، 2024</w:t>
      </w:r>
      <w:r>
        <w:rPr>
          <w:rFonts w:hint="cs"/>
          <w:rtl/>
          <w:lang w:bidi="ar-EG"/>
        </w:rPr>
        <w:t>)</w:t>
      </w:r>
    </w:p>
    <w:p w14:paraId="5FA16B37" w14:textId="77777777" w:rsidR="00777189" w:rsidRDefault="00777189" w:rsidP="00777189">
      <w:pPr>
        <w:pStyle w:val="Normalaftertitle"/>
        <w:rPr>
          <w:noProof/>
          <w:rtl/>
          <w:lang w:bidi="ar-EG"/>
        </w:rPr>
      </w:pPr>
      <w:r>
        <w:rPr>
          <w:rFonts w:hint="cs"/>
          <w:noProof/>
          <w:rtl/>
          <w:lang w:bidi="ar-EG"/>
        </w:rPr>
        <w:t>إن الجمعية العالمية لتقييس الاتصالات (نيودلهي، 2024)،</w:t>
      </w:r>
    </w:p>
    <w:p w14:paraId="4E9B123E" w14:textId="77777777" w:rsidR="00777189" w:rsidRDefault="00777189" w:rsidP="00777189">
      <w:pPr>
        <w:pStyle w:val="Call"/>
        <w:spacing w:before="160"/>
        <w:rPr>
          <w:rtl/>
        </w:rPr>
      </w:pPr>
      <w:r>
        <w:rPr>
          <w:rFonts w:hint="cs"/>
          <w:rtl/>
        </w:rPr>
        <w:t xml:space="preserve">إذ </w:t>
      </w:r>
      <w:r w:rsidRPr="00FC0F14">
        <w:rPr>
          <w:rFonts w:hint="cs"/>
          <w:rtl/>
        </w:rPr>
        <w:t>تذك</w:t>
      </w:r>
      <w:r>
        <w:rPr>
          <w:rFonts w:hint="cs"/>
          <w:rtl/>
        </w:rPr>
        <w:t>ِ</w:t>
      </w:r>
      <w:r w:rsidRPr="00FC0F14">
        <w:rPr>
          <w:rFonts w:hint="cs"/>
          <w:rtl/>
        </w:rPr>
        <w:t>ّر</w:t>
      </w:r>
    </w:p>
    <w:p w14:paraId="2E17B8A1" w14:textId="77777777" w:rsidR="00777189" w:rsidRDefault="00777189" w:rsidP="00777189">
      <w:pPr>
        <w:rPr>
          <w:noProof/>
          <w:rtl/>
          <w:lang w:bidi="ar-EG"/>
        </w:rPr>
      </w:pPr>
      <w:r>
        <w:rPr>
          <w:rFonts w:hint="eastAsia"/>
          <w:i/>
          <w:iCs/>
          <w:noProof/>
          <w:rtl/>
          <w:lang w:bidi="ar-EG"/>
        </w:rPr>
        <w:t> </w:t>
      </w:r>
      <w:r>
        <w:rPr>
          <w:rFonts w:hint="cs"/>
          <w:i/>
          <w:iCs/>
          <w:noProof/>
          <w:rtl/>
          <w:lang w:bidi="ar-EG"/>
        </w:rPr>
        <w:t>أ )</w:t>
      </w:r>
      <w:r>
        <w:rPr>
          <w:rFonts w:hint="cs"/>
          <w:noProof/>
          <w:rtl/>
          <w:lang w:bidi="ar-EG"/>
        </w:rPr>
        <w:tab/>
        <w:t xml:space="preserve">بأن </w:t>
      </w:r>
      <w:r>
        <w:rPr>
          <w:rFonts w:hint="cs"/>
          <w:noProof/>
          <w:rtl/>
          <w:lang w:bidi="ar-JO"/>
        </w:rPr>
        <w:t>الخطة الاستراتيجية للاتحاد للفترة 2024-2027، المعتمدة بموجب القرار 71 (المراجَع في بوخارست، 2022) لمؤتمر المندوبين المفوضين، تنص على أن التحول الرقمي المستدام هو هدف استراتيجي للاتحاد في تيسير التقدم نحو تنفيذ خطوط عمل القمة العالمية لمجتمع المعلومات (</w:t>
      </w:r>
      <w:r>
        <w:rPr>
          <w:noProof/>
          <w:lang w:bidi="ar-JO"/>
        </w:rPr>
        <w:t>WSIS</w:t>
      </w:r>
      <w:r>
        <w:rPr>
          <w:rFonts w:hint="cs"/>
          <w:noProof/>
          <w:rtl/>
          <w:lang w:bidi="ar-JO"/>
        </w:rPr>
        <w:t>) وخطة التنمية المستدامة الأممية لعام 2030؛</w:t>
      </w:r>
    </w:p>
    <w:p w14:paraId="5F12C5BD" w14:textId="77777777" w:rsidR="00777189" w:rsidRDefault="00777189" w:rsidP="00777189">
      <w:pPr>
        <w:rPr>
          <w:noProof/>
          <w:rtl/>
          <w:lang w:bidi="ar-EG"/>
        </w:rPr>
      </w:pPr>
      <w:r>
        <w:rPr>
          <w:rFonts w:hint="cs"/>
          <w:i/>
          <w:iCs/>
          <w:noProof/>
          <w:rtl/>
          <w:lang w:bidi="ar-EG"/>
        </w:rPr>
        <w:t>ب)</w:t>
      </w:r>
      <w:r>
        <w:rPr>
          <w:rFonts w:hint="cs"/>
          <w:noProof/>
          <w:rtl/>
          <w:lang w:bidi="ar-EG"/>
        </w:rPr>
        <w:tab/>
        <w:t>ب</w:t>
      </w:r>
      <w:r>
        <w:rPr>
          <w:rFonts w:hint="cs"/>
          <w:noProof/>
          <w:rtl/>
          <w:lang w:bidi="ar-JO"/>
        </w:rPr>
        <w:t>القرار 44 (المراجَع في نيودلهي، 2024) لهذه الجمعية، بشأن سد الفجوة التقييسية بين البلدان النامية</w:t>
      </w:r>
      <w:r>
        <w:rPr>
          <w:rStyle w:val="FootnoteReference"/>
          <w:spacing w:val="-4"/>
          <w:rtl/>
        </w:rPr>
        <w:footnoteReference w:customMarkFollows="1" w:id="1"/>
        <w:t>1</w:t>
      </w:r>
      <w:r>
        <w:rPr>
          <w:rFonts w:hint="cs"/>
          <w:noProof/>
          <w:rtl/>
          <w:lang w:bidi="ar-JO"/>
        </w:rPr>
        <w:t xml:space="preserve"> والبلدان</w:t>
      </w:r>
      <w:r>
        <w:rPr>
          <w:rFonts w:hint="eastAsia"/>
          <w:noProof/>
          <w:rtl/>
          <w:lang w:bidi="ar-JO"/>
        </w:rPr>
        <w:t> </w:t>
      </w:r>
      <w:r>
        <w:rPr>
          <w:rFonts w:hint="cs"/>
          <w:noProof/>
          <w:rtl/>
          <w:lang w:bidi="ar-JO"/>
        </w:rPr>
        <w:t>المتقدمة؛</w:t>
      </w:r>
    </w:p>
    <w:p w14:paraId="6E38C7E9" w14:textId="77777777" w:rsidR="00777189" w:rsidRDefault="00777189" w:rsidP="00777189">
      <w:pPr>
        <w:rPr>
          <w:noProof/>
          <w:rtl/>
          <w:lang w:bidi="ar-EG"/>
        </w:rPr>
      </w:pPr>
      <w:r>
        <w:rPr>
          <w:rFonts w:hint="cs"/>
          <w:i/>
          <w:iCs/>
          <w:noProof/>
          <w:rtl/>
          <w:lang w:bidi="ar-EG"/>
        </w:rPr>
        <w:t>ج)</w:t>
      </w:r>
      <w:r>
        <w:rPr>
          <w:rFonts w:hint="cs"/>
          <w:noProof/>
          <w:rtl/>
          <w:lang w:bidi="ar-EG"/>
        </w:rPr>
        <w:tab/>
        <w:t>ب</w:t>
      </w:r>
      <w:r>
        <w:rPr>
          <w:rFonts w:hint="cs"/>
          <w:noProof/>
          <w:rtl/>
          <w:lang w:bidi="ar-JO"/>
        </w:rPr>
        <w:t>القرار 89 (كيغالي، 2022) للمؤتمر العالمي لتنمية الاتصالات</w:t>
      </w:r>
      <w:r>
        <w:rPr>
          <w:rFonts w:hint="eastAsia"/>
          <w:noProof/>
          <w:rtl/>
          <w:lang w:bidi="ar-JO"/>
        </w:rPr>
        <w:t> </w:t>
      </w:r>
      <w:r>
        <w:rPr>
          <w:noProof/>
          <w:lang w:bidi="ar-JO"/>
        </w:rPr>
        <w:t>(WTDC)</w:t>
      </w:r>
      <w:r>
        <w:rPr>
          <w:rFonts w:hint="cs"/>
          <w:noProof/>
          <w:rtl/>
          <w:lang w:bidi="ar-JO"/>
        </w:rPr>
        <w:t>، بشأن التحول الرقمي من أجل التنمية</w:t>
      </w:r>
      <w:r>
        <w:rPr>
          <w:rFonts w:hint="eastAsia"/>
          <w:noProof/>
          <w:rtl/>
          <w:lang w:bidi="ar-JO"/>
        </w:rPr>
        <w:t> </w:t>
      </w:r>
      <w:r>
        <w:rPr>
          <w:rFonts w:hint="cs"/>
          <w:noProof/>
          <w:rtl/>
          <w:lang w:bidi="ar-JO"/>
        </w:rPr>
        <w:t>المستدامة؛</w:t>
      </w:r>
    </w:p>
    <w:p w14:paraId="135A3733" w14:textId="77777777" w:rsidR="00777189" w:rsidRPr="001937B3" w:rsidRDefault="00777189" w:rsidP="00777189">
      <w:pPr>
        <w:rPr>
          <w:rtl/>
          <w:lang w:bidi="ar-EG"/>
        </w:rPr>
      </w:pPr>
      <w:r>
        <w:rPr>
          <w:rFonts w:hint="cs"/>
          <w:i/>
          <w:iCs/>
          <w:rtl/>
          <w:lang w:bidi="ar-EG"/>
        </w:rPr>
        <w:t>د</w:t>
      </w:r>
      <w:r>
        <w:rPr>
          <w:rFonts w:hint="eastAsia"/>
          <w:i/>
          <w:iCs/>
          <w:rtl/>
          <w:lang w:bidi="ar-EG"/>
        </w:rPr>
        <w:t> </w:t>
      </w:r>
      <w:r>
        <w:rPr>
          <w:rFonts w:hint="cs"/>
          <w:i/>
          <w:iCs/>
          <w:rtl/>
          <w:lang w:bidi="ar-EG"/>
        </w:rPr>
        <w:t>)</w:t>
      </w:r>
      <w:r>
        <w:rPr>
          <w:i/>
          <w:iCs/>
          <w:rtl/>
          <w:lang w:bidi="ar-EG"/>
        </w:rPr>
        <w:tab/>
      </w:r>
      <w:r w:rsidRPr="001937B3">
        <w:rPr>
          <w:rFonts w:hint="cs"/>
          <w:rtl/>
        </w:rPr>
        <w:t>بالقرار</w:t>
      </w:r>
      <w:r w:rsidRPr="001937B3">
        <w:rPr>
          <w:rtl/>
          <w:lang w:val="en-GB" w:bidi="ar-EG"/>
        </w:rPr>
        <w:t xml:space="preserve"> </w:t>
      </w:r>
      <w:r w:rsidRPr="001937B3">
        <w:rPr>
          <w:cs/>
          <w:lang w:val="en-GB" w:bidi="ar-EG"/>
        </w:rPr>
        <w:t>‎</w:t>
      </w:r>
      <w:r w:rsidRPr="001937B3">
        <w:rPr>
          <w:lang w:val="en-GB" w:bidi="ar-EG"/>
        </w:rPr>
        <w:t>73</w:t>
      </w:r>
      <w:r w:rsidRPr="001937B3">
        <w:rPr>
          <w:rtl/>
          <w:lang w:val="en-GB" w:bidi="ar-EG"/>
        </w:rPr>
        <w:t xml:space="preserve"> (‏المراجع في نيودلهي، </w:t>
      </w:r>
      <w:r w:rsidRPr="001937B3">
        <w:rPr>
          <w:cs/>
          <w:lang w:val="en-GB" w:bidi="ar-EG"/>
        </w:rPr>
        <w:t>‎</w:t>
      </w:r>
      <w:r w:rsidRPr="001937B3">
        <w:rPr>
          <w:lang w:val="en-GB" w:bidi="ar-EG"/>
        </w:rPr>
        <w:t>2024</w:t>
      </w:r>
      <w:r w:rsidRPr="001937B3">
        <w:rPr>
          <w:rtl/>
          <w:lang w:val="en-GB" w:bidi="ar-EG"/>
        </w:rPr>
        <w:t xml:space="preserve">) </w:t>
      </w:r>
      <w:r>
        <w:rPr>
          <w:rFonts w:hint="cs"/>
          <w:noProof/>
          <w:rtl/>
          <w:lang w:bidi="ar-JO"/>
        </w:rPr>
        <w:t>لهذه الجمعية</w:t>
      </w:r>
      <w:r w:rsidRPr="001937B3">
        <w:rPr>
          <w:rtl/>
          <w:lang w:val="en-GB" w:bidi="ar-EG"/>
        </w:rPr>
        <w:t xml:space="preserve">، </w:t>
      </w:r>
      <w:r>
        <w:rPr>
          <w:rFonts w:hint="cs"/>
          <w:rtl/>
          <w:lang w:val="en-GB" w:bidi="ar-EG"/>
        </w:rPr>
        <w:t xml:space="preserve">بشأن </w:t>
      </w:r>
      <w:r w:rsidRPr="001937B3">
        <w:rPr>
          <w:rtl/>
          <w:lang w:val="en-GB" w:bidi="ar-EG"/>
        </w:rPr>
        <w:t>تكنولوجيا المعلومات والاتصالات</w:t>
      </w:r>
      <w:r>
        <w:rPr>
          <w:rFonts w:hint="eastAsia"/>
          <w:rtl/>
          <w:lang w:val="en-GB" w:bidi="ar-EG"/>
        </w:rPr>
        <w:t> </w:t>
      </w:r>
      <w:r>
        <w:rPr>
          <w:lang w:bidi="ar-EG"/>
        </w:rPr>
        <w:t>(ICT)</w:t>
      </w:r>
      <w:r w:rsidRPr="001937B3">
        <w:rPr>
          <w:rtl/>
          <w:lang w:val="en-GB" w:bidi="ar-EG"/>
        </w:rPr>
        <w:t xml:space="preserve"> والبيئة وتغير المناخ واقتصاد التدوير</w:t>
      </w:r>
      <w:r w:rsidRPr="001937B3">
        <w:rPr>
          <w:cs/>
          <w:lang w:val="en-GB" w:bidi="ar-EG"/>
        </w:rPr>
        <w:t>‎</w:t>
      </w:r>
      <w:r>
        <w:rPr>
          <w:rFonts w:hint="cs"/>
          <w:rtl/>
          <w:lang w:bidi="ar-EG"/>
        </w:rPr>
        <w:t>؛</w:t>
      </w:r>
    </w:p>
    <w:p w14:paraId="07045541" w14:textId="77777777" w:rsidR="00777189" w:rsidRDefault="00777189" w:rsidP="00777189">
      <w:pPr>
        <w:rPr>
          <w:rtl/>
          <w:lang w:bidi="ar-EG"/>
        </w:rPr>
      </w:pPr>
      <w:r w:rsidRPr="00A96189">
        <w:rPr>
          <w:rFonts w:hint="cs"/>
          <w:i/>
          <w:iCs/>
          <w:rtl/>
          <w:lang w:bidi="ar-EG"/>
        </w:rPr>
        <w:t>هـ</w:t>
      </w:r>
      <w:r w:rsidRPr="00A96189">
        <w:rPr>
          <w:rFonts w:hint="eastAsia"/>
          <w:i/>
          <w:iCs/>
          <w:rtl/>
          <w:lang w:bidi="ar-EG"/>
        </w:rPr>
        <w:t> </w:t>
      </w:r>
      <w:r w:rsidRPr="00A96189">
        <w:rPr>
          <w:rFonts w:hint="cs"/>
          <w:i/>
          <w:iCs/>
          <w:rtl/>
          <w:lang w:bidi="ar-EG"/>
        </w:rPr>
        <w:t>)</w:t>
      </w:r>
      <w:r>
        <w:rPr>
          <w:rFonts w:hint="cs"/>
          <w:rtl/>
          <w:lang w:bidi="ar-EG"/>
        </w:rPr>
        <w:tab/>
      </w:r>
      <w:r>
        <w:rPr>
          <w:rFonts w:hint="cs"/>
          <w:rtl/>
          <w:lang w:bidi="ar-JO"/>
        </w:rPr>
        <w:t xml:space="preserve">بأن </w:t>
      </w:r>
      <w:r>
        <w:rPr>
          <w:rFonts w:hint="cs"/>
          <w:rtl/>
          <w:lang w:bidi="ar-EG"/>
        </w:rPr>
        <w:t>القرار 2 (المراجَع في كيغالي، 2022)</w:t>
      </w:r>
      <w:r w:rsidRPr="008B7A0B">
        <w:rPr>
          <w:rFonts w:hint="cs"/>
          <w:noProof/>
          <w:rtl/>
          <w:lang w:bidi="ar-JO"/>
        </w:rPr>
        <w:t xml:space="preserve"> </w:t>
      </w:r>
      <w:r>
        <w:rPr>
          <w:rFonts w:hint="cs"/>
          <w:noProof/>
          <w:rtl/>
          <w:lang w:bidi="ar-JO"/>
        </w:rPr>
        <w:t>للمؤتمر العالمي لتنمية الاتصالات</w:t>
      </w:r>
      <w:r>
        <w:rPr>
          <w:rFonts w:hint="cs"/>
          <w:rtl/>
          <w:lang w:bidi="ar-JO"/>
        </w:rPr>
        <w:t xml:space="preserve">، </w:t>
      </w:r>
      <w:r>
        <w:rPr>
          <w:rFonts w:hint="cs"/>
          <w:rtl/>
          <w:lang w:bidi="ar-EG"/>
        </w:rPr>
        <w:t>الذي يصف نطاق لجان دراسات قطاع تنمية الاتصالات بالاتحاد</w:t>
      </w:r>
      <w:r>
        <w:rPr>
          <w:rFonts w:hint="eastAsia"/>
          <w:rtl/>
          <w:lang w:bidi="ar-EG"/>
        </w:rPr>
        <w:t> </w:t>
      </w:r>
      <w:r>
        <w:rPr>
          <w:lang w:bidi="ar-EG"/>
        </w:rPr>
        <w:t>(ITU</w:t>
      </w:r>
      <w:r>
        <w:rPr>
          <w:lang w:bidi="ar-EG"/>
        </w:rPr>
        <w:noBreakHyphen/>
        <w:t>D)</w:t>
      </w:r>
      <w:r>
        <w:rPr>
          <w:rFonts w:hint="cs"/>
          <w:rtl/>
          <w:lang w:bidi="ar-EG"/>
        </w:rPr>
        <w:t>، ويشير إلى أن تركيز لجنة الدراسات 2 ب</w:t>
      </w:r>
      <w:r w:rsidRPr="00CE7E8E">
        <w:rPr>
          <w:rtl/>
          <w:lang w:bidi="ar-EG"/>
        </w:rPr>
        <w:t xml:space="preserve">قطاع تنمية الاتصالات </w:t>
      </w:r>
      <w:r>
        <w:rPr>
          <w:rFonts w:hint="cs"/>
          <w:rtl/>
          <w:lang w:bidi="ar-EG"/>
        </w:rPr>
        <w:t>هو التحول الرقمي،</w:t>
      </w:r>
    </w:p>
    <w:p w14:paraId="4C475B28" w14:textId="77777777" w:rsidR="00777189" w:rsidRDefault="00777189" w:rsidP="00777189">
      <w:pPr>
        <w:pStyle w:val="Call"/>
        <w:spacing w:before="160"/>
        <w:rPr>
          <w:noProof/>
          <w:rtl/>
          <w:lang w:bidi="ar-EG"/>
        </w:rPr>
      </w:pPr>
      <w:r>
        <w:rPr>
          <w:rFonts w:hint="cs"/>
          <w:noProof/>
          <w:rtl/>
          <w:lang w:bidi="ar-EG"/>
        </w:rPr>
        <w:t>وإذ تضع في اعتبارها</w:t>
      </w:r>
    </w:p>
    <w:p w14:paraId="6880DE60" w14:textId="77777777" w:rsidR="00777189" w:rsidRDefault="00777189" w:rsidP="00777189">
      <w:pPr>
        <w:rPr>
          <w:rtl/>
          <w:lang w:bidi="ar-EG"/>
        </w:rPr>
      </w:pPr>
      <w:r>
        <w:rPr>
          <w:rFonts w:hint="cs"/>
          <w:i/>
          <w:iCs/>
          <w:rtl/>
          <w:lang w:bidi="ar-EG"/>
        </w:rPr>
        <w:t> </w:t>
      </w:r>
      <w:r w:rsidRPr="006A583F">
        <w:rPr>
          <w:rFonts w:hint="cs"/>
          <w:i/>
          <w:iCs/>
          <w:rtl/>
          <w:lang w:bidi="ar-EG"/>
        </w:rPr>
        <w:t>أ )</w:t>
      </w:r>
      <w:r w:rsidRPr="006A583F">
        <w:rPr>
          <w:rFonts w:hint="cs"/>
          <w:i/>
          <w:iCs/>
          <w:rtl/>
          <w:lang w:bidi="ar-EG"/>
        </w:rPr>
        <w:tab/>
      </w:r>
      <w:r w:rsidRPr="006A583F">
        <w:rPr>
          <w:rFonts w:hint="cs"/>
          <w:rtl/>
          <w:lang w:bidi="ar-EG"/>
        </w:rPr>
        <w:t xml:space="preserve">أن التحول الرقمي، من خلال الاستفادة من الاتصالات/تكنولوجيا المعلومات والاتصالات الناشئة، وتمكين الخدمات والتطبيقات الجديدة، وتعزيز مجتمع المعلومات، تشكل </w:t>
      </w:r>
      <w:r>
        <w:rPr>
          <w:rFonts w:hint="cs"/>
          <w:rtl/>
          <w:lang w:bidi="ar-EG"/>
        </w:rPr>
        <w:t xml:space="preserve">عاملاً تمكينياً أساسياً </w:t>
      </w:r>
      <w:r w:rsidRPr="006A583F">
        <w:rPr>
          <w:rFonts w:hint="cs"/>
          <w:rtl/>
          <w:lang w:bidi="ar-EG"/>
        </w:rPr>
        <w:t xml:space="preserve">لإحراز تقدم نحو التنمية المستدامة، </w:t>
      </w:r>
      <w:r w:rsidRPr="006A583F">
        <w:rPr>
          <w:rtl/>
          <w:lang w:bidi="ar-EG"/>
        </w:rPr>
        <w:t>وهو ما يجب مراعاته في أعمال قطاع تقييس الاتصالات</w:t>
      </w:r>
      <w:r>
        <w:rPr>
          <w:rFonts w:hint="cs"/>
          <w:rtl/>
          <w:lang w:bidi="ar-EG"/>
        </w:rPr>
        <w:t xml:space="preserve"> بالاتحاد </w:t>
      </w:r>
      <w:r>
        <w:rPr>
          <w:lang w:bidi="ar-EG"/>
        </w:rPr>
        <w:t>(ITU</w:t>
      </w:r>
      <w:r>
        <w:rPr>
          <w:lang w:bidi="ar-EG"/>
        </w:rPr>
        <w:noBreakHyphen/>
        <w:t>T)</w:t>
      </w:r>
      <w:r w:rsidRPr="006A583F">
        <w:rPr>
          <w:rFonts w:hint="cs"/>
          <w:rtl/>
          <w:lang w:bidi="ar-EG"/>
        </w:rPr>
        <w:t>؛</w:t>
      </w:r>
    </w:p>
    <w:p w14:paraId="32E008B4" w14:textId="77777777" w:rsidR="00777189" w:rsidRDefault="00777189" w:rsidP="00777189">
      <w:pPr>
        <w:rPr>
          <w:spacing w:val="-4"/>
          <w:rtl/>
        </w:rPr>
      </w:pPr>
      <w:r w:rsidRPr="006A583F">
        <w:rPr>
          <w:rFonts w:hint="cs"/>
          <w:i/>
          <w:iCs/>
          <w:color w:val="000000" w:themeColor="text1"/>
          <w:spacing w:val="-4"/>
          <w:rtl/>
          <w:lang w:bidi="ar-EG"/>
        </w:rPr>
        <w:t>ب)</w:t>
      </w:r>
      <w:r w:rsidRPr="006A583F">
        <w:rPr>
          <w:rFonts w:hint="cs"/>
          <w:i/>
          <w:iCs/>
          <w:spacing w:val="-4"/>
          <w:rtl/>
          <w:lang w:bidi="ar-EG"/>
        </w:rPr>
        <w:tab/>
      </w:r>
      <w:r w:rsidRPr="006A583F">
        <w:rPr>
          <w:rFonts w:hint="cs"/>
          <w:spacing w:val="-4"/>
          <w:rtl/>
        </w:rPr>
        <w:t xml:space="preserve">أن </w:t>
      </w:r>
      <w:r w:rsidRPr="00790D2F">
        <w:rPr>
          <w:rFonts w:hint="cs"/>
          <w:spacing w:val="-4"/>
          <w:rtl/>
        </w:rPr>
        <w:t>هناك</w:t>
      </w:r>
      <w:r w:rsidRPr="006A583F">
        <w:rPr>
          <w:rFonts w:hint="cs"/>
          <w:spacing w:val="-4"/>
          <w:rtl/>
        </w:rPr>
        <w:t xml:space="preserve"> حاجة إلى أن يقوم قطاع تقييس الاتصالات على وجه السرعة بإعداد توصيات </w:t>
      </w:r>
      <w:r>
        <w:rPr>
          <w:rFonts w:hint="cs"/>
          <w:spacing w:val="-4"/>
          <w:rtl/>
        </w:rPr>
        <w:t xml:space="preserve">ومبادئ توجيهية </w:t>
      </w:r>
      <w:r w:rsidRPr="006A583F">
        <w:rPr>
          <w:rFonts w:hint="cs"/>
          <w:spacing w:val="-4"/>
          <w:rtl/>
        </w:rPr>
        <w:t xml:space="preserve">عالية الجودة وقائمة على الطلب وقابلة للتشغيل البيني وغير تمييزية، </w:t>
      </w:r>
      <w:r>
        <w:rPr>
          <w:rFonts w:hint="cs"/>
          <w:spacing w:val="-4"/>
          <w:rtl/>
        </w:rPr>
        <w:t xml:space="preserve">وتبادل الممارسات الفضلى لدعم وتسهيل أنشطة الاتصالات/تكنولوجيا المعلومات والاتصالات التي تدعم وتسهل </w:t>
      </w:r>
      <w:r w:rsidRPr="006A583F">
        <w:rPr>
          <w:rFonts w:hint="cs"/>
          <w:spacing w:val="-4"/>
          <w:rtl/>
        </w:rPr>
        <w:t xml:space="preserve">التحول الرقمي المستدام </w:t>
      </w:r>
      <w:r>
        <w:rPr>
          <w:rFonts w:hint="cs"/>
          <w:spacing w:val="-4"/>
          <w:rtl/>
        </w:rPr>
        <w:t>بسرعة وخاصة للبلدان النامية في المرحلة الأولية من إدخالها</w:t>
      </w:r>
      <w:r w:rsidRPr="006A583F">
        <w:rPr>
          <w:rFonts w:hint="cs"/>
          <w:spacing w:val="-4"/>
          <w:rtl/>
        </w:rPr>
        <w:t>؛</w:t>
      </w:r>
    </w:p>
    <w:p w14:paraId="57BAB695" w14:textId="77777777" w:rsidR="00777189" w:rsidRDefault="00777189" w:rsidP="00777189">
      <w:pPr>
        <w:rPr>
          <w:rtl/>
        </w:rPr>
      </w:pPr>
      <w:r>
        <w:rPr>
          <w:rFonts w:hint="cs"/>
          <w:i/>
          <w:iCs/>
          <w:rtl/>
          <w:lang w:bidi="ar-EG"/>
        </w:rPr>
        <w:t>ج )</w:t>
      </w:r>
      <w:r>
        <w:rPr>
          <w:rFonts w:hint="cs"/>
          <w:i/>
          <w:iCs/>
          <w:rtl/>
          <w:lang w:bidi="ar-EG"/>
        </w:rPr>
        <w:tab/>
      </w:r>
      <w:r>
        <w:rPr>
          <w:rFonts w:hint="cs"/>
          <w:rtl/>
        </w:rPr>
        <w:t xml:space="preserve">أنه من الضروري أيضاً توسيع التعاون بين منظمات وضع المعايير </w:t>
      </w:r>
      <w:r w:rsidRPr="00AB4E74">
        <w:rPr>
          <w:rtl/>
        </w:rPr>
        <w:t>(</w:t>
      </w:r>
      <w:r w:rsidRPr="00AB4E74">
        <w:t>SDO</w:t>
      </w:r>
      <w:r w:rsidRPr="00AB4E74">
        <w:rPr>
          <w:rtl/>
        </w:rPr>
        <w:t>)</w:t>
      </w:r>
      <w:r>
        <w:rPr>
          <w:rFonts w:hint="cs"/>
          <w:rtl/>
        </w:rPr>
        <w:t xml:space="preserve"> بشأن التحول الرقمي المستدام وتيسيره لتجنب ال</w:t>
      </w:r>
      <w:r>
        <w:rPr>
          <w:rFonts w:hint="cs"/>
          <w:rtl/>
          <w:lang w:bidi="ar-SY"/>
        </w:rPr>
        <w:t>ا</w:t>
      </w:r>
      <w:r>
        <w:rPr>
          <w:rFonts w:hint="cs"/>
          <w:rtl/>
        </w:rPr>
        <w:t>زدواجية وتحقيق الاستخدام الفعال للموارد،</w:t>
      </w:r>
    </w:p>
    <w:p w14:paraId="30FB6020" w14:textId="77777777" w:rsidR="00777189" w:rsidRDefault="00777189" w:rsidP="00777189">
      <w:pPr>
        <w:rPr>
          <w:noProof/>
          <w:rtl/>
          <w:lang w:bidi="ar-EG"/>
        </w:rPr>
      </w:pPr>
      <w:r>
        <w:rPr>
          <w:noProof/>
          <w:rtl/>
          <w:lang w:bidi="ar-EG"/>
        </w:rPr>
        <w:br w:type="page"/>
      </w:r>
    </w:p>
    <w:p w14:paraId="36A377FA" w14:textId="77777777" w:rsidR="00777189" w:rsidRDefault="00777189" w:rsidP="00777189">
      <w:pPr>
        <w:pStyle w:val="Call"/>
        <w:spacing w:before="160"/>
        <w:rPr>
          <w:noProof/>
          <w:rtl/>
          <w:lang w:bidi="ar-EG"/>
        </w:rPr>
      </w:pPr>
      <w:r>
        <w:rPr>
          <w:rFonts w:hint="cs"/>
          <w:noProof/>
          <w:rtl/>
          <w:lang w:bidi="ar-EG"/>
        </w:rPr>
        <w:lastRenderedPageBreak/>
        <w:t>وإذ تضع في اعتبارها كذلك</w:t>
      </w:r>
    </w:p>
    <w:p w14:paraId="383E8F2F" w14:textId="77777777" w:rsidR="00777189" w:rsidRDefault="00777189" w:rsidP="00777189">
      <w:pPr>
        <w:rPr>
          <w:rtl/>
          <w:lang w:bidi="ar-EG"/>
        </w:rPr>
      </w:pPr>
      <w:r w:rsidRPr="00BC6B18">
        <w:rPr>
          <w:rtl/>
          <w:lang w:val="en-GB" w:bidi="ar-EG"/>
        </w:rPr>
        <w:t xml:space="preserve">أن توصيات قطاع تقييس الاتصالات ومبادئه التوجيهية والممارسات </w:t>
      </w:r>
      <w:r>
        <w:rPr>
          <w:rFonts w:hint="cs"/>
          <w:rtl/>
          <w:lang w:val="en-GB" w:bidi="ar-EG"/>
        </w:rPr>
        <w:t xml:space="preserve">الفضلى </w:t>
      </w:r>
      <w:r w:rsidRPr="00BC6B18">
        <w:rPr>
          <w:rtl/>
          <w:lang w:val="en-GB" w:bidi="ar-EG"/>
        </w:rPr>
        <w:t xml:space="preserve">التي تدعم وتسهل التحول الرقمي المستدام ستسهم في تحقيق خطة التنمية المستدامة لعام </w:t>
      </w:r>
      <w:r w:rsidRPr="00BC6B18">
        <w:rPr>
          <w:cs/>
          <w:lang w:val="en-GB" w:bidi="ar-EG"/>
        </w:rPr>
        <w:t>‎</w:t>
      </w:r>
      <w:r w:rsidRPr="00BC6B18">
        <w:rPr>
          <w:lang w:val="en-GB" w:bidi="ar-EG"/>
        </w:rPr>
        <w:t>2030</w:t>
      </w:r>
      <w:r w:rsidRPr="00BC6B18">
        <w:rPr>
          <w:rtl/>
          <w:lang w:val="en-GB" w:bidi="ar-EG"/>
        </w:rPr>
        <w:t xml:space="preserve"> ‏ونواتج القمة العالمية لمجتمع المعلومات</w:t>
      </w:r>
      <w:r w:rsidRPr="00BC6B18">
        <w:rPr>
          <w:cs/>
          <w:lang w:val="en-GB" w:bidi="ar-EG"/>
        </w:rPr>
        <w:t>‎</w:t>
      </w:r>
      <w:r>
        <w:rPr>
          <w:rFonts w:hint="cs"/>
          <w:rtl/>
          <w:lang w:bidi="ar-EG"/>
        </w:rPr>
        <w:t>،</w:t>
      </w:r>
    </w:p>
    <w:p w14:paraId="5307BDFD" w14:textId="77777777" w:rsidR="00777189" w:rsidRDefault="00777189" w:rsidP="00777189">
      <w:pPr>
        <w:pStyle w:val="Call"/>
        <w:spacing w:before="160"/>
        <w:rPr>
          <w:noProof/>
          <w:rtl/>
        </w:rPr>
      </w:pPr>
      <w:r>
        <w:rPr>
          <w:rFonts w:hint="cs"/>
          <w:noProof/>
          <w:rtl/>
          <w:lang w:val="en-GB"/>
        </w:rPr>
        <w:t>وإذ تلاحظ</w:t>
      </w:r>
    </w:p>
    <w:p w14:paraId="6B106A6D" w14:textId="77777777" w:rsidR="00777189" w:rsidRDefault="00777189" w:rsidP="00777189">
      <w:pPr>
        <w:rPr>
          <w:rtl/>
          <w:lang w:bidi="ar-EG"/>
        </w:rPr>
      </w:pPr>
      <w:r w:rsidRPr="00BC6B18">
        <w:rPr>
          <w:rtl/>
          <w:lang w:val="en-GB" w:bidi="ar-EG"/>
        </w:rPr>
        <w:t>‏أن الفريق الاستشاري لتقييس الاتصالات (</w:t>
      </w:r>
      <w:r w:rsidRPr="00BC6B18">
        <w:rPr>
          <w:cs/>
          <w:lang w:val="en-GB" w:bidi="ar-EG"/>
        </w:rPr>
        <w:t>‎</w:t>
      </w:r>
      <w:r w:rsidRPr="00BC6B18">
        <w:rPr>
          <w:lang w:val="en-GB" w:bidi="ar-EG"/>
        </w:rPr>
        <w:t>TSAG</w:t>
      </w:r>
      <w:r w:rsidRPr="00BC6B18">
        <w:rPr>
          <w:rtl/>
          <w:lang w:val="en-GB" w:bidi="ar-EG"/>
        </w:rPr>
        <w:t>) ‏أنشأ فريق مقرر معنيا</w:t>
      </w:r>
      <w:r>
        <w:rPr>
          <w:rFonts w:hint="cs"/>
          <w:rtl/>
          <w:lang w:val="en-GB" w:bidi="ar-EG"/>
        </w:rPr>
        <w:t>ً</w:t>
      </w:r>
      <w:r w:rsidRPr="00BC6B18">
        <w:rPr>
          <w:rtl/>
          <w:lang w:val="en-GB" w:bidi="ar-EG"/>
        </w:rPr>
        <w:t xml:space="preserve"> بالتحول الرقمي المستدام (</w:t>
      </w:r>
      <w:r w:rsidRPr="00BC6B18">
        <w:rPr>
          <w:cs/>
          <w:lang w:val="en-GB" w:bidi="ar-EG"/>
        </w:rPr>
        <w:t>‎</w:t>
      </w:r>
      <w:r w:rsidRPr="00BC6B18">
        <w:rPr>
          <w:lang w:val="en-GB" w:bidi="ar-EG"/>
        </w:rPr>
        <w:t>RG-DT</w:t>
      </w:r>
      <w:r w:rsidRPr="00BC6B18">
        <w:rPr>
          <w:rtl/>
          <w:lang w:val="en-GB" w:bidi="ar-EG"/>
        </w:rPr>
        <w:t xml:space="preserve">) ‏في يونيو </w:t>
      </w:r>
      <w:r w:rsidRPr="00BC6B18">
        <w:rPr>
          <w:cs/>
          <w:lang w:val="en-GB" w:bidi="ar-EG"/>
        </w:rPr>
        <w:t>‎</w:t>
      </w:r>
      <w:r w:rsidRPr="00BC6B18">
        <w:rPr>
          <w:lang w:val="en-GB" w:bidi="ar-EG"/>
        </w:rPr>
        <w:t>2023</w:t>
      </w:r>
      <w:r w:rsidRPr="00BC6B18">
        <w:rPr>
          <w:rtl/>
          <w:lang w:val="en-GB" w:bidi="ar-EG"/>
        </w:rPr>
        <w:t>‏،</w:t>
      </w:r>
      <w:r w:rsidRPr="00BC6B18">
        <w:rPr>
          <w:cs/>
          <w:lang w:val="en-GB" w:bidi="ar-EG"/>
        </w:rPr>
        <w:t>‎</w:t>
      </w:r>
    </w:p>
    <w:p w14:paraId="6FCFB76E" w14:textId="77777777" w:rsidR="00777189" w:rsidRDefault="00777189" w:rsidP="00777189">
      <w:pPr>
        <w:pStyle w:val="Call"/>
        <w:spacing w:before="160"/>
        <w:rPr>
          <w:rtl/>
        </w:rPr>
      </w:pPr>
      <w:r>
        <w:rPr>
          <w:rFonts w:hint="cs"/>
          <w:rtl/>
          <w:lang w:bidi="ar-JO"/>
        </w:rPr>
        <w:t>وإذ تراعي</w:t>
      </w:r>
    </w:p>
    <w:p w14:paraId="0EBCDD17" w14:textId="77777777" w:rsidR="00777189" w:rsidRDefault="00777189" w:rsidP="00777189">
      <w:pPr>
        <w:rPr>
          <w:noProof/>
          <w:rtl/>
          <w:lang w:bidi="ar-EG"/>
        </w:rPr>
      </w:pPr>
      <w:r>
        <w:rPr>
          <w:rFonts w:hint="cs"/>
          <w:i/>
          <w:noProof/>
          <w:rtl/>
          <w:lang w:bidi="ar-EG"/>
        </w:rPr>
        <w:t xml:space="preserve"> </w:t>
      </w:r>
      <w:r>
        <w:rPr>
          <w:rFonts w:hint="cs"/>
          <w:iCs/>
          <w:noProof/>
          <w:rtl/>
          <w:lang w:bidi="ar-EG"/>
        </w:rPr>
        <w:t>أ )</w:t>
      </w:r>
      <w:r>
        <w:rPr>
          <w:rFonts w:hint="cs"/>
          <w:iCs/>
          <w:noProof/>
          <w:rtl/>
          <w:lang w:bidi="ar-EG"/>
        </w:rPr>
        <w:tab/>
      </w:r>
      <w:r>
        <w:rPr>
          <w:rFonts w:hint="cs"/>
          <w:i/>
          <w:noProof/>
          <w:rtl/>
          <w:lang w:bidi="ar-EG"/>
        </w:rPr>
        <w:t>أن</w:t>
      </w:r>
      <w:r>
        <w:rPr>
          <w:rFonts w:hint="cs"/>
          <w:iCs/>
          <w:noProof/>
          <w:rtl/>
          <w:lang w:bidi="ar-EG"/>
        </w:rPr>
        <w:t xml:space="preserve"> </w:t>
      </w:r>
      <w:r>
        <w:rPr>
          <w:rFonts w:hint="cs"/>
          <w:noProof/>
          <w:rtl/>
          <w:lang w:bidi="ar-EG"/>
        </w:rPr>
        <w:t>أعضاء قطاع تقييس الاتصالات يمكن أن يدعموا ويستفيدوا بشكل كبير من التحول الرقمي المستدام من خلال وضع توصيات قطاع تقييس الاتصالات وتنفيذها؛</w:t>
      </w:r>
    </w:p>
    <w:p w14:paraId="7E7A8502" w14:textId="77777777" w:rsidR="00777189" w:rsidRPr="0099421C" w:rsidRDefault="00777189" w:rsidP="00777189">
      <w:pPr>
        <w:rPr>
          <w:noProof/>
          <w:spacing w:val="-4"/>
          <w:rtl/>
          <w:lang w:bidi="ar-EG"/>
        </w:rPr>
      </w:pPr>
      <w:r w:rsidRPr="0099421C">
        <w:rPr>
          <w:rFonts w:hint="cs"/>
          <w:i/>
          <w:iCs/>
          <w:noProof/>
          <w:spacing w:val="-4"/>
          <w:rtl/>
          <w:lang w:bidi="ar-EG"/>
        </w:rPr>
        <w:t>ب)</w:t>
      </w:r>
      <w:r w:rsidRPr="0099421C">
        <w:rPr>
          <w:rFonts w:hint="cs"/>
          <w:i/>
          <w:iCs/>
          <w:noProof/>
          <w:spacing w:val="-4"/>
          <w:rtl/>
          <w:lang w:bidi="ar-EG"/>
        </w:rPr>
        <w:tab/>
      </w:r>
      <w:r w:rsidRPr="0099421C">
        <w:rPr>
          <w:rFonts w:hint="cs"/>
          <w:noProof/>
          <w:spacing w:val="-4"/>
          <w:rtl/>
          <w:lang w:bidi="ar-JO"/>
        </w:rPr>
        <w:t>أن وضع وتنفيذ توصيات قطاع تقييس الاتصالات يتطلبان مشاركة وتعاوناً واسعين من جميع أصحاب المصلحة المعنيين؛</w:t>
      </w:r>
    </w:p>
    <w:p w14:paraId="3D4D8CC5" w14:textId="77777777" w:rsidR="00777189" w:rsidRDefault="00777189" w:rsidP="00777189">
      <w:pPr>
        <w:rPr>
          <w:noProof/>
          <w:rtl/>
          <w:lang w:bidi="ar-EG"/>
        </w:rPr>
      </w:pPr>
      <w:r>
        <w:rPr>
          <w:rFonts w:hint="cs"/>
          <w:i/>
          <w:iCs/>
          <w:noProof/>
          <w:rtl/>
          <w:lang w:bidi="ar-EG"/>
        </w:rPr>
        <w:t>ج)</w:t>
      </w:r>
      <w:r>
        <w:rPr>
          <w:rFonts w:hint="cs"/>
          <w:i/>
          <w:iCs/>
          <w:noProof/>
          <w:rtl/>
          <w:lang w:bidi="ar-EG"/>
        </w:rPr>
        <w:tab/>
      </w:r>
      <w:r>
        <w:rPr>
          <w:rFonts w:hint="cs"/>
          <w:noProof/>
          <w:rtl/>
          <w:lang w:bidi="ar-EG"/>
        </w:rPr>
        <w:t>أن قطاع تقييس الاتصالات ينسق بشكل وثيق مع لجان دراسات قطاع تنمية الاتصالات لتشجيع التحول الرقمي المستدام في البلدان النامية،</w:t>
      </w:r>
    </w:p>
    <w:p w14:paraId="631E42E5" w14:textId="77777777" w:rsidR="00777189" w:rsidRDefault="00777189" w:rsidP="00777189">
      <w:pPr>
        <w:pStyle w:val="Call"/>
        <w:spacing w:before="160"/>
        <w:rPr>
          <w:rtl/>
        </w:rPr>
      </w:pPr>
      <w:r>
        <w:rPr>
          <w:rFonts w:hint="cs"/>
          <w:rtl/>
        </w:rPr>
        <w:t>تقرر</w:t>
      </w:r>
    </w:p>
    <w:p w14:paraId="1AF94986" w14:textId="77777777" w:rsidR="00777189" w:rsidRDefault="00777189" w:rsidP="00777189">
      <w:pPr>
        <w:rPr>
          <w:noProof/>
          <w:rtl/>
          <w:lang w:bidi="ar-EG"/>
        </w:rPr>
      </w:pPr>
      <w:r>
        <w:rPr>
          <w:rFonts w:hint="cs"/>
          <w:noProof/>
          <w:rtl/>
          <w:lang w:bidi="ar-EG"/>
        </w:rPr>
        <w:t>1</w:t>
      </w:r>
      <w:r>
        <w:rPr>
          <w:rFonts w:hint="cs"/>
          <w:noProof/>
          <w:rtl/>
          <w:lang w:bidi="ar-EG"/>
        </w:rPr>
        <w:tab/>
      </w:r>
      <w:r>
        <w:rPr>
          <w:rFonts w:hint="cs"/>
          <w:rtl/>
        </w:rPr>
        <w:t>توحيد جميع المبادئ التوجيهية والتوصيات والتقارير التقنية والممارسات الفضلى وحالات الاستخدام التي يعدها قطاع تقييس الاتصالات والتي يمكن أن تسهل التحول الرقمي المستدام العالمي، من خلال استعمال أدوات الاتحاد؛</w:t>
      </w:r>
    </w:p>
    <w:p w14:paraId="68865698" w14:textId="295729D0" w:rsidR="00777189" w:rsidRPr="00D97F8F" w:rsidRDefault="00777189" w:rsidP="00777189">
      <w:pPr>
        <w:rPr>
          <w:noProof/>
          <w:rtl/>
          <w:lang w:bidi="ar-EG"/>
        </w:rPr>
      </w:pPr>
      <w:r>
        <w:rPr>
          <w:rFonts w:hint="cs"/>
          <w:noProof/>
          <w:rtl/>
          <w:lang w:bidi="ar-EG"/>
        </w:rPr>
        <w:t>2</w:t>
      </w:r>
      <w:r w:rsidRPr="00D97F8F">
        <w:rPr>
          <w:noProof/>
          <w:lang w:bidi="ar-EG"/>
        </w:rPr>
        <w:tab/>
      </w:r>
      <w:r w:rsidRPr="00D97F8F">
        <w:rPr>
          <w:rFonts w:hint="cs"/>
          <w:noProof/>
          <w:rtl/>
          <w:lang w:bidi="ar-EG"/>
        </w:rPr>
        <w:t>تعزيز التعاون والتآزر داخل الاتحاد ومع أصحاب المصلحة الآخرين المعنيين من أجل تبادل المعرفة والممارسات</w:t>
      </w:r>
      <w:r>
        <w:rPr>
          <w:rFonts w:hint="cs"/>
          <w:noProof/>
          <w:rtl/>
          <w:lang w:bidi="ar-EG"/>
        </w:rPr>
        <w:t xml:space="preserve"> الفضلى</w:t>
      </w:r>
      <w:r w:rsidRPr="00D97F8F">
        <w:rPr>
          <w:rFonts w:hint="cs"/>
          <w:noProof/>
          <w:rtl/>
          <w:lang w:bidi="ar-EG"/>
        </w:rPr>
        <w:t xml:space="preserve">، واستكشاف إمكانية إرسام مفاهيم مشتركة بشأن جوانب تقييس </w:t>
      </w:r>
      <w:r>
        <w:rPr>
          <w:rFonts w:hint="cs"/>
          <w:color w:val="000000"/>
          <w:rtl/>
        </w:rPr>
        <w:t xml:space="preserve">الاتصالات/تكنولوجيا المعلومات والاتصالات </w:t>
      </w:r>
      <w:r w:rsidRPr="00D97F8F">
        <w:rPr>
          <w:rFonts w:hint="cs"/>
          <w:noProof/>
          <w:rtl/>
          <w:lang w:bidi="ar-EG"/>
        </w:rPr>
        <w:t>في</w:t>
      </w:r>
      <w:r>
        <w:rPr>
          <w:rFonts w:hint="eastAsia"/>
          <w:noProof/>
          <w:rtl/>
          <w:lang w:bidi="ar-EG"/>
        </w:rPr>
        <w:t> </w:t>
      </w:r>
      <w:r w:rsidRPr="00D97F8F">
        <w:rPr>
          <w:rFonts w:hint="cs"/>
          <w:noProof/>
          <w:rtl/>
          <w:lang w:bidi="ar-EG"/>
        </w:rPr>
        <w:t>مجال التحول الرقمي المستدام؛</w:t>
      </w:r>
    </w:p>
    <w:p w14:paraId="04B4F8E9" w14:textId="77777777" w:rsidR="00777189" w:rsidRDefault="00777189" w:rsidP="00777189">
      <w:pPr>
        <w:rPr>
          <w:noProof/>
          <w:rtl/>
          <w:lang w:bidi="ar-EG"/>
        </w:rPr>
      </w:pPr>
      <w:r>
        <w:rPr>
          <w:rFonts w:hint="cs"/>
          <w:noProof/>
          <w:rtl/>
          <w:lang w:bidi="ar-EG"/>
        </w:rPr>
        <w:t>3</w:t>
      </w:r>
      <w:r>
        <w:rPr>
          <w:rFonts w:hint="cs"/>
          <w:noProof/>
          <w:rtl/>
          <w:lang w:bidi="ar-EG"/>
        </w:rPr>
        <w:tab/>
      </w:r>
      <w:r>
        <w:rPr>
          <w:rFonts w:hint="cs"/>
          <w:noProof/>
          <w:rtl/>
          <w:lang w:bidi="ar-JO"/>
        </w:rPr>
        <w:t>تعزيز وضع مبادئ توجيهية في الوقت المناسب لتيسير تنفيذ توصيات قطاع تقييس الاتصالات، وخاصة تلك المتعلقة ب</w:t>
      </w:r>
      <w:r>
        <w:rPr>
          <w:rFonts w:hint="cs"/>
          <w:color w:val="000000"/>
          <w:rtl/>
        </w:rPr>
        <w:t xml:space="preserve">الاتصالات/تكنولوجيا المعلومات والاتصالات </w:t>
      </w:r>
      <w:r>
        <w:rPr>
          <w:rFonts w:hint="cs"/>
          <w:noProof/>
          <w:rtl/>
          <w:lang w:bidi="ar-JO"/>
        </w:rPr>
        <w:t>التي تمكّن التحول الرقمي المستدام وتقييمه، وتعزيز القدرات اللازمة لتنفيذ تلك التوصيات الصادرة عن قطاع تقييس الاتصالات؛</w:t>
      </w:r>
    </w:p>
    <w:p w14:paraId="2DBDC781" w14:textId="77777777" w:rsidR="00777189" w:rsidRDefault="00777189" w:rsidP="00777189">
      <w:pPr>
        <w:rPr>
          <w:iCs/>
          <w:noProof/>
          <w:rtl/>
          <w:lang w:val="fr-CH" w:bidi="ar-EG"/>
        </w:rPr>
      </w:pPr>
      <w:r>
        <w:rPr>
          <w:rFonts w:hint="cs"/>
          <w:i/>
          <w:noProof/>
          <w:rtl/>
          <w:lang w:bidi="ar-EG"/>
        </w:rPr>
        <w:t>4</w:t>
      </w:r>
      <w:r>
        <w:rPr>
          <w:rFonts w:hint="cs"/>
          <w:i/>
          <w:noProof/>
          <w:rtl/>
          <w:lang w:bidi="ar-EG"/>
        </w:rPr>
        <w:tab/>
      </w:r>
      <w:r>
        <w:rPr>
          <w:rFonts w:hint="cs"/>
          <w:noProof/>
          <w:rtl/>
          <w:lang w:bidi="ar-EG"/>
        </w:rPr>
        <w:t>تشجيع مشاركة الأعضاء، وخاصة الأوساط الأكاديمية، من البلدان النامية في أنشطة قطاع تقييس الاتصالات بشأن التحول الرقمي المستدام</w:t>
      </w:r>
      <w:r w:rsidRPr="006A583F">
        <w:rPr>
          <w:rFonts w:hint="cs"/>
          <w:noProof/>
          <w:rtl/>
          <w:lang w:bidi="ar-EG"/>
        </w:rPr>
        <w:t>،</w:t>
      </w:r>
    </w:p>
    <w:p w14:paraId="649B76EE" w14:textId="77777777" w:rsidR="00777189" w:rsidRDefault="00777189" w:rsidP="00777189">
      <w:pPr>
        <w:pStyle w:val="Call"/>
        <w:spacing w:before="160"/>
        <w:rPr>
          <w:noProof/>
          <w:rtl/>
          <w:lang w:bidi="ar-EG"/>
        </w:rPr>
      </w:pPr>
      <w:r>
        <w:rPr>
          <w:rFonts w:hint="cs"/>
          <w:noProof/>
          <w:rtl/>
          <w:lang w:val="en-GB" w:bidi="ar-EG"/>
        </w:rPr>
        <w:t xml:space="preserve">تقرر </w:t>
      </w:r>
      <w:r>
        <w:rPr>
          <w:rFonts w:hint="cs"/>
          <w:rtl/>
        </w:rPr>
        <w:t xml:space="preserve">أن تكلف </w:t>
      </w:r>
      <w:r>
        <w:rPr>
          <w:rFonts w:hint="cs"/>
          <w:noProof/>
          <w:rtl/>
          <w:lang w:val="en-GB" w:bidi="ar-EG"/>
        </w:rPr>
        <w:t>الفريق الاستشاري لتقييس الاتصالات</w:t>
      </w:r>
    </w:p>
    <w:p w14:paraId="3B2E64D9" w14:textId="77777777" w:rsidR="00777189" w:rsidRDefault="00777189" w:rsidP="00777189">
      <w:pPr>
        <w:rPr>
          <w:rtl/>
          <w:lang w:bidi="ar-EG"/>
        </w:rPr>
      </w:pPr>
      <w:r>
        <w:rPr>
          <w:rtl/>
        </w:rPr>
        <w:t xml:space="preserve">‏باتخاذ جميع الخطوات اللازمة لتشجيع وتعزيز أنشطة تقييس </w:t>
      </w:r>
      <w:r>
        <w:rPr>
          <w:rFonts w:hint="cs"/>
          <w:rtl/>
        </w:rPr>
        <w:t xml:space="preserve">الاتصالات/تكنولوجيا المعلومات والاتصالات </w:t>
      </w:r>
      <w:r>
        <w:rPr>
          <w:rtl/>
        </w:rPr>
        <w:t>التي تدعم وتيسر التحول الرقمي، بما في ذلك استمرار فريق المقرر المعني بالتحول الرقمي المستدام،</w:t>
      </w:r>
    </w:p>
    <w:p w14:paraId="7DDFB13E" w14:textId="77777777" w:rsidR="00777189" w:rsidRDefault="00777189" w:rsidP="00777189">
      <w:pPr>
        <w:pStyle w:val="Call"/>
        <w:spacing w:before="160"/>
      </w:pPr>
      <w:r>
        <w:rPr>
          <w:rFonts w:hint="cs"/>
          <w:rtl/>
        </w:rPr>
        <w:t>تقرر أن تكلف مدير مكتب تقييس الاتصالات</w:t>
      </w:r>
    </w:p>
    <w:p w14:paraId="099FA49E" w14:textId="77777777" w:rsidR="00777189" w:rsidRDefault="00777189" w:rsidP="00777189">
      <w:pPr>
        <w:rPr>
          <w:noProof/>
          <w:rtl/>
          <w:lang w:bidi="ar-EG"/>
        </w:rPr>
      </w:pPr>
      <w:r>
        <w:rPr>
          <w:rFonts w:hint="cs"/>
          <w:noProof/>
          <w:rtl/>
          <w:lang w:bidi="ar-SY"/>
        </w:rPr>
        <w:t>ب</w:t>
      </w:r>
      <w:r>
        <w:rPr>
          <w:rFonts w:hint="cs"/>
          <w:noProof/>
          <w:rtl/>
          <w:lang w:bidi="ar-JO"/>
        </w:rPr>
        <w:t xml:space="preserve">تقديم المساعدة إلى البلدان النامية في تعزيز بناء القدرات في أنشطة تقييس </w:t>
      </w:r>
      <w:r>
        <w:rPr>
          <w:rFonts w:hint="cs"/>
          <w:color w:val="000000"/>
          <w:rtl/>
        </w:rPr>
        <w:t xml:space="preserve">الاتصالات/تكنولوجيا المعلومات والاتصالات </w:t>
      </w:r>
      <w:r>
        <w:rPr>
          <w:rFonts w:hint="cs"/>
          <w:noProof/>
          <w:rtl/>
          <w:lang w:bidi="ar-JO"/>
        </w:rPr>
        <w:t>المتعلقة بالتحول الرقمي المستدام، بما في ذلك من خلال التعاون مع الأوساط الأكاديمية المعنية، ومجموعة واسعة من مجتمعات الخبراء ومنظمات وضع المعايير وأصحاب المصلحة الآخرين،</w:t>
      </w:r>
    </w:p>
    <w:p w14:paraId="4C7AF613" w14:textId="77777777" w:rsidR="00777189" w:rsidRDefault="00777189" w:rsidP="00777189">
      <w:pPr>
        <w:rPr>
          <w:noProof/>
          <w:rtl/>
          <w:lang w:bidi="ar-JO"/>
        </w:rPr>
      </w:pPr>
      <w:r>
        <w:rPr>
          <w:noProof/>
          <w:rtl/>
          <w:lang w:bidi="ar-JO"/>
        </w:rPr>
        <w:br w:type="page"/>
      </w:r>
    </w:p>
    <w:p w14:paraId="243F04FB" w14:textId="77777777" w:rsidR="00777189" w:rsidRDefault="00777189" w:rsidP="00777189">
      <w:pPr>
        <w:pStyle w:val="Call"/>
        <w:spacing w:before="160"/>
        <w:rPr>
          <w:rtl/>
        </w:rPr>
      </w:pPr>
      <w:r>
        <w:rPr>
          <w:rFonts w:hint="cs"/>
          <w:noProof/>
          <w:rtl/>
          <w:lang w:bidi="ar-JO"/>
        </w:rPr>
        <w:lastRenderedPageBreak/>
        <w:t>تكلف لجان دراسات قطاع تقييس الاتصالات بالاتحاد، ضمن ولاياتها الحالية</w:t>
      </w:r>
    </w:p>
    <w:p w14:paraId="20AECF00" w14:textId="77777777" w:rsidR="00777189" w:rsidRPr="00790D2F" w:rsidRDefault="00777189" w:rsidP="00777189">
      <w:pPr>
        <w:spacing w:before="100"/>
        <w:rPr>
          <w:noProof/>
          <w:lang w:bidi="ar-EG"/>
        </w:rPr>
      </w:pPr>
      <w:r>
        <w:rPr>
          <w:rFonts w:hint="cs"/>
          <w:noProof/>
          <w:rtl/>
          <w:lang w:bidi="ar-EG"/>
        </w:rPr>
        <w:t>1</w:t>
      </w:r>
      <w:r w:rsidRPr="00790D2F">
        <w:rPr>
          <w:rFonts w:hint="cs"/>
          <w:noProof/>
          <w:rtl/>
          <w:lang w:bidi="ar-EG"/>
        </w:rPr>
        <w:tab/>
      </w:r>
      <w:r w:rsidRPr="00790D2F">
        <w:rPr>
          <w:rFonts w:hint="cs"/>
          <w:noProof/>
          <w:rtl/>
          <w:lang w:bidi="ar-JO"/>
        </w:rPr>
        <w:t>ب</w:t>
      </w:r>
      <w:r w:rsidRPr="00790D2F">
        <w:rPr>
          <w:rFonts w:hint="cs"/>
          <w:noProof/>
          <w:rtl/>
          <w:lang w:bidi="ar-EG"/>
        </w:rPr>
        <w:t xml:space="preserve">وضع توصيات ومبادئ توجيهية وممارسات فضلى </w:t>
      </w:r>
      <w:r>
        <w:rPr>
          <w:rFonts w:hint="cs"/>
          <w:noProof/>
          <w:rtl/>
          <w:lang w:bidi="ar-EG"/>
        </w:rPr>
        <w:t xml:space="preserve">من </w:t>
      </w:r>
      <w:r w:rsidRPr="00790D2F">
        <w:rPr>
          <w:rFonts w:hint="cs"/>
          <w:noProof/>
          <w:rtl/>
          <w:lang w:bidi="ar-EG"/>
        </w:rPr>
        <w:t>قطاع تقييس الاتصالات تساعد الأعضاء، ولا سيما البلدان النامية، على الاستفادة من الاتصالات/تكنولوجيا المعلومات والاتصالات الجديدة والناشئة من أجل دعم التحول الرقمي؛</w:t>
      </w:r>
    </w:p>
    <w:p w14:paraId="6D480738" w14:textId="77777777" w:rsidR="00777189" w:rsidRDefault="00777189" w:rsidP="00777189">
      <w:pPr>
        <w:spacing w:before="100"/>
        <w:rPr>
          <w:noProof/>
          <w:rtl/>
          <w:lang w:bidi="ar-JO"/>
        </w:rPr>
      </w:pPr>
      <w:r>
        <w:rPr>
          <w:rFonts w:hint="cs"/>
          <w:noProof/>
          <w:rtl/>
          <w:lang w:bidi="ar-EG"/>
        </w:rPr>
        <w:t>2</w:t>
      </w:r>
      <w:r w:rsidRPr="00790D2F">
        <w:rPr>
          <w:noProof/>
          <w:lang w:bidi="ar-EG"/>
        </w:rPr>
        <w:tab/>
      </w:r>
      <w:r w:rsidRPr="00790D2F">
        <w:rPr>
          <w:rFonts w:hint="cs"/>
          <w:noProof/>
          <w:rtl/>
          <w:lang w:bidi="ar-JO"/>
        </w:rPr>
        <w:t xml:space="preserve">بالتنسيق والتعاون مع الأفرقة الأخرى ضمن الاتحاد والمنظمات والمؤسسات المعترف بها لوضع المعايير </w:t>
      </w:r>
      <w:r w:rsidRPr="00790D2F">
        <w:rPr>
          <w:noProof/>
          <w:lang w:bidi="ar-JO"/>
        </w:rPr>
        <w:t>(SDO)</w:t>
      </w:r>
      <w:r w:rsidRPr="00790D2F">
        <w:rPr>
          <w:rFonts w:hint="cs"/>
          <w:noProof/>
          <w:rtl/>
          <w:lang w:bidi="ar-EG"/>
        </w:rPr>
        <w:t xml:space="preserve"> التي تضطلع بالمسؤولية الرئيسية عن وضع المعايير وبناء القدرات في مجال التحول الرقمي</w:t>
      </w:r>
      <w:r w:rsidRPr="00790D2F">
        <w:rPr>
          <w:rFonts w:hint="cs"/>
          <w:noProof/>
          <w:rtl/>
          <w:lang w:bidi="ar-JO"/>
        </w:rPr>
        <w:t>؛</w:t>
      </w:r>
    </w:p>
    <w:p w14:paraId="7F49CF79" w14:textId="77777777" w:rsidR="00777189" w:rsidRDefault="00777189" w:rsidP="00777189">
      <w:pPr>
        <w:spacing w:before="100"/>
        <w:rPr>
          <w:noProof/>
          <w:rtl/>
          <w:lang w:bidi="ar-EG"/>
        </w:rPr>
      </w:pPr>
      <w:r>
        <w:rPr>
          <w:rFonts w:hint="cs"/>
          <w:noProof/>
          <w:rtl/>
          <w:lang w:bidi="ar-EG"/>
        </w:rPr>
        <w:t>3</w:t>
      </w:r>
      <w:r>
        <w:rPr>
          <w:rFonts w:hint="cs"/>
          <w:noProof/>
          <w:rtl/>
          <w:lang w:bidi="ar-EG"/>
        </w:rPr>
        <w:tab/>
      </w:r>
      <w:r>
        <w:rPr>
          <w:rFonts w:hint="cs"/>
          <w:noProof/>
          <w:rtl/>
          <w:lang w:bidi="ar-JO"/>
        </w:rPr>
        <w:t>ب</w:t>
      </w:r>
      <w:r>
        <w:rPr>
          <w:rFonts w:hint="cs"/>
          <w:noProof/>
          <w:rtl/>
          <w:lang w:bidi="ar-EG"/>
        </w:rPr>
        <w:t>وضع وتعزيز توصيات قطاع تقييس الاتصالات اللازمة للاستفادة من التكنولوجيات والتطبيقات والخدمات والمنصات الرقمية المتعلقة بالاتصالات/تكنولوجيا المعلومات والاتصالات، من أجل تعزيز التحول الرقمي المستدام،</w:t>
      </w:r>
    </w:p>
    <w:p w14:paraId="4DA956F5" w14:textId="77777777" w:rsidR="00777189" w:rsidRDefault="00777189" w:rsidP="00777189">
      <w:pPr>
        <w:pStyle w:val="Call"/>
        <w:spacing w:before="160"/>
        <w:rPr>
          <w:rtl/>
        </w:rPr>
      </w:pPr>
      <w:r>
        <w:rPr>
          <w:rFonts w:hint="cs"/>
          <w:noProof/>
          <w:rtl/>
          <w:lang w:bidi="ar-JO"/>
        </w:rPr>
        <w:t>تدعو الدول الأعضاء وأعضاء القطاعات والمنتسبين والهيئات الأكاديمية</w:t>
      </w:r>
    </w:p>
    <w:p w14:paraId="7479D489" w14:textId="77777777" w:rsidR="00777189" w:rsidRPr="00D97F8F" w:rsidRDefault="00777189" w:rsidP="00777189">
      <w:pPr>
        <w:spacing w:before="100"/>
        <w:rPr>
          <w:noProof/>
          <w:spacing w:val="-4"/>
          <w:rtl/>
          <w:lang w:bidi="ar-JO"/>
        </w:rPr>
      </w:pPr>
      <w:r w:rsidRPr="00D97F8F">
        <w:rPr>
          <w:rFonts w:hint="cs"/>
          <w:noProof/>
          <w:spacing w:val="-4"/>
          <w:rtl/>
          <w:lang w:bidi="ar-JO"/>
        </w:rPr>
        <w:t xml:space="preserve">إلى المساهمة في دراسات وتطوير توصيات قطاع تقييس الاتصالات ومبادئه التوجيهية وممارساته الفضلى المتعلقة </w:t>
      </w:r>
      <w:r>
        <w:rPr>
          <w:rFonts w:hint="cs"/>
          <w:color w:val="000000"/>
          <w:rtl/>
        </w:rPr>
        <w:t xml:space="preserve">بالاتصالات/تكنولوجيا المعلومات والاتصالات </w:t>
      </w:r>
      <w:r>
        <w:rPr>
          <w:rFonts w:hint="cs"/>
          <w:noProof/>
          <w:spacing w:val="-4"/>
          <w:rtl/>
          <w:lang w:bidi="ar-JO"/>
        </w:rPr>
        <w:t xml:space="preserve">لدعم </w:t>
      </w:r>
      <w:r w:rsidRPr="00D97F8F">
        <w:rPr>
          <w:rFonts w:hint="cs"/>
          <w:noProof/>
          <w:spacing w:val="-4"/>
          <w:rtl/>
          <w:lang w:bidi="ar-JO"/>
        </w:rPr>
        <w:t>التحول الرقمي.</w:t>
      </w:r>
    </w:p>
    <w:p w14:paraId="22A90EE8" w14:textId="77777777" w:rsidR="00E52700" w:rsidRDefault="00E52700" w:rsidP="005A0B25">
      <w:pPr>
        <w:rPr>
          <w:rtl/>
          <w:lang w:bidi="ar-EG"/>
        </w:rPr>
      </w:pPr>
    </w:p>
    <w:p w14:paraId="55EDD089" w14:textId="77777777" w:rsidR="00777189" w:rsidRDefault="00777189" w:rsidP="005A0B25">
      <w:pPr>
        <w:rPr>
          <w:rtl/>
          <w:lang w:bidi="ar-EG"/>
        </w:rPr>
      </w:pPr>
    </w:p>
    <w:p w14:paraId="34F53DCE" w14:textId="77777777" w:rsidR="00777189" w:rsidRDefault="00777189" w:rsidP="005A0B25">
      <w:pPr>
        <w:rPr>
          <w:rtl/>
          <w:lang w:bidi="ar-EG"/>
        </w:rPr>
      </w:pPr>
    </w:p>
    <w:p w14:paraId="7FC24648" w14:textId="77777777" w:rsidR="00777189" w:rsidRDefault="00777189" w:rsidP="005A0B25">
      <w:pPr>
        <w:rPr>
          <w:rtl/>
          <w:lang w:bidi="ar-EG"/>
        </w:rPr>
      </w:pPr>
    </w:p>
    <w:p w14:paraId="1EBC86EC" w14:textId="77777777" w:rsidR="00777189" w:rsidRDefault="00777189" w:rsidP="005A0B25">
      <w:pPr>
        <w:rPr>
          <w:rtl/>
          <w:lang w:bidi="ar-EG"/>
        </w:rPr>
      </w:pPr>
    </w:p>
    <w:p w14:paraId="66A3287B" w14:textId="77777777" w:rsidR="00777189" w:rsidRDefault="00777189" w:rsidP="005A0B25">
      <w:pPr>
        <w:rPr>
          <w:rtl/>
          <w:lang w:bidi="ar-EG"/>
        </w:rPr>
      </w:pPr>
    </w:p>
    <w:p w14:paraId="7CE69774" w14:textId="77777777" w:rsidR="00777189" w:rsidRDefault="00777189" w:rsidP="005A0B25">
      <w:pPr>
        <w:rPr>
          <w:rtl/>
          <w:lang w:bidi="ar-EG"/>
        </w:rPr>
      </w:pPr>
    </w:p>
    <w:p w14:paraId="21D0CDA1" w14:textId="77777777" w:rsidR="00777189" w:rsidRDefault="00777189" w:rsidP="005A0B25">
      <w:pPr>
        <w:rPr>
          <w:rtl/>
          <w:lang w:bidi="ar-EG"/>
        </w:rPr>
      </w:pPr>
    </w:p>
    <w:p w14:paraId="3B6D43EE" w14:textId="77777777" w:rsidR="00777189" w:rsidRDefault="00777189" w:rsidP="005A0B25">
      <w:pPr>
        <w:rPr>
          <w:rtl/>
          <w:lang w:bidi="ar-EG"/>
        </w:rPr>
      </w:pPr>
    </w:p>
    <w:p w14:paraId="4F4B2DBA" w14:textId="77777777" w:rsidR="00777189" w:rsidRDefault="00777189" w:rsidP="005A0B25">
      <w:pPr>
        <w:rPr>
          <w:rtl/>
          <w:lang w:bidi="ar-EG"/>
        </w:rPr>
      </w:pPr>
    </w:p>
    <w:p w14:paraId="1C42B8C7" w14:textId="77777777" w:rsidR="00777189" w:rsidRDefault="00777189" w:rsidP="005A0B25">
      <w:pPr>
        <w:rPr>
          <w:rtl/>
          <w:lang w:bidi="ar-EG"/>
        </w:rPr>
      </w:pPr>
    </w:p>
    <w:p w14:paraId="4DFF7C8F" w14:textId="77777777" w:rsidR="00777189" w:rsidRDefault="00777189" w:rsidP="005A0B25">
      <w:pPr>
        <w:rPr>
          <w:rtl/>
          <w:lang w:bidi="ar-EG"/>
        </w:rPr>
      </w:pPr>
    </w:p>
    <w:p w14:paraId="072742F5" w14:textId="77777777" w:rsidR="00777189" w:rsidRDefault="00777189" w:rsidP="005A0B25">
      <w:pPr>
        <w:rPr>
          <w:rtl/>
          <w:lang w:bidi="ar-EG"/>
        </w:rPr>
      </w:pPr>
    </w:p>
    <w:p w14:paraId="56BF4119" w14:textId="77777777" w:rsidR="00777189" w:rsidRDefault="00777189" w:rsidP="005A0B25">
      <w:pPr>
        <w:rPr>
          <w:rtl/>
          <w:lang w:bidi="ar-EG"/>
        </w:rPr>
      </w:pPr>
    </w:p>
    <w:p w14:paraId="19DF1BCF" w14:textId="77777777" w:rsidR="00777189" w:rsidRDefault="00777189" w:rsidP="005A0B25">
      <w:pPr>
        <w:rPr>
          <w:rtl/>
          <w:lang w:bidi="ar-EG"/>
        </w:rPr>
      </w:pPr>
    </w:p>
    <w:p w14:paraId="76A9EE83" w14:textId="77777777" w:rsidR="00777189" w:rsidRDefault="00777189" w:rsidP="005A0B25">
      <w:pPr>
        <w:rPr>
          <w:rtl/>
          <w:lang w:bidi="ar-EG"/>
        </w:rPr>
      </w:pPr>
    </w:p>
    <w:p w14:paraId="0E174B72" w14:textId="77777777" w:rsidR="00777189" w:rsidRDefault="00777189" w:rsidP="005A0B25">
      <w:pPr>
        <w:rPr>
          <w:rtl/>
          <w:lang w:bidi="ar-EG"/>
        </w:rPr>
      </w:pPr>
    </w:p>
    <w:p w14:paraId="5D772E05" w14:textId="77777777" w:rsidR="00777189" w:rsidRDefault="00777189" w:rsidP="005A0B25">
      <w:pPr>
        <w:rPr>
          <w:rtl/>
          <w:lang w:bidi="ar-EG"/>
        </w:rPr>
      </w:pPr>
    </w:p>
    <w:p w14:paraId="507305E2" w14:textId="77777777" w:rsidR="00777189" w:rsidRPr="00976E9F" w:rsidRDefault="00777189" w:rsidP="005A0B25">
      <w:pPr>
        <w:rPr>
          <w:rtl/>
          <w:lang w:bidi="ar-EG"/>
        </w:rPr>
      </w:pPr>
    </w:p>
    <w:sectPr w:rsidR="00777189" w:rsidRPr="00976E9F" w:rsidSect="00DA612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198B4C93"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FE4697">
      <w:rPr>
        <w:b/>
        <w:bCs/>
        <w:noProof/>
      </w:rPr>
      <w:t>106</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00432DEB"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FE4697">
      <w:rPr>
        <w:b/>
        <w:bCs/>
        <w:noProof/>
        <w:rtl/>
        <w:lang w:bidi="ar-EG"/>
      </w:rPr>
      <w:t>106</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48833CDF"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FE4697">
      <w:rPr>
        <w:b/>
        <w:bCs/>
        <w:noProof/>
        <w:rtl/>
        <w:lang w:bidi="ar-EG"/>
      </w:rPr>
      <w:t>106</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18A239E8"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C40F68">
      <w:rPr>
        <w:b/>
        <w:bCs/>
        <w:rtl/>
        <w:lang w:bidi="ar-EG"/>
      </w:rPr>
      <w:fldChar w:fldCharType="begin"/>
    </w:r>
    <w:r w:rsidRPr="00C40F68">
      <w:rPr>
        <w:b/>
        <w:bCs/>
        <w:rtl/>
        <w:lang w:bidi="ar-EG"/>
      </w:rPr>
      <w:instrText xml:space="preserve"> </w:instrText>
    </w:r>
    <w:r w:rsidRPr="00C40F68">
      <w:rPr>
        <w:b/>
        <w:bCs/>
        <w:lang w:bidi="ar-EG"/>
      </w:rPr>
      <w:instrText>STYLEREF  href  \* MERGEFORMAT</w:instrText>
    </w:r>
    <w:r w:rsidRPr="00C40F68">
      <w:rPr>
        <w:b/>
        <w:bCs/>
        <w:rtl/>
        <w:lang w:bidi="ar-EG"/>
      </w:rPr>
      <w:instrText xml:space="preserve"> </w:instrText>
    </w:r>
    <w:r w:rsidRPr="00C40F68">
      <w:rPr>
        <w:b/>
        <w:bCs/>
        <w:rtl/>
        <w:lang w:bidi="ar-EG"/>
      </w:rPr>
      <w:fldChar w:fldCharType="separate"/>
    </w:r>
    <w:r w:rsidR="00FE4697">
      <w:rPr>
        <w:b/>
        <w:bCs/>
        <w:noProof/>
        <w:rtl/>
        <w:lang w:bidi="ar-EG"/>
      </w:rPr>
      <w:t>106</w:t>
    </w:r>
    <w:r w:rsidRPr="00C40F68">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00DB7C51" w14:textId="77777777" w:rsidR="00777189" w:rsidRPr="00651CE1" w:rsidRDefault="00777189" w:rsidP="00777189">
      <w:pPr>
        <w:pStyle w:val="FootnoteText"/>
        <w:rPr>
          <w:lang w:bidi="ar-EG"/>
        </w:rPr>
      </w:pPr>
      <w:r>
        <w:rPr>
          <w:rStyle w:val="FootnoteReference"/>
          <w:rtl/>
        </w:rPr>
        <w:t>1</w:t>
      </w:r>
      <w:r>
        <w:rPr>
          <w:rtl/>
        </w:rPr>
        <w:tab/>
      </w:r>
      <w:r w:rsidRPr="00651CE1">
        <w:rPr>
          <w:rtl/>
        </w:rPr>
        <w:t>تشمل أقل البلدان نمواً والدول الجزرية الصغيرة النامية والبلدان النامية المحاطة باليابسة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628CF"/>
    <w:rsid w:val="0007593C"/>
    <w:rsid w:val="00075A3F"/>
    <w:rsid w:val="000921BF"/>
    <w:rsid w:val="000A1B16"/>
    <w:rsid w:val="000A3F81"/>
    <w:rsid w:val="000A451D"/>
    <w:rsid w:val="000A5C99"/>
    <w:rsid w:val="000B0891"/>
    <w:rsid w:val="000B3896"/>
    <w:rsid w:val="000B5404"/>
    <w:rsid w:val="000B6449"/>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06333"/>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A7AB9"/>
    <w:rsid w:val="001B3EA7"/>
    <w:rsid w:val="001B41F3"/>
    <w:rsid w:val="001B52FC"/>
    <w:rsid w:val="001B5953"/>
    <w:rsid w:val="001B6830"/>
    <w:rsid w:val="001C1430"/>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16032"/>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39FF"/>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1C76"/>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59C"/>
    <w:rsid w:val="003309DA"/>
    <w:rsid w:val="00335CFA"/>
    <w:rsid w:val="0033737F"/>
    <w:rsid w:val="003425B8"/>
    <w:rsid w:val="003475E8"/>
    <w:rsid w:val="00353652"/>
    <w:rsid w:val="003569E1"/>
    <w:rsid w:val="003636B6"/>
    <w:rsid w:val="003725C1"/>
    <w:rsid w:val="003736B2"/>
    <w:rsid w:val="00376EA1"/>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378D"/>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426FC"/>
    <w:rsid w:val="004606D0"/>
    <w:rsid w:val="004636E2"/>
    <w:rsid w:val="00470CBD"/>
    <w:rsid w:val="0047407D"/>
    <w:rsid w:val="00483146"/>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0B25"/>
    <w:rsid w:val="005A4BE3"/>
    <w:rsid w:val="005A4F02"/>
    <w:rsid w:val="005B00A1"/>
    <w:rsid w:val="005C29C8"/>
    <w:rsid w:val="005C3880"/>
    <w:rsid w:val="005C5D25"/>
    <w:rsid w:val="005C6208"/>
    <w:rsid w:val="005C6394"/>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056A"/>
    <w:rsid w:val="006934C8"/>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49F2"/>
    <w:rsid w:val="00716B1D"/>
    <w:rsid w:val="007246AF"/>
    <w:rsid w:val="007248EC"/>
    <w:rsid w:val="007263B4"/>
    <w:rsid w:val="00726744"/>
    <w:rsid w:val="00731150"/>
    <w:rsid w:val="00734E41"/>
    <w:rsid w:val="00736DCC"/>
    <w:rsid w:val="00741855"/>
    <w:rsid w:val="00742B73"/>
    <w:rsid w:val="00751251"/>
    <w:rsid w:val="00756AE0"/>
    <w:rsid w:val="007610E7"/>
    <w:rsid w:val="00764079"/>
    <w:rsid w:val="00764ED7"/>
    <w:rsid w:val="00770AA0"/>
    <w:rsid w:val="007710F5"/>
    <w:rsid w:val="00771F7E"/>
    <w:rsid w:val="00773E9C"/>
    <w:rsid w:val="00775DF2"/>
    <w:rsid w:val="00776F6B"/>
    <w:rsid w:val="00777189"/>
    <w:rsid w:val="00777694"/>
    <w:rsid w:val="00786A7E"/>
    <w:rsid w:val="00790154"/>
    <w:rsid w:val="007946A8"/>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20067"/>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09D"/>
    <w:rsid w:val="008B52B7"/>
    <w:rsid w:val="008C3818"/>
    <w:rsid w:val="008D19EE"/>
    <w:rsid w:val="008D6ACC"/>
    <w:rsid w:val="008D753F"/>
    <w:rsid w:val="008D7AF0"/>
    <w:rsid w:val="008E1A32"/>
    <w:rsid w:val="008E2CBE"/>
    <w:rsid w:val="008E32DD"/>
    <w:rsid w:val="008F4626"/>
    <w:rsid w:val="009004DF"/>
    <w:rsid w:val="00901F13"/>
    <w:rsid w:val="00902E2A"/>
    <w:rsid w:val="00903DB9"/>
    <w:rsid w:val="00904AA5"/>
    <w:rsid w:val="009066E5"/>
    <w:rsid w:val="009108DC"/>
    <w:rsid w:val="009114CE"/>
    <w:rsid w:val="009141A8"/>
    <w:rsid w:val="009151F1"/>
    <w:rsid w:val="00916C39"/>
    <w:rsid w:val="00917DC9"/>
    <w:rsid w:val="009234D3"/>
    <w:rsid w:val="0093046E"/>
    <w:rsid w:val="00937140"/>
    <w:rsid w:val="00941CDF"/>
    <w:rsid w:val="00951718"/>
    <w:rsid w:val="009536BA"/>
    <w:rsid w:val="009538F2"/>
    <w:rsid w:val="00960962"/>
    <w:rsid w:val="00966FA2"/>
    <w:rsid w:val="00972CE0"/>
    <w:rsid w:val="00972F79"/>
    <w:rsid w:val="00976E9F"/>
    <w:rsid w:val="0097742C"/>
    <w:rsid w:val="00993463"/>
    <w:rsid w:val="009A3D30"/>
    <w:rsid w:val="009B4139"/>
    <w:rsid w:val="009C13BE"/>
    <w:rsid w:val="009C6188"/>
    <w:rsid w:val="009D0558"/>
    <w:rsid w:val="009D0810"/>
    <w:rsid w:val="009D4D3E"/>
    <w:rsid w:val="009D6348"/>
    <w:rsid w:val="009D6F51"/>
    <w:rsid w:val="009E5007"/>
    <w:rsid w:val="009E5413"/>
    <w:rsid w:val="009E613F"/>
    <w:rsid w:val="009F042B"/>
    <w:rsid w:val="00A03FD6"/>
    <w:rsid w:val="00A04CF4"/>
    <w:rsid w:val="00A05A8A"/>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4824"/>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2D45"/>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0B7C"/>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0E80"/>
    <w:rsid w:val="00B81CB5"/>
    <w:rsid w:val="00B8351F"/>
    <w:rsid w:val="00B86C44"/>
    <w:rsid w:val="00B919AB"/>
    <w:rsid w:val="00B933AA"/>
    <w:rsid w:val="00B946B6"/>
    <w:rsid w:val="00B95426"/>
    <w:rsid w:val="00B9727C"/>
    <w:rsid w:val="00BA7D44"/>
    <w:rsid w:val="00BB68D7"/>
    <w:rsid w:val="00BC5542"/>
    <w:rsid w:val="00BD6291"/>
    <w:rsid w:val="00BD6EF3"/>
    <w:rsid w:val="00BE3AAE"/>
    <w:rsid w:val="00BE4DD7"/>
    <w:rsid w:val="00BE69C3"/>
    <w:rsid w:val="00BF0FE4"/>
    <w:rsid w:val="00BF1159"/>
    <w:rsid w:val="00C03302"/>
    <w:rsid w:val="00C05E12"/>
    <w:rsid w:val="00C07245"/>
    <w:rsid w:val="00C1165E"/>
    <w:rsid w:val="00C134B9"/>
    <w:rsid w:val="00C22074"/>
    <w:rsid w:val="00C2377B"/>
    <w:rsid w:val="00C32D73"/>
    <w:rsid w:val="00C341E0"/>
    <w:rsid w:val="00C34E09"/>
    <w:rsid w:val="00C35338"/>
    <w:rsid w:val="00C3693C"/>
    <w:rsid w:val="00C37F27"/>
    <w:rsid w:val="00C40F68"/>
    <w:rsid w:val="00C446F1"/>
    <w:rsid w:val="00C51C89"/>
    <w:rsid w:val="00C53046"/>
    <w:rsid w:val="00C53C8E"/>
    <w:rsid w:val="00C53F6F"/>
    <w:rsid w:val="00C5489D"/>
    <w:rsid w:val="00C613B2"/>
    <w:rsid w:val="00C62B40"/>
    <w:rsid w:val="00C71759"/>
    <w:rsid w:val="00C8199C"/>
    <w:rsid w:val="00C84112"/>
    <w:rsid w:val="00C841EB"/>
    <w:rsid w:val="00C84866"/>
    <w:rsid w:val="00C8665F"/>
    <w:rsid w:val="00C917B5"/>
    <w:rsid w:val="00C94DFA"/>
    <w:rsid w:val="00C9514B"/>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D508D"/>
    <w:rsid w:val="00CE0E68"/>
    <w:rsid w:val="00CE3E10"/>
    <w:rsid w:val="00CE5BA4"/>
    <w:rsid w:val="00CF2A40"/>
    <w:rsid w:val="00CF2EDE"/>
    <w:rsid w:val="00CF45F6"/>
    <w:rsid w:val="00CF4B03"/>
    <w:rsid w:val="00CF7931"/>
    <w:rsid w:val="00D06528"/>
    <w:rsid w:val="00D11989"/>
    <w:rsid w:val="00D151FA"/>
    <w:rsid w:val="00D1576B"/>
    <w:rsid w:val="00D179AA"/>
    <w:rsid w:val="00D209B5"/>
    <w:rsid w:val="00D21D8E"/>
    <w:rsid w:val="00D25120"/>
    <w:rsid w:val="00D34C24"/>
    <w:rsid w:val="00D353FE"/>
    <w:rsid w:val="00D3725C"/>
    <w:rsid w:val="00D419CB"/>
    <w:rsid w:val="00D44350"/>
    <w:rsid w:val="00D44E3F"/>
    <w:rsid w:val="00D50901"/>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6DE5"/>
    <w:rsid w:val="00D9755D"/>
    <w:rsid w:val="00DA1AE0"/>
    <w:rsid w:val="00DA4259"/>
    <w:rsid w:val="00DA6127"/>
    <w:rsid w:val="00DB0FDE"/>
    <w:rsid w:val="00DB484D"/>
    <w:rsid w:val="00DB77D1"/>
    <w:rsid w:val="00DC29DD"/>
    <w:rsid w:val="00DC3B51"/>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41EAC"/>
    <w:rsid w:val="00E41FE6"/>
    <w:rsid w:val="00E51BFA"/>
    <w:rsid w:val="00E52700"/>
    <w:rsid w:val="00E55E21"/>
    <w:rsid w:val="00E621A3"/>
    <w:rsid w:val="00E7682F"/>
    <w:rsid w:val="00E833BC"/>
    <w:rsid w:val="00E8580E"/>
    <w:rsid w:val="00E946AD"/>
    <w:rsid w:val="00E97E21"/>
    <w:rsid w:val="00EA1B76"/>
    <w:rsid w:val="00EA3F5B"/>
    <w:rsid w:val="00EA77D7"/>
    <w:rsid w:val="00EB06CC"/>
    <w:rsid w:val="00EB52D8"/>
    <w:rsid w:val="00EC09B9"/>
    <w:rsid w:val="00EC0AD3"/>
    <w:rsid w:val="00ED048C"/>
    <w:rsid w:val="00ED1156"/>
    <w:rsid w:val="00EE32DF"/>
    <w:rsid w:val="00EE3FA9"/>
    <w:rsid w:val="00EE60E9"/>
    <w:rsid w:val="00EF38AF"/>
    <w:rsid w:val="00EF7F56"/>
    <w:rsid w:val="00F00143"/>
    <w:rsid w:val="00F00532"/>
    <w:rsid w:val="00F055F8"/>
    <w:rsid w:val="00F10CB4"/>
    <w:rsid w:val="00F11B3D"/>
    <w:rsid w:val="00F146AC"/>
    <w:rsid w:val="00F14763"/>
    <w:rsid w:val="00F15DE1"/>
    <w:rsid w:val="00F16212"/>
    <w:rsid w:val="00F16602"/>
    <w:rsid w:val="00F20A7B"/>
    <w:rsid w:val="00F230AE"/>
    <w:rsid w:val="00F25B80"/>
    <w:rsid w:val="00F263C8"/>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5E80"/>
    <w:rsid w:val="00FC7FD8"/>
    <w:rsid w:val="00FD0594"/>
    <w:rsid w:val="00FD3BE9"/>
    <w:rsid w:val="00FE4697"/>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bf6fb32c-fdd7-4c1d-9827-aab97e27f707"/>
    <ds:schemaRef ds:uri="http://schemas.microsoft.com/office/2006/metadata/propertie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877</Words>
  <Characters>5132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القـرار 105 – تشجيع وتعزيز تقييس الميتافيرس</vt:lpstr>
    </vt:vector>
  </TitlesOfParts>
  <Manager>General Secretariat - Pool</Manager>
  <Company>International Telecommunication Union (ITU)</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106 – تعزيز أنشطة التقييس في مجال التحول الرقمي المستدام</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93</cp:revision>
  <cp:lastPrinted>2024-11-27T06:31:00Z</cp:lastPrinted>
  <dcterms:created xsi:type="dcterms:W3CDTF">2024-11-08T10:24:00Z</dcterms:created>
  <dcterms:modified xsi:type="dcterms:W3CDTF">2024-11-27T06:32:00Z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