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proofErr w:type="spellStart"/>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roofErr w:type="spellEnd"/>
          </w:p>
        </w:tc>
        <w:tc>
          <w:tcPr>
            <w:tcW w:w="5670" w:type="dxa"/>
          </w:tcPr>
          <w:p w14:paraId="0E9475D3" w14:textId="77777777" w:rsidR="00EA2A26" w:rsidRPr="00EA2A26" w:rsidRDefault="00EA2A26" w:rsidP="00A3085D">
            <w:pPr>
              <w:spacing w:before="60"/>
              <w:jc w:val="right"/>
              <w:rPr>
                <w:rFonts w:ascii="Arial" w:eastAsia="Avenir Next W1G Medium" w:hAnsi="Arial" w:cs="Arial"/>
                <w:sz w:val="24"/>
                <w:szCs w:val="24"/>
              </w:rPr>
            </w:pPr>
            <w:r w:rsidRPr="00EA2A26">
              <w:rPr>
                <w:rFonts w:ascii="Arial" w:eastAsia="Avenir Next W1G Medium" w:hAnsi="Arial" w:cs="Arial"/>
                <w:b/>
                <w:spacing w:val="-4"/>
                <w:sz w:val="24"/>
                <w:szCs w:val="24"/>
              </w:rPr>
              <w:t xml:space="preserve">International </w:t>
            </w:r>
            <w:proofErr w:type="spellStart"/>
            <w:r w:rsidRPr="00EA2A26">
              <w:rPr>
                <w:rFonts w:ascii="Arial" w:eastAsia="Avenir Next W1G Medium" w:hAnsi="Arial" w:cs="Arial"/>
                <w:b/>
                <w:spacing w:val="-4"/>
                <w:sz w:val="24"/>
                <w:szCs w:val="24"/>
              </w:rPr>
              <w:t>Telecommunication</w:t>
            </w:r>
            <w:proofErr w:type="spellEnd"/>
            <w:r w:rsidRPr="00EA2A26">
              <w:rPr>
                <w:rFonts w:ascii="Arial" w:eastAsia="Avenir Next W1G Medium" w:hAnsi="Arial" w:cs="Arial"/>
                <w:b/>
                <w:spacing w:val="-4"/>
                <w:sz w:val="24"/>
                <w:szCs w:val="24"/>
              </w:rPr>
              <w:t xml:space="preserve"> Union</w:t>
            </w:r>
          </w:p>
        </w:tc>
      </w:tr>
      <w:tr w:rsidR="00EA2A26" w:rsidRPr="0033681A" w14:paraId="42C85EB6" w14:textId="77777777" w:rsidTr="00367A2B">
        <w:trPr>
          <w:trHeight w:hRule="exact" w:val="992"/>
        </w:trPr>
        <w:tc>
          <w:tcPr>
            <w:tcW w:w="5070" w:type="dxa"/>
            <w:gridSpan w:val="2"/>
          </w:tcPr>
          <w:p w14:paraId="68B26EDA" w14:textId="7750E5F2" w:rsidR="00EA2A26" w:rsidRPr="00EA2A26" w:rsidRDefault="0053765D" w:rsidP="00367A2B">
            <w:pPr>
              <w:spacing w:before="0"/>
              <w:rPr>
                <w:rFonts w:ascii="Arial" w:eastAsia="Avenir Next W1G Medium" w:hAnsi="Arial" w:cs="Arial"/>
                <w:sz w:val="24"/>
                <w:szCs w:val="24"/>
              </w:rPr>
            </w:pPr>
            <w:proofErr w:type="spellStart"/>
            <w:r>
              <w:rPr>
                <w:rFonts w:ascii="Arial" w:eastAsia="Avenir Next W1G Medium" w:hAnsi="Arial" w:cs="Arial"/>
                <w:sz w:val="24"/>
                <w:szCs w:val="24"/>
              </w:rPr>
              <w:t>Resolutions</w:t>
            </w:r>
            <w:proofErr w:type="spellEnd"/>
          </w:p>
        </w:tc>
        <w:tc>
          <w:tcPr>
            <w:tcW w:w="5670" w:type="dxa"/>
          </w:tcPr>
          <w:p w14:paraId="20539D5B" w14:textId="77777777" w:rsidR="00EA2A26" w:rsidRPr="00EA2A26" w:rsidRDefault="00EA2A26" w:rsidP="00367A2B">
            <w:pPr>
              <w:spacing w:before="0"/>
              <w:jc w:val="right"/>
              <w:rPr>
                <w:rFonts w:ascii="Arial" w:eastAsia="Avenir Next W1G Medium" w:hAnsi="Arial" w:cs="Arial"/>
                <w:sz w:val="24"/>
                <w:szCs w:val="24"/>
              </w:rPr>
            </w:pPr>
            <w:proofErr w:type="spellStart"/>
            <w:r w:rsidRPr="00EA2A26">
              <w:rPr>
                <w:rFonts w:ascii="Arial" w:eastAsia="Avenir Next W1G Medium" w:hAnsi="Arial" w:cs="Arial"/>
                <w:sz w:val="24"/>
                <w:szCs w:val="24"/>
              </w:rPr>
              <w:t>Standardization</w:t>
            </w:r>
            <w:proofErr w:type="spellEnd"/>
            <w:r w:rsidRPr="00EA2A26">
              <w:rPr>
                <w:rFonts w:ascii="Arial" w:eastAsia="Avenir Next W1G Medium" w:hAnsi="Arial" w:cs="Arial"/>
                <w:sz w:val="24"/>
                <w:szCs w:val="24"/>
              </w:rPr>
              <w:t xml:space="preserve"> </w:t>
            </w:r>
            <w:proofErr w:type="spellStart"/>
            <w:r w:rsidRPr="00EA2A26">
              <w:rPr>
                <w:rFonts w:ascii="Arial" w:eastAsia="Avenir Next W1G Medium" w:hAnsi="Arial" w:cs="Arial"/>
                <w:sz w:val="24"/>
                <w:szCs w:val="24"/>
              </w:rPr>
              <w:t>Sector</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376E6C"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57F807CE" w:rsidR="00EA2A26" w:rsidRPr="00EA2A26" w:rsidRDefault="00EA2A26"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en-GB"/>
              </w:rPr>
            </w:pPr>
            <w:r w:rsidRPr="00A14194">
              <w:rPr>
                <w:rFonts w:ascii="Arial" w:hAnsi="Arial" w:cs="Arial"/>
                <w:sz w:val="36"/>
                <w:szCs w:val="36"/>
                <w:lang w:val="en-US"/>
              </w:rPr>
              <w:t xml:space="preserve">WORLD TELECOMMUNICATION STANDARDIZATION ASSEMBLY </w:t>
            </w:r>
            <w:r w:rsidRPr="00A14194">
              <w:rPr>
                <w:rFonts w:ascii="Arial" w:hAnsi="Arial" w:cs="Arial"/>
                <w:sz w:val="36"/>
                <w:szCs w:val="36"/>
                <w:lang w:val="en-US"/>
              </w:rPr>
              <w:br/>
            </w:r>
            <w:r>
              <w:rPr>
                <w:rFonts w:ascii="Arial" w:hAnsi="Arial" w:cs="Arial"/>
                <w:sz w:val="36"/>
                <w:szCs w:val="36"/>
                <w:lang w:val="en-GB"/>
              </w:rPr>
              <w:t>New Delhi</w:t>
            </w:r>
            <w:r w:rsidRPr="00EA2A26">
              <w:rPr>
                <w:rFonts w:ascii="Arial" w:hAnsi="Arial" w:cs="Arial"/>
                <w:sz w:val="36"/>
                <w:szCs w:val="36"/>
                <w:lang w:val="en-GB"/>
              </w:rPr>
              <w:t>, 1</w:t>
            </w:r>
            <w:r>
              <w:rPr>
                <w:rFonts w:ascii="Arial" w:hAnsi="Arial" w:cs="Arial"/>
                <w:sz w:val="36"/>
                <w:szCs w:val="36"/>
                <w:lang w:val="en-GB"/>
              </w:rPr>
              <w:t>5</w:t>
            </w:r>
            <w:r w:rsidRPr="00EA2A26">
              <w:rPr>
                <w:rFonts w:ascii="Arial" w:hAnsi="Arial" w:cs="Arial"/>
                <w:sz w:val="36"/>
                <w:szCs w:val="36"/>
                <w:lang w:val="en-GB"/>
              </w:rPr>
              <w:t>-</w:t>
            </w:r>
            <w:r>
              <w:rPr>
                <w:rFonts w:ascii="Arial" w:hAnsi="Arial" w:cs="Arial"/>
                <w:sz w:val="36"/>
                <w:szCs w:val="36"/>
                <w:lang w:val="en-GB"/>
              </w:rPr>
              <w:t>24</w:t>
            </w:r>
            <w:r w:rsidRPr="00EA2A26">
              <w:rPr>
                <w:rFonts w:ascii="Arial" w:hAnsi="Arial" w:cs="Arial"/>
                <w:sz w:val="36"/>
                <w:szCs w:val="36"/>
                <w:lang w:val="en-GB"/>
              </w:rPr>
              <w:t xml:space="preserve"> </w:t>
            </w:r>
            <w:r>
              <w:rPr>
                <w:rFonts w:ascii="Arial" w:hAnsi="Arial" w:cs="Arial"/>
                <w:sz w:val="36"/>
                <w:szCs w:val="36"/>
                <w:lang w:val="en-GB"/>
              </w:rPr>
              <w:t>October</w:t>
            </w:r>
            <w:r w:rsidRPr="00EA2A26">
              <w:rPr>
                <w:rFonts w:ascii="Arial" w:hAnsi="Arial" w:cs="Arial"/>
                <w:sz w:val="36"/>
                <w:szCs w:val="36"/>
                <w:lang w:val="en-GB"/>
              </w:rPr>
              <w:t xml:space="preserve"> 202</w:t>
            </w:r>
            <w:r>
              <w:rPr>
                <w:rFonts w:ascii="Arial" w:hAnsi="Arial" w:cs="Arial"/>
                <w:sz w:val="36"/>
                <w:szCs w:val="36"/>
                <w:lang w:val="en-GB"/>
              </w:rPr>
              <w:t>4</w:t>
            </w:r>
          </w:p>
          <w:p w14:paraId="318F1603" w14:textId="77777777" w:rsidR="00EA2A26" w:rsidRPr="00EA2A26" w:rsidRDefault="00EA2A26" w:rsidP="00367A2B">
            <w:pPr>
              <w:rPr>
                <w:lang w:val="en-GB"/>
              </w:rPr>
            </w:pPr>
          </w:p>
        </w:tc>
      </w:tr>
      <w:tr w:rsidR="00EA2A26" w:rsidRPr="00376E6C" w14:paraId="40EA4FB7" w14:textId="77777777" w:rsidTr="00367A2B">
        <w:trPr>
          <w:trHeight w:val="743"/>
        </w:trPr>
        <w:tc>
          <w:tcPr>
            <w:tcW w:w="817" w:type="dxa"/>
          </w:tcPr>
          <w:p w14:paraId="5A48D328" w14:textId="77777777" w:rsidR="00EA2A26" w:rsidRPr="00EA2A26" w:rsidRDefault="00EA2A26" w:rsidP="00367A2B">
            <w:pPr>
              <w:tabs>
                <w:tab w:val="right" w:pos="9639"/>
              </w:tabs>
              <w:rPr>
                <w:rFonts w:ascii="Arial" w:hAnsi="Arial" w:cs="Arial"/>
                <w:sz w:val="48"/>
                <w:szCs w:val="48"/>
                <w:lang w:val="en-GB"/>
              </w:rPr>
            </w:pPr>
          </w:p>
        </w:tc>
        <w:tc>
          <w:tcPr>
            <w:tcW w:w="9923" w:type="dxa"/>
            <w:gridSpan w:val="2"/>
            <w:tcBorders>
              <w:top w:val="single" w:sz="8" w:space="0" w:color="auto"/>
            </w:tcBorders>
          </w:tcPr>
          <w:p w14:paraId="36D98092" w14:textId="45B42AB2" w:rsidR="00EA2A26" w:rsidRPr="001108C2" w:rsidRDefault="00EA2A26" w:rsidP="008D6223">
            <w:pPr>
              <w:pStyle w:val="BodyText"/>
              <w:spacing w:before="440"/>
              <w:jc w:val="left"/>
              <w:rPr>
                <w:spacing w:val="-6"/>
                <w:sz w:val="44"/>
                <w:szCs w:val="44"/>
                <w:lang w:val="en-GB"/>
              </w:rPr>
            </w:pPr>
            <w:bookmarkStart w:id="1" w:name="_Hlk183524451"/>
            <w:bookmarkStart w:id="2" w:name="_Hlk183590204"/>
            <w:r>
              <w:rPr>
                <w:spacing w:val="-6"/>
                <w:sz w:val="44"/>
                <w:szCs w:val="44"/>
                <w:lang w:val="en-GB"/>
              </w:rPr>
              <w:t xml:space="preserve">Resolution </w:t>
            </w:r>
            <w:r w:rsidR="00E8144B">
              <w:rPr>
                <w:spacing w:val="-6"/>
                <w:sz w:val="44"/>
                <w:szCs w:val="44"/>
                <w:lang w:val="en-GB"/>
              </w:rPr>
              <w:t>10</w:t>
            </w:r>
            <w:r w:rsidR="008826D5">
              <w:rPr>
                <w:spacing w:val="-6"/>
                <w:sz w:val="44"/>
                <w:szCs w:val="44"/>
                <w:lang w:val="en-GB"/>
              </w:rPr>
              <w:t>5</w:t>
            </w:r>
            <w:r w:rsidR="00845E8E">
              <w:rPr>
                <w:spacing w:val="-6"/>
                <w:sz w:val="44"/>
                <w:szCs w:val="44"/>
                <w:lang w:val="en-GB"/>
              </w:rPr>
              <w:t xml:space="preserve"> – </w:t>
            </w:r>
            <w:bookmarkEnd w:id="1"/>
            <w:bookmarkEnd w:id="2"/>
            <w:r w:rsidR="008826D5" w:rsidRPr="008826D5">
              <w:rPr>
                <w:spacing w:val="-6"/>
                <w:sz w:val="44"/>
                <w:szCs w:val="44"/>
                <w:lang w:val="en-GB"/>
              </w:rPr>
              <w:t>Promoting and strengthening metaverse standardization</w:t>
            </w:r>
          </w:p>
          <w:p w14:paraId="51262F1D" w14:textId="77777777" w:rsidR="00EA2A26" w:rsidRPr="008D6223" w:rsidRDefault="00EA2A26" w:rsidP="00367A2B">
            <w:pPr>
              <w:rPr>
                <w:lang w:val="en-GB"/>
              </w:rPr>
            </w:pPr>
          </w:p>
        </w:tc>
      </w:tr>
    </w:tbl>
    <w:p w14:paraId="7800F3B2" w14:textId="77777777" w:rsidR="00EA2A26" w:rsidRPr="008D6223"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n-GB"/>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8D6223" w:rsidRDefault="00EA2A26" w:rsidP="00EA2A26">
      <w:pPr>
        <w:jc w:val="left"/>
        <w:rPr>
          <w:lang w:val="en-GB"/>
        </w:rPr>
        <w:sectPr w:rsidR="00EA2A26" w:rsidRPr="008D6223"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77777777" w:rsidR="008968B6" w:rsidRPr="008968B6" w:rsidRDefault="008968B6" w:rsidP="00AA1264">
      <w:pPr>
        <w:spacing w:before="480"/>
        <w:jc w:val="center"/>
        <w:rPr>
          <w:lang w:val="en-US"/>
        </w:rPr>
      </w:pPr>
      <w:bookmarkStart w:id="3" w:name="irecnoe"/>
      <w:bookmarkEnd w:id="3"/>
      <w:r w:rsidRPr="008968B6">
        <w:rPr>
          <w:lang w:val="en-US"/>
        </w:rPr>
        <w:lastRenderedPageBreak/>
        <w:t>FOREWORD</w:t>
      </w:r>
    </w:p>
    <w:p w14:paraId="2A936C5A" w14:textId="2A15B50D" w:rsidR="00EA2A26" w:rsidRPr="00EA2A26" w:rsidRDefault="00EA2A26" w:rsidP="00EA2A26">
      <w:pPr>
        <w:spacing w:line="240" w:lineRule="exact"/>
        <w:rPr>
          <w:sz w:val="20"/>
          <w:lang w:val="en-GB"/>
        </w:rPr>
      </w:pPr>
      <w:r w:rsidRPr="00EA2A26">
        <w:rPr>
          <w:sz w:val="20"/>
          <w:lang w:val="en-GB"/>
        </w:rPr>
        <w:t>The International Telecommunication Union (ITU) is the United Nations specialized agency in the field of tele</w:t>
      </w:r>
      <w:r w:rsidRPr="00EA2A26">
        <w:rPr>
          <w:sz w:val="20"/>
          <w:lang w:val="en-GB"/>
        </w:rPr>
        <w:softHyphen/>
        <w:t>com</w:t>
      </w:r>
      <w:r w:rsidRPr="00EA2A26">
        <w:rPr>
          <w:sz w:val="20"/>
          <w:lang w:val="en-GB"/>
        </w:rPr>
        <w:softHyphen/>
        <w:t>mu</w:t>
      </w:r>
      <w:r w:rsidRPr="00EA2A26">
        <w:rPr>
          <w:sz w:val="20"/>
          <w:lang w:val="en-GB"/>
        </w:rPr>
        <w:softHyphen/>
        <w:t>ni</w:t>
      </w:r>
      <w:r w:rsidRPr="00EA2A26">
        <w:rPr>
          <w:sz w:val="20"/>
          <w:lang w:val="en-GB"/>
        </w:rPr>
        <w:softHyphen/>
        <w:t>ca</w:t>
      </w:r>
      <w:r w:rsidRPr="00EA2A26">
        <w:rPr>
          <w:sz w:val="20"/>
          <w:lang w:val="en-GB"/>
        </w:rPr>
        <w:softHyphen/>
        <w:t xml:space="preserve">tions, </w:t>
      </w:r>
      <w:r w:rsidR="0053765D">
        <w:rPr>
          <w:sz w:val="20"/>
          <w:lang w:val="en-GB"/>
        </w:rPr>
        <w:t xml:space="preserve">and </w:t>
      </w:r>
      <w:r w:rsidRPr="00EA2A26">
        <w:rPr>
          <w:sz w:val="20"/>
          <w:lang w:val="en-GB"/>
        </w:rPr>
        <w:t>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74B08AF7" w14:textId="77777777" w:rsidR="00EA2A26" w:rsidRPr="00EA2A26" w:rsidRDefault="00EA2A26" w:rsidP="00EA2A26">
      <w:pPr>
        <w:spacing w:line="240" w:lineRule="exact"/>
        <w:rPr>
          <w:sz w:val="20"/>
          <w:lang w:val="en-GB"/>
        </w:rPr>
      </w:pPr>
      <w:r w:rsidRPr="00EA2A26">
        <w:rPr>
          <w:sz w:val="20"/>
          <w:lang w:val="en-GB"/>
        </w:rPr>
        <w:t>The World Telecommunication Standardization Assembly (WTSA), which meets every four years, establishes the topics for study by the ITU</w:t>
      </w:r>
      <w:r w:rsidRPr="00EA2A26">
        <w:rPr>
          <w:sz w:val="20"/>
          <w:lang w:val="en-GB"/>
        </w:rPr>
        <w:noBreakHyphen/>
        <w:t>T study groups which, in turn, produce Recommendations on these topics.</w:t>
      </w:r>
    </w:p>
    <w:p w14:paraId="33D01081" w14:textId="77777777" w:rsidR="00EA2A26" w:rsidRPr="00EA2A26" w:rsidRDefault="00EA2A26" w:rsidP="00EA2A26">
      <w:pPr>
        <w:spacing w:line="240" w:lineRule="exact"/>
        <w:rPr>
          <w:sz w:val="20"/>
          <w:lang w:val="en-GB"/>
        </w:rPr>
      </w:pPr>
      <w:r w:rsidRPr="00EA2A26">
        <w:rPr>
          <w:sz w:val="20"/>
          <w:lang w:val="en-GB"/>
        </w:rPr>
        <w:t>The approval of ITU-T Recommendations is covered by the procedure laid down in WTSA Resolution 1.</w:t>
      </w:r>
    </w:p>
    <w:p w14:paraId="640B1B4E" w14:textId="5015F88F" w:rsidR="000E4393" w:rsidRPr="00F81B8E" w:rsidRDefault="00EA2A26" w:rsidP="00EA2A26">
      <w:pPr>
        <w:spacing w:line="240" w:lineRule="exact"/>
        <w:rPr>
          <w:sz w:val="20"/>
          <w:lang w:val="en-GB"/>
        </w:rPr>
      </w:pPr>
      <w:r w:rsidRPr="00EA2A26">
        <w:rPr>
          <w:sz w:val="20"/>
          <w:lang w:val="en-GB"/>
        </w:rPr>
        <w:t>In some areas of information technology which fall within ITU-T's purview, the necessary standards are prepared on a collaborative basis with ISO and IEC</w:t>
      </w:r>
      <w:r w:rsidR="0088751E" w:rsidRPr="0088751E">
        <w:rPr>
          <w:sz w:val="20"/>
          <w:lang w:val="en-US"/>
        </w:rPr>
        <w:t>.</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Default="000E4393" w:rsidP="000E4393">
      <w:pPr>
        <w:spacing w:line="240" w:lineRule="exact"/>
        <w:jc w:val="center"/>
        <w:rPr>
          <w:sz w:val="20"/>
          <w:lang w:val="en-GB"/>
        </w:rPr>
      </w:pPr>
    </w:p>
    <w:p w14:paraId="2A47E72B" w14:textId="77777777" w:rsidR="008305DC" w:rsidRDefault="008305DC" w:rsidP="000E4393">
      <w:pPr>
        <w:spacing w:line="240" w:lineRule="exact"/>
        <w:jc w:val="center"/>
        <w:rPr>
          <w:sz w:val="20"/>
          <w:lang w:val="en-GB"/>
        </w:rPr>
      </w:pPr>
    </w:p>
    <w:p w14:paraId="6CE679B2" w14:textId="77777777" w:rsidR="008305DC" w:rsidRDefault="008305DC" w:rsidP="000E4393">
      <w:pPr>
        <w:spacing w:line="240" w:lineRule="exact"/>
        <w:jc w:val="center"/>
        <w:rPr>
          <w:sz w:val="20"/>
          <w:lang w:val="en-GB"/>
        </w:rPr>
      </w:pPr>
    </w:p>
    <w:p w14:paraId="48CEB166" w14:textId="77777777" w:rsidR="008305DC" w:rsidRDefault="008305DC" w:rsidP="000E4393">
      <w:pPr>
        <w:spacing w:line="240" w:lineRule="exact"/>
        <w:jc w:val="center"/>
        <w:rPr>
          <w:sz w:val="20"/>
          <w:lang w:val="en-GB"/>
        </w:rPr>
      </w:pPr>
    </w:p>
    <w:p w14:paraId="73F08FC8" w14:textId="77777777" w:rsidR="008305DC" w:rsidRPr="00F81B8E" w:rsidRDefault="008305DC"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39F6B1E2" w14:textId="77777777" w:rsidR="00EA2A26" w:rsidRPr="00EA2A26" w:rsidRDefault="00EA2A26" w:rsidP="00EA2A26">
      <w:pPr>
        <w:rPr>
          <w:sz w:val="20"/>
          <w:lang w:val="en-GB"/>
        </w:rPr>
      </w:pPr>
    </w:p>
    <w:p w14:paraId="4812ECBE" w14:textId="77777777" w:rsidR="00EA2A26" w:rsidRPr="00EA2A26" w:rsidRDefault="00EA2A26" w:rsidP="00EA2A26">
      <w:pPr>
        <w:jc w:val="center"/>
        <w:rPr>
          <w:sz w:val="20"/>
          <w:lang w:val="en-GB"/>
        </w:rPr>
      </w:pPr>
      <w:r w:rsidRPr="00EA2A26">
        <w:rPr>
          <w:sz w:val="20"/>
          <w:lang w:val="en-GB"/>
        </w:rPr>
        <w:sym w:font="Symbol" w:char="F0E3"/>
      </w:r>
      <w:r w:rsidRPr="00EA2A26">
        <w:rPr>
          <w:sz w:val="20"/>
          <w:lang w:val="en-GB"/>
        </w:rPr>
        <w:t> ITU 2024</w:t>
      </w:r>
    </w:p>
    <w:p w14:paraId="5A25B5AD" w14:textId="19110400" w:rsidR="008968B6" w:rsidRPr="008968B6" w:rsidRDefault="00EA2A26" w:rsidP="00EA2A26">
      <w:pPr>
        <w:rPr>
          <w:lang w:val="en-US"/>
        </w:rPr>
      </w:pPr>
      <w:r w:rsidRPr="00EA2A26">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20F6C1E5" w14:textId="4B245116" w:rsidR="008D6223" w:rsidRDefault="00672358" w:rsidP="007C2680">
      <w:pPr>
        <w:pStyle w:val="ResNo"/>
        <w:outlineLvl w:val="0"/>
        <w:rPr>
          <w:lang w:val="en-GB"/>
        </w:rPr>
      </w:pPr>
      <w:r w:rsidRPr="00BF4E62">
        <w:rPr>
          <w:lang w:val="en-GB"/>
        </w:rPr>
        <w:lastRenderedPageBreak/>
        <w:t xml:space="preserve">RESOLUTION </w:t>
      </w:r>
      <w:r w:rsidRPr="00BF4E62">
        <w:rPr>
          <w:rStyle w:val="href"/>
          <w:lang w:val="en-GB"/>
        </w:rPr>
        <w:t>10</w:t>
      </w:r>
      <w:r w:rsidR="008826D5">
        <w:rPr>
          <w:rStyle w:val="href"/>
          <w:lang w:val="en-GB"/>
        </w:rPr>
        <w:t>5</w:t>
      </w:r>
      <w:r w:rsidRPr="00BF4E62">
        <w:rPr>
          <w:lang w:val="en-GB"/>
        </w:rPr>
        <w:t xml:space="preserve"> (N</w:t>
      </w:r>
      <w:r w:rsidRPr="00BF4E62">
        <w:rPr>
          <w:caps w:val="0"/>
          <w:lang w:val="en-GB"/>
        </w:rPr>
        <w:t>ew</w:t>
      </w:r>
      <w:r w:rsidRPr="00BF4E62">
        <w:rPr>
          <w:lang w:val="en-GB"/>
        </w:rPr>
        <w:t> D</w:t>
      </w:r>
      <w:r w:rsidRPr="00BF4E62">
        <w:rPr>
          <w:caps w:val="0"/>
          <w:lang w:val="en-GB"/>
        </w:rPr>
        <w:t>elhi</w:t>
      </w:r>
      <w:r w:rsidRPr="00BF4E62">
        <w:rPr>
          <w:lang w:val="en-GB"/>
        </w:rPr>
        <w:t>, 2024)</w:t>
      </w:r>
    </w:p>
    <w:p w14:paraId="188D04E5" w14:textId="77777777" w:rsidR="008826D5" w:rsidRPr="008826D5" w:rsidRDefault="008826D5" w:rsidP="00310139">
      <w:pPr>
        <w:pStyle w:val="Restitle"/>
        <w:outlineLvl w:val="0"/>
        <w:rPr>
          <w:szCs w:val="22"/>
          <w:lang w:val="en-GB"/>
        </w:rPr>
      </w:pPr>
      <w:r w:rsidRPr="008826D5">
        <w:rPr>
          <w:lang w:val="en-GB"/>
        </w:rPr>
        <w:t>Promoting and strengthening metaverse standardization</w:t>
      </w:r>
      <w:r w:rsidRPr="008826D5">
        <w:rPr>
          <w:szCs w:val="22"/>
          <w:lang w:val="en-GB"/>
        </w:rPr>
        <w:t xml:space="preserve"> </w:t>
      </w:r>
    </w:p>
    <w:p w14:paraId="75017B96" w14:textId="77777777" w:rsidR="008826D5" w:rsidRPr="008826D5" w:rsidRDefault="008826D5" w:rsidP="008826D5">
      <w:pPr>
        <w:pStyle w:val="Resref"/>
        <w:rPr>
          <w:lang w:val="en-GB"/>
        </w:rPr>
      </w:pPr>
      <w:r w:rsidRPr="008826D5">
        <w:rPr>
          <w:lang w:val="en-GB"/>
        </w:rPr>
        <w:t>(New Delhi, 2024)</w:t>
      </w:r>
    </w:p>
    <w:p w14:paraId="54EF24C0" w14:textId="77777777" w:rsidR="008826D5" w:rsidRPr="00174C13" w:rsidRDefault="008826D5" w:rsidP="008826D5">
      <w:pPr>
        <w:pStyle w:val="Normalaftertitle0"/>
      </w:pPr>
      <w:r w:rsidRPr="00174C13">
        <w:t>The World Telecommunication Standardization Assembly (New Delhi, 2024),</w:t>
      </w:r>
    </w:p>
    <w:p w14:paraId="7561ABF2" w14:textId="77777777" w:rsidR="008826D5" w:rsidRPr="008826D5" w:rsidRDefault="008826D5" w:rsidP="008826D5">
      <w:pPr>
        <w:pStyle w:val="Call"/>
        <w:rPr>
          <w:lang w:val="en-GB"/>
        </w:rPr>
      </w:pPr>
      <w:r w:rsidRPr="008826D5">
        <w:rPr>
          <w:lang w:val="en-GB"/>
        </w:rPr>
        <w:t>recalling</w:t>
      </w:r>
    </w:p>
    <w:p w14:paraId="3F0E46B8" w14:textId="77777777" w:rsidR="008826D5" w:rsidRPr="008826D5" w:rsidRDefault="008826D5" w:rsidP="008826D5">
      <w:pPr>
        <w:rPr>
          <w:lang w:val="en-GB"/>
        </w:rPr>
      </w:pPr>
      <w:r w:rsidRPr="008826D5">
        <w:rPr>
          <w:i/>
          <w:iCs/>
          <w:lang w:val="en-GB"/>
        </w:rPr>
        <w:t>a)</w:t>
      </w:r>
      <w:r w:rsidRPr="008826D5">
        <w:rPr>
          <w:lang w:val="en-GB"/>
        </w:rPr>
        <w:tab/>
        <w:t xml:space="preserve">the relevant provisions of Article 1 of the ITU Constitution, in particular Nos. 6 and 13, which stipulate that one of the purposes of the Union is to promote the extension of the benefits of the new telecommunication technologies to all the world's inhabitants, and that, to that end, it shall facilitate the worldwide standardization of telecommunications, with a satisfactory quality of </w:t>
      </w:r>
      <w:proofErr w:type="gramStart"/>
      <w:r w:rsidRPr="008826D5">
        <w:rPr>
          <w:lang w:val="en-GB"/>
        </w:rPr>
        <w:t>service;</w:t>
      </w:r>
      <w:proofErr w:type="gramEnd"/>
    </w:p>
    <w:p w14:paraId="21BBD896" w14:textId="77777777" w:rsidR="008826D5" w:rsidRPr="008826D5" w:rsidRDefault="008826D5" w:rsidP="008826D5">
      <w:pPr>
        <w:rPr>
          <w:lang w:val="en-GB"/>
        </w:rPr>
      </w:pPr>
      <w:r w:rsidRPr="008826D5">
        <w:rPr>
          <w:i/>
          <w:iCs/>
          <w:lang w:val="en-GB"/>
        </w:rPr>
        <w:t>b)</w:t>
      </w:r>
      <w:r w:rsidRPr="008826D5">
        <w:rPr>
          <w:lang w:val="en-GB"/>
        </w:rPr>
        <w:tab/>
        <w:t xml:space="preserve">Resolution 70/1 of the United Nations General Assembly (UNGA), on transforming our world: the 2030 Agenda for Sustainable </w:t>
      </w:r>
      <w:proofErr w:type="gramStart"/>
      <w:r w:rsidRPr="008826D5">
        <w:rPr>
          <w:lang w:val="en-GB"/>
        </w:rPr>
        <w:t>Development;</w:t>
      </w:r>
      <w:proofErr w:type="gramEnd"/>
    </w:p>
    <w:p w14:paraId="3E70C0DE" w14:textId="77777777" w:rsidR="008826D5" w:rsidRPr="008826D5" w:rsidRDefault="008826D5" w:rsidP="008826D5">
      <w:pPr>
        <w:rPr>
          <w:lang w:val="en-GB"/>
        </w:rPr>
      </w:pPr>
      <w:r w:rsidRPr="008826D5">
        <w:rPr>
          <w:i/>
          <w:iCs/>
          <w:lang w:val="en-GB"/>
        </w:rPr>
        <w:t>c)</w:t>
      </w:r>
      <w:r w:rsidRPr="008826D5">
        <w:rPr>
          <w:lang w:val="en-GB"/>
        </w:rPr>
        <w:tab/>
        <w:t>Resolution 70/125 of UNGA, on the outcome document of the high-level meeting of the General Assembly on the overall review of the implementation of the outcomes of the World Summit on the Information Society (WSIS</w:t>
      </w:r>
      <w:proofErr w:type="gramStart"/>
      <w:r w:rsidRPr="008826D5">
        <w:rPr>
          <w:lang w:val="en-GB"/>
        </w:rPr>
        <w:t>);</w:t>
      </w:r>
      <w:proofErr w:type="gramEnd"/>
    </w:p>
    <w:p w14:paraId="06A3DE57" w14:textId="77777777" w:rsidR="008826D5" w:rsidRPr="008826D5" w:rsidRDefault="008826D5" w:rsidP="008826D5">
      <w:pPr>
        <w:rPr>
          <w:lang w:val="en-GB"/>
        </w:rPr>
      </w:pPr>
      <w:r w:rsidRPr="008826D5">
        <w:rPr>
          <w:i/>
          <w:iCs/>
          <w:lang w:val="en-GB"/>
        </w:rPr>
        <w:t>d)</w:t>
      </w:r>
      <w:r w:rsidRPr="008826D5">
        <w:rPr>
          <w:lang w:val="en-GB"/>
        </w:rPr>
        <w:tab/>
        <w:t xml:space="preserve">Resolution 139 (Rev. Bucharest, 2022) of the Plenipotentiary Conference, on use of telecommunications/information and communication technologies (ICTs) to bridge the digital divide and build an inclusive information </w:t>
      </w:r>
      <w:proofErr w:type="gramStart"/>
      <w:r w:rsidRPr="008826D5">
        <w:rPr>
          <w:lang w:val="en-GB"/>
        </w:rPr>
        <w:t>society;</w:t>
      </w:r>
      <w:proofErr w:type="gramEnd"/>
    </w:p>
    <w:p w14:paraId="57957357" w14:textId="77777777" w:rsidR="008826D5" w:rsidRPr="008826D5" w:rsidRDefault="008826D5" w:rsidP="008826D5">
      <w:pPr>
        <w:rPr>
          <w:lang w:val="en-GB"/>
        </w:rPr>
      </w:pPr>
      <w:r w:rsidRPr="008826D5">
        <w:rPr>
          <w:i/>
          <w:iCs/>
          <w:lang w:val="en-GB"/>
        </w:rPr>
        <w:t>e)</w:t>
      </w:r>
      <w:r w:rsidRPr="008826D5">
        <w:rPr>
          <w:lang w:val="en-GB"/>
        </w:rPr>
        <w:tab/>
        <w:t xml:space="preserve">Resolution 140 (Rev. Bucharest, 2022) of the Plenipotentiary Conference, on ITU's role in implementing the outcomes of WSIS and the 2030 Agenda for Sustainable Development, as well as in their follow-up and review </w:t>
      </w:r>
      <w:proofErr w:type="gramStart"/>
      <w:r w:rsidRPr="008826D5">
        <w:rPr>
          <w:lang w:val="en-GB"/>
        </w:rPr>
        <w:t>processes;</w:t>
      </w:r>
      <w:proofErr w:type="gramEnd"/>
    </w:p>
    <w:p w14:paraId="1B76B23D" w14:textId="77777777" w:rsidR="008826D5" w:rsidRPr="008826D5" w:rsidRDefault="008826D5" w:rsidP="008826D5">
      <w:pPr>
        <w:rPr>
          <w:rFonts w:eastAsia="SimSun"/>
          <w:szCs w:val="24"/>
          <w:lang w:val="en-GB" w:eastAsia="ko-KR"/>
        </w:rPr>
      </w:pPr>
      <w:r w:rsidRPr="008826D5">
        <w:rPr>
          <w:rFonts w:eastAsiaTheme="minorEastAsia"/>
          <w:i/>
          <w:iCs/>
          <w:szCs w:val="24"/>
          <w:lang w:val="en-GB" w:eastAsia="ko-KR"/>
        </w:rPr>
        <w:t>f)</w:t>
      </w:r>
      <w:r w:rsidRPr="008826D5">
        <w:rPr>
          <w:rFonts w:eastAsia="SimSun"/>
          <w:szCs w:val="24"/>
          <w:lang w:val="en-GB" w:eastAsia="ko-KR"/>
        </w:rPr>
        <w:tab/>
        <w:t xml:space="preserve">Resolution 209 (Rev. Bucharest, 2022) of the Plenipotentiary Conference, on encouraging the participation of small and medium enterprises (SMEs) in the work of the </w:t>
      </w:r>
      <w:proofErr w:type="gramStart"/>
      <w:r w:rsidRPr="008826D5">
        <w:rPr>
          <w:rFonts w:eastAsia="SimSun"/>
          <w:szCs w:val="24"/>
          <w:lang w:val="en-GB" w:eastAsia="ko-KR"/>
        </w:rPr>
        <w:t>Union;</w:t>
      </w:r>
      <w:proofErr w:type="gramEnd"/>
    </w:p>
    <w:p w14:paraId="33A09BA3" w14:textId="77777777" w:rsidR="008826D5" w:rsidRPr="008826D5" w:rsidRDefault="008826D5" w:rsidP="008826D5">
      <w:pPr>
        <w:rPr>
          <w:rFonts w:eastAsia="SimSun"/>
          <w:szCs w:val="24"/>
          <w:lang w:val="en-GB" w:eastAsia="ko-KR"/>
        </w:rPr>
      </w:pPr>
      <w:r w:rsidRPr="008826D5">
        <w:rPr>
          <w:rFonts w:eastAsiaTheme="minorEastAsia"/>
          <w:i/>
          <w:iCs/>
          <w:szCs w:val="24"/>
          <w:lang w:val="en-GB" w:eastAsia="ko-KR"/>
        </w:rPr>
        <w:t>g)</w:t>
      </w:r>
      <w:r w:rsidRPr="008826D5">
        <w:rPr>
          <w:rFonts w:eastAsia="SimSun"/>
          <w:szCs w:val="24"/>
          <w:lang w:val="en-GB" w:eastAsia="ko-KR"/>
        </w:rPr>
        <w:tab/>
        <w:t>Resolution 87 (</w:t>
      </w:r>
      <w:proofErr w:type="spellStart"/>
      <w:r w:rsidRPr="008826D5">
        <w:rPr>
          <w:rFonts w:eastAsia="SimSun"/>
          <w:szCs w:val="24"/>
          <w:lang w:val="en-GB" w:eastAsia="ko-KR"/>
        </w:rPr>
        <w:t>Hammamet</w:t>
      </w:r>
      <w:proofErr w:type="spellEnd"/>
      <w:r w:rsidRPr="008826D5">
        <w:rPr>
          <w:rFonts w:eastAsia="SimSun"/>
          <w:szCs w:val="24"/>
          <w:lang w:val="en-GB" w:eastAsia="ko-KR"/>
        </w:rPr>
        <w:t xml:space="preserve">, 2016) of the </w:t>
      </w:r>
      <w:r w:rsidRPr="008826D5">
        <w:rPr>
          <w:lang w:val="en-GB"/>
        </w:rPr>
        <w:t xml:space="preserve">World Telecommunication Standardization Assembly (WTSA), on </w:t>
      </w:r>
      <w:r w:rsidRPr="008826D5">
        <w:rPr>
          <w:rFonts w:eastAsia="SimSun"/>
          <w:szCs w:val="24"/>
          <w:lang w:val="en-GB" w:eastAsia="ko-KR"/>
        </w:rPr>
        <w:t>participation of the ITU Telecommunication Standardization Sector (ITU</w:t>
      </w:r>
      <w:r w:rsidRPr="008826D5">
        <w:rPr>
          <w:rFonts w:eastAsia="SimSun"/>
          <w:szCs w:val="24"/>
          <w:lang w:val="en-GB" w:eastAsia="ko-KR"/>
        </w:rPr>
        <w:noBreakHyphen/>
        <w:t>T) in the periodic review and revision of the International Telecommunication Regulations,</w:t>
      </w:r>
    </w:p>
    <w:p w14:paraId="337F8F03" w14:textId="77777777" w:rsidR="008826D5" w:rsidRPr="008826D5" w:rsidRDefault="008826D5" w:rsidP="008826D5">
      <w:pPr>
        <w:pStyle w:val="Call"/>
        <w:rPr>
          <w:lang w:val="en-GB"/>
        </w:rPr>
      </w:pPr>
      <w:r w:rsidRPr="008826D5">
        <w:rPr>
          <w:lang w:val="en-GB"/>
        </w:rPr>
        <w:t>considering</w:t>
      </w:r>
    </w:p>
    <w:p w14:paraId="3F9E34EA" w14:textId="77777777" w:rsidR="008826D5" w:rsidRPr="008826D5" w:rsidRDefault="008826D5" w:rsidP="008826D5">
      <w:pPr>
        <w:rPr>
          <w:lang w:val="en-GB"/>
        </w:rPr>
      </w:pPr>
      <w:r w:rsidRPr="008826D5">
        <w:rPr>
          <w:i/>
          <w:iCs/>
          <w:lang w:val="en-GB"/>
        </w:rPr>
        <w:t>a)</w:t>
      </w:r>
      <w:r w:rsidRPr="008826D5">
        <w:rPr>
          <w:lang w:val="en-GB"/>
        </w:rPr>
        <w:tab/>
        <w:t xml:space="preserve">that metaverse is rapidly eroding the boundaries between the physical and digital realms, delivering immersive experiences that blend the virtual and real worlds; and that this convergence is changing our daily lives and professional landscapes and is poised to be a mainstay of future telecommunications/ICTs, with applications revolutionizing our societies and industries economically, socially and </w:t>
      </w:r>
      <w:proofErr w:type="gramStart"/>
      <w:r w:rsidRPr="008826D5">
        <w:rPr>
          <w:lang w:val="en-GB"/>
        </w:rPr>
        <w:t>culturally;</w:t>
      </w:r>
      <w:proofErr w:type="gramEnd"/>
    </w:p>
    <w:p w14:paraId="3360D225" w14:textId="77777777" w:rsidR="008826D5" w:rsidRPr="008826D5" w:rsidRDefault="008826D5" w:rsidP="008826D5">
      <w:pPr>
        <w:rPr>
          <w:lang w:val="en-GB"/>
        </w:rPr>
      </w:pPr>
      <w:r w:rsidRPr="008826D5">
        <w:rPr>
          <w:i/>
          <w:iCs/>
          <w:lang w:val="en-GB"/>
        </w:rPr>
        <w:t>b)</w:t>
      </w:r>
      <w:r w:rsidRPr="008826D5">
        <w:rPr>
          <w:lang w:val="en-GB"/>
        </w:rPr>
        <w:tab/>
        <w:t>that fully realizing the benefits of metaverse will require bridging digital divides and achieving universal access to telecommunications/</w:t>
      </w:r>
      <w:proofErr w:type="gramStart"/>
      <w:r w:rsidRPr="008826D5">
        <w:rPr>
          <w:lang w:val="en-GB"/>
        </w:rPr>
        <w:t>ICTs;</w:t>
      </w:r>
      <w:proofErr w:type="gramEnd"/>
    </w:p>
    <w:p w14:paraId="246AA6D1" w14:textId="77777777" w:rsidR="008826D5" w:rsidRPr="008826D5" w:rsidRDefault="008826D5" w:rsidP="008826D5">
      <w:pPr>
        <w:rPr>
          <w:lang w:val="en-GB"/>
        </w:rPr>
      </w:pPr>
      <w:r w:rsidRPr="008826D5">
        <w:rPr>
          <w:rFonts w:eastAsiaTheme="minorEastAsia"/>
          <w:i/>
          <w:iCs/>
          <w:lang w:val="en-GB" w:eastAsia="ko-KR"/>
        </w:rPr>
        <w:t>c</w:t>
      </w:r>
      <w:r w:rsidRPr="008826D5">
        <w:rPr>
          <w:i/>
          <w:iCs/>
          <w:lang w:val="en-GB"/>
        </w:rPr>
        <w:t>)</w:t>
      </w:r>
      <w:r w:rsidRPr="008826D5">
        <w:rPr>
          <w:lang w:val="en-GB"/>
        </w:rPr>
        <w:tab/>
        <w:t xml:space="preserve">that metaverse is not a new technology but a platform which combines various technologies, and it can be implemented most effectively when these technologies are developed to be </w:t>
      </w:r>
      <w:proofErr w:type="gramStart"/>
      <w:r w:rsidRPr="008826D5">
        <w:rPr>
          <w:lang w:val="en-GB"/>
        </w:rPr>
        <w:t>interoperable;</w:t>
      </w:r>
      <w:proofErr w:type="gramEnd"/>
    </w:p>
    <w:p w14:paraId="2A8E5D72" w14:textId="77777777" w:rsidR="008826D5" w:rsidRPr="008826D5" w:rsidRDefault="008826D5" w:rsidP="008826D5">
      <w:pPr>
        <w:rPr>
          <w:rFonts w:eastAsiaTheme="minorEastAsia"/>
          <w:lang w:val="en-GB" w:eastAsia="ko-KR"/>
        </w:rPr>
      </w:pPr>
      <w:r w:rsidRPr="008826D5">
        <w:rPr>
          <w:rFonts w:eastAsiaTheme="minorEastAsia"/>
          <w:lang w:val="en-GB" w:eastAsia="ko-KR"/>
        </w:rPr>
        <w:br w:type="page"/>
      </w:r>
    </w:p>
    <w:p w14:paraId="32A396C3" w14:textId="77777777" w:rsidR="008826D5" w:rsidRPr="008826D5" w:rsidRDefault="008826D5" w:rsidP="008826D5">
      <w:pPr>
        <w:rPr>
          <w:rFonts w:eastAsiaTheme="minorEastAsia"/>
          <w:lang w:val="en-GB" w:eastAsia="ko-KR"/>
        </w:rPr>
      </w:pPr>
      <w:r w:rsidRPr="008826D5">
        <w:rPr>
          <w:rFonts w:eastAsiaTheme="minorEastAsia"/>
          <w:i/>
          <w:iCs/>
          <w:lang w:val="en-GB" w:eastAsia="ko-KR"/>
        </w:rPr>
        <w:lastRenderedPageBreak/>
        <w:t>d)</w:t>
      </w:r>
      <w:r w:rsidRPr="008826D5">
        <w:rPr>
          <w:rFonts w:eastAsiaTheme="minorEastAsia"/>
          <w:lang w:val="en-GB" w:eastAsia="ko-KR"/>
        </w:rPr>
        <w:tab/>
        <w:t xml:space="preserve">that metaverse is spurring innovation in a wide range of verticals, creating new business models and </w:t>
      </w:r>
      <w:proofErr w:type="gramStart"/>
      <w:r w:rsidRPr="008826D5">
        <w:rPr>
          <w:rFonts w:eastAsiaTheme="minorEastAsia"/>
          <w:lang w:val="en-GB" w:eastAsia="ko-KR"/>
        </w:rPr>
        <w:t>markets;</w:t>
      </w:r>
      <w:proofErr w:type="gramEnd"/>
    </w:p>
    <w:p w14:paraId="48DB8118" w14:textId="77777777" w:rsidR="008826D5" w:rsidRPr="008826D5" w:rsidRDefault="008826D5" w:rsidP="008826D5">
      <w:pPr>
        <w:rPr>
          <w:rFonts w:eastAsia="SimSun"/>
          <w:lang w:val="en-GB" w:eastAsia="zh-CN"/>
        </w:rPr>
      </w:pPr>
      <w:r w:rsidRPr="008826D5">
        <w:rPr>
          <w:rFonts w:eastAsiaTheme="minorEastAsia"/>
          <w:i/>
          <w:iCs/>
          <w:lang w:val="en-GB" w:eastAsia="ko-KR"/>
        </w:rPr>
        <w:t>e)</w:t>
      </w:r>
      <w:r w:rsidRPr="008826D5">
        <w:rPr>
          <w:lang w:val="en-GB"/>
        </w:rPr>
        <w:tab/>
        <w:t xml:space="preserve">that the challenges of inconsistent understanding, non-standardized applications and prominent ethical issues hinder the </w:t>
      </w:r>
      <w:r w:rsidRPr="008826D5">
        <w:rPr>
          <w:rFonts w:eastAsia="SimSun"/>
          <w:lang w:val="en-GB" w:eastAsia="zh-CN"/>
        </w:rPr>
        <w:t xml:space="preserve">development of </w:t>
      </w:r>
      <w:r w:rsidRPr="008826D5">
        <w:rPr>
          <w:lang w:val="en-GB"/>
        </w:rPr>
        <w:t>metaverse,</w:t>
      </w:r>
      <w:r w:rsidRPr="008826D5">
        <w:rPr>
          <w:rFonts w:eastAsia="SimSun"/>
          <w:lang w:val="en-GB" w:eastAsia="zh-CN"/>
        </w:rPr>
        <w:t xml:space="preserve"> and metaverse standardization is essential to</w:t>
      </w:r>
      <w:r w:rsidRPr="008826D5">
        <w:rPr>
          <w:lang w:val="en-GB"/>
        </w:rPr>
        <w:t xml:space="preserve"> foster the healthy development of metaverse </w:t>
      </w:r>
      <w:proofErr w:type="gramStart"/>
      <w:r w:rsidRPr="008826D5">
        <w:rPr>
          <w:lang w:val="en-GB"/>
        </w:rPr>
        <w:t>industry</w:t>
      </w:r>
      <w:r w:rsidRPr="008826D5">
        <w:rPr>
          <w:rFonts w:eastAsia="SimSun"/>
          <w:lang w:val="en-GB" w:eastAsia="zh-CN"/>
        </w:rPr>
        <w:t>;</w:t>
      </w:r>
      <w:proofErr w:type="gramEnd"/>
    </w:p>
    <w:p w14:paraId="27F44FC9" w14:textId="77777777" w:rsidR="008826D5" w:rsidRPr="008826D5" w:rsidRDefault="008826D5" w:rsidP="008826D5">
      <w:pPr>
        <w:rPr>
          <w:lang w:val="en-GB"/>
        </w:rPr>
      </w:pPr>
      <w:r w:rsidRPr="008826D5">
        <w:rPr>
          <w:i/>
          <w:iCs/>
          <w:lang w:val="en-GB"/>
        </w:rPr>
        <w:t>f)</w:t>
      </w:r>
      <w:r w:rsidRPr="008826D5">
        <w:rPr>
          <w:lang w:val="en-GB"/>
        </w:rPr>
        <w:tab/>
        <w:t xml:space="preserve">that research and development on metaverse can contribute to advancements in various sectors and accelerate the achievement of the Sustainable Development Goals (SDGs) and WSIS </w:t>
      </w:r>
      <w:proofErr w:type="gramStart"/>
      <w:r w:rsidRPr="008826D5">
        <w:rPr>
          <w:lang w:val="en-GB"/>
        </w:rPr>
        <w:t>outcomes;</w:t>
      </w:r>
      <w:proofErr w:type="gramEnd"/>
    </w:p>
    <w:p w14:paraId="62A5923B" w14:textId="77777777" w:rsidR="008826D5" w:rsidRPr="008826D5" w:rsidRDefault="008826D5" w:rsidP="008826D5">
      <w:pPr>
        <w:rPr>
          <w:lang w:val="en-GB"/>
        </w:rPr>
      </w:pPr>
      <w:r w:rsidRPr="008826D5">
        <w:rPr>
          <w:i/>
          <w:iCs/>
          <w:lang w:val="en-GB"/>
        </w:rPr>
        <w:t>g)</w:t>
      </w:r>
      <w:r w:rsidRPr="008826D5">
        <w:rPr>
          <w:lang w:val="en-GB"/>
        </w:rPr>
        <w:tab/>
        <w:t xml:space="preserve">that metaverse, together with new trends in other technologies vis-à-vis emerging telecommunications/ICTs, is creating a paradigm shift in the way people </w:t>
      </w:r>
      <w:proofErr w:type="gramStart"/>
      <w:r w:rsidRPr="008826D5">
        <w:rPr>
          <w:lang w:val="en-GB"/>
        </w:rPr>
        <w:t>live</w:t>
      </w:r>
      <w:proofErr w:type="gramEnd"/>
      <w:r w:rsidRPr="008826D5">
        <w:rPr>
          <w:lang w:val="en-GB"/>
        </w:rPr>
        <w:t xml:space="preserve"> and this shift is having a tremendous impact on communities, bringing new, borderless and improved experiences;</w:t>
      </w:r>
    </w:p>
    <w:p w14:paraId="04E7D4D4" w14:textId="77777777" w:rsidR="008826D5" w:rsidRPr="008826D5" w:rsidRDefault="008826D5" w:rsidP="008826D5">
      <w:pPr>
        <w:rPr>
          <w:lang w:val="en-GB"/>
        </w:rPr>
      </w:pPr>
      <w:r w:rsidRPr="008826D5">
        <w:rPr>
          <w:i/>
          <w:iCs/>
          <w:lang w:val="en-GB"/>
        </w:rPr>
        <w:t>h)</w:t>
      </w:r>
      <w:r w:rsidRPr="008826D5">
        <w:rPr>
          <w:color w:val="000000" w:themeColor="text1"/>
          <w:lang w:val="en-GB"/>
        </w:rPr>
        <w:tab/>
        <w:t xml:space="preserve">that security threats and privacy challenges are expected to evolve in metaverse and that there is a need to address these challenges </w:t>
      </w:r>
      <w:proofErr w:type="gramStart"/>
      <w:r w:rsidRPr="008826D5">
        <w:rPr>
          <w:color w:val="000000" w:themeColor="text1"/>
          <w:lang w:val="en-GB"/>
        </w:rPr>
        <w:t>effectively;</w:t>
      </w:r>
      <w:proofErr w:type="gramEnd"/>
    </w:p>
    <w:p w14:paraId="4CDC7200" w14:textId="77777777" w:rsidR="008826D5" w:rsidRPr="008826D5" w:rsidRDefault="008826D5" w:rsidP="008826D5">
      <w:pPr>
        <w:rPr>
          <w:lang w:val="en-GB"/>
        </w:rPr>
      </w:pPr>
      <w:proofErr w:type="spellStart"/>
      <w:r w:rsidRPr="008826D5">
        <w:rPr>
          <w:i/>
          <w:iCs/>
          <w:lang w:val="en-GB"/>
        </w:rPr>
        <w:t>i</w:t>
      </w:r>
      <w:proofErr w:type="spellEnd"/>
      <w:r w:rsidRPr="008826D5">
        <w:rPr>
          <w:i/>
          <w:iCs/>
          <w:lang w:val="en-GB"/>
        </w:rPr>
        <w:t>)</w:t>
      </w:r>
      <w:r w:rsidRPr="008826D5">
        <w:rPr>
          <w:color w:val="000000" w:themeColor="text1"/>
          <w:lang w:val="en-GB"/>
        </w:rPr>
        <w:tab/>
        <w:t>that metaverse is bringing significant benefits to society, and there is a need to develop a metaverse that is equitable and inclusive,</w:t>
      </w:r>
    </w:p>
    <w:p w14:paraId="400E518D" w14:textId="77777777" w:rsidR="008826D5" w:rsidRPr="00174C13" w:rsidRDefault="008826D5" w:rsidP="008826D5">
      <w:pPr>
        <w:pStyle w:val="Call"/>
        <w:keepNext w:val="0"/>
        <w:keepLines w:val="0"/>
        <w:rPr>
          <w:szCs w:val="24"/>
          <w:rtl/>
        </w:rPr>
      </w:pPr>
      <w:r w:rsidRPr="008826D5">
        <w:rPr>
          <w:szCs w:val="24"/>
          <w:lang w:val="en-GB"/>
        </w:rPr>
        <w:t>noting</w:t>
      </w:r>
    </w:p>
    <w:p w14:paraId="005B691D" w14:textId="77777777" w:rsidR="008826D5" w:rsidRPr="008826D5" w:rsidRDefault="008826D5" w:rsidP="008826D5">
      <w:pPr>
        <w:rPr>
          <w:rFonts w:eastAsiaTheme="minorEastAsia"/>
          <w:lang w:val="en-GB" w:eastAsia="ko-KR"/>
        </w:rPr>
      </w:pPr>
      <w:r w:rsidRPr="008826D5">
        <w:rPr>
          <w:rFonts w:eastAsiaTheme="minorEastAsia"/>
          <w:i/>
          <w:iCs/>
          <w:lang w:val="en-GB" w:eastAsia="ko-KR"/>
        </w:rPr>
        <w:t>a)</w:t>
      </w:r>
      <w:r w:rsidRPr="008826D5">
        <w:rPr>
          <w:rFonts w:eastAsiaTheme="minorEastAsia"/>
          <w:lang w:val="en-GB" w:eastAsia="ko-KR"/>
        </w:rPr>
        <w:tab/>
        <w:t xml:space="preserve">that metaverse is becoming a key driver of social and economic changes beyond just technological </w:t>
      </w:r>
      <w:proofErr w:type="gramStart"/>
      <w:r w:rsidRPr="008826D5">
        <w:rPr>
          <w:rFonts w:eastAsiaTheme="minorEastAsia"/>
          <w:lang w:val="en-GB" w:eastAsia="ko-KR"/>
        </w:rPr>
        <w:t>advancement;</w:t>
      </w:r>
      <w:proofErr w:type="gramEnd"/>
    </w:p>
    <w:p w14:paraId="4DDC3DAC" w14:textId="77777777" w:rsidR="008826D5" w:rsidRPr="008826D5" w:rsidRDefault="008826D5" w:rsidP="008826D5">
      <w:pPr>
        <w:rPr>
          <w:lang w:val="en-GB"/>
        </w:rPr>
      </w:pPr>
      <w:r w:rsidRPr="008826D5">
        <w:rPr>
          <w:rFonts w:eastAsiaTheme="minorEastAsia"/>
          <w:i/>
          <w:iCs/>
          <w:lang w:val="en-GB" w:eastAsia="ko-KR"/>
        </w:rPr>
        <w:t>b)</w:t>
      </w:r>
      <w:r w:rsidRPr="008826D5">
        <w:rPr>
          <w:lang w:val="en-GB"/>
        </w:rPr>
        <w:tab/>
        <w:t xml:space="preserve">that metaverse is not </w:t>
      </w:r>
      <w:r w:rsidRPr="008826D5">
        <w:rPr>
          <w:lang w:val="en-GB" w:eastAsia="ja-JP"/>
        </w:rPr>
        <w:t xml:space="preserve">recognized as </w:t>
      </w:r>
      <w:r w:rsidRPr="008826D5">
        <w:rPr>
          <w:lang w:val="en-GB"/>
        </w:rPr>
        <w:t xml:space="preserve">a new technology in itself but </w:t>
      </w:r>
      <w:r w:rsidRPr="008826D5">
        <w:rPr>
          <w:rFonts w:eastAsia="SimSun"/>
          <w:lang w:val="en-GB" w:eastAsia="zh-CN"/>
        </w:rPr>
        <w:t xml:space="preserve">rather as </w:t>
      </w:r>
      <w:r w:rsidRPr="008826D5">
        <w:rPr>
          <w:lang w:val="en-GB"/>
        </w:rPr>
        <w:t>a combination of various emerging telecommunications/ICTs, and it can be implemented by converging various fundamental technologies and standards from many relevant standards-development organizations</w:t>
      </w:r>
      <w:r w:rsidRPr="008826D5">
        <w:rPr>
          <w:lang w:val="en-GB" w:eastAsia="ja-JP"/>
        </w:rPr>
        <w:t xml:space="preserve"> (</w:t>
      </w:r>
      <w:r w:rsidRPr="008826D5">
        <w:rPr>
          <w:lang w:val="en-GB"/>
        </w:rPr>
        <w:t>SDOs</w:t>
      </w:r>
      <w:proofErr w:type="gramStart"/>
      <w:r w:rsidRPr="008826D5">
        <w:rPr>
          <w:lang w:val="en-GB" w:eastAsia="ja-JP"/>
        </w:rPr>
        <w:t>)</w:t>
      </w:r>
      <w:r w:rsidRPr="008826D5">
        <w:rPr>
          <w:lang w:val="en-GB"/>
        </w:rPr>
        <w:t>;</w:t>
      </w:r>
      <w:proofErr w:type="gramEnd"/>
    </w:p>
    <w:p w14:paraId="1536DBE9" w14:textId="77777777" w:rsidR="008826D5" w:rsidRPr="008826D5" w:rsidRDefault="008826D5" w:rsidP="008826D5">
      <w:pPr>
        <w:rPr>
          <w:rFonts w:eastAsia="SimSun"/>
          <w:lang w:val="en-GB" w:eastAsia="zh-CN"/>
        </w:rPr>
      </w:pPr>
      <w:r w:rsidRPr="008826D5">
        <w:rPr>
          <w:i/>
          <w:lang w:val="en-GB"/>
        </w:rPr>
        <w:t>c)</w:t>
      </w:r>
      <w:r w:rsidRPr="008826D5">
        <w:rPr>
          <w:lang w:val="en-GB"/>
        </w:rPr>
        <w:tab/>
      </w:r>
      <w:r w:rsidRPr="008826D5">
        <w:rPr>
          <w:rFonts w:eastAsia="SimSun"/>
          <w:lang w:val="en-GB" w:eastAsia="zh-CN"/>
        </w:rPr>
        <w:t xml:space="preserve">that concerns related to inconsistent understanding and non-standardized applications are hampering the development of metaverse, while metaverse standardization is necessary to promote the healthy development of the metaverse </w:t>
      </w:r>
      <w:proofErr w:type="gramStart"/>
      <w:r w:rsidRPr="008826D5">
        <w:rPr>
          <w:rFonts w:eastAsia="SimSun"/>
          <w:lang w:val="en-GB" w:eastAsia="zh-CN"/>
        </w:rPr>
        <w:t>ecosystem;</w:t>
      </w:r>
      <w:proofErr w:type="gramEnd"/>
    </w:p>
    <w:p w14:paraId="749F3522" w14:textId="77777777" w:rsidR="008826D5" w:rsidRPr="008826D5" w:rsidRDefault="008826D5" w:rsidP="008826D5">
      <w:pPr>
        <w:rPr>
          <w:lang w:val="en-GB"/>
        </w:rPr>
      </w:pPr>
      <w:r w:rsidRPr="008826D5">
        <w:rPr>
          <w:i/>
          <w:iCs/>
          <w:lang w:val="en-GB"/>
        </w:rPr>
        <w:t>d)</w:t>
      </w:r>
      <w:r w:rsidRPr="008826D5">
        <w:rPr>
          <w:lang w:val="en-GB"/>
        </w:rPr>
        <w:tab/>
        <w:t xml:space="preserve">that major SDOs around the world have recognized the need for and importance of metaverse standardization and are actively participating in, and promoting, standards-development </w:t>
      </w:r>
      <w:proofErr w:type="gramStart"/>
      <w:r w:rsidRPr="008826D5">
        <w:rPr>
          <w:lang w:val="en-GB"/>
        </w:rPr>
        <w:t>work;</w:t>
      </w:r>
      <w:proofErr w:type="gramEnd"/>
    </w:p>
    <w:p w14:paraId="1AC66219" w14:textId="77777777" w:rsidR="008826D5" w:rsidRPr="008826D5" w:rsidRDefault="008826D5" w:rsidP="008826D5">
      <w:pPr>
        <w:rPr>
          <w:lang w:val="en-GB"/>
        </w:rPr>
      </w:pPr>
      <w:r w:rsidRPr="008826D5">
        <w:rPr>
          <w:i/>
          <w:iCs/>
          <w:lang w:val="en-GB"/>
        </w:rPr>
        <w:t>e)</w:t>
      </w:r>
      <w:r w:rsidRPr="008826D5">
        <w:rPr>
          <w:lang w:val="en-GB"/>
        </w:rPr>
        <w:tab/>
        <w:t xml:space="preserve">that ITU forums on metaverse, </w:t>
      </w:r>
      <w:r w:rsidRPr="008826D5">
        <w:rPr>
          <w:rFonts w:eastAsia="SimSun"/>
          <w:lang w:val="en-GB" w:eastAsia="zh-CN"/>
        </w:rPr>
        <w:t>United Nations Virtual Worlds Day, and the United Nations Think</w:t>
      </w:r>
      <w:r w:rsidRPr="008826D5">
        <w:rPr>
          <w:rFonts w:eastAsia="SimSun"/>
          <w:lang w:val="en-GB" w:eastAsia="zh-CN"/>
        </w:rPr>
        <w:noBreakHyphen/>
        <w:t>a</w:t>
      </w:r>
      <w:r w:rsidRPr="008826D5">
        <w:rPr>
          <w:rFonts w:eastAsia="SimSun"/>
          <w:lang w:val="en-GB" w:eastAsia="zh-CN"/>
        </w:rPr>
        <w:noBreakHyphen/>
        <w:t>Thon</w:t>
      </w:r>
      <w:r w:rsidRPr="008826D5">
        <w:rPr>
          <w:lang w:val="en-GB"/>
        </w:rPr>
        <w:t xml:space="preserve"> provide a platform for advancing the shared vision of an open, interoperable, secure, trusted, inclusive, accessible and sustainable metaverse with many stakeholders around the </w:t>
      </w:r>
      <w:proofErr w:type="gramStart"/>
      <w:r w:rsidRPr="008826D5">
        <w:rPr>
          <w:lang w:val="en-GB"/>
        </w:rPr>
        <w:t>world;</w:t>
      </w:r>
      <w:proofErr w:type="gramEnd"/>
    </w:p>
    <w:p w14:paraId="47AE1F97" w14:textId="77777777" w:rsidR="008826D5" w:rsidRPr="008826D5" w:rsidRDefault="008826D5" w:rsidP="008826D5">
      <w:pPr>
        <w:rPr>
          <w:rFonts w:eastAsia="SimSun"/>
          <w:lang w:val="en-GB" w:eastAsia="zh-CN"/>
        </w:rPr>
      </w:pPr>
      <w:r w:rsidRPr="008826D5">
        <w:rPr>
          <w:rFonts w:eastAsia="SimSun"/>
          <w:i/>
          <w:lang w:val="en-GB" w:eastAsia="zh-CN"/>
        </w:rPr>
        <w:t>f)</w:t>
      </w:r>
      <w:r w:rsidRPr="008826D5">
        <w:rPr>
          <w:rFonts w:eastAsia="SimSun"/>
          <w:lang w:val="en-GB" w:eastAsia="zh-CN"/>
        </w:rPr>
        <w:tab/>
        <w:t>that ITU</w:t>
      </w:r>
      <w:r w:rsidRPr="008826D5">
        <w:rPr>
          <w:rFonts w:eastAsia="SimSun"/>
          <w:lang w:val="en-GB" w:eastAsia="zh-CN"/>
        </w:rPr>
        <w:noBreakHyphen/>
        <w:t xml:space="preserve">T also needs to further promote and strengthen the standardization of future telecommunication/ICT applications and services related to </w:t>
      </w:r>
      <w:proofErr w:type="gramStart"/>
      <w:r w:rsidRPr="008826D5">
        <w:rPr>
          <w:rFonts w:eastAsia="SimSun"/>
          <w:lang w:val="en-GB" w:eastAsia="zh-CN"/>
        </w:rPr>
        <w:t>metaverse;</w:t>
      </w:r>
      <w:proofErr w:type="gramEnd"/>
    </w:p>
    <w:p w14:paraId="7DFEBAC5" w14:textId="77777777" w:rsidR="008826D5" w:rsidRPr="008826D5" w:rsidRDefault="008826D5" w:rsidP="008826D5">
      <w:pPr>
        <w:rPr>
          <w:rFonts w:eastAsia="SimSun"/>
          <w:i/>
          <w:lang w:val="en-GB" w:eastAsia="zh-CN"/>
        </w:rPr>
      </w:pPr>
      <w:r w:rsidRPr="008826D5">
        <w:rPr>
          <w:rFonts w:eastAsia="SimSun"/>
          <w:i/>
          <w:lang w:val="en-GB" w:eastAsia="zh-CN"/>
        </w:rPr>
        <w:t>g)</w:t>
      </w:r>
      <w:r w:rsidRPr="008826D5">
        <w:rPr>
          <w:rFonts w:eastAsia="SimSun"/>
          <w:lang w:val="en-GB" w:eastAsia="zh-CN"/>
        </w:rPr>
        <w:tab/>
        <w:t>that ITU</w:t>
      </w:r>
      <w:r w:rsidRPr="008826D5">
        <w:rPr>
          <w:rFonts w:eastAsia="SimSun"/>
          <w:lang w:val="en-GB" w:eastAsia="zh-CN"/>
        </w:rPr>
        <w:noBreakHyphen/>
        <w:t xml:space="preserve">T should continue and further strengthen metaverse standardization </w:t>
      </w:r>
      <w:proofErr w:type="gramStart"/>
      <w:r w:rsidRPr="008826D5">
        <w:rPr>
          <w:rFonts w:eastAsia="SimSun"/>
          <w:lang w:val="en-GB" w:eastAsia="zh-CN"/>
        </w:rPr>
        <w:t>work;</w:t>
      </w:r>
      <w:proofErr w:type="gramEnd"/>
    </w:p>
    <w:p w14:paraId="30500C62" w14:textId="77777777" w:rsidR="008826D5" w:rsidRPr="008826D5" w:rsidRDefault="008826D5" w:rsidP="008826D5">
      <w:pPr>
        <w:rPr>
          <w:szCs w:val="24"/>
          <w:lang w:val="en-GB"/>
        </w:rPr>
      </w:pPr>
      <w:r w:rsidRPr="008826D5">
        <w:rPr>
          <w:rFonts w:eastAsiaTheme="minorEastAsia"/>
          <w:i/>
          <w:iCs/>
          <w:szCs w:val="24"/>
          <w:lang w:val="en-GB" w:eastAsia="ko-KR"/>
        </w:rPr>
        <w:t>h)</w:t>
      </w:r>
      <w:r w:rsidRPr="008826D5">
        <w:rPr>
          <w:szCs w:val="24"/>
          <w:lang w:val="en-GB" w:eastAsia="ko-KR"/>
        </w:rPr>
        <w:tab/>
        <w:t>that lots of stakeholders in metaverse</w:t>
      </w:r>
      <w:r w:rsidRPr="008826D5">
        <w:rPr>
          <w:szCs w:val="24"/>
          <w:lang w:val="en-GB"/>
        </w:rPr>
        <w:t xml:space="preserve"> </w:t>
      </w:r>
      <w:r w:rsidRPr="008826D5">
        <w:rPr>
          <w:szCs w:val="24"/>
          <w:lang w:val="en-GB" w:eastAsia="ko-KR"/>
        </w:rPr>
        <w:t>are SMEs</w:t>
      </w:r>
      <w:r w:rsidRPr="008826D5">
        <w:rPr>
          <w:szCs w:val="24"/>
          <w:lang w:val="en-GB"/>
        </w:rPr>
        <w:t>,</w:t>
      </w:r>
    </w:p>
    <w:p w14:paraId="09F7C5F9" w14:textId="77777777" w:rsidR="008826D5" w:rsidRPr="008826D5" w:rsidRDefault="008826D5" w:rsidP="008826D5">
      <w:pPr>
        <w:rPr>
          <w:rFonts w:eastAsiaTheme="minorEastAsia"/>
          <w:i/>
          <w:szCs w:val="24"/>
          <w:lang w:val="en-GB" w:eastAsia="ko-KR"/>
        </w:rPr>
      </w:pPr>
      <w:r w:rsidRPr="008826D5">
        <w:rPr>
          <w:rFonts w:eastAsiaTheme="minorEastAsia"/>
          <w:szCs w:val="24"/>
          <w:lang w:val="en-GB" w:eastAsia="ko-KR"/>
        </w:rPr>
        <w:br w:type="page"/>
      </w:r>
    </w:p>
    <w:p w14:paraId="0172A80B" w14:textId="77777777" w:rsidR="008826D5" w:rsidRPr="008826D5" w:rsidRDefault="008826D5" w:rsidP="008826D5">
      <w:pPr>
        <w:pStyle w:val="Call"/>
        <w:keepNext w:val="0"/>
        <w:keepLines w:val="0"/>
        <w:rPr>
          <w:rFonts w:eastAsiaTheme="minorEastAsia"/>
          <w:szCs w:val="24"/>
          <w:lang w:val="en-GB" w:eastAsia="ko-KR"/>
        </w:rPr>
      </w:pPr>
      <w:r w:rsidRPr="008826D5">
        <w:rPr>
          <w:rFonts w:eastAsiaTheme="minorEastAsia"/>
          <w:szCs w:val="24"/>
          <w:lang w:val="en-GB" w:eastAsia="ko-KR"/>
        </w:rPr>
        <w:lastRenderedPageBreak/>
        <w:t>recognizing</w:t>
      </w:r>
    </w:p>
    <w:p w14:paraId="26A56585" w14:textId="77777777" w:rsidR="008826D5" w:rsidRPr="008826D5" w:rsidRDefault="008826D5" w:rsidP="008826D5">
      <w:pPr>
        <w:rPr>
          <w:lang w:val="en-GB"/>
        </w:rPr>
      </w:pPr>
      <w:r w:rsidRPr="008826D5">
        <w:rPr>
          <w:i/>
          <w:iCs/>
          <w:lang w:val="en-GB"/>
        </w:rPr>
        <w:t>a)</w:t>
      </w:r>
      <w:r w:rsidRPr="008826D5">
        <w:rPr>
          <w:lang w:val="en-GB"/>
        </w:rPr>
        <w:tab/>
        <w:t>the successful conclusion of the ITU Focus Group on metaverse (FG</w:t>
      </w:r>
      <w:r w:rsidRPr="008826D5">
        <w:rPr>
          <w:lang w:val="en-GB"/>
        </w:rPr>
        <w:noBreakHyphen/>
        <w:t>MV</w:t>
      </w:r>
      <w:proofErr w:type="gramStart"/>
      <w:r w:rsidRPr="008826D5">
        <w:rPr>
          <w:lang w:val="en-GB"/>
        </w:rPr>
        <w:t>);</w:t>
      </w:r>
      <w:proofErr w:type="gramEnd"/>
    </w:p>
    <w:p w14:paraId="323469A6" w14:textId="77777777" w:rsidR="008826D5" w:rsidRPr="008826D5" w:rsidRDefault="008826D5" w:rsidP="008826D5">
      <w:pPr>
        <w:rPr>
          <w:bCs/>
          <w:lang w:val="en-GB"/>
        </w:rPr>
      </w:pPr>
      <w:r w:rsidRPr="008826D5">
        <w:rPr>
          <w:bCs/>
          <w:i/>
          <w:iCs/>
          <w:lang w:val="en-GB"/>
        </w:rPr>
        <w:t>b)</w:t>
      </w:r>
      <w:r w:rsidRPr="008826D5">
        <w:rPr>
          <w:bCs/>
          <w:lang w:val="en-GB"/>
        </w:rPr>
        <w:tab/>
        <w:t>the tasks executed by the FG</w:t>
      </w:r>
      <w:r w:rsidRPr="008826D5">
        <w:rPr>
          <w:bCs/>
          <w:lang w:val="en-GB"/>
        </w:rPr>
        <w:noBreakHyphen/>
        <w:t xml:space="preserve">MV based on 52 deliverables enumerated as the output of the pre-standardization </w:t>
      </w:r>
      <w:proofErr w:type="gramStart"/>
      <w:r w:rsidRPr="008826D5">
        <w:rPr>
          <w:bCs/>
          <w:lang w:val="en-GB"/>
        </w:rPr>
        <w:t>activities;</w:t>
      </w:r>
      <w:proofErr w:type="gramEnd"/>
    </w:p>
    <w:p w14:paraId="1FC5CB7A" w14:textId="77777777" w:rsidR="008826D5" w:rsidRPr="008826D5" w:rsidRDefault="008826D5" w:rsidP="008826D5">
      <w:pPr>
        <w:rPr>
          <w:lang w:val="en-GB"/>
        </w:rPr>
      </w:pPr>
      <w:r w:rsidRPr="008826D5">
        <w:rPr>
          <w:i/>
          <w:iCs/>
          <w:lang w:val="en-GB"/>
        </w:rPr>
        <w:t>c)</w:t>
      </w:r>
      <w:r w:rsidRPr="008826D5">
        <w:rPr>
          <w:lang w:val="en-GB"/>
        </w:rPr>
        <w:tab/>
        <w:t>the relevant achievements of ITU</w:t>
      </w:r>
      <w:r w:rsidRPr="008826D5">
        <w:rPr>
          <w:lang w:val="en-GB"/>
        </w:rPr>
        <w:noBreakHyphen/>
        <w:t xml:space="preserve">T study groups, in particular those related to </w:t>
      </w:r>
      <w:proofErr w:type="gramStart"/>
      <w:r w:rsidRPr="008826D5">
        <w:rPr>
          <w:lang w:val="en-GB"/>
        </w:rPr>
        <w:t>metaverse;</w:t>
      </w:r>
      <w:proofErr w:type="gramEnd"/>
    </w:p>
    <w:p w14:paraId="021BD211" w14:textId="77777777" w:rsidR="008826D5" w:rsidRPr="008826D5" w:rsidRDefault="008826D5" w:rsidP="008826D5">
      <w:pPr>
        <w:rPr>
          <w:bCs/>
          <w:lang w:val="en-GB"/>
        </w:rPr>
      </w:pPr>
      <w:r w:rsidRPr="008826D5">
        <w:rPr>
          <w:bCs/>
          <w:i/>
          <w:iCs/>
          <w:lang w:val="en-GB"/>
        </w:rPr>
        <w:t>d)</w:t>
      </w:r>
      <w:r w:rsidRPr="008826D5">
        <w:rPr>
          <w:bCs/>
          <w:lang w:val="en-GB"/>
        </w:rPr>
        <w:tab/>
        <w:t xml:space="preserve">the studies conducted by relevant ITU study groups on topics related to </w:t>
      </w:r>
      <w:proofErr w:type="gramStart"/>
      <w:r w:rsidRPr="008826D5">
        <w:rPr>
          <w:bCs/>
          <w:lang w:val="en-GB"/>
        </w:rPr>
        <w:t>metaverse;</w:t>
      </w:r>
      <w:proofErr w:type="gramEnd"/>
    </w:p>
    <w:p w14:paraId="00567DA1" w14:textId="77777777" w:rsidR="008826D5" w:rsidRPr="008826D5" w:rsidRDefault="008826D5" w:rsidP="008826D5">
      <w:pPr>
        <w:rPr>
          <w:lang w:val="en-GB"/>
        </w:rPr>
      </w:pPr>
      <w:r w:rsidRPr="008826D5">
        <w:rPr>
          <w:i/>
          <w:iCs/>
          <w:lang w:val="en-GB"/>
        </w:rPr>
        <w:t>e)</w:t>
      </w:r>
      <w:r w:rsidRPr="008826D5">
        <w:rPr>
          <w:lang w:val="en-GB"/>
        </w:rPr>
        <w:tab/>
        <w:t>the importance of engaging with United Nations organizations by means of initiatives such as the ITU Forums on metaverse, United Nations Virtual Worlds Day and United Nations Think</w:t>
      </w:r>
      <w:r w:rsidRPr="008826D5">
        <w:rPr>
          <w:lang w:val="en-GB"/>
        </w:rPr>
        <w:noBreakHyphen/>
        <w:t>a</w:t>
      </w:r>
      <w:r w:rsidRPr="008826D5">
        <w:rPr>
          <w:lang w:val="en-GB"/>
        </w:rPr>
        <w:noBreakHyphen/>
        <w:t xml:space="preserve">Thon among </w:t>
      </w:r>
      <w:proofErr w:type="gramStart"/>
      <w:r w:rsidRPr="008826D5">
        <w:rPr>
          <w:lang w:val="en-GB"/>
        </w:rPr>
        <w:t>others;</w:t>
      </w:r>
      <w:proofErr w:type="gramEnd"/>
    </w:p>
    <w:p w14:paraId="111E421A" w14:textId="77777777" w:rsidR="008826D5" w:rsidRPr="008826D5" w:rsidRDefault="008826D5" w:rsidP="008826D5">
      <w:pPr>
        <w:rPr>
          <w:lang w:val="en-GB"/>
        </w:rPr>
      </w:pPr>
      <w:r w:rsidRPr="008826D5">
        <w:rPr>
          <w:i/>
          <w:iCs/>
          <w:lang w:val="en-GB"/>
        </w:rPr>
        <w:t>f)</w:t>
      </w:r>
      <w:r w:rsidRPr="008826D5">
        <w:rPr>
          <w:lang w:val="en-GB"/>
        </w:rPr>
        <w:tab/>
        <w:t xml:space="preserve">the Global Initiative on Virtual Worlds – Discovering the </w:t>
      </w:r>
      <w:proofErr w:type="spellStart"/>
      <w:r w:rsidRPr="008826D5">
        <w:rPr>
          <w:lang w:val="en-GB"/>
        </w:rPr>
        <w:t>CitiVerse</w:t>
      </w:r>
      <w:proofErr w:type="spellEnd"/>
      <w:r w:rsidRPr="008826D5">
        <w:rPr>
          <w:lang w:val="en-GB"/>
        </w:rPr>
        <w:t xml:space="preserve">, which was launched by ITU, the United Nations International Computing Centre (UNICC) and Digital Dubai during the first United Nations Virtual Worlds Day, to serve as a global platform for fostering open, interoperable and innovative virtual worlds that can be used safely and with confidence by people, businesses and public services and for exploring and harnessing the potential of virtual worlds and </w:t>
      </w:r>
      <w:proofErr w:type="spellStart"/>
      <w:r w:rsidRPr="008826D5">
        <w:rPr>
          <w:lang w:val="en-GB"/>
        </w:rPr>
        <w:t>citiverse</w:t>
      </w:r>
      <w:proofErr w:type="spellEnd"/>
      <w:r w:rsidRPr="008826D5">
        <w:rPr>
          <w:lang w:val="en-GB"/>
        </w:rPr>
        <w:t>,</w:t>
      </w:r>
    </w:p>
    <w:p w14:paraId="50DA9F8A" w14:textId="77777777" w:rsidR="008826D5" w:rsidRPr="008826D5" w:rsidRDefault="008826D5" w:rsidP="008826D5">
      <w:pPr>
        <w:pStyle w:val="Call"/>
        <w:keepNext w:val="0"/>
        <w:keepLines w:val="0"/>
        <w:rPr>
          <w:rFonts w:eastAsia="Malgun Gothic"/>
          <w:szCs w:val="24"/>
          <w:lang w:val="en-GB" w:eastAsia="en-AU"/>
        </w:rPr>
      </w:pPr>
      <w:r w:rsidRPr="008826D5">
        <w:rPr>
          <w:rFonts w:eastAsiaTheme="minorEastAsia"/>
          <w:szCs w:val="24"/>
          <w:lang w:val="en-GB" w:eastAsia="ko-KR"/>
        </w:rPr>
        <w:t>bearing in mind</w:t>
      </w:r>
    </w:p>
    <w:p w14:paraId="6E275CFD" w14:textId="77777777" w:rsidR="008826D5" w:rsidRPr="008826D5" w:rsidRDefault="008826D5" w:rsidP="008826D5">
      <w:pPr>
        <w:rPr>
          <w:rFonts w:eastAsiaTheme="minorEastAsia"/>
          <w:lang w:val="en-GB" w:eastAsia="ko-KR"/>
        </w:rPr>
      </w:pPr>
      <w:r w:rsidRPr="008826D5">
        <w:rPr>
          <w:rFonts w:eastAsiaTheme="minorEastAsia"/>
          <w:i/>
          <w:iCs/>
          <w:lang w:val="en-GB" w:eastAsia="ko-KR"/>
        </w:rPr>
        <w:t>a)</w:t>
      </w:r>
      <w:r w:rsidRPr="008826D5">
        <w:rPr>
          <w:lang w:val="en-GB"/>
        </w:rPr>
        <w:tab/>
      </w:r>
      <w:r w:rsidRPr="008826D5">
        <w:rPr>
          <w:rFonts w:eastAsiaTheme="minorEastAsia"/>
          <w:lang w:val="en-GB" w:eastAsia="ko-KR"/>
        </w:rPr>
        <w:t xml:space="preserve">that metaverse is a key enabler for enhancing the value of future telecommunication/ICT applications and </w:t>
      </w:r>
      <w:proofErr w:type="gramStart"/>
      <w:r w:rsidRPr="008826D5">
        <w:rPr>
          <w:rFonts w:eastAsiaTheme="minorEastAsia"/>
          <w:lang w:val="en-GB" w:eastAsia="ko-KR"/>
        </w:rPr>
        <w:t>services;</w:t>
      </w:r>
      <w:proofErr w:type="gramEnd"/>
    </w:p>
    <w:p w14:paraId="772754FC" w14:textId="77777777" w:rsidR="008826D5" w:rsidRPr="008826D5" w:rsidRDefault="008826D5" w:rsidP="008826D5">
      <w:pPr>
        <w:rPr>
          <w:rFonts w:eastAsia="Malgun Gothic"/>
          <w:szCs w:val="24"/>
          <w:lang w:val="en-GB" w:eastAsia="ko-KR"/>
        </w:rPr>
      </w:pPr>
      <w:r w:rsidRPr="008826D5">
        <w:rPr>
          <w:rFonts w:eastAsiaTheme="minorEastAsia"/>
          <w:i/>
          <w:iCs/>
          <w:szCs w:val="24"/>
          <w:lang w:val="en-GB" w:eastAsia="ko-KR"/>
        </w:rPr>
        <w:t>b)</w:t>
      </w:r>
      <w:r w:rsidRPr="008826D5">
        <w:rPr>
          <w:rFonts w:eastAsiaTheme="minorEastAsia"/>
          <w:szCs w:val="24"/>
          <w:lang w:val="en-GB" w:eastAsia="ko-KR"/>
        </w:rPr>
        <w:tab/>
      </w:r>
      <w:r w:rsidRPr="008826D5">
        <w:rPr>
          <w:szCs w:val="24"/>
          <w:lang w:val="en-GB" w:eastAsia="ko-KR"/>
        </w:rPr>
        <w:t xml:space="preserve">that </w:t>
      </w:r>
      <w:r w:rsidRPr="008826D5">
        <w:rPr>
          <w:rFonts w:eastAsia="Malgun Gothic"/>
          <w:szCs w:val="24"/>
          <w:lang w:val="en-GB" w:eastAsia="ko-KR"/>
        </w:rPr>
        <w:t xml:space="preserve">it is necessary for standardization work to ensure that the various telecommunication/ICT components of metaverse can be effectively integrated and </w:t>
      </w:r>
      <w:proofErr w:type="gramStart"/>
      <w:r w:rsidRPr="008826D5">
        <w:rPr>
          <w:rFonts w:eastAsia="Malgun Gothic"/>
          <w:szCs w:val="24"/>
          <w:lang w:val="en-GB" w:eastAsia="ko-KR"/>
        </w:rPr>
        <w:t>interoperated;</w:t>
      </w:r>
      <w:proofErr w:type="gramEnd"/>
    </w:p>
    <w:p w14:paraId="3AF44A26" w14:textId="77777777" w:rsidR="008826D5" w:rsidRPr="008826D5" w:rsidRDefault="008826D5" w:rsidP="008826D5">
      <w:pPr>
        <w:rPr>
          <w:rFonts w:eastAsia="Malgun Gothic"/>
          <w:lang w:val="en-GB" w:eastAsia="ko-KR"/>
        </w:rPr>
      </w:pPr>
      <w:r w:rsidRPr="008826D5">
        <w:rPr>
          <w:i/>
          <w:iCs/>
          <w:lang w:val="en-GB" w:eastAsia="ko-KR"/>
        </w:rPr>
        <w:t>c)</w:t>
      </w:r>
      <w:r w:rsidRPr="008826D5">
        <w:rPr>
          <w:rFonts w:eastAsia="Malgun Gothic"/>
          <w:lang w:val="en-GB" w:eastAsia="ko-KR"/>
        </w:rPr>
        <w:tab/>
        <w:t>that, owing to the impact metaverse may have on people's lives, it is necessary to develop technical standards that respect and promote fundamental human rights, such as security, privacy, inclusion, accessibility and protection,</w:t>
      </w:r>
    </w:p>
    <w:p w14:paraId="48CD5E5C" w14:textId="77777777" w:rsidR="008826D5" w:rsidRPr="008826D5" w:rsidRDefault="008826D5" w:rsidP="008826D5">
      <w:pPr>
        <w:pStyle w:val="Call"/>
        <w:rPr>
          <w:lang w:val="en-GB"/>
        </w:rPr>
      </w:pPr>
      <w:r w:rsidRPr="008826D5">
        <w:rPr>
          <w:lang w:val="en-GB"/>
        </w:rPr>
        <w:t>resolves</w:t>
      </w:r>
    </w:p>
    <w:p w14:paraId="09A9BF00" w14:textId="77777777" w:rsidR="008826D5" w:rsidRPr="008826D5" w:rsidRDefault="008826D5" w:rsidP="008826D5">
      <w:pPr>
        <w:rPr>
          <w:lang w:val="en-GB"/>
        </w:rPr>
      </w:pPr>
      <w:r w:rsidRPr="008826D5">
        <w:rPr>
          <w:lang w:val="en-GB"/>
        </w:rPr>
        <w:t>1</w:t>
      </w:r>
      <w:r w:rsidRPr="008826D5">
        <w:rPr>
          <w:lang w:val="en-GB"/>
        </w:rPr>
        <w:tab/>
        <w:t xml:space="preserve">to carry out standardization work to ensure that the various telecommunication/ICT components of metaverse can be effectively integrated and interoperated, including architectures, requirements, protocols, systems and </w:t>
      </w:r>
      <w:proofErr w:type="gramStart"/>
      <w:r w:rsidRPr="008826D5">
        <w:rPr>
          <w:lang w:val="en-GB"/>
        </w:rPr>
        <w:t>services;</w:t>
      </w:r>
      <w:proofErr w:type="gramEnd"/>
    </w:p>
    <w:p w14:paraId="501112BB" w14:textId="77777777" w:rsidR="008826D5" w:rsidRPr="008826D5" w:rsidRDefault="008826D5" w:rsidP="008826D5">
      <w:pPr>
        <w:rPr>
          <w:lang w:val="en-GB"/>
        </w:rPr>
      </w:pPr>
      <w:r w:rsidRPr="008826D5">
        <w:rPr>
          <w:lang w:val="en-GB"/>
        </w:rPr>
        <w:t>2</w:t>
      </w:r>
      <w:r w:rsidRPr="008826D5">
        <w:rPr>
          <w:lang w:val="en-GB"/>
        </w:rPr>
        <w:tab/>
        <w:t>to promote and strengthen the ITU</w:t>
      </w:r>
      <w:r w:rsidRPr="008826D5">
        <w:rPr>
          <w:lang w:val="en-GB"/>
        </w:rPr>
        <w:noBreakHyphen/>
        <w:t>T study groups' standardization work related to enabling technologies, systems, applications, services, protocols, security, accessibility and sustainability for metaverse, considering market requirements to provide enhanced value of ITU</w:t>
      </w:r>
      <w:r w:rsidRPr="008826D5">
        <w:rPr>
          <w:lang w:val="en-GB"/>
        </w:rPr>
        <w:noBreakHyphen/>
        <w:t xml:space="preserve">T </w:t>
      </w:r>
      <w:proofErr w:type="gramStart"/>
      <w:r w:rsidRPr="008826D5">
        <w:rPr>
          <w:lang w:val="en-GB"/>
        </w:rPr>
        <w:t>deliverables;</w:t>
      </w:r>
      <w:proofErr w:type="gramEnd"/>
    </w:p>
    <w:p w14:paraId="3A085E76" w14:textId="77777777" w:rsidR="008826D5" w:rsidRPr="008826D5" w:rsidRDefault="008826D5" w:rsidP="008826D5">
      <w:pPr>
        <w:rPr>
          <w:lang w:val="en-GB" w:eastAsia="ko-KR"/>
        </w:rPr>
      </w:pPr>
      <w:r w:rsidRPr="008826D5">
        <w:rPr>
          <w:lang w:val="en-GB" w:eastAsia="ko-KR"/>
        </w:rPr>
        <w:t>3</w:t>
      </w:r>
      <w:r w:rsidRPr="008826D5">
        <w:rPr>
          <w:lang w:val="en-GB" w:eastAsia="ko-KR"/>
        </w:rPr>
        <w:tab/>
        <w:t xml:space="preserve">to work collaboratively and cooperatively with other SDOs, recognized external organizations, industry and relevant entities to promote cooperation and complementarity in the development of international standards for metaverse applications, systems and services, </w:t>
      </w:r>
      <w:r w:rsidRPr="008826D5">
        <w:rPr>
          <w:szCs w:val="24"/>
          <w:lang w:val="en-GB" w:eastAsia="ja-JP"/>
        </w:rPr>
        <w:t xml:space="preserve">and to ensure interoperability, with the goal of avoiding </w:t>
      </w:r>
      <w:proofErr w:type="gramStart"/>
      <w:r w:rsidRPr="008826D5">
        <w:rPr>
          <w:szCs w:val="24"/>
          <w:lang w:val="en-GB" w:eastAsia="ja-JP"/>
        </w:rPr>
        <w:t>duplication</w:t>
      </w:r>
      <w:r w:rsidRPr="008826D5">
        <w:rPr>
          <w:lang w:val="en-GB" w:eastAsia="ko-KR"/>
        </w:rPr>
        <w:t>;</w:t>
      </w:r>
      <w:proofErr w:type="gramEnd"/>
    </w:p>
    <w:p w14:paraId="6E1C9621" w14:textId="77777777" w:rsidR="008826D5" w:rsidRPr="008826D5" w:rsidRDefault="008826D5" w:rsidP="008826D5">
      <w:pPr>
        <w:rPr>
          <w:color w:val="000000" w:themeColor="text1"/>
          <w:lang w:val="en-GB" w:eastAsia="ko-KR"/>
        </w:rPr>
      </w:pPr>
      <w:r w:rsidRPr="008826D5">
        <w:rPr>
          <w:color w:val="000000" w:themeColor="text1"/>
          <w:lang w:val="en-GB" w:eastAsia="ko-KR"/>
        </w:rPr>
        <w:t>4</w:t>
      </w:r>
      <w:r w:rsidRPr="008826D5">
        <w:rPr>
          <w:color w:val="000000" w:themeColor="text1"/>
          <w:lang w:val="en-GB" w:eastAsia="ko-KR"/>
        </w:rPr>
        <w:tab/>
        <w:t xml:space="preserve">to promote the potential of an accessible and sustainable metaverse, including for enhancing the value of future telecommunication/ICT applications and </w:t>
      </w:r>
      <w:proofErr w:type="gramStart"/>
      <w:r w:rsidRPr="008826D5">
        <w:rPr>
          <w:color w:val="000000" w:themeColor="text1"/>
          <w:lang w:val="en-GB" w:eastAsia="ko-KR"/>
        </w:rPr>
        <w:t>services;</w:t>
      </w:r>
      <w:proofErr w:type="gramEnd"/>
    </w:p>
    <w:p w14:paraId="59B851D8" w14:textId="77777777" w:rsidR="008826D5" w:rsidRPr="008826D5" w:rsidRDefault="008826D5" w:rsidP="008826D5">
      <w:pPr>
        <w:rPr>
          <w:lang w:val="en-GB"/>
        </w:rPr>
      </w:pPr>
      <w:r w:rsidRPr="008826D5">
        <w:rPr>
          <w:lang w:val="en-GB"/>
        </w:rPr>
        <w:br w:type="page"/>
      </w:r>
    </w:p>
    <w:p w14:paraId="0F28AE01" w14:textId="77777777" w:rsidR="008826D5" w:rsidRPr="008826D5" w:rsidRDefault="008826D5" w:rsidP="008826D5">
      <w:pPr>
        <w:rPr>
          <w:rFonts w:eastAsia="Calibri"/>
          <w:lang w:val="en-GB"/>
        </w:rPr>
      </w:pPr>
      <w:r w:rsidRPr="008826D5">
        <w:rPr>
          <w:lang w:val="en-GB"/>
        </w:rPr>
        <w:lastRenderedPageBreak/>
        <w:t>5</w:t>
      </w:r>
      <w:r w:rsidRPr="008826D5">
        <w:rPr>
          <w:lang w:val="en-GB"/>
        </w:rPr>
        <w:tab/>
        <w:t xml:space="preserve">to take necessary steps to achieve a comprehensive understanding of threats and foster cooperation among different stakeholders to develop a safe and secure metaverse environment </w:t>
      </w:r>
      <w:r w:rsidRPr="008826D5">
        <w:rPr>
          <w:rFonts w:eastAsia="Calibri"/>
          <w:lang w:val="en-GB"/>
        </w:rPr>
        <w:t xml:space="preserve">that enhances the well-being of </w:t>
      </w:r>
      <w:proofErr w:type="gramStart"/>
      <w:r w:rsidRPr="008826D5">
        <w:rPr>
          <w:rFonts w:eastAsia="Calibri"/>
          <w:lang w:val="en-GB"/>
        </w:rPr>
        <w:t>users;</w:t>
      </w:r>
      <w:proofErr w:type="gramEnd"/>
    </w:p>
    <w:p w14:paraId="26A80A5F" w14:textId="77777777" w:rsidR="008826D5" w:rsidRPr="008826D5" w:rsidRDefault="008826D5" w:rsidP="008826D5">
      <w:pPr>
        <w:rPr>
          <w:lang w:val="en-GB"/>
        </w:rPr>
      </w:pPr>
      <w:r w:rsidRPr="008826D5">
        <w:rPr>
          <w:lang w:val="en-GB"/>
        </w:rPr>
        <w:t>6</w:t>
      </w:r>
      <w:r w:rsidRPr="008826D5">
        <w:rPr>
          <w:lang w:val="en-GB"/>
        </w:rPr>
        <w:tab/>
        <w:t xml:space="preserve">to ensure trust, confidence and security in metaverse applications and services, thereby providing a safe and secure environment for all </w:t>
      </w:r>
      <w:proofErr w:type="gramStart"/>
      <w:r w:rsidRPr="008826D5">
        <w:rPr>
          <w:lang w:val="en-GB"/>
        </w:rPr>
        <w:t>users;</w:t>
      </w:r>
      <w:proofErr w:type="gramEnd"/>
    </w:p>
    <w:p w14:paraId="17A2A639" w14:textId="77777777" w:rsidR="008826D5" w:rsidRPr="008826D5" w:rsidRDefault="008826D5" w:rsidP="008826D5">
      <w:pPr>
        <w:rPr>
          <w:lang w:val="en-GB"/>
        </w:rPr>
      </w:pPr>
      <w:r w:rsidRPr="008826D5">
        <w:rPr>
          <w:lang w:val="en-GB"/>
        </w:rPr>
        <w:t>7</w:t>
      </w:r>
      <w:r w:rsidRPr="008826D5">
        <w:rPr>
          <w:lang w:val="en-GB"/>
        </w:rPr>
        <w:tab/>
        <w:t>to establish a joint coordination activity on metaverse (JCA</w:t>
      </w:r>
      <w:r w:rsidRPr="008826D5">
        <w:rPr>
          <w:lang w:val="en-GB"/>
        </w:rPr>
        <w:noBreakHyphen/>
        <w:t>MV) under the Telecommunication Standardization Advisory Group (TSAG) to coordinate standardization</w:t>
      </w:r>
      <w:r w:rsidRPr="008826D5" w:rsidDel="00D83386">
        <w:rPr>
          <w:lang w:val="en-GB"/>
        </w:rPr>
        <w:t xml:space="preserve"> </w:t>
      </w:r>
      <w:r w:rsidRPr="008826D5">
        <w:rPr>
          <w:lang w:val="en-GB"/>
        </w:rPr>
        <w:t>activities on metaverse and to maintain a standardization roadmap for the purpose of having coordination across relevant ITU</w:t>
      </w:r>
      <w:r w:rsidRPr="008826D5">
        <w:rPr>
          <w:lang w:val="en-GB"/>
        </w:rPr>
        <w:noBreakHyphen/>
        <w:t>T study groups and with related SDOs and relevant parties outside ITU</w:t>
      </w:r>
      <w:r w:rsidRPr="008826D5">
        <w:rPr>
          <w:lang w:val="en-GB"/>
        </w:rPr>
        <w:noBreakHyphen/>
      </w:r>
      <w:proofErr w:type="gramStart"/>
      <w:r w:rsidRPr="008826D5">
        <w:rPr>
          <w:lang w:val="en-GB"/>
        </w:rPr>
        <w:t>T;</w:t>
      </w:r>
      <w:proofErr w:type="gramEnd"/>
    </w:p>
    <w:p w14:paraId="55CF85AA" w14:textId="77777777" w:rsidR="008826D5" w:rsidRPr="008826D5" w:rsidRDefault="008826D5" w:rsidP="008826D5">
      <w:pPr>
        <w:rPr>
          <w:lang w:val="en-GB"/>
        </w:rPr>
      </w:pPr>
      <w:r w:rsidRPr="008826D5">
        <w:rPr>
          <w:lang w:val="en-GB"/>
        </w:rPr>
        <w:t>8</w:t>
      </w:r>
      <w:r w:rsidRPr="008826D5">
        <w:rPr>
          <w:lang w:val="en-GB"/>
        </w:rPr>
        <w:tab/>
        <w:t>that ITU forums be held to present progress in the work and the results achieved by the ITU</w:t>
      </w:r>
      <w:r w:rsidRPr="008826D5">
        <w:rPr>
          <w:lang w:val="en-GB"/>
        </w:rPr>
        <w:noBreakHyphen/>
        <w:t>T study groups in charge of metaverse standardization before the next WTSA,</w:t>
      </w:r>
    </w:p>
    <w:p w14:paraId="1547A400" w14:textId="77777777" w:rsidR="008826D5" w:rsidRPr="008826D5" w:rsidRDefault="008826D5" w:rsidP="008826D5">
      <w:pPr>
        <w:pStyle w:val="Call"/>
        <w:rPr>
          <w:lang w:val="en-GB"/>
        </w:rPr>
      </w:pPr>
      <w:r w:rsidRPr="008826D5">
        <w:rPr>
          <w:lang w:val="en-GB"/>
        </w:rPr>
        <w:t>instructs the Director of the Telecommunication Standardization Bureau</w:t>
      </w:r>
    </w:p>
    <w:p w14:paraId="786B5449" w14:textId="77777777" w:rsidR="008826D5" w:rsidRPr="008826D5" w:rsidRDefault="008826D5" w:rsidP="008826D5">
      <w:pPr>
        <w:rPr>
          <w:lang w:val="en-GB"/>
        </w:rPr>
      </w:pPr>
      <w:r w:rsidRPr="008826D5">
        <w:rPr>
          <w:lang w:val="en-GB"/>
        </w:rPr>
        <w:t>1</w:t>
      </w:r>
      <w:r w:rsidRPr="008826D5">
        <w:rPr>
          <w:lang w:val="en-GB"/>
        </w:rPr>
        <w:tab/>
        <w:t xml:space="preserve">to work collaboratively with the Directors of the Radiocommunication Bureau and the Telecommunication Development Bureau on metaverse-related activities, with a focus on developing deliverables that ensure interoperability and can be applied to the relevant applications and services of other </w:t>
      </w:r>
      <w:proofErr w:type="gramStart"/>
      <w:r w:rsidRPr="008826D5">
        <w:rPr>
          <w:lang w:val="en-GB"/>
        </w:rPr>
        <w:t>sectors;</w:t>
      </w:r>
      <w:proofErr w:type="gramEnd"/>
    </w:p>
    <w:p w14:paraId="488D6EE1" w14:textId="77777777" w:rsidR="008826D5" w:rsidRPr="008826D5" w:rsidRDefault="008826D5" w:rsidP="008826D5">
      <w:pPr>
        <w:rPr>
          <w:lang w:val="en-GB"/>
        </w:rPr>
      </w:pPr>
      <w:r w:rsidRPr="008826D5">
        <w:rPr>
          <w:lang w:val="en-GB"/>
        </w:rPr>
        <w:t>2</w:t>
      </w:r>
      <w:r w:rsidRPr="008826D5">
        <w:rPr>
          <w:lang w:val="en-GB"/>
        </w:rPr>
        <w:tab/>
        <w:t>to ensure that the implementation of ITU</w:t>
      </w:r>
      <w:r w:rsidRPr="008826D5">
        <w:rPr>
          <w:lang w:val="en-GB"/>
        </w:rPr>
        <w:noBreakHyphen/>
        <w:t>T Recommendations, technical reports and guidelines related to metaverse is reflected in Telecommunication Standardization Bureau initiatives on bridging the standardization gap aimed at assisting developing countries</w:t>
      </w:r>
      <w:r w:rsidRPr="008826D5">
        <w:rPr>
          <w:rStyle w:val="FootnoteReference"/>
          <w:szCs w:val="24"/>
          <w:lang w:val="en-GB"/>
        </w:rPr>
        <w:footnoteReference w:customMarkFollows="1" w:id="1"/>
        <w:t>1</w:t>
      </w:r>
      <w:r w:rsidRPr="008826D5">
        <w:rPr>
          <w:lang w:val="en-GB"/>
        </w:rPr>
        <w:t>;</w:t>
      </w:r>
    </w:p>
    <w:p w14:paraId="74E3790A" w14:textId="77777777" w:rsidR="008826D5" w:rsidRPr="008826D5" w:rsidRDefault="008826D5" w:rsidP="008826D5">
      <w:pPr>
        <w:rPr>
          <w:rFonts w:eastAsiaTheme="minorEastAsia"/>
          <w:szCs w:val="24"/>
          <w:lang w:val="en-GB" w:eastAsia="ko-KR"/>
        </w:rPr>
      </w:pPr>
      <w:r w:rsidRPr="008826D5">
        <w:rPr>
          <w:rFonts w:eastAsiaTheme="minorEastAsia"/>
          <w:szCs w:val="24"/>
          <w:lang w:val="en-GB" w:eastAsia="ko-KR"/>
        </w:rPr>
        <w:t>3</w:t>
      </w:r>
      <w:r w:rsidRPr="008826D5">
        <w:rPr>
          <w:rFonts w:eastAsiaTheme="minorEastAsia"/>
          <w:szCs w:val="24"/>
          <w:lang w:val="en-GB" w:eastAsia="ko-KR"/>
        </w:rPr>
        <w:tab/>
        <w:t>to encourage Member States, Sector Members, Associates and Academia to share information relating to metaverse standardization between relevant groups in ITU</w:t>
      </w:r>
      <w:r w:rsidRPr="008826D5">
        <w:rPr>
          <w:rFonts w:eastAsiaTheme="minorEastAsia"/>
          <w:szCs w:val="24"/>
          <w:lang w:val="en-GB" w:eastAsia="ko-KR"/>
        </w:rPr>
        <w:noBreakHyphen/>
        <w:t xml:space="preserve">T, the ITU Radiocommunication Sector and the ITU Telecommunication Development Sector, and to disseminate best practices on metaverse, including systems, applications and </w:t>
      </w:r>
      <w:proofErr w:type="gramStart"/>
      <w:r w:rsidRPr="008826D5">
        <w:rPr>
          <w:rFonts w:eastAsiaTheme="minorEastAsia"/>
          <w:szCs w:val="24"/>
          <w:lang w:val="en-GB" w:eastAsia="ko-KR"/>
        </w:rPr>
        <w:t>services;</w:t>
      </w:r>
      <w:proofErr w:type="gramEnd"/>
    </w:p>
    <w:p w14:paraId="55A76387" w14:textId="77777777" w:rsidR="008826D5" w:rsidRPr="008826D5" w:rsidRDefault="008826D5" w:rsidP="008826D5">
      <w:pPr>
        <w:rPr>
          <w:lang w:val="en-GB"/>
        </w:rPr>
      </w:pPr>
      <w:r w:rsidRPr="008826D5">
        <w:rPr>
          <w:lang w:val="en-GB"/>
        </w:rPr>
        <w:t>4</w:t>
      </w:r>
      <w:r w:rsidRPr="008826D5">
        <w:rPr>
          <w:lang w:val="en-GB"/>
        </w:rPr>
        <w:tab/>
        <w:t>within available resources, to organize workshops and forums, as appropriate, in collaboration with relevant SDOs and United Nations entities to gather inputs from a wide range of stakeholders, and to continue collaboration in the context of the ITU</w:t>
      </w:r>
      <w:r w:rsidRPr="008826D5">
        <w:rPr>
          <w:lang w:val="en-GB"/>
        </w:rPr>
        <w:noBreakHyphen/>
        <w:t xml:space="preserve">UNICC-Digital Dubai Global Initiative on Virtual Worlds – Discovering the </w:t>
      </w:r>
      <w:proofErr w:type="spellStart"/>
      <w:r w:rsidRPr="008826D5">
        <w:rPr>
          <w:lang w:val="en-GB"/>
        </w:rPr>
        <w:t>CitiVerse</w:t>
      </w:r>
      <w:proofErr w:type="spellEnd"/>
      <w:r w:rsidRPr="008826D5">
        <w:rPr>
          <w:lang w:val="en-GB"/>
        </w:rPr>
        <w:t xml:space="preserve">, which aims to foster open, interoperable, and secure virtual worlds for people, businesses and public </w:t>
      </w:r>
      <w:proofErr w:type="gramStart"/>
      <w:r w:rsidRPr="008826D5">
        <w:rPr>
          <w:lang w:val="en-GB"/>
        </w:rPr>
        <w:t>services;</w:t>
      </w:r>
      <w:proofErr w:type="gramEnd"/>
    </w:p>
    <w:p w14:paraId="11A2054B" w14:textId="77777777" w:rsidR="008826D5" w:rsidRPr="008826D5" w:rsidRDefault="008826D5" w:rsidP="008826D5">
      <w:pPr>
        <w:rPr>
          <w:lang w:val="en-GB"/>
        </w:rPr>
      </w:pPr>
      <w:r w:rsidRPr="008826D5">
        <w:rPr>
          <w:lang w:val="en-GB"/>
        </w:rPr>
        <w:t>5</w:t>
      </w:r>
      <w:r w:rsidRPr="008826D5">
        <w:rPr>
          <w:lang w:val="en-GB"/>
        </w:rPr>
        <w:tab/>
        <w:t xml:space="preserve">to report to the ITU Council and TSAG on the progress of the Global </w:t>
      </w:r>
      <w:proofErr w:type="gramStart"/>
      <w:r w:rsidRPr="008826D5">
        <w:rPr>
          <w:lang w:val="en-GB"/>
        </w:rPr>
        <w:t>Initiative;</w:t>
      </w:r>
      <w:proofErr w:type="gramEnd"/>
    </w:p>
    <w:p w14:paraId="0FB1BA28" w14:textId="77777777" w:rsidR="008826D5" w:rsidRPr="008826D5" w:rsidRDefault="008826D5" w:rsidP="008826D5">
      <w:pPr>
        <w:rPr>
          <w:lang w:val="en-GB"/>
        </w:rPr>
      </w:pPr>
      <w:r w:rsidRPr="008826D5">
        <w:rPr>
          <w:lang w:val="en-GB"/>
        </w:rPr>
        <w:t>6</w:t>
      </w:r>
      <w:r w:rsidRPr="008826D5">
        <w:rPr>
          <w:lang w:val="en-GB"/>
        </w:rPr>
        <w:tab/>
        <w:t xml:space="preserve">to provide the necessary assistance to foster standardization work on metaverse and to encourage participation and contributions from the ITU membership, in particular from developing countries and </w:t>
      </w:r>
      <w:proofErr w:type="gramStart"/>
      <w:r w:rsidRPr="008826D5">
        <w:rPr>
          <w:lang w:val="en-GB"/>
        </w:rPr>
        <w:t>SMEs;</w:t>
      </w:r>
      <w:proofErr w:type="gramEnd"/>
    </w:p>
    <w:p w14:paraId="303F54F1" w14:textId="77777777" w:rsidR="008826D5" w:rsidRPr="008826D5" w:rsidRDefault="008826D5" w:rsidP="008826D5">
      <w:pPr>
        <w:rPr>
          <w:lang w:val="en-GB"/>
        </w:rPr>
      </w:pPr>
      <w:r w:rsidRPr="008826D5">
        <w:rPr>
          <w:lang w:val="en-GB"/>
        </w:rPr>
        <w:t>7</w:t>
      </w:r>
      <w:r w:rsidRPr="008826D5">
        <w:rPr>
          <w:lang w:val="en-GB"/>
        </w:rPr>
        <w:tab/>
        <w:t>to report to the Council, TSAG and WTSA on progress in implementing this resolution,</w:t>
      </w:r>
    </w:p>
    <w:p w14:paraId="08AA752D" w14:textId="77777777" w:rsidR="008826D5" w:rsidRPr="008826D5" w:rsidRDefault="008826D5" w:rsidP="008826D5">
      <w:pPr>
        <w:rPr>
          <w:i/>
          <w:lang w:val="en-GB"/>
        </w:rPr>
      </w:pPr>
      <w:r w:rsidRPr="008826D5">
        <w:rPr>
          <w:lang w:val="en-GB"/>
        </w:rPr>
        <w:br w:type="page"/>
      </w:r>
    </w:p>
    <w:p w14:paraId="0E5DE7BD" w14:textId="77777777" w:rsidR="008826D5" w:rsidRPr="008826D5" w:rsidRDefault="008826D5" w:rsidP="008826D5">
      <w:pPr>
        <w:pStyle w:val="Call"/>
        <w:rPr>
          <w:lang w:val="en-GB"/>
        </w:rPr>
      </w:pPr>
      <w:r w:rsidRPr="008826D5">
        <w:rPr>
          <w:lang w:val="en-GB"/>
        </w:rPr>
        <w:lastRenderedPageBreak/>
        <w:t>instructs the relevant study groups of the ITU Telecommunication Standardization Sector, each within their mandate</w:t>
      </w:r>
    </w:p>
    <w:p w14:paraId="438FED77" w14:textId="77777777" w:rsidR="008826D5" w:rsidRPr="008826D5" w:rsidRDefault="008826D5" w:rsidP="008826D5">
      <w:pPr>
        <w:rPr>
          <w:lang w:val="en-GB"/>
        </w:rPr>
      </w:pPr>
      <w:r w:rsidRPr="008826D5">
        <w:rPr>
          <w:lang w:val="en-GB"/>
        </w:rPr>
        <w:t>1</w:t>
      </w:r>
      <w:r w:rsidRPr="008826D5">
        <w:rPr>
          <w:i/>
          <w:lang w:val="en-GB"/>
        </w:rPr>
        <w:tab/>
      </w:r>
      <w:r w:rsidRPr="008826D5">
        <w:rPr>
          <w:lang w:val="en-GB"/>
        </w:rPr>
        <w:t>to consider the deliverables developed by FG</w:t>
      </w:r>
      <w:r w:rsidRPr="008826D5">
        <w:rPr>
          <w:lang w:val="en-GB"/>
        </w:rPr>
        <w:noBreakHyphen/>
        <w:t xml:space="preserve">MV, taking into account the guidance from TSAG on conducting a gap analysis to scope the work and minimize overlap with other </w:t>
      </w:r>
      <w:proofErr w:type="gramStart"/>
      <w:r w:rsidRPr="008826D5">
        <w:rPr>
          <w:lang w:val="en-GB"/>
        </w:rPr>
        <w:t>SDOs;</w:t>
      </w:r>
      <w:proofErr w:type="gramEnd"/>
    </w:p>
    <w:p w14:paraId="0395C3BA" w14:textId="77777777" w:rsidR="008826D5" w:rsidRPr="008826D5" w:rsidRDefault="008826D5" w:rsidP="008826D5">
      <w:pPr>
        <w:rPr>
          <w:lang w:val="en-GB"/>
        </w:rPr>
      </w:pPr>
      <w:r w:rsidRPr="008826D5">
        <w:rPr>
          <w:lang w:val="en-GB"/>
        </w:rPr>
        <w:t>2</w:t>
      </w:r>
      <w:r w:rsidRPr="008826D5">
        <w:rPr>
          <w:i/>
          <w:lang w:val="en-GB"/>
        </w:rPr>
        <w:tab/>
      </w:r>
      <w:r w:rsidRPr="008826D5">
        <w:rPr>
          <w:lang w:val="en-GB"/>
        </w:rPr>
        <w:t xml:space="preserve">to undertake pre-standardization work as </w:t>
      </w:r>
      <w:proofErr w:type="gramStart"/>
      <w:r w:rsidRPr="008826D5">
        <w:rPr>
          <w:lang w:val="en-GB"/>
        </w:rPr>
        <w:t>necessary;</w:t>
      </w:r>
      <w:proofErr w:type="gramEnd"/>
    </w:p>
    <w:p w14:paraId="238273B7" w14:textId="77777777" w:rsidR="008826D5" w:rsidRPr="008826D5" w:rsidRDefault="008826D5" w:rsidP="008826D5">
      <w:pPr>
        <w:rPr>
          <w:lang w:val="en-GB"/>
        </w:rPr>
      </w:pPr>
      <w:r w:rsidRPr="008826D5">
        <w:rPr>
          <w:lang w:val="en-GB"/>
        </w:rPr>
        <w:t>3</w:t>
      </w:r>
      <w:r w:rsidRPr="008826D5">
        <w:rPr>
          <w:lang w:val="en-GB"/>
        </w:rPr>
        <w:tab/>
        <w:t xml:space="preserve">to develop standardization work, as appropriate to their respective study </w:t>
      </w:r>
      <w:proofErr w:type="gramStart"/>
      <w:r w:rsidRPr="008826D5">
        <w:rPr>
          <w:lang w:val="en-GB"/>
        </w:rPr>
        <w:t>Questions;</w:t>
      </w:r>
      <w:proofErr w:type="gramEnd"/>
    </w:p>
    <w:p w14:paraId="5E9DEF59" w14:textId="77777777" w:rsidR="008826D5" w:rsidRPr="008826D5" w:rsidRDefault="008826D5" w:rsidP="008826D5">
      <w:pPr>
        <w:rPr>
          <w:lang w:val="en-GB"/>
        </w:rPr>
      </w:pPr>
      <w:r w:rsidRPr="008826D5">
        <w:rPr>
          <w:lang w:val="en-GB"/>
        </w:rPr>
        <w:t>4</w:t>
      </w:r>
      <w:r w:rsidRPr="008826D5">
        <w:rPr>
          <w:lang w:val="en-GB"/>
        </w:rPr>
        <w:tab/>
        <w:t>to study metaverse-related standardization work, taking into consideration the need for interoperability between different metaverse applications, systems and services,</w:t>
      </w:r>
    </w:p>
    <w:p w14:paraId="6BF40830" w14:textId="77777777" w:rsidR="008826D5" w:rsidRPr="008826D5" w:rsidRDefault="008826D5" w:rsidP="008826D5">
      <w:pPr>
        <w:pStyle w:val="Call"/>
        <w:rPr>
          <w:lang w:val="en-GB"/>
        </w:rPr>
      </w:pPr>
      <w:r w:rsidRPr="008826D5">
        <w:rPr>
          <w:lang w:val="en-GB"/>
        </w:rPr>
        <w:t>invites Member States, Sector Members, Associates and Academia</w:t>
      </w:r>
    </w:p>
    <w:p w14:paraId="0BEB17FF" w14:textId="77777777" w:rsidR="008826D5" w:rsidRPr="008826D5" w:rsidRDefault="008826D5" w:rsidP="008826D5">
      <w:pPr>
        <w:rPr>
          <w:rFonts w:eastAsiaTheme="minorEastAsia"/>
          <w:lang w:val="en-GB" w:eastAsia="ko-KR"/>
        </w:rPr>
      </w:pPr>
      <w:r w:rsidRPr="008826D5">
        <w:rPr>
          <w:lang w:val="en-GB"/>
        </w:rPr>
        <w:t>1</w:t>
      </w:r>
      <w:r w:rsidRPr="008826D5">
        <w:rPr>
          <w:lang w:val="en-GB"/>
        </w:rPr>
        <w:tab/>
      </w:r>
      <w:r w:rsidRPr="008826D5">
        <w:rPr>
          <w:rFonts w:eastAsiaTheme="minorEastAsia"/>
          <w:lang w:val="en-GB" w:eastAsia="ko-KR"/>
        </w:rPr>
        <w:t>to assist ITU</w:t>
      </w:r>
      <w:r w:rsidRPr="008826D5">
        <w:rPr>
          <w:rFonts w:eastAsiaTheme="minorEastAsia"/>
          <w:lang w:val="en-GB" w:eastAsia="ko-KR"/>
        </w:rPr>
        <w:noBreakHyphen/>
        <w:t xml:space="preserve">T in implementing this </w:t>
      </w:r>
      <w:proofErr w:type="gramStart"/>
      <w:r w:rsidRPr="008826D5">
        <w:rPr>
          <w:rFonts w:eastAsiaTheme="minorEastAsia"/>
          <w:lang w:val="en-GB" w:eastAsia="ko-KR"/>
        </w:rPr>
        <w:t>resolution;</w:t>
      </w:r>
      <w:proofErr w:type="gramEnd"/>
    </w:p>
    <w:p w14:paraId="55043D2B" w14:textId="77777777" w:rsidR="008826D5" w:rsidRPr="008826D5" w:rsidRDefault="008826D5" w:rsidP="008826D5">
      <w:pPr>
        <w:rPr>
          <w:rFonts w:eastAsiaTheme="minorEastAsia"/>
          <w:lang w:val="en-GB" w:eastAsia="ko-KR"/>
        </w:rPr>
      </w:pPr>
      <w:r w:rsidRPr="008826D5">
        <w:rPr>
          <w:lang w:val="en-GB"/>
        </w:rPr>
        <w:t>2</w:t>
      </w:r>
      <w:r w:rsidRPr="008826D5">
        <w:rPr>
          <w:i/>
          <w:iCs/>
          <w:lang w:val="en-GB"/>
        </w:rPr>
        <w:tab/>
      </w:r>
      <w:r w:rsidRPr="008826D5">
        <w:rPr>
          <w:lang w:val="en-GB"/>
        </w:rPr>
        <w:t>to submit contributions and continue participating actively in the standardization work of all ITU</w:t>
      </w:r>
      <w:r w:rsidRPr="008826D5">
        <w:rPr>
          <w:lang w:val="en-GB"/>
        </w:rPr>
        <w:noBreakHyphen/>
        <w:t xml:space="preserve">T study groups </w:t>
      </w:r>
      <w:r w:rsidRPr="008826D5">
        <w:rPr>
          <w:rFonts w:eastAsiaTheme="minorEastAsia"/>
          <w:lang w:val="en-GB" w:eastAsia="ko-KR"/>
        </w:rPr>
        <w:t xml:space="preserve">and in ITU's metaverse-related </w:t>
      </w:r>
      <w:proofErr w:type="gramStart"/>
      <w:r w:rsidRPr="008826D5">
        <w:rPr>
          <w:rFonts w:eastAsiaTheme="minorEastAsia"/>
          <w:lang w:val="en-GB" w:eastAsia="ko-KR"/>
        </w:rPr>
        <w:t>activities;</w:t>
      </w:r>
      <w:proofErr w:type="gramEnd"/>
    </w:p>
    <w:p w14:paraId="1EAB88EB" w14:textId="77777777" w:rsidR="008826D5" w:rsidRPr="008826D5" w:rsidRDefault="008826D5" w:rsidP="008826D5">
      <w:pPr>
        <w:rPr>
          <w:lang w:val="en-GB"/>
        </w:rPr>
      </w:pPr>
      <w:r w:rsidRPr="008826D5">
        <w:rPr>
          <w:color w:val="000000" w:themeColor="text1"/>
          <w:lang w:val="en-GB" w:eastAsia="ko-KR"/>
        </w:rPr>
        <w:t>3</w:t>
      </w:r>
      <w:r w:rsidRPr="008826D5">
        <w:rPr>
          <w:color w:val="000000" w:themeColor="text1"/>
          <w:lang w:val="en-GB" w:eastAsia="ko-KR"/>
        </w:rPr>
        <w:tab/>
      </w:r>
      <w:r w:rsidRPr="008826D5">
        <w:rPr>
          <w:lang w:val="en-GB"/>
        </w:rPr>
        <w:t xml:space="preserve">to share use cases and best practices in order to promote metaverse and social development and economic growth with a view to achieving the </w:t>
      </w:r>
      <w:proofErr w:type="gramStart"/>
      <w:r w:rsidRPr="008826D5">
        <w:rPr>
          <w:lang w:val="en-GB"/>
        </w:rPr>
        <w:t>SDGs;</w:t>
      </w:r>
      <w:proofErr w:type="gramEnd"/>
    </w:p>
    <w:p w14:paraId="35B0613C" w14:textId="77777777" w:rsidR="008826D5" w:rsidRPr="008826D5" w:rsidRDefault="008826D5" w:rsidP="008826D5">
      <w:pPr>
        <w:rPr>
          <w:lang w:val="en-GB" w:eastAsia="ja-JP"/>
        </w:rPr>
      </w:pPr>
      <w:r w:rsidRPr="008826D5">
        <w:rPr>
          <w:lang w:val="en-GB"/>
        </w:rPr>
        <w:t>4</w:t>
      </w:r>
      <w:r w:rsidRPr="008826D5">
        <w:rPr>
          <w:lang w:val="en-GB"/>
        </w:rPr>
        <w:tab/>
      </w:r>
      <w:r w:rsidRPr="008826D5">
        <w:rPr>
          <w:lang w:val="en-GB" w:eastAsia="ja-JP"/>
        </w:rPr>
        <w:t xml:space="preserve">to encourage the active participation of interested and relevant SMEs and vertical industries in the relevant metaverse activities of </w:t>
      </w:r>
      <w:proofErr w:type="gramStart"/>
      <w:r w:rsidRPr="008826D5">
        <w:rPr>
          <w:lang w:val="en-GB" w:eastAsia="ja-JP"/>
        </w:rPr>
        <w:t>ITU;</w:t>
      </w:r>
      <w:proofErr w:type="gramEnd"/>
    </w:p>
    <w:p w14:paraId="4A8F07AC" w14:textId="77777777" w:rsidR="008826D5" w:rsidRPr="008826D5" w:rsidRDefault="008826D5" w:rsidP="008826D5">
      <w:pPr>
        <w:rPr>
          <w:lang w:val="en-GB"/>
        </w:rPr>
      </w:pPr>
      <w:r w:rsidRPr="008826D5">
        <w:rPr>
          <w:lang w:val="en-GB"/>
        </w:rPr>
        <w:t>5</w:t>
      </w:r>
      <w:r w:rsidRPr="008826D5">
        <w:rPr>
          <w:lang w:val="en-GB"/>
        </w:rPr>
        <w:tab/>
        <w:t>to contribute to discussions on new challenges for metaverse-enabling technologies and on how those technologies may contribute to the achievement of the 2030 Agenda for Sustainable Development within the mandate of the Union.</w:t>
      </w:r>
    </w:p>
    <w:p w14:paraId="5AC20102" w14:textId="77777777" w:rsidR="008826D5" w:rsidRPr="008826D5" w:rsidRDefault="008826D5" w:rsidP="008826D5">
      <w:pPr>
        <w:rPr>
          <w:lang w:val="en-GB"/>
        </w:rPr>
      </w:pPr>
    </w:p>
    <w:p w14:paraId="682BEF36" w14:textId="77777777" w:rsidR="002451C3" w:rsidRDefault="002451C3" w:rsidP="00880DC7">
      <w:pPr>
        <w:rPr>
          <w:lang w:val="en-GB"/>
        </w:rPr>
      </w:pPr>
    </w:p>
    <w:p w14:paraId="32FDA590" w14:textId="77777777" w:rsidR="00310139" w:rsidRDefault="00310139" w:rsidP="00880DC7">
      <w:pPr>
        <w:rPr>
          <w:lang w:val="en-GB"/>
        </w:rPr>
      </w:pPr>
    </w:p>
    <w:p w14:paraId="14076E9A" w14:textId="77777777" w:rsidR="00310139" w:rsidRDefault="00310139" w:rsidP="00880DC7">
      <w:pPr>
        <w:rPr>
          <w:lang w:val="en-GB"/>
        </w:rPr>
      </w:pPr>
    </w:p>
    <w:p w14:paraId="59120EF7" w14:textId="77777777" w:rsidR="00310139" w:rsidRDefault="00310139" w:rsidP="00880DC7">
      <w:pPr>
        <w:rPr>
          <w:lang w:val="en-GB"/>
        </w:rPr>
      </w:pPr>
    </w:p>
    <w:p w14:paraId="72DA99BB" w14:textId="77777777" w:rsidR="00310139" w:rsidRDefault="00310139" w:rsidP="00880DC7">
      <w:pPr>
        <w:rPr>
          <w:lang w:val="en-GB"/>
        </w:rPr>
      </w:pPr>
    </w:p>
    <w:p w14:paraId="3368FB5E" w14:textId="77777777" w:rsidR="00310139" w:rsidRDefault="00310139" w:rsidP="00880DC7">
      <w:pPr>
        <w:rPr>
          <w:lang w:val="en-GB"/>
        </w:rPr>
      </w:pPr>
    </w:p>
    <w:p w14:paraId="080F946D" w14:textId="77777777" w:rsidR="00310139" w:rsidRDefault="00310139" w:rsidP="00880DC7">
      <w:pPr>
        <w:rPr>
          <w:lang w:val="en-GB"/>
        </w:rPr>
      </w:pPr>
    </w:p>
    <w:sectPr w:rsidR="00310139"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CD366" w14:textId="77777777" w:rsidR="001A6B2D" w:rsidRDefault="001A6B2D">
      <w:r>
        <w:separator/>
      </w:r>
    </w:p>
  </w:endnote>
  <w:endnote w:type="continuationSeparator" w:id="0">
    <w:p w14:paraId="1E0A8D5F" w14:textId="77777777" w:rsidR="001A6B2D" w:rsidRDefault="001A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5D04E" w14:textId="77777777" w:rsidR="000D1CBD" w:rsidRDefault="000D1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A0C6B" w14:textId="77777777" w:rsidR="000D1CBD" w:rsidRDefault="000D1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9E20A" w14:textId="77777777" w:rsidR="000D1CBD" w:rsidRDefault="000D1C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5F836DF4"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0C074F">
      <w:rPr>
        <w:noProof/>
        <w:lang w:val="en-US"/>
      </w:rPr>
      <w:t>105</w:t>
    </w:r>
    <w:r w:rsidR="000D1CBD">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2D0D799D" w:rsidR="00AA1264" w:rsidRPr="00D50046" w:rsidRDefault="00D50046" w:rsidP="00D50046">
    <w:pPr>
      <w:pStyle w:val="FooterQP"/>
      <w:rPr>
        <w:lang w:val="en-US"/>
      </w:rPr>
    </w:pPr>
    <w:r>
      <w:rPr>
        <w:lang w:val="en-US"/>
      </w:rPr>
      <w:tab/>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0C074F">
      <w:rPr>
        <w:noProof/>
        <w:lang w:val="en-US"/>
      </w:rPr>
      <w:t>105</w:t>
    </w:r>
    <w:r w:rsidR="000D1CBD">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233A7F4A" w:rsidR="00A4766C" w:rsidRPr="00A4766C" w:rsidRDefault="00A4766C" w:rsidP="00D50046">
    <w:pPr>
      <w:pStyle w:val="FooterQP"/>
      <w:rPr>
        <w:lang w:val="en-US"/>
      </w:rPr>
    </w:pPr>
    <w:r>
      <w:rPr>
        <w:lang w:val="en-US"/>
      </w:rPr>
      <w:tab/>
    </w:r>
    <w:r>
      <w:rPr>
        <w:lang w:val="en-US"/>
      </w:rPr>
      <w:tab/>
      <w:t>WTSA-</w:t>
    </w:r>
    <w:r w:rsidR="00FE715C">
      <w:rPr>
        <w:lang w:val="en-US"/>
      </w:rPr>
      <w:t>2</w:t>
    </w:r>
    <w:r w:rsidR="00EA2A26">
      <w:rPr>
        <w:lang w:val="en-US"/>
      </w:rPr>
      <w:t>4</w:t>
    </w:r>
    <w:r>
      <w:rPr>
        <w:lang w:val="en-US"/>
      </w:rPr>
      <w:t xml:space="preserve"> – Resolution </w:t>
    </w:r>
    <w:r>
      <w:fldChar w:fldCharType="begin"/>
    </w:r>
    <w:r>
      <w:rPr>
        <w:lang w:val="en-US"/>
      </w:rPr>
      <w:instrText>styleref href</w:instrText>
    </w:r>
    <w:r>
      <w:fldChar w:fldCharType="separate"/>
    </w:r>
    <w:r w:rsidR="000C074F">
      <w:rPr>
        <w:noProof/>
        <w:lang w:val="en-US"/>
      </w:rPr>
      <w:t>105</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45CB6" w14:textId="77777777" w:rsidR="001A6B2D" w:rsidRDefault="001A6B2D">
      <w:r>
        <w:t>____________________</w:t>
      </w:r>
    </w:p>
  </w:footnote>
  <w:footnote w:type="continuationSeparator" w:id="0">
    <w:p w14:paraId="0DB943FD" w14:textId="77777777" w:rsidR="001A6B2D" w:rsidRDefault="001A6B2D">
      <w:r>
        <w:continuationSeparator/>
      </w:r>
    </w:p>
  </w:footnote>
  <w:footnote w:id="1">
    <w:p w14:paraId="6C263942" w14:textId="77777777" w:rsidR="008826D5" w:rsidRPr="008826D5" w:rsidRDefault="008826D5" w:rsidP="008826D5">
      <w:pPr>
        <w:pStyle w:val="FootnoteText"/>
        <w:rPr>
          <w:lang w:val="en-GB"/>
        </w:rPr>
      </w:pPr>
      <w:r w:rsidRPr="008826D5">
        <w:rPr>
          <w:rStyle w:val="FootnoteReference"/>
          <w:lang w:val="en-GB"/>
        </w:rPr>
        <w:t>1</w:t>
      </w:r>
      <w:r w:rsidRPr="008826D5">
        <w:rPr>
          <w:lang w:val="en-GB"/>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93857" w14:textId="77777777" w:rsidR="000D1CBD" w:rsidRDefault="000D1C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45F76"/>
    <w:rsid w:val="000541A8"/>
    <w:rsid w:val="00064C52"/>
    <w:rsid w:val="00084CC4"/>
    <w:rsid w:val="00087AFB"/>
    <w:rsid w:val="00093F2C"/>
    <w:rsid w:val="000B071B"/>
    <w:rsid w:val="000B47CD"/>
    <w:rsid w:val="000B5A36"/>
    <w:rsid w:val="000C074F"/>
    <w:rsid w:val="000C22AE"/>
    <w:rsid w:val="000D1CBD"/>
    <w:rsid w:val="000D378F"/>
    <w:rsid w:val="000D3CE4"/>
    <w:rsid w:val="000D5219"/>
    <w:rsid w:val="000D6DAE"/>
    <w:rsid w:val="000E4393"/>
    <w:rsid w:val="000F35E0"/>
    <w:rsid w:val="00106FAB"/>
    <w:rsid w:val="00110377"/>
    <w:rsid w:val="001108C2"/>
    <w:rsid w:val="00117D80"/>
    <w:rsid w:val="001309FB"/>
    <w:rsid w:val="0013728F"/>
    <w:rsid w:val="00154098"/>
    <w:rsid w:val="00155126"/>
    <w:rsid w:val="00167BFE"/>
    <w:rsid w:val="001726A1"/>
    <w:rsid w:val="00173F88"/>
    <w:rsid w:val="001762A1"/>
    <w:rsid w:val="001A3B9B"/>
    <w:rsid w:val="001A6B2D"/>
    <w:rsid w:val="001A731D"/>
    <w:rsid w:val="001B4A76"/>
    <w:rsid w:val="001B7EDA"/>
    <w:rsid w:val="001C5240"/>
    <w:rsid w:val="001C604C"/>
    <w:rsid w:val="001D787F"/>
    <w:rsid w:val="001E034B"/>
    <w:rsid w:val="001F3813"/>
    <w:rsid w:val="001F4757"/>
    <w:rsid w:val="0020756B"/>
    <w:rsid w:val="002178BA"/>
    <w:rsid w:val="002204D5"/>
    <w:rsid w:val="002210D5"/>
    <w:rsid w:val="00227040"/>
    <w:rsid w:val="00235304"/>
    <w:rsid w:val="00237B40"/>
    <w:rsid w:val="002451C3"/>
    <w:rsid w:val="002462EF"/>
    <w:rsid w:val="00246C17"/>
    <w:rsid w:val="002506CC"/>
    <w:rsid w:val="002742C3"/>
    <w:rsid w:val="002768B4"/>
    <w:rsid w:val="002B6530"/>
    <w:rsid w:val="002B768D"/>
    <w:rsid w:val="002C182C"/>
    <w:rsid w:val="002D5607"/>
    <w:rsid w:val="002E1B7B"/>
    <w:rsid w:val="002E6A20"/>
    <w:rsid w:val="00310139"/>
    <w:rsid w:val="0031766C"/>
    <w:rsid w:val="00327797"/>
    <w:rsid w:val="0033029C"/>
    <w:rsid w:val="00331B2F"/>
    <w:rsid w:val="00333C0C"/>
    <w:rsid w:val="003374BB"/>
    <w:rsid w:val="003468A3"/>
    <w:rsid w:val="00347F93"/>
    <w:rsid w:val="0035222D"/>
    <w:rsid w:val="00362E61"/>
    <w:rsid w:val="00376E6C"/>
    <w:rsid w:val="0038237B"/>
    <w:rsid w:val="003878EC"/>
    <w:rsid w:val="003956EC"/>
    <w:rsid w:val="003975E9"/>
    <w:rsid w:val="003C21D1"/>
    <w:rsid w:val="003C3FD9"/>
    <w:rsid w:val="003D116F"/>
    <w:rsid w:val="003D6362"/>
    <w:rsid w:val="003D7A8C"/>
    <w:rsid w:val="003F1DB8"/>
    <w:rsid w:val="003F293E"/>
    <w:rsid w:val="003F454F"/>
    <w:rsid w:val="00402B77"/>
    <w:rsid w:val="00426BCB"/>
    <w:rsid w:val="00447527"/>
    <w:rsid w:val="004568D2"/>
    <w:rsid w:val="004612A7"/>
    <w:rsid w:val="00462F6A"/>
    <w:rsid w:val="00466277"/>
    <w:rsid w:val="00467305"/>
    <w:rsid w:val="00475E04"/>
    <w:rsid w:val="0048772A"/>
    <w:rsid w:val="004922F4"/>
    <w:rsid w:val="004A0C82"/>
    <w:rsid w:val="004A58A4"/>
    <w:rsid w:val="004B7CB1"/>
    <w:rsid w:val="004C0A9D"/>
    <w:rsid w:val="004D34E3"/>
    <w:rsid w:val="004E12C9"/>
    <w:rsid w:val="004F2E56"/>
    <w:rsid w:val="004F32A2"/>
    <w:rsid w:val="004F58B0"/>
    <w:rsid w:val="005008B2"/>
    <w:rsid w:val="00501F47"/>
    <w:rsid w:val="00504D1F"/>
    <w:rsid w:val="00510BA8"/>
    <w:rsid w:val="005111F4"/>
    <w:rsid w:val="0051138F"/>
    <w:rsid w:val="00524FB2"/>
    <w:rsid w:val="005325E3"/>
    <w:rsid w:val="0053765D"/>
    <w:rsid w:val="005569CA"/>
    <w:rsid w:val="0055722F"/>
    <w:rsid w:val="00562EF2"/>
    <w:rsid w:val="00574CFF"/>
    <w:rsid w:val="00580A1C"/>
    <w:rsid w:val="005A5015"/>
    <w:rsid w:val="005D01E1"/>
    <w:rsid w:val="005D1D45"/>
    <w:rsid w:val="005D373F"/>
    <w:rsid w:val="005D5226"/>
    <w:rsid w:val="00601999"/>
    <w:rsid w:val="006038D8"/>
    <w:rsid w:val="0061154B"/>
    <w:rsid w:val="00611CD0"/>
    <w:rsid w:val="00631549"/>
    <w:rsid w:val="00632F08"/>
    <w:rsid w:val="006425B4"/>
    <w:rsid w:val="006452F7"/>
    <w:rsid w:val="00653C1B"/>
    <w:rsid w:val="006574F2"/>
    <w:rsid w:val="00664B8D"/>
    <w:rsid w:val="00665F6E"/>
    <w:rsid w:val="006678D7"/>
    <w:rsid w:val="00667C83"/>
    <w:rsid w:val="00672358"/>
    <w:rsid w:val="006813D9"/>
    <w:rsid w:val="006824D9"/>
    <w:rsid w:val="00684F2B"/>
    <w:rsid w:val="00693D4F"/>
    <w:rsid w:val="00697D23"/>
    <w:rsid w:val="006B0459"/>
    <w:rsid w:val="006B5987"/>
    <w:rsid w:val="006B6BD9"/>
    <w:rsid w:val="006C2C81"/>
    <w:rsid w:val="006D1ED4"/>
    <w:rsid w:val="006E13C5"/>
    <w:rsid w:val="006E25D3"/>
    <w:rsid w:val="00706D36"/>
    <w:rsid w:val="00707551"/>
    <w:rsid w:val="007116DC"/>
    <w:rsid w:val="00712791"/>
    <w:rsid w:val="0071403C"/>
    <w:rsid w:val="00717E4B"/>
    <w:rsid w:val="00720F3C"/>
    <w:rsid w:val="00726747"/>
    <w:rsid w:val="0074102F"/>
    <w:rsid w:val="007420DB"/>
    <w:rsid w:val="00743214"/>
    <w:rsid w:val="007550BF"/>
    <w:rsid w:val="007604BC"/>
    <w:rsid w:val="0076138E"/>
    <w:rsid w:val="00780240"/>
    <w:rsid w:val="00780423"/>
    <w:rsid w:val="00781E25"/>
    <w:rsid w:val="00783EB8"/>
    <w:rsid w:val="007958DD"/>
    <w:rsid w:val="007C2680"/>
    <w:rsid w:val="007D05BA"/>
    <w:rsid w:val="007E0240"/>
    <w:rsid w:val="007E16BE"/>
    <w:rsid w:val="007F32A3"/>
    <w:rsid w:val="008075CD"/>
    <w:rsid w:val="00812C00"/>
    <w:rsid w:val="008137FA"/>
    <w:rsid w:val="00821A49"/>
    <w:rsid w:val="008305DC"/>
    <w:rsid w:val="008354D2"/>
    <w:rsid w:val="00837339"/>
    <w:rsid w:val="00845E8E"/>
    <w:rsid w:val="00851E30"/>
    <w:rsid w:val="0086130D"/>
    <w:rsid w:val="008756CA"/>
    <w:rsid w:val="00880DC7"/>
    <w:rsid w:val="008826D5"/>
    <w:rsid w:val="0088751E"/>
    <w:rsid w:val="00890FC7"/>
    <w:rsid w:val="00892885"/>
    <w:rsid w:val="00894BC6"/>
    <w:rsid w:val="008968B6"/>
    <w:rsid w:val="008A4E91"/>
    <w:rsid w:val="008B4CF6"/>
    <w:rsid w:val="008C2E41"/>
    <w:rsid w:val="008C7FC3"/>
    <w:rsid w:val="008D6223"/>
    <w:rsid w:val="008D6D8D"/>
    <w:rsid w:val="008D7C48"/>
    <w:rsid w:val="008E18AA"/>
    <w:rsid w:val="008F341F"/>
    <w:rsid w:val="00901958"/>
    <w:rsid w:val="009055E3"/>
    <w:rsid w:val="00905B41"/>
    <w:rsid w:val="00906DF3"/>
    <w:rsid w:val="00916468"/>
    <w:rsid w:val="009166F1"/>
    <w:rsid w:val="009219DE"/>
    <w:rsid w:val="0092650E"/>
    <w:rsid w:val="00931C08"/>
    <w:rsid w:val="00931EE1"/>
    <w:rsid w:val="009330E7"/>
    <w:rsid w:val="00934946"/>
    <w:rsid w:val="009423EF"/>
    <w:rsid w:val="009452F3"/>
    <w:rsid w:val="0095090C"/>
    <w:rsid w:val="0096681E"/>
    <w:rsid w:val="00974C0C"/>
    <w:rsid w:val="009755D7"/>
    <w:rsid w:val="00980416"/>
    <w:rsid w:val="009C2357"/>
    <w:rsid w:val="009C7DD4"/>
    <w:rsid w:val="009D10A5"/>
    <w:rsid w:val="009D26AE"/>
    <w:rsid w:val="009E1DCF"/>
    <w:rsid w:val="009E77D8"/>
    <w:rsid w:val="009F7009"/>
    <w:rsid w:val="00A01A91"/>
    <w:rsid w:val="00A069E9"/>
    <w:rsid w:val="00A06A7C"/>
    <w:rsid w:val="00A24E9A"/>
    <w:rsid w:val="00A26B1A"/>
    <w:rsid w:val="00A3085D"/>
    <w:rsid w:val="00A419BA"/>
    <w:rsid w:val="00A4766C"/>
    <w:rsid w:val="00A65D98"/>
    <w:rsid w:val="00A77112"/>
    <w:rsid w:val="00A82A12"/>
    <w:rsid w:val="00A83D3D"/>
    <w:rsid w:val="00AA1264"/>
    <w:rsid w:val="00AA2D89"/>
    <w:rsid w:val="00AA3A93"/>
    <w:rsid w:val="00AC4AF1"/>
    <w:rsid w:val="00AD0EBA"/>
    <w:rsid w:val="00AE4C26"/>
    <w:rsid w:val="00AF7A71"/>
    <w:rsid w:val="00B150A9"/>
    <w:rsid w:val="00B20B99"/>
    <w:rsid w:val="00B223AE"/>
    <w:rsid w:val="00B23929"/>
    <w:rsid w:val="00B241C9"/>
    <w:rsid w:val="00B2784D"/>
    <w:rsid w:val="00B2792D"/>
    <w:rsid w:val="00B3059C"/>
    <w:rsid w:val="00B33CAA"/>
    <w:rsid w:val="00B50CB4"/>
    <w:rsid w:val="00B50D4E"/>
    <w:rsid w:val="00B50F17"/>
    <w:rsid w:val="00B56BC0"/>
    <w:rsid w:val="00B64111"/>
    <w:rsid w:val="00B64A41"/>
    <w:rsid w:val="00B67290"/>
    <w:rsid w:val="00B73379"/>
    <w:rsid w:val="00B73B62"/>
    <w:rsid w:val="00B91FDC"/>
    <w:rsid w:val="00B92804"/>
    <w:rsid w:val="00BA120C"/>
    <w:rsid w:val="00BB34EA"/>
    <w:rsid w:val="00BE58E6"/>
    <w:rsid w:val="00BF4E62"/>
    <w:rsid w:val="00BF610E"/>
    <w:rsid w:val="00C05E08"/>
    <w:rsid w:val="00C12E70"/>
    <w:rsid w:val="00C32F69"/>
    <w:rsid w:val="00C42785"/>
    <w:rsid w:val="00C64078"/>
    <w:rsid w:val="00C706FC"/>
    <w:rsid w:val="00C72AF4"/>
    <w:rsid w:val="00C77514"/>
    <w:rsid w:val="00C84984"/>
    <w:rsid w:val="00C90C0E"/>
    <w:rsid w:val="00C9125E"/>
    <w:rsid w:val="00CB7F83"/>
    <w:rsid w:val="00CD10C2"/>
    <w:rsid w:val="00CD3865"/>
    <w:rsid w:val="00CE767E"/>
    <w:rsid w:val="00CF024D"/>
    <w:rsid w:val="00CF3971"/>
    <w:rsid w:val="00D13205"/>
    <w:rsid w:val="00D15E51"/>
    <w:rsid w:val="00D20887"/>
    <w:rsid w:val="00D26ECC"/>
    <w:rsid w:val="00D4292A"/>
    <w:rsid w:val="00D43775"/>
    <w:rsid w:val="00D439CF"/>
    <w:rsid w:val="00D457B6"/>
    <w:rsid w:val="00D50046"/>
    <w:rsid w:val="00D5430D"/>
    <w:rsid w:val="00D54881"/>
    <w:rsid w:val="00D66950"/>
    <w:rsid w:val="00D76D88"/>
    <w:rsid w:val="00D8497D"/>
    <w:rsid w:val="00D94D9E"/>
    <w:rsid w:val="00DA7D60"/>
    <w:rsid w:val="00DB15EA"/>
    <w:rsid w:val="00DB201E"/>
    <w:rsid w:val="00DB2AF8"/>
    <w:rsid w:val="00DB4C1B"/>
    <w:rsid w:val="00DB5592"/>
    <w:rsid w:val="00DB58AC"/>
    <w:rsid w:val="00DC0E45"/>
    <w:rsid w:val="00DC0FE1"/>
    <w:rsid w:val="00DE25F7"/>
    <w:rsid w:val="00DE36C2"/>
    <w:rsid w:val="00DE48B4"/>
    <w:rsid w:val="00DF6304"/>
    <w:rsid w:val="00E03ABC"/>
    <w:rsid w:val="00E1221A"/>
    <w:rsid w:val="00E12E0E"/>
    <w:rsid w:val="00E154E2"/>
    <w:rsid w:val="00E20918"/>
    <w:rsid w:val="00E300EC"/>
    <w:rsid w:val="00E51820"/>
    <w:rsid w:val="00E56BAB"/>
    <w:rsid w:val="00E63996"/>
    <w:rsid w:val="00E67297"/>
    <w:rsid w:val="00E758D6"/>
    <w:rsid w:val="00E8144B"/>
    <w:rsid w:val="00E82452"/>
    <w:rsid w:val="00E83C1C"/>
    <w:rsid w:val="00E929AB"/>
    <w:rsid w:val="00E96B11"/>
    <w:rsid w:val="00E96C27"/>
    <w:rsid w:val="00EA12A2"/>
    <w:rsid w:val="00EA2A26"/>
    <w:rsid w:val="00EB3556"/>
    <w:rsid w:val="00EE1126"/>
    <w:rsid w:val="00EE2FE2"/>
    <w:rsid w:val="00EE4B7A"/>
    <w:rsid w:val="00EE50B5"/>
    <w:rsid w:val="00EF574C"/>
    <w:rsid w:val="00F0099E"/>
    <w:rsid w:val="00F12607"/>
    <w:rsid w:val="00F12B7D"/>
    <w:rsid w:val="00F15F98"/>
    <w:rsid w:val="00F34748"/>
    <w:rsid w:val="00F4281C"/>
    <w:rsid w:val="00F435B9"/>
    <w:rsid w:val="00F46782"/>
    <w:rsid w:val="00F576B9"/>
    <w:rsid w:val="00F62655"/>
    <w:rsid w:val="00F67E96"/>
    <w:rsid w:val="00F71C39"/>
    <w:rsid w:val="00FA70B7"/>
    <w:rsid w:val="00FA7783"/>
    <w:rsid w:val="00FA7A27"/>
    <w:rsid w:val="00FC3FE7"/>
    <w:rsid w:val="00FD23A9"/>
    <w:rsid w:val="00FD74FC"/>
    <w:rsid w:val="00FE715C"/>
    <w:rsid w:val="00FF0521"/>
    <w:rsid w:val="00FF2798"/>
    <w:rsid w:val="00FF46B1"/>
    <w:rsid w:val="00FF638D"/>
    <w:rsid w:val="00FF73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1A8"/>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uiPriority w:val="99"/>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uiPriority w:val="99"/>
    <w:qFormat/>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uiPriority w:val="99"/>
    <w:rsid w:val="003374BB"/>
    <w:rPr>
      <w:b/>
      <w:sz w:val="28"/>
      <w:lang w:val="fr-FR" w:eastAsia="en-US" w:bidi="ar-SA"/>
    </w:rPr>
  </w:style>
  <w:style w:type="character" w:customStyle="1" w:styleId="ResNoChar">
    <w:name w:val="Res_No Char"/>
    <w:link w:val="ResNo"/>
    <w:uiPriority w:val="99"/>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uiPriority w:val="99"/>
    <w:rsid w:val="00DB2AF8"/>
    <w:pPr>
      <w:keepNext/>
      <w:keepLines/>
      <w:spacing w:before="480" w:after="80"/>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jc w:val="center"/>
    </w:pPr>
    <w:rPr>
      <w:caps/>
      <w:sz w:val="28"/>
      <w:lang w:val="en-GB"/>
    </w:rPr>
  </w:style>
  <w:style w:type="paragraph" w:customStyle="1" w:styleId="Appendixtitle">
    <w:name w:val="Appendix_title"/>
    <w:basedOn w:val="Normal"/>
    <w:next w:val="Normal"/>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510BA8"/>
    <w:rPr>
      <w:b/>
      <w:bCs/>
    </w:rPr>
  </w:style>
  <w:style w:type="character" w:customStyle="1" w:styleId="CommentTextChar">
    <w:name w:val="Comment Text Char"/>
    <w:basedOn w:val="DefaultParagraphFont"/>
    <w:link w:val="CommentText"/>
    <w:semiHidden/>
    <w:rsid w:val="00510BA8"/>
    <w:rPr>
      <w:rFonts w:ascii="Times New Roman" w:hAnsi="Times New Roman"/>
      <w:lang w:val="fr-FR" w:eastAsia="en-US"/>
    </w:rPr>
  </w:style>
  <w:style w:type="character" w:customStyle="1" w:styleId="CommentSubjectChar">
    <w:name w:val="Comment Subject Char"/>
    <w:basedOn w:val="CommentTextChar"/>
    <w:link w:val="CommentSubject"/>
    <w:semiHidden/>
    <w:rsid w:val="00510BA8"/>
    <w:rPr>
      <w:rFonts w:ascii="Times New Roman" w:hAnsi="Times New Roman"/>
      <w:b/>
      <w:bCs/>
      <w:lang w:val="fr-FR" w:eastAsia="en-US"/>
    </w:rPr>
  </w:style>
  <w:style w:type="paragraph" w:customStyle="1" w:styleId="Annextitle">
    <w:name w:val="Annex_title"/>
    <w:basedOn w:val="Normal"/>
    <w:next w:val="Normal"/>
    <w:uiPriority w:val="99"/>
    <w:rsid w:val="00110377"/>
    <w:pPr>
      <w:keepNext/>
      <w:keepLines/>
      <w:spacing w:before="240" w:after="280"/>
      <w:jc w:val="center"/>
    </w:pPr>
    <w:rPr>
      <w:rFonts w:ascii="Times New Roman Bold" w:hAnsi="Times New Roman Bold"/>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22</TotalTime>
  <Pages>7</Pages>
  <Words>1861</Words>
  <Characters>11406</Characters>
  <Application>Microsoft Office Word</Application>
  <DocSecurity>0</DocSecurity>
  <Lines>242</Lines>
  <Paragraphs>174</Paragraphs>
  <ScaleCrop>false</ScaleCrop>
  <HeadingPairs>
    <vt:vector size="2" baseType="variant">
      <vt:variant>
        <vt:lpstr>Title</vt:lpstr>
      </vt:variant>
      <vt:variant>
        <vt:i4>1</vt:i4>
      </vt:variant>
    </vt:vector>
  </HeadingPairs>
  <TitlesOfParts>
    <vt:vector size="1" baseType="lpstr">
      <vt:lpstr>Resolution 104 – Promoting and strengthening standardization activities for vehicular communications</vt:lpstr>
    </vt:vector>
  </TitlesOfParts>
  <Company>ITU</Company>
  <LinksUpToDate>false</LinksUpToDate>
  <CharactersWithSpaces>13093</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105 – Promoting and strengthening metaverse standardization</dc:title>
  <dc:subject>WORLD TELECOMMUNICATION STANDARDIZATION ASSEMBLY - Florianópolis, 5-14 October 2004</dc:subject>
  <dc:creator>ITU-T</dc:creator>
  <cp:keywords>WTSA-24 New Delhi, 15-24 October 2024</cp:keywords>
  <dc:description/>
  <cp:lastModifiedBy>Gachet, Christelle</cp:lastModifiedBy>
  <cp:revision>7</cp:revision>
  <cp:lastPrinted>2024-11-27T09:06:00Z</cp:lastPrinted>
  <dcterms:created xsi:type="dcterms:W3CDTF">2024-11-27T08:43:00Z</dcterms:created>
  <dcterms:modified xsi:type="dcterms:W3CDTF">2024-11-27T09:07:00Z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