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5E00EAAB" w:rsidR="003425B8" w:rsidRPr="00E224A1" w:rsidRDefault="003425B8" w:rsidP="00901F13">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C40F68">
        <w:t>10</w:t>
      </w:r>
      <w:r w:rsidR="00901F13">
        <w:t>4</w:t>
      </w:r>
      <w:r w:rsidRPr="00E224A1">
        <w:rPr>
          <w:rFonts w:hint="cs"/>
          <w:rtl/>
        </w:rPr>
        <w:t xml:space="preserve"> </w:t>
      </w:r>
      <w:r w:rsidRPr="00E224A1">
        <w:rPr>
          <w:lang w:val="en-GB"/>
        </w:rPr>
        <w:t>–</w:t>
      </w:r>
      <w:r w:rsidRPr="00E224A1">
        <w:rPr>
          <w:rFonts w:hint="cs"/>
          <w:rtl/>
        </w:rPr>
        <w:t xml:space="preserve"> </w:t>
      </w:r>
      <w:r w:rsidR="00901F13" w:rsidRPr="00901F13">
        <w:rPr>
          <w:rtl/>
        </w:rPr>
        <w:t>تشجيع وتعزيز أنشطة التقييس لاتصالات</w:t>
      </w:r>
      <w:r w:rsidR="00901F13">
        <w:rPr>
          <w:rFonts w:hint="cs"/>
          <w:rtl/>
        </w:rPr>
        <w:t> </w:t>
      </w:r>
      <w:r w:rsidR="00901F13" w:rsidRPr="00901F13">
        <w:rPr>
          <w:rtl/>
        </w:rPr>
        <w:t>المركبات</w:t>
      </w:r>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73CFF45"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C40F68">
        <w:rPr>
          <w:rStyle w:val="href"/>
        </w:rPr>
        <w:t>10</w:t>
      </w:r>
      <w:r w:rsidR="00901F13">
        <w:rPr>
          <w:rStyle w:val="href"/>
        </w:rPr>
        <w:t>4</w:t>
      </w:r>
      <w:r w:rsidRPr="002B66D2">
        <w:rPr>
          <w:rFonts w:hint="cs"/>
          <w:rtl/>
        </w:rPr>
        <w:t xml:space="preserve"> (المراجَع في نيودلهي، 2024)</w:t>
      </w:r>
      <w:bookmarkEnd w:id="4"/>
      <w:bookmarkEnd w:id="5"/>
    </w:p>
    <w:p w14:paraId="4C2463DA" w14:textId="15BEAB5D" w:rsidR="00AF6585" w:rsidRDefault="00901F13" w:rsidP="00901F13">
      <w:pPr>
        <w:pStyle w:val="Restitle"/>
      </w:pPr>
      <w:r w:rsidRPr="00901F13">
        <w:rPr>
          <w:rtl/>
        </w:rPr>
        <w:t>تشجيع وتعزيز أنشطة التقييس لاتصالات المركبات</w:t>
      </w:r>
    </w:p>
    <w:p w14:paraId="12433E51" w14:textId="77777777" w:rsidR="00901F13" w:rsidRPr="00FB2311" w:rsidRDefault="00901F13" w:rsidP="00901F13">
      <w:pPr>
        <w:pStyle w:val="Resref"/>
        <w:rPr>
          <w:rtl/>
        </w:rPr>
      </w:pPr>
      <w:r w:rsidRPr="00FB2311">
        <w:rPr>
          <w:rFonts w:hint="cs"/>
          <w:rtl/>
        </w:rPr>
        <w:t xml:space="preserve">(نيودلهي، </w:t>
      </w:r>
      <w:r w:rsidRPr="00FB2311">
        <w:rPr>
          <w:rFonts w:hint="cs"/>
        </w:rPr>
        <w:t>2024</w:t>
      </w:r>
      <w:r w:rsidRPr="00FB2311">
        <w:rPr>
          <w:rFonts w:hint="cs"/>
          <w:rtl/>
        </w:rPr>
        <w:t>)</w:t>
      </w:r>
    </w:p>
    <w:p w14:paraId="38BA6D9C" w14:textId="77777777" w:rsidR="00901F13" w:rsidRPr="00511C6C" w:rsidRDefault="00901F13" w:rsidP="00901F13">
      <w:pPr>
        <w:pStyle w:val="Normalaftertitle"/>
        <w:rPr>
          <w:rtl/>
          <w:lang w:bidi="ar-EG"/>
        </w:rPr>
      </w:pPr>
      <w:r w:rsidRPr="005A57D8">
        <w:rPr>
          <w:rFonts w:hint="eastAsia"/>
          <w:rtl/>
          <w:lang w:bidi="ar-EG"/>
        </w:rPr>
        <w:t>إن</w:t>
      </w:r>
      <w:r w:rsidRPr="005A57D8">
        <w:rPr>
          <w:rtl/>
          <w:lang w:bidi="ar-EG"/>
        </w:rPr>
        <w:t xml:space="preserve"> </w:t>
      </w:r>
      <w:r w:rsidRPr="005A57D8">
        <w:rPr>
          <w:rFonts w:hint="eastAsia"/>
          <w:rtl/>
          <w:lang w:bidi="ar-EG"/>
        </w:rPr>
        <w:t>الجمعية</w:t>
      </w:r>
      <w:r w:rsidRPr="005A57D8">
        <w:rPr>
          <w:rtl/>
          <w:lang w:bidi="ar-EG"/>
        </w:rPr>
        <w:t xml:space="preserve"> </w:t>
      </w:r>
      <w:r w:rsidRPr="005A57D8">
        <w:rPr>
          <w:rFonts w:hint="eastAsia"/>
          <w:rtl/>
          <w:lang w:bidi="ar-EG"/>
        </w:rPr>
        <w:t>العالمية</w:t>
      </w:r>
      <w:r w:rsidRPr="005A57D8">
        <w:rPr>
          <w:rtl/>
          <w:lang w:bidi="ar-EG"/>
        </w:rPr>
        <w:t xml:space="preserve"> </w:t>
      </w:r>
      <w:r w:rsidRPr="005A57D8">
        <w:rPr>
          <w:rFonts w:hint="eastAsia"/>
          <w:rtl/>
          <w:lang w:bidi="ar-EG"/>
        </w:rPr>
        <w:t>لتقييس</w:t>
      </w:r>
      <w:r w:rsidRPr="005A57D8">
        <w:rPr>
          <w:rtl/>
          <w:lang w:bidi="ar-EG"/>
        </w:rPr>
        <w:t xml:space="preserve"> </w:t>
      </w:r>
      <w:r w:rsidRPr="005A57D8">
        <w:rPr>
          <w:rFonts w:hint="eastAsia"/>
          <w:rtl/>
          <w:lang w:bidi="ar-EG"/>
        </w:rPr>
        <w:t>الاتصالات</w:t>
      </w:r>
      <w:r w:rsidRPr="00511C6C">
        <w:rPr>
          <w:rFonts w:hint="cs"/>
          <w:rtl/>
          <w:lang w:bidi="ar-EG"/>
        </w:rPr>
        <w:t xml:space="preserve"> (نيودلهي، </w:t>
      </w:r>
      <w:r w:rsidRPr="001D48F0">
        <w:rPr>
          <w:rFonts w:hint="cs"/>
        </w:rPr>
        <w:t>2024</w:t>
      </w:r>
      <w:r w:rsidRPr="00511C6C">
        <w:rPr>
          <w:rFonts w:hint="cs"/>
          <w:rtl/>
          <w:lang w:bidi="ar-EG"/>
        </w:rPr>
        <w:t>)،</w:t>
      </w:r>
    </w:p>
    <w:p w14:paraId="630BDEC0" w14:textId="77777777" w:rsidR="00901F13" w:rsidRDefault="00901F13" w:rsidP="00901F13">
      <w:pPr>
        <w:pStyle w:val="Call"/>
        <w:rPr>
          <w:lang w:bidi="ar-EG"/>
        </w:rPr>
      </w:pPr>
      <w:r w:rsidRPr="005A57D8">
        <w:rPr>
          <w:rFonts w:hint="eastAsia"/>
          <w:rtl/>
          <w:lang w:bidi="ar-SY"/>
        </w:rPr>
        <w:t>إذ</w:t>
      </w:r>
      <w:r w:rsidRPr="005A57D8">
        <w:rPr>
          <w:rtl/>
          <w:lang w:bidi="ar-SY"/>
        </w:rPr>
        <w:t xml:space="preserve"> </w:t>
      </w:r>
      <w:r w:rsidRPr="005A57D8">
        <w:rPr>
          <w:rFonts w:hint="eastAsia"/>
          <w:rtl/>
          <w:lang w:bidi="ar-SY"/>
        </w:rPr>
        <w:t>تذكِّر</w:t>
      </w:r>
    </w:p>
    <w:p w14:paraId="596D46DD" w14:textId="77777777" w:rsidR="00901F13" w:rsidRPr="00FC0F14" w:rsidRDefault="00901F13" w:rsidP="00901F13">
      <w:pPr>
        <w:rPr>
          <w:rtl/>
        </w:rPr>
      </w:pPr>
      <w:r w:rsidRPr="00FC0F14">
        <w:rPr>
          <w:rFonts w:hint="eastAsia"/>
          <w:i/>
          <w:iCs/>
          <w:rtl/>
          <w:lang w:bidi="ar-SY"/>
        </w:rPr>
        <w:t> أ </w:t>
      </w:r>
      <w:r w:rsidRPr="00FC0F14">
        <w:rPr>
          <w:i/>
          <w:iCs/>
          <w:rtl/>
          <w:lang w:bidi="ar-SY"/>
        </w:rPr>
        <w:t>)</w:t>
      </w:r>
      <w:r w:rsidRPr="00FC0F14">
        <w:rPr>
          <w:rFonts w:hint="cs"/>
          <w:rtl/>
          <w:lang w:bidi="ar-SY"/>
        </w:rPr>
        <w:tab/>
      </w:r>
      <w:r w:rsidRPr="00D1429F">
        <w:rPr>
          <w:rtl/>
          <w:lang w:val="en-GB"/>
        </w:rPr>
        <w:t xml:space="preserve">بالقرار </w:t>
      </w:r>
      <w:r w:rsidRPr="00D1429F">
        <w:rPr>
          <w:lang w:val="en-GB"/>
        </w:rPr>
        <w:t>1</w:t>
      </w:r>
      <w:r w:rsidRPr="00D1429F">
        <w:rPr>
          <w:rtl/>
          <w:lang w:val="en-GB"/>
        </w:rPr>
        <w:t>/</w:t>
      </w:r>
      <w:r w:rsidRPr="00D1429F">
        <w:rPr>
          <w:lang w:val="en-GB"/>
        </w:rPr>
        <w:t>70</w:t>
      </w:r>
      <w:r w:rsidRPr="00D1429F">
        <w:rPr>
          <w:rtl/>
          <w:lang w:val="en-GB"/>
        </w:rPr>
        <w:t xml:space="preserve"> للجمعية العامة للأمم المتحدة (</w:t>
      </w:r>
      <w:r w:rsidRPr="00D1429F">
        <w:rPr>
          <w:lang w:val="en-GB"/>
        </w:rPr>
        <w:t>UNGA</w:t>
      </w:r>
      <w:r w:rsidRPr="00D1429F">
        <w:rPr>
          <w:rtl/>
          <w:lang w:val="en-GB"/>
        </w:rPr>
        <w:t xml:space="preserve">)، بشأن تحويل عالمنا: خطة التنمية المستدامة لعام </w:t>
      </w:r>
      <w:r w:rsidRPr="00D1429F">
        <w:rPr>
          <w:lang w:val="en-GB"/>
        </w:rPr>
        <w:t>2030</w:t>
      </w:r>
      <w:r w:rsidRPr="00FC0F14">
        <w:rPr>
          <w:rFonts w:hint="cs"/>
          <w:rtl/>
        </w:rPr>
        <w:t>؛</w:t>
      </w:r>
    </w:p>
    <w:p w14:paraId="50446154" w14:textId="77777777" w:rsidR="00901F13" w:rsidRPr="00FC0F14" w:rsidRDefault="00901F13" w:rsidP="00901F13">
      <w:pPr>
        <w:rPr>
          <w:rtl/>
        </w:rPr>
      </w:pPr>
      <w:r w:rsidRPr="00FC0F14">
        <w:rPr>
          <w:rFonts w:hint="eastAsia"/>
          <w:i/>
          <w:iCs/>
          <w:rtl/>
        </w:rPr>
        <w:t>ب</w:t>
      </w:r>
      <w:r w:rsidRPr="00FC0F14">
        <w:rPr>
          <w:i/>
          <w:iCs/>
          <w:rtl/>
        </w:rPr>
        <w:t>)</w:t>
      </w:r>
      <w:r w:rsidRPr="00FC0F14">
        <w:rPr>
          <w:i/>
          <w:iCs/>
          <w:rtl/>
        </w:rPr>
        <w:tab/>
      </w:r>
      <w:r w:rsidRPr="00EE1134">
        <w:rPr>
          <w:rFonts w:hint="cs"/>
          <w:rtl/>
        </w:rPr>
        <w:t>ب</w:t>
      </w:r>
      <w:r w:rsidRPr="0031494A">
        <w:rPr>
          <w:rtl/>
          <w:lang w:val="en-GB"/>
        </w:rPr>
        <w:t xml:space="preserve">القرار </w:t>
      </w:r>
      <w:r w:rsidRPr="00C56A14">
        <w:rPr>
          <w:lang w:val="en-GB"/>
        </w:rPr>
        <w:t>299</w:t>
      </w:r>
      <w:r w:rsidRPr="00C56A14">
        <w:rPr>
          <w:rtl/>
          <w:lang w:val="en-GB"/>
        </w:rPr>
        <w:t>/</w:t>
      </w:r>
      <w:r w:rsidRPr="00C56A14">
        <w:rPr>
          <w:lang w:val="en-GB"/>
        </w:rPr>
        <w:t>74</w:t>
      </w:r>
      <w:r w:rsidRPr="00D1429F">
        <w:rPr>
          <w:rtl/>
          <w:lang w:val="en-GB"/>
        </w:rPr>
        <w:t xml:space="preserve"> للجمعية العامة للأمم المتحدة، بشأن تحسين السلامة على الطرق في العالم </w:t>
      </w:r>
      <w:r>
        <w:rPr>
          <w:rFonts w:hint="cs"/>
          <w:rtl/>
          <w:lang w:val="en-GB"/>
        </w:rPr>
        <w:t>والذي ي</w:t>
      </w:r>
      <w:r w:rsidRPr="00D1429F">
        <w:rPr>
          <w:rtl/>
          <w:lang w:val="en-GB"/>
        </w:rPr>
        <w:t xml:space="preserve">هدف </w:t>
      </w:r>
      <w:r>
        <w:rPr>
          <w:rFonts w:hint="cs"/>
          <w:rtl/>
          <w:lang w:val="en-GB"/>
        </w:rPr>
        <w:t xml:space="preserve">إلى </w:t>
      </w:r>
      <w:r w:rsidRPr="00D1429F">
        <w:rPr>
          <w:rtl/>
          <w:lang w:val="en-GB"/>
        </w:rPr>
        <w:t xml:space="preserve">خفض الوفيات والإصابات </w:t>
      </w:r>
      <w:r>
        <w:rPr>
          <w:rFonts w:hint="cs"/>
          <w:rtl/>
          <w:lang w:val="en-GB"/>
        </w:rPr>
        <w:t xml:space="preserve">الناجمة عن حوادث المرور </w:t>
      </w:r>
      <w:r w:rsidRPr="00D1429F">
        <w:rPr>
          <w:rtl/>
          <w:lang w:val="en-GB"/>
        </w:rPr>
        <w:t>على الطرق بنسبة</w:t>
      </w:r>
      <w:r>
        <w:rPr>
          <w:rFonts w:hint="cs"/>
          <w:rtl/>
          <w:lang w:val="en-GB"/>
        </w:rPr>
        <w:t xml:space="preserve"> لا تقل عن</w:t>
      </w:r>
      <w:r w:rsidRPr="00D1429F">
        <w:rPr>
          <w:rtl/>
          <w:lang w:val="en-GB"/>
        </w:rPr>
        <w:t xml:space="preserve"> </w:t>
      </w:r>
      <w:r w:rsidRPr="00D1429F">
        <w:rPr>
          <w:lang w:val="en-GB"/>
        </w:rPr>
        <w:t>50</w:t>
      </w:r>
      <w:r w:rsidRPr="00D1429F">
        <w:rPr>
          <w:rtl/>
          <w:lang w:val="en-GB"/>
        </w:rPr>
        <w:t xml:space="preserve"> في المائة بحلول نهاية عام </w:t>
      </w:r>
      <w:r w:rsidRPr="00D1429F">
        <w:rPr>
          <w:lang w:val="en-GB"/>
        </w:rPr>
        <w:t>2030</w:t>
      </w:r>
      <w:r w:rsidRPr="00FC0F14">
        <w:rPr>
          <w:rFonts w:hint="cs"/>
          <w:rtl/>
        </w:rPr>
        <w:t>؛</w:t>
      </w:r>
    </w:p>
    <w:p w14:paraId="6A56B392" w14:textId="77777777" w:rsidR="00901F13" w:rsidRPr="001D48F0" w:rsidRDefault="00901F13" w:rsidP="00901F13">
      <w:pPr>
        <w:rPr>
          <w:spacing w:val="4"/>
          <w:rtl/>
        </w:rPr>
      </w:pPr>
      <w:r w:rsidRPr="001D48F0">
        <w:rPr>
          <w:rFonts w:hint="eastAsia"/>
          <w:i/>
          <w:iCs/>
          <w:spacing w:val="4"/>
          <w:rtl/>
        </w:rPr>
        <w:t>ج</w:t>
      </w:r>
      <w:r w:rsidRPr="001D48F0">
        <w:rPr>
          <w:i/>
          <w:iCs/>
          <w:spacing w:val="4"/>
          <w:rtl/>
        </w:rPr>
        <w:t>)</w:t>
      </w:r>
      <w:r w:rsidRPr="001D48F0">
        <w:rPr>
          <w:i/>
          <w:iCs/>
          <w:spacing w:val="4"/>
          <w:rtl/>
        </w:rPr>
        <w:tab/>
      </w:r>
      <w:r w:rsidRPr="00EE1134">
        <w:rPr>
          <w:rFonts w:hint="cs"/>
          <w:rtl/>
        </w:rPr>
        <w:t>ب</w:t>
      </w:r>
      <w:r w:rsidRPr="00EE1134">
        <w:rPr>
          <w:rtl/>
        </w:rPr>
        <w:t>أ</w:t>
      </w:r>
      <w:r w:rsidRPr="001D48F0">
        <w:rPr>
          <w:spacing w:val="4"/>
          <w:rtl/>
          <w:lang w:val="en-GB"/>
        </w:rPr>
        <w:t>هداف التنمية المستدامة للأمم المتحدة</w:t>
      </w:r>
      <w:r w:rsidRPr="001D48F0">
        <w:rPr>
          <w:rFonts w:hint="cs"/>
          <w:spacing w:val="4"/>
          <w:rtl/>
          <w:lang w:val="en-GB"/>
        </w:rPr>
        <w:t xml:space="preserve"> </w:t>
      </w:r>
      <w:r w:rsidRPr="001D48F0">
        <w:rPr>
          <w:spacing w:val="4"/>
          <w:rtl/>
          <w:lang w:val="en-GB"/>
        </w:rPr>
        <w:t xml:space="preserve">ذات الصلة، ولا سيما الهدف </w:t>
      </w:r>
      <w:r w:rsidRPr="001D48F0">
        <w:rPr>
          <w:spacing w:val="4"/>
          <w:lang w:val="en-GB"/>
        </w:rPr>
        <w:t>3</w:t>
      </w:r>
      <w:r w:rsidRPr="001D48F0">
        <w:rPr>
          <w:spacing w:val="4"/>
          <w:rtl/>
          <w:lang w:val="en-GB"/>
        </w:rPr>
        <w:t xml:space="preserve"> من أهداف التنمية المستدامة </w:t>
      </w:r>
      <w:r>
        <w:rPr>
          <w:spacing w:val="4"/>
        </w:rPr>
        <w:t>(SDG)</w:t>
      </w:r>
      <w:r>
        <w:rPr>
          <w:rFonts w:hint="cs"/>
          <w:spacing w:val="4"/>
          <w:rtl/>
          <w:lang w:val="en-GB"/>
        </w:rPr>
        <w:t xml:space="preserve"> </w:t>
      </w:r>
      <w:r w:rsidRPr="001D48F0">
        <w:rPr>
          <w:spacing w:val="4"/>
          <w:rtl/>
          <w:lang w:val="en-GB"/>
        </w:rPr>
        <w:t xml:space="preserve">بشأن الحد بدرجة كبيرة من عدد الوفيات والإصابات الناجمة عن حوادث المرور على الصعيد العالمي، والهدف </w:t>
      </w:r>
      <w:r w:rsidRPr="001D48F0">
        <w:rPr>
          <w:spacing w:val="4"/>
          <w:lang w:val="en-GB"/>
        </w:rPr>
        <w:t>7</w:t>
      </w:r>
      <w:r w:rsidRPr="001D48F0">
        <w:rPr>
          <w:spacing w:val="4"/>
          <w:rtl/>
          <w:lang w:val="en-GB"/>
        </w:rPr>
        <w:t xml:space="preserve"> </w:t>
      </w:r>
      <w:r w:rsidRPr="006750AE">
        <w:rPr>
          <w:spacing w:val="4"/>
          <w:rtl/>
          <w:lang w:val="en-GB"/>
        </w:rPr>
        <w:t xml:space="preserve">من أهداف التنمية المستدامة </w:t>
      </w:r>
      <w:r w:rsidRPr="001D48F0">
        <w:rPr>
          <w:spacing w:val="4"/>
          <w:rtl/>
          <w:lang w:val="en-GB"/>
        </w:rPr>
        <w:t xml:space="preserve">بشأن </w:t>
      </w:r>
      <w:r>
        <w:rPr>
          <w:rFonts w:hint="cs"/>
          <w:spacing w:val="4"/>
          <w:rtl/>
          <w:lang w:val="en-GB"/>
        </w:rPr>
        <w:t>زيادة</w:t>
      </w:r>
      <w:r w:rsidRPr="001D48F0">
        <w:rPr>
          <w:spacing w:val="4"/>
          <w:rtl/>
          <w:lang w:val="en-GB"/>
        </w:rPr>
        <w:t xml:space="preserve"> المعدل العالمي ل</w:t>
      </w:r>
      <w:r>
        <w:rPr>
          <w:rFonts w:hint="cs"/>
          <w:spacing w:val="4"/>
          <w:rtl/>
          <w:lang w:val="en-GB"/>
        </w:rPr>
        <w:t xml:space="preserve">تحسين </w:t>
      </w:r>
      <w:r w:rsidRPr="001D48F0">
        <w:rPr>
          <w:spacing w:val="4"/>
          <w:rtl/>
          <w:lang w:val="en-GB"/>
        </w:rPr>
        <w:t xml:space="preserve">كفاءة استهلاك الطاقة، والهدف </w:t>
      </w:r>
      <w:r w:rsidRPr="001D48F0">
        <w:rPr>
          <w:spacing w:val="4"/>
          <w:lang w:val="en-GB"/>
        </w:rPr>
        <w:t>11</w:t>
      </w:r>
      <w:r w:rsidRPr="001D48F0">
        <w:rPr>
          <w:spacing w:val="4"/>
          <w:rtl/>
          <w:lang w:val="en-GB"/>
        </w:rPr>
        <w:t xml:space="preserve"> </w:t>
      </w:r>
      <w:r w:rsidRPr="00DB46B6">
        <w:rPr>
          <w:spacing w:val="4"/>
          <w:rtl/>
          <w:lang w:val="en-GB"/>
        </w:rPr>
        <w:t xml:space="preserve">من أهداف التنمية المستدامة </w:t>
      </w:r>
      <w:r w:rsidRPr="001D48F0">
        <w:rPr>
          <w:spacing w:val="4"/>
          <w:rtl/>
          <w:lang w:val="en-GB"/>
        </w:rPr>
        <w:t>بشأن وصول الجميع إلى نظم نقل مأمونة وميسورة التكلفة ويسهل الوصول إليها ومستدامة</w:t>
      </w:r>
      <w:r w:rsidRPr="001D48F0">
        <w:rPr>
          <w:rFonts w:hint="eastAsia"/>
          <w:spacing w:val="4"/>
          <w:rtl/>
        </w:rPr>
        <w:t>؛</w:t>
      </w:r>
    </w:p>
    <w:p w14:paraId="1B33E300" w14:textId="77777777" w:rsidR="00901F13" w:rsidRPr="00FC0F14" w:rsidRDefault="00901F13" w:rsidP="00901F13">
      <w:pPr>
        <w:rPr>
          <w:rtl/>
          <w:lang w:bidi="ar-EG"/>
        </w:rPr>
      </w:pPr>
      <w:r w:rsidRPr="00FC0F14">
        <w:rPr>
          <w:rFonts w:hint="eastAsia"/>
          <w:i/>
          <w:iCs/>
          <w:rtl/>
        </w:rPr>
        <w:t>د </w:t>
      </w:r>
      <w:r w:rsidRPr="00FC0F14">
        <w:rPr>
          <w:i/>
          <w:iCs/>
          <w:rtl/>
        </w:rPr>
        <w:t>)</w:t>
      </w:r>
      <w:r w:rsidRPr="00FC0F14">
        <w:rPr>
          <w:rtl/>
        </w:rPr>
        <w:tab/>
      </w:r>
      <w:r>
        <w:rPr>
          <w:rFonts w:hint="cs"/>
          <w:rtl/>
        </w:rPr>
        <w:t>ب</w:t>
      </w:r>
      <w:r w:rsidRPr="00D1429F">
        <w:rPr>
          <w:rtl/>
          <w:lang w:val="en-GB"/>
        </w:rPr>
        <w:t xml:space="preserve">القرار </w:t>
      </w:r>
      <w:r w:rsidRPr="00D1429F">
        <w:rPr>
          <w:lang w:val="en-GB"/>
        </w:rPr>
        <w:t>37</w:t>
      </w:r>
      <w:r w:rsidRPr="00D1429F">
        <w:rPr>
          <w:rtl/>
          <w:lang w:val="en-GB"/>
        </w:rPr>
        <w:t xml:space="preserve"> (المراجَع في كيغالي، </w:t>
      </w:r>
      <w:r w:rsidRPr="00D1429F">
        <w:rPr>
          <w:lang w:val="en-GB"/>
        </w:rPr>
        <w:t>2022</w:t>
      </w:r>
      <w:r w:rsidRPr="00D1429F">
        <w:rPr>
          <w:rtl/>
          <w:lang w:val="en-GB"/>
        </w:rPr>
        <w:t>) للمؤتمر العالمي لتنمية الاتصالات، بشأن سد الفجوة الرقمية</w:t>
      </w:r>
      <w:r w:rsidRPr="00FC0F14">
        <w:rPr>
          <w:rFonts w:hint="eastAsia"/>
          <w:rtl/>
          <w:lang w:bidi="ar-EG"/>
        </w:rPr>
        <w:t>،</w:t>
      </w:r>
    </w:p>
    <w:p w14:paraId="30982D40" w14:textId="77777777" w:rsidR="00901F13" w:rsidRPr="001D48F0" w:rsidRDefault="00901F13" w:rsidP="00901F13">
      <w:pPr>
        <w:pStyle w:val="Call"/>
        <w:rPr>
          <w:rtl/>
        </w:rPr>
      </w:pPr>
      <w:r w:rsidRPr="005A57D8">
        <w:rPr>
          <w:rFonts w:hint="eastAsia"/>
          <w:rtl/>
          <w:lang w:bidi="ar-SY"/>
        </w:rPr>
        <w:t>وإذ</w:t>
      </w:r>
      <w:r w:rsidRPr="005A57D8">
        <w:rPr>
          <w:rtl/>
          <w:lang w:bidi="ar-SY"/>
        </w:rPr>
        <w:t xml:space="preserve"> </w:t>
      </w:r>
      <w:r w:rsidRPr="005A57D8">
        <w:rPr>
          <w:rFonts w:hint="eastAsia"/>
          <w:rtl/>
          <w:lang w:bidi="ar-SY"/>
        </w:rPr>
        <w:t>تضع</w:t>
      </w:r>
      <w:r w:rsidRPr="005A57D8">
        <w:rPr>
          <w:rtl/>
          <w:lang w:bidi="ar-SY"/>
        </w:rPr>
        <w:t xml:space="preserve"> </w:t>
      </w:r>
      <w:r w:rsidRPr="005A57D8">
        <w:rPr>
          <w:rFonts w:hint="eastAsia"/>
          <w:rtl/>
          <w:lang w:bidi="ar-SY"/>
        </w:rPr>
        <w:t>في اعتبارها</w:t>
      </w:r>
    </w:p>
    <w:p w14:paraId="590CB735" w14:textId="77777777" w:rsidR="00901F13" w:rsidRPr="00FC0F14" w:rsidRDefault="00901F13" w:rsidP="00901F13">
      <w:pPr>
        <w:rPr>
          <w:rtl/>
        </w:rPr>
      </w:pPr>
      <w:r>
        <w:rPr>
          <w:rFonts w:hint="cs"/>
          <w:i/>
          <w:iCs/>
          <w:rtl/>
          <w:lang w:bidi="ar-SY"/>
        </w:rPr>
        <w:t> </w:t>
      </w:r>
      <w:r w:rsidRPr="00FC0F14">
        <w:rPr>
          <w:rFonts w:hint="eastAsia"/>
          <w:i/>
          <w:iCs/>
          <w:rtl/>
          <w:lang w:bidi="ar-SY"/>
        </w:rPr>
        <w:t>أ </w:t>
      </w:r>
      <w:r w:rsidRPr="00FC0F14">
        <w:rPr>
          <w:i/>
          <w:iCs/>
          <w:rtl/>
          <w:lang w:bidi="ar-SY"/>
        </w:rPr>
        <w:t>)</w:t>
      </w:r>
      <w:r w:rsidRPr="00FC0F14">
        <w:rPr>
          <w:rFonts w:hint="cs"/>
          <w:rtl/>
          <w:lang w:bidi="ar-SY"/>
        </w:rPr>
        <w:tab/>
      </w:r>
      <w:r w:rsidRPr="00D1429F">
        <w:rPr>
          <w:rtl/>
          <w:lang w:val="en-GB"/>
        </w:rPr>
        <w:t xml:space="preserve">أن دعم اتصالات </w:t>
      </w:r>
      <w:r w:rsidRPr="005A57D8">
        <w:rPr>
          <w:rtl/>
          <w:lang w:val="en-GB"/>
        </w:rPr>
        <w:t>المركبات مثل</w:t>
      </w:r>
      <w:r w:rsidRPr="00D1429F">
        <w:rPr>
          <w:rtl/>
          <w:lang w:val="en-GB"/>
        </w:rPr>
        <w:t xml:space="preserve"> الاتصالات من مركبة إلى كل شيء</w:t>
      </w:r>
      <w:r>
        <w:rPr>
          <w:rFonts w:hint="cs"/>
          <w:rtl/>
          <w:lang w:val="en-GB"/>
        </w:rPr>
        <w:t xml:space="preserve"> </w:t>
      </w:r>
      <w:r>
        <w:t>(V2X)</w:t>
      </w:r>
      <w:r w:rsidRPr="00D1429F">
        <w:rPr>
          <w:rtl/>
          <w:lang w:val="en-GB"/>
        </w:rPr>
        <w:t xml:space="preserve"> وأنظمة التنقل الذكية</w:t>
      </w:r>
      <w:r>
        <w:rPr>
          <w:rFonts w:hint="cs"/>
          <w:rtl/>
          <w:lang w:val="en-GB"/>
        </w:rPr>
        <w:t xml:space="preserve"> </w:t>
      </w:r>
      <w:r>
        <w:t>(ITS)</w:t>
      </w:r>
      <w:r w:rsidRPr="00D1429F">
        <w:rPr>
          <w:rtl/>
          <w:lang w:val="en-GB"/>
        </w:rPr>
        <w:t xml:space="preserve"> سيعزز السلامة على الطرق ويحسن كفاءة حركة المرور ويخفض انبعاثات الكربون، فضلاً عن إتاحة تحديث البنية التحتية لتسريع وتيرة تنمية الاقتصاد الرقمي، مما سيعزز </w:t>
      </w:r>
      <w:r>
        <w:rPr>
          <w:rFonts w:hint="cs"/>
          <w:rtl/>
          <w:lang w:val="en-GB"/>
        </w:rPr>
        <w:t>بدوره</w:t>
      </w:r>
      <w:r w:rsidRPr="00D1429F">
        <w:rPr>
          <w:rtl/>
          <w:lang w:val="en-GB"/>
        </w:rPr>
        <w:t xml:space="preserve"> التحول الرقمي للبلدان النامية</w:t>
      </w:r>
      <w:r>
        <w:rPr>
          <w:rStyle w:val="FootnoteReference"/>
          <w:rtl/>
        </w:rPr>
        <w:footnoteReference w:customMarkFollows="1" w:id="1"/>
        <w:t>1</w:t>
      </w:r>
      <w:r w:rsidRPr="00FC0F14">
        <w:rPr>
          <w:rFonts w:hint="cs"/>
          <w:rtl/>
        </w:rPr>
        <w:t>؛</w:t>
      </w:r>
    </w:p>
    <w:p w14:paraId="57DD469E" w14:textId="77777777" w:rsidR="00901F13" w:rsidRPr="00FC0F14" w:rsidRDefault="00901F13" w:rsidP="00901F13">
      <w:pPr>
        <w:rPr>
          <w:rtl/>
        </w:rPr>
      </w:pPr>
      <w:r w:rsidRPr="00FC0F14">
        <w:rPr>
          <w:rFonts w:hint="eastAsia"/>
          <w:i/>
          <w:iCs/>
          <w:rtl/>
        </w:rPr>
        <w:t>ب</w:t>
      </w:r>
      <w:r w:rsidRPr="00FC0F14">
        <w:rPr>
          <w:i/>
          <w:iCs/>
          <w:rtl/>
        </w:rPr>
        <w:t>)</w:t>
      </w:r>
      <w:r w:rsidRPr="00FC0F14">
        <w:rPr>
          <w:i/>
          <w:iCs/>
          <w:rtl/>
        </w:rPr>
        <w:tab/>
      </w:r>
      <w:r w:rsidRPr="00D1429F">
        <w:rPr>
          <w:rtl/>
          <w:lang w:val="en-GB"/>
        </w:rPr>
        <w:t>أن التطور السريع للمركبات الموصولة والمؤتمتة</w:t>
      </w:r>
      <w:r>
        <w:rPr>
          <w:rFonts w:hint="cs"/>
          <w:rtl/>
          <w:lang w:val="en-GB"/>
        </w:rPr>
        <w:t> </w:t>
      </w:r>
      <w:r>
        <w:t>(CAV)</w:t>
      </w:r>
      <w:r w:rsidRPr="00D1429F">
        <w:rPr>
          <w:rtl/>
          <w:lang w:val="en-GB"/>
        </w:rPr>
        <w:t xml:space="preserve"> أمر قائم وأن منظمات كثيرة تشارك في تقييس اتصالات المركبات مثل من مركبة إلى كل شيء (</w:t>
      </w:r>
      <w:r w:rsidRPr="00D1429F">
        <w:rPr>
          <w:lang w:val="en-GB"/>
        </w:rPr>
        <w:t>V2X</w:t>
      </w:r>
      <w:r w:rsidRPr="00D1429F">
        <w:rPr>
          <w:rtl/>
          <w:lang w:val="en-GB"/>
        </w:rPr>
        <w:t>) وأنظمة التنقل الذكية (</w:t>
      </w:r>
      <w:r w:rsidRPr="00D1429F">
        <w:rPr>
          <w:lang w:val="en-GB"/>
        </w:rPr>
        <w:t>ITS</w:t>
      </w:r>
      <w:r w:rsidRPr="00D1429F">
        <w:rPr>
          <w:rtl/>
          <w:lang w:val="en-GB"/>
        </w:rPr>
        <w:t>)</w:t>
      </w:r>
      <w:r w:rsidRPr="00FC0F14">
        <w:rPr>
          <w:rFonts w:hint="cs"/>
          <w:rtl/>
        </w:rPr>
        <w:t>؛</w:t>
      </w:r>
    </w:p>
    <w:p w14:paraId="5EEAF77C" w14:textId="77777777" w:rsidR="00901F13" w:rsidRPr="00FC0F14" w:rsidRDefault="00901F13" w:rsidP="00901F13">
      <w:pPr>
        <w:rPr>
          <w:rtl/>
        </w:rPr>
      </w:pPr>
      <w:r w:rsidRPr="00FC0F14">
        <w:rPr>
          <w:rFonts w:hint="eastAsia"/>
          <w:i/>
          <w:iCs/>
          <w:rtl/>
        </w:rPr>
        <w:t>ج</w:t>
      </w:r>
      <w:r w:rsidRPr="00FC0F14">
        <w:rPr>
          <w:i/>
          <w:iCs/>
          <w:rtl/>
        </w:rPr>
        <w:t>)</w:t>
      </w:r>
      <w:r w:rsidRPr="00FC0F14">
        <w:rPr>
          <w:i/>
          <w:iCs/>
          <w:rtl/>
        </w:rPr>
        <w:tab/>
      </w:r>
      <w:r w:rsidRPr="00D1429F">
        <w:rPr>
          <w:rtl/>
          <w:lang w:val="en-GB"/>
        </w:rPr>
        <w:t xml:space="preserve">أن المنتدى العالمي لتنسيق اللوائح الخاصة بالمركبات (فرقة العمل </w:t>
      </w:r>
      <w:r w:rsidRPr="00D1429F">
        <w:rPr>
          <w:lang w:val="en-GB"/>
        </w:rPr>
        <w:t>29</w:t>
      </w:r>
      <w:r w:rsidRPr="00D1429F">
        <w:rPr>
          <w:rtl/>
          <w:lang w:val="en-GB"/>
        </w:rPr>
        <w:t>) التابع للجنة الأمم المتحدة الاقتصادية لأوروبا</w:t>
      </w:r>
      <w:r>
        <w:rPr>
          <w:rFonts w:hint="cs"/>
          <w:rtl/>
          <w:lang w:val="en-GB"/>
        </w:rPr>
        <w:t> </w:t>
      </w:r>
      <w:r>
        <w:t>(UNECE)</w:t>
      </w:r>
      <w:r w:rsidRPr="00D1429F">
        <w:rPr>
          <w:rtl/>
          <w:lang w:val="en-GB"/>
        </w:rPr>
        <w:t xml:space="preserve"> أنشأ </w:t>
      </w:r>
      <w:r>
        <w:rPr>
          <w:rFonts w:hint="cs"/>
          <w:rtl/>
          <w:lang w:val="en-GB"/>
        </w:rPr>
        <w:t>فريق المهام</w:t>
      </w:r>
      <w:r w:rsidRPr="00D1429F">
        <w:rPr>
          <w:rtl/>
          <w:lang w:val="en-GB"/>
        </w:rPr>
        <w:t xml:space="preserve"> المعني باتصالات المركبات لتحديد الدور المحتمل لفرقة العمل </w:t>
      </w:r>
      <w:r w:rsidRPr="00D1429F">
        <w:rPr>
          <w:lang w:val="en-GB"/>
        </w:rPr>
        <w:t>29</w:t>
      </w:r>
      <w:r w:rsidRPr="00D1429F">
        <w:rPr>
          <w:rtl/>
          <w:lang w:val="en-GB"/>
        </w:rPr>
        <w:t xml:space="preserve"> في مجال اتصالات المركبات، ولا</w:t>
      </w:r>
      <w:r>
        <w:rPr>
          <w:rFonts w:hint="cs"/>
          <w:rtl/>
          <w:lang w:val="en-GB"/>
        </w:rPr>
        <w:t> </w:t>
      </w:r>
      <w:r w:rsidRPr="00D1429F">
        <w:rPr>
          <w:rtl/>
          <w:lang w:val="en-GB"/>
        </w:rPr>
        <w:t xml:space="preserve">سيما في تحسين الاستدامة وتعزيز السلامة ودعم القيادة </w:t>
      </w:r>
      <w:r>
        <w:rPr>
          <w:rFonts w:hint="cs"/>
          <w:rtl/>
          <w:lang w:val="en-GB"/>
        </w:rPr>
        <w:t>المؤتمتة</w:t>
      </w:r>
      <w:r w:rsidRPr="00D1429F">
        <w:rPr>
          <w:rtl/>
          <w:lang w:val="en-GB"/>
        </w:rPr>
        <w:t xml:space="preserve"> والجوانب الأخرى ذات الصلة</w:t>
      </w:r>
      <w:r w:rsidRPr="00FC0F14">
        <w:rPr>
          <w:rFonts w:hint="eastAsia"/>
          <w:rtl/>
        </w:rPr>
        <w:t>؛</w:t>
      </w:r>
    </w:p>
    <w:p w14:paraId="772532F3" w14:textId="77777777" w:rsidR="00901F13" w:rsidRDefault="00901F13" w:rsidP="00901F13">
      <w:pPr>
        <w:rPr>
          <w:rtl/>
          <w:lang w:val="en-GB"/>
        </w:rPr>
      </w:pPr>
      <w:r w:rsidRPr="00FC0F14">
        <w:rPr>
          <w:rFonts w:hint="eastAsia"/>
          <w:i/>
          <w:iCs/>
          <w:rtl/>
        </w:rPr>
        <w:t>د </w:t>
      </w:r>
      <w:r w:rsidRPr="00FC0F14">
        <w:rPr>
          <w:i/>
          <w:iCs/>
          <w:rtl/>
        </w:rPr>
        <w:t>)</w:t>
      </w:r>
      <w:r w:rsidRPr="00FC0F14">
        <w:rPr>
          <w:rtl/>
        </w:rPr>
        <w:tab/>
      </w:r>
      <w:r>
        <w:rPr>
          <w:rFonts w:hint="cs"/>
          <w:rtl/>
        </w:rPr>
        <w:t xml:space="preserve">أن </w:t>
      </w:r>
      <w:r w:rsidRPr="00815743">
        <w:rPr>
          <w:rtl/>
        </w:rPr>
        <w:t>تطوير المركبات الموصولة والمؤتمتة</w:t>
      </w:r>
      <w:r w:rsidRPr="00815743">
        <w:t xml:space="preserve"> (CAV) </w:t>
      </w:r>
      <w:r w:rsidRPr="00815743">
        <w:rPr>
          <w:rtl/>
        </w:rPr>
        <w:t>ومركبة إلى كل شيء</w:t>
      </w:r>
      <w:r w:rsidRPr="00815743">
        <w:t xml:space="preserve"> (V2X)</w:t>
      </w:r>
      <w:r w:rsidRPr="00815743" w:rsidDel="002E567E">
        <w:t xml:space="preserve"> </w:t>
      </w:r>
      <w:r>
        <w:rPr>
          <w:rFonts w:hint="cs"/>
          <w:rtl/>
        </w:rPr>
        <w:t>و</w:t>
      </w:r>
      <w:r w:rsidRPr="00815743">
        <w:rPr>
          <w:rtl/>
        </w:rPr>
        <w:t>أنظمة التنقل الذكية</w:t>
      </w:r>
      <w:r w:rsidRPr="00815743">
        <w:t xml:space="preserve"> (ITS) </w:t>
      </w:r>
      <w:r w:rsidRPr="00815743">
        <w:rPr>
          <w:rtl/>
        </w:rPr>
        <w:t xml:space="preserve">يشمل مختلف </w:t>
      </w:r>
      <w:r w:rsidRPr="00815743">
        <w:rPr>
          <w:rFonts w:hint="cs"/>
          <w:rtl/>
        </w:rPr>
        <w:t>أصحاب المصلحة</w:t>
      </w:r>
      <w:r w:rsidRPr="00815743">
        <w:rPr>
          <w:rtl/>
        </w:rPr>
        <w:t xml:space="preserve"> ودوائر الصناعة، بما في ذلك قطاعات السيارات</w:t>
      </w:r>
      <w:r>
        <w:rPr>
          <w:rFonts w:hint="cs"/>
          <w:rtl/>
        </w:rPr>
        <w:t xml:space="preserve"> </w:t>
      </w:r>
      <w:r w:rsidRPr="00815743">
        <w:rPr>
          <w:rtl/>
        </w:rPr>
        <w:t xml:space="preserve">والنقل </w:t>
      </w:r>
      <w:r>
        <w:rPr>
          <w:rFonts w:hint="cs"/>
          <w:rtl/>
        </w:rPr>
        <w:t>وإدارة الحركة</w:t>
      </w:r>
      <w:r w:rsidRPr="00815743">
        <w:rPr>
          <w:rtl/>
        </w:rPr>
        <w:t xml:space="preserve"> والاتصالات/تكنولوجيا المعلومات والاتصالات</w:t>
      </w:r>
      <w:r>
        <w:rPr>
          <w:rFonts w:hint="cs"/>
          <w:rtl/>
        </w:rPr>
        <w:t xml:space="preserve"> </w:t>
      </w:r>
      <w:r w:rsidRPr="00F4647C">
        <w:rPr>
          <w:lang w:val="en-GB"/>
        </w:rPr>
        <w:t>(ICT)</w:t>
      </w:r>
      <w:r w:rsidRPr="00815743">
        <w:rPr>
          <w:rtl/>
        </w:rPr>
        <w:t xml:space="preserve"> والإلكترونيات</w:t>
      </w:r>
      <w:r>
        <w:rPr>
          <w:rFonts w:hint="cs"/>
          <w:rtl/>
        </w:rPr>
        <w:t xml:space="preserve"> والأمن</w:t>
      </w:r>
      <w:r w:rsidRPr="00815743">
        <w:rPr>
          <w:rtl/>
        </w:rPr>
        <w:t xml:space="preserve"> والطاقة، مما يستلزم التنسيق</w:t>
      </w:r>
      <w:r>
        <w:rPr>
          <w:rFonts w:hint="cs"/>
          <w:rtl/>
          <w:lang w:val="en-GB"/>
        </w:rPr>
        <w:t>؛</w:t>
      </w:r>
    </w:p>
    <w:p w14:paraId="06533B99" w14:textId="4845A264" w:rsidR="008176CA" w:rsidRDefault="008176CA" w:rsidP="00901F13">
      <w:pPr>
        <w:rPr>
          <w:rtl/>
          <w:lang w:val="en-GB"/>
        </w:rPr>
      </w:pPr>
      <w:r>
        <w:rPr>
          <w:rtl/>
          <w:lang w:val="en-GB"/>
        </w:rPr>
        <w:br w:type="page"/>
      </w:r>
    </w:p>
    <w:p w14:paraId="69208B7C" w14:textId="77777777" w:rsidR="00901F13" w:rsidRPr="0085084A" w:rsidRDefault="00901F13" w:rsidP="00901F13">
      <w:pPr>
        <w:rPr>
          <w:rtl/>
          <w:lang w:bidi="ar-EG"/>
        </w:rPr>
      </w:pPr>
      <w:r>
        <w:rPr>
          <w:rFonts w:hint="cs"/>
          <w:i/>
          <w:iCs/>
          <w:rtl/>
        </w:rPr>
        <w:lastRenderedPageBreak/>
        <w:t>هـ</w:t>
      </w:r>
      <w:r w:rsidRPr="00FC0F14">
        <w:rPr>
          <w:rFonts w:hint="eastAsia"/>
          <w:i/>
          <w:iCs/>
          <w:rtl/>
        </w:rPr>
        <w:t> </w:t>
      </w:r>
      <w:r w:rsidRPr="00FC0F14">
        <w:rPr>
          <w:i/>
          <w:iCs/>
          <w:rtl/>
        </w:rPr>
        <w:t>)</w:t>
      </w:r>
      <w:r w:rsidRPr="00FC0F14">
        <w:rPr>
          <w:rtl/>
        </w:rPr>
        <w:tab/>
      </w:r>
      <w:r w:rsidRPr="00D1429F">
        <w:rPr>
          <w:rtl/>
          <w:lang w:val="en-GB"/>
        </w:rPr>
        <w:t>أن تطوير المركبات الموصولة والمؤتمتة (</w:t>
      </w:r>
      <w:r w:rsidRPr="00D1429F">
        <w:rPr>
          <w:lang w:val="en-GB"/>
        </w:rPr>
        <w:t>CAV</w:t>
      </w:r>
      <w:r w:rsidRPr="00D1429F">
        <w:rPr>
          <w:rtl/>
          <w:lang w:val="en-GB"/>
        </w:rPr>
        <w:t>) ومركبة إلى كل شيء (</w:t>
      </w:r>
      <w:r w:rsidRPr="00D1429F">
        <w:rPr>
          <w:lang w:val="en-GB"/>
        </w:rPr>
        <w:t>V2X</w:t>
      </w:r>
      <w:r w:rsidRPr="00D1429F">
        <w:rPr>
          <w:rtl/>
          <w:lang w:val="en-GB"/>
        </w:rPr>
        <w:t>)</w:t>
      </w:r>
      <w:r>
        <w:rPr>
          <w:rFonts w:hint="cs"/>
          <w:rtl/>
          <w:lang w:val="en-GB"/>
        </w:rPr>
        <w:t xml:space="preserve"> و</w:t>
      </w:r>
      <w:r w:rsidRPr="00D1429F">
        <w:rPr>
          <w:rtl/>
          <w:lang w:val="en-GB"/>
        </w:rPr>
        <w:t>أنظمة التنقل الذكية (</w:t>
      </w:r>
      <w:r w:rsidRPr="00D1429F">
        <w:rPr>
          <w:lang w:val="en-GB"/>
        </w:rPr>
        <w:t>ITS</w:t>
      </w:r>
      <w:r w:rsidRPr="00D1429F">
        <w:rPr>
          <w:rtl/>
          <w:lang w:val="en-GB"/>
        </w:rPr>
        <w:t>) يؤثر مجالات كثيرة وأن التعاون المتعمق في الجوانب المعنية قد يكون ضرورياً بين البلدان والمناطق والكيانات الدولية ذات الصلة لتحقيق أقصى قدر من الفوائد من التطبيقات ذات الصلة</w:t>
      </w:r>
      <w:r>
        <w:rPr>
          <w:rFonts w:hint="cs"/>
          <w:rtl/>
          <w:lang w:val="en-GB" w:bidi="ar-EG"/>
        </w:rPr>
        <w:t>،</w:t>
      </w:r>
    </w:p>
    <w:p w14:paraId="6BCE2D70" w14:textId="77777777" w:rsidR="00901F13" w:rsidRDefault="00901F13" w:rsidP="00901F13">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تلاحظ</w:t>
      </w:r>
    </w:p>
    <w:p w14:paraId="5FB20B8F" w14:textId="77777777" w:rsidR="00901F13" w:rsidRPr="00FC0F14" w:rsidRDefault="00901F13" w:rsidP="00901F13">
      <w:pPr>
        <w:rPr>
          <w:rtl/>
        </w:rPr>
      </w:pPr>
      <w:r>
        <w:rPr>
          <w:rFonts w:hint="cs"/>
          <w:i/>
          <w:iCs/>
          <w:rtl/>
          <w:lang w:bidi="ar-SY"/>
        </w:rPr>
        <w:t> </w:t>
      </w:r>
      <w:r w:rsidRPr="00FC0F14">
        <w:rPr>
          <w:rFonts w:hint="eastAsia"/>
          <w:i/>
          <w:iCs/>
          <w:rtl/>
          <w:lang w:bidi="ar-SY"/>
        </w:rPr>
        <w:t>أ</w:t>
      </w:r>
      <w:r>
        <w:rPr>
          <w:rFonts w:hint="cs"/>
          <w:i/>
          <w:iCs/>
          <w:rtl/>
          <w:lang w:bidi="ar-SY"/>
        </w:rPr>
        <w:t> </w:t>
      </w:r>
      <w:r w:rsidRPr="00FC0F14">
        <w:rPr>
          <w:i/>
          <w:iCs/>
          <w:rtl/>
          <w:lang w:bidi="ar-SY"/>
        </w:rPr>
        <w:t>)</w:t>
      </w:r>
      <w:r w:rsidRPr="00FC0F14">
        <w:rPr>
          <w:rFonts w:hint="cs"/>
          <w:rtl/>
          <w:lang w:bidi="ar-SY"/>
        </w:rPr>
        <w:tab/>
      </w:r>
      <w:r w:rsidRPr="004D19E6">
        <w:rPr>
          <w:rtl/>
          <w:lang w:val="en-GB"/>
        </w:rPr>
        <w:t>أن لجان دراسات قطاع تقييس الاتصالات</w:t>
      </w:r>
      <w:r>
        <w:rPr>
          <w:rFonts w:hint="cs"/>
          <w:rtl/>
          <w:lang w:val="en-GB"/>
        </w:rPr>
        <w:t> </w:t>
      </w:r>
      <w:r>
        <w:t>(ITU</w:t>
      </w:r>
      <w:r>
        <w:noBreakHyphen/>
        <w:t>T)</w:t>
      </w:r>
      <w:r w:rsidRPr="004D19E6">
        <w:rPr>
          <w:rtl/>
          <w:lang w:val="en-GB"/>
        </w:rPr>
        <w:t xml:space="preserve"> استهلت دراسات بشأن جوانب التعرف على مركبة إلى كل شيء</w:t>
      </w:r>
      <w:r>
        <w:rPr>
          <w:rFonts w:hint="cs"/>
          <w:rtl/>
          <w:lang w:val="en-GB"/>
        </w:rPr>
        <w:t> </w:t>
      </w:r>
      <w:r w:rsidRPr="004D19E6">
        <w:rPr>
          <w:rtl/>
          <w:lang w:val="en-GB"/>
        </w:rPr>
        <w:t>(</w:t>
      </w:r>
      <w:r w:rsidRPr="004D19E6">
        <w:rPr>
          <w:lang w:val="en-GB"/>
        </w:rPr>
        <w:t>V2X</w:t>
      </w:r>
      <w:r w:rsidRPr="004D19E6">
        <w:rPr>
          <w:rtl/>
          <w:lang w:val="en-GB"/>
        </w:rPr>
        <w:t>)</w:t>
      </w:r>
      <w:r>
        <w:rPr>
          <w:rFonts w:hint="cs"/>
          <w:rtl/>
          <w:lang w:val="en-GB"/>
        </w:rPr>
        <w:t xml:space="preserve"> و</w:t>
      </w:r>
      <w:r w:rsidRPr="004D19E6">
        <w:rPr>
          <w:rtl/>
          <w:lang w:val="en-GB"/>
        </w:rPr>
        <w:t>أنظمة التنقل الذكية</w:t>
      </w:r>
      <w:r>
        <w:rPr>
          <w:rFonts w:hint="cs"/>
          <w:rtl/>
          <w:lang w:val="en-GB"/>
        </w:rPr>
        <w:t> </w:t>
      </w:r>
      <w:r w:rsidRPr="004D19E6">
        <w:rPr>
          <w:rtl/>
          <w:lang w:val="en-GB"/>
        </w:rPr>
        <w:t>(</w:t>
      </w:r>
      <w:r w:rsidRPr="004D19E6">
        <w:rPr>
          <w:lang w:val="en-GB"/>
        </w:rPr>
        <w:t>ITS</w:t>
      </w:r>
      <w:r w:rsidRPr="004D19E6">
        <w:rPr>
          <w:rtl/>
          <w:lang w:val="en-GB"/>
        </w:rPr>
        <w:t>)، وجودة خدمتها</w:t>
      </w:r>
      <w:r>
        <w:rPr>
          <w:rFonts w:hint="cs"/>
          <w:rtl/>
          <w:lang w:val="en-GB"/>
        </w:rPr>
        <w:t> </w:t>
      </w:r>
      <w:r w:rsidRPr="00C06A52">
        <w:rPr>
          <w:lang w:val="en-GB"/>
        </w:rPr>
        <w:t>(QoS)</w:t>
      </w:r>
      <w:r>
        <w:rPr>
          <w:rFonts w:hint="cs"/>
          <w:rtl/>
          <w:lang w:val="en-GB"/>
        </w:rPr>
        <w:t xml:space="preserve"> </w:t>
      </w:r>
      <w:r w:rsidRPr="004D19E6">
        <w:rPr>
          <w:rtl/>
          <w:lang w:val="en-GB"/>
        </w:rPr>
        <w:t>بشأن الكلام والصوت، ونداءات الطوارئ في المركبات، وأنظمة الوسائط المتعددة والمعلومات والترفيه في المركبات، والأمن (مثل التحديثات الآمنة للبرمجيات على الهواء</w:t>
      </w:r>
      <w:r>
        <w:rPr>
          <w:rFonts w:hint="cs"/>
          <w:rtl/>
          <w:lang w:val="en-GB"/>
        </w:rPr>
        <w:t xml:space="preserve"> وشبكات الاتصالات</w:t>
      </w:r>
      <w:r w:rsidRPr="004D19E6">
        <w:rPr>
          <w:rtl/>
          <w:lang w:val="en-GB"/>
        </w:rPr>
        <w:t>) والتطبيقات المتعلقة بإنترنت الأشياء</w:t>
      </w:r>
      <w:r>
        <w:rPr>
          <w:rFonts w:hint="cs"/>
          <w:rtl/>
          <w:lang w:val="en-GB"/>
        </w:rPr>
        <w:t> </w:t>
      </w:r>
      <w:r>
        <w:t>(IoT)</w:t>
      </w:r>
      <w:r w:rsidRPr="00FC0F14">
        <w:rPr>
          <w:rFonts w:hint="cs"/>
          <w:rtl/>
        </w:rPr>
        <w:t>؛</w:t>
      </w:r>
    </w:p>
    <w:p w14:paraId="4C72601D" w14:textId="77777777" w:rsidR="00901F13" w:rsidRPr="00FC0F14" w:rsidRDefault="00901F13" w:rsidP="00901F13">
      <w:pPr>
        <w:rPr>
          <w:rtl/>
        </w:rPr>
      </w:pPr>
      <w:r w:rsidRPr="00FC0F14">
        <w:rPr>
          <w:rFonts w:hint="eastAsia"/>
          <w:i/>
          <w:iCs/>
          <w:rtl/>
        </w:rPr>
        <w:t>ب</w:t>
      </w:r>
      <w:r w:rsidRPr="00FC0F14">
        <w:rPr>
          <w:i/>
          <w:iCs/>
          <w:rtl/>
        </w:rPr>
        <w:t>)</w:t>
      </w:r>
      <w:r w:rsidRPr="00FC0F14">
        <w:rPr>
          <w:i/>
          <w:iCs/>
          <w:rtl/>
        </w:rPr>
        <w:tab/>
      </w:r>
      <w:r>
        <w:rPr>
          <w:rFonts w:hint="cs"/>
          <w:rtl/>
          <w:lang w:val="en-GB"/>
        </w:rPr>
        <w:t xml:space="preserve">أعمال </w:t>
      </w:r>
      <w:r w:rsidRPr="004D19E6">
        <w:rPr>
          <w:rtl/>
          <w:lang w:val="en-GB"/>
        </w:rPr>
        <w:t xml:space="preserve">الأفرقة المتخصصة السابقة </w:t>
      </w:r>
      <w:r>
        <w:rPr>
          <w:rFonts w:hint="cs"/>
          <w:rtl/>
          <w:lang w:val="en-GB"/>
        </w:rPr>
        <w:t>ب</w:t>
      </w:r>
      <w:r w:rsidRPr="004D19E6">
        <w:rPr>
          <w:rtl/>
          <w:lang w:val="en-GB"/>
        </w:rPr>
        <w:t xml:space="preserve">قطاع تقييس الاتصالات </w:t>
      </w:r>
      <w:r>
        <w:rPr>
          <w:rFonts w:hint="cs"/>
          <w:rtl/>
          <w:lang w:val="en-GB"/>
        </w:rPr>
        <w:t>المعنية</w:t>
      </w:r>
      <w:r w:rsidRPr="004D19E6">
        <w:rPr>
          <w:rtl/>
          <w:lang w:val="en-GB"/>
        </w:rPr>
        <w:t xml:space="preserve"> </w:t>
      </w:r>
      <w:r>
        <w:rPr>
          <w:rFonts w:hint="cs"/>
          <w:rtl/>
          <w:lang w:val="en-GB"/>
        </w:rPr>
        <w:t>ب</w:t>
      </w:r>
      <w:r w:rsidRPr="004D19E6">
        <w:rPr>
          <w:rtl/>
          <w:lang w:val="en-GB"/>
        </w:rPr>
        <w:t>الوسائط المتعددة في المركبات</w:t>
      </w:r>
      <w:r>
        <w:rPr>
          <w:rFonts w:hint="cs"/>
          <w:rtl/>
          <w:lang w:val="en-GB"/>
        </w:rPr>
        <w:t> </w:t>
      </w:r>
      <w:r w:rsidRPr="004D19E6">
        <w:rPr>
          <w:rtl/>
          <w:lang w:val="en-GB"/>
        </w:rPr>
        <w:t>(</w:t>
      </w:r>
      <w:r w:rsidRPr="004D19E6">
        <w:rPr>
          <w:lang w:val="en-GB"/>
        </w:rPr>
        <w:t>FG</w:t>
      </w:r>
      <w:r>
        <w:noBreakHyphen/>
      </w:r>
      <w:r w:rsidRPr="004D19E6">
        <w:rPr>
          <w:lang w:val="en-GB"/>
        </w:rPr>
        <w:t>VM</w:t>
      </w:r>
      <w:r w:rsidRPr="004D19E6">
        <w:rPr>
          <w:rtl/>
          <w:lang w:val="en-GB"/>
        </w:rPr>
        <w:t>) والذكاء الاصطناعي</w:t>
      </w:r>
      <w:r>
        <w:rPr>
          <w:rFonts w:hint="eastAsia"/>
          <w:rtl/>
          <w:lang w:val="en-GB"/>
        </w:rPr>
        <w:t> </w:t>
      </w:r>
      <w:r w:rsidRPr="00913F6C">
        <w:rPr>
          <w:lang w:val="en-GB"/>
        </w:rPr>
        <w:t>(AI)</w:t>
      </w:r>
      <w:r w:rsidRPr="004D19E6">
        <w:rPr>
          <w:rtl/>
          <w:lang w:val="en-GB"/>
        </w:rPr>
        <w:t xml:space="preserve"> لأغراض القيادة الذاتية والمساعَدة</w:t>
      </w:r>
      <w:r>
        <w:rPr>
          <w:rFonts w:hint="cs"/>
          <w:rtl/>
          <w:lang w:val="en-GB"/>
        </w:rPr>
        <w:t> </w:t>
      </w:r>
      <w:r w:rsidRPr="004D19E6">
        <w:rPr>
          <w:rtl/>
          <w:lang w:val="en-GB"/>
        </w:rPr>
        <w:t>(</w:t>
      </w:r>
      <w:r w:rsidRPr="004D19E6">
        <w:rPr>
          <w:lang w:val="en-GB"/>
        </w:rPr>
        <w:t>FG-AI4AD</w:t>
      </w:r>
      <w:r w:rsidRPr="004D19E6">
        <w:rPr>
          <w:rtl/>
          <w:lang w:val="en-GB"/>
        </w:rPr>
        <w:t>)</w:t>
      </w:r>
      <w:r w:rsidRPr="00FC0F14">
        <w:rPr>
          <w:rFonts w:hint="cs"/>
          <w:rtl/>
        </w:rPr>
        <w:t>؛</w:t>
      </w:r>
    </w:p>
    <w:p w14:paraId="5ADE1957" w14:textId="77777777" w:rsidR="00901F13" w:rsidRPr="00FC0F14" w:rsidRDefault="00901F13" w:rsidP="00901F13">
      <w:pPr>
        <w:rPr>
          <w:rtl/>
        </w:rPr>
      </w:pPr>
      <w:r w:rsidRPr="00FC0F14">
        <w:rPr>
          <w:rFonts w:hint="eastAsia"/>
          <w:i/>
          <w:iCs/>
          <w:rtl/>
        </w:rPr>
        <w:t>ج</w:t>
      </w:r>
      <w:r w:rsidRPr="00FC0F14">
        <w:rPr>
          <w:i/>
          <w:iCs/>
          <w:rtl/>
        </w:rPr>
        <w:t>)</w:t>
      </w:r>
      <w:r w:rsidRPr="00FC0F14">
        <w:rPr>
          <w:i/>
          <w:iCs/>
          <w:rtl/>
        </w:rPr>
        <w:tab/>
      </w:r>
      <w:r w:rsidRPr="004D19E6">
        <w:rPr>
          <w:rtl/>
          <w:lang w:val="en-GB"/>
        </w:rPr>
        <w:t>أن التعاون بشأن معايير الاتصالات لأنظمة النقل الذكية (</w:t>
      </w:r>
      <w:r w:rsidRPr="004D19E6">
        <w:rPr>
          <w:lang w:val="en-GB"/>
        </w:rPr>
        <w:t>CITS</w:t>
      </w:r>
      <w:r w:rsidRPr="004D19E6">
        <w:rPr>
          <w:rtl/>
          <w:lang w:val="en-GB"/>
        </w:rPr>
        <w:t xml:space="preserve">) هو منصة دولية مفتوحة معترف بها تحتفظ بقاعدة بيانات عالمية مجانية على الإنترنت لمعايير أنظمة النقل الذكية وتتيح مكاناً لتبادل المعلومات وتنسيق المعايير الدولية بشأن </w:t>
      </w:r>
      <w:r>
        <w:rPr>
          <w:color w:val="000000"/>
          <w:rtl/>
        </w:rPr>
        <w:t xml:space="preserve">الاتصالات من مركبة إلى كل شيء </w:t>
      </w:r>
      <w:r>
        <w:rPr>
          <w:rFonts w:hint="cs"/>
          <w:rtl/>
          <w:lang w:val="en-GB"/>
        </w:rPr>
        <w:t>و</w:t>
      </w:r>
      <w:r w:rsidRPr="004D19E6">
        <w:rPr>
          <w:rtl/>
          <w:lang w:val="en-GB"/>
        </w:rPr>
        <w:t>أنظمة النقل الذكية بين منظمات التقييس الوطنية والإقليمية والدولية</w:t>
      </w:r>
      <w:r w:rsidRPr="00FC0F14">
        <w:rPr>
          <w:rFonts w:hint="eastAsia"/>
          <w:rtl/>
        </w:rPr>
        <w:t>؛</w:t>
      </w:r>
    </w:p>
    <w:p w14:paraId="157F1286" w14:textId="77777777" w:rsidR="00901F13" w:rsidRDefault="00901F13" w:rsidP="00901F13">
      <w:pPr>
        <w:rPr>
          <w:rtl/>
        </w:rPr>
      </w:pPr>
      <w:r w:rsidRPr="00FC0F14">
        <w:rPr>
          <w:rFonts w:hint="eastAsia"/>
          <w:i/>
          <w:iCs/>
          <w:rtl/>
        </w:rPr>
        <w:t>د </w:t>
      </w:r>
      <w:r w:rsidRPr="00FC0F14">
        <w:rPr>
          <w:i/>
          <w:iCs/>
          <w:rtl/>
        </w:rPr>
        <w:t>)</w:t>
      </w:r>
      <w:r w:rsidRPr="00FC0F14">
        <w:rPr>
          <w:rtl/>
        </w:rPr>
        <w:tab/>
      </w:r>
      <w:r w:rsidRPr="00FB2311">
        <w:rPr>
          <w:rtl/>
          <w:lang w:val="en-GB"/>
        </w:rPr>
        <w:t>أن</w:t>
      </w:r>
      <w:r>
        <w:rPr>
          <w:rFonts w:hint="cs"/>
          <w:rtl/>
          <w:lang w:val="en-GB"/>
        </w:rPr>
        <w:t xml:space="preserve"> فريق</w:t>
      </w:r>
      <w:r w:rsidRPr="00FB2311">
        <w:rPr>
          <w:rtl/>
          <w:lang w:val="en-GB"/>
        </w:rPr>
        <w:t xml:space="preserve"> التعاون بشأن معايير الاتصالات لأنظمة النقل الذكية</w:t>
      </w:r>
      <w:r>
        <w:rPr>
          <w:rFonts w:hint="cs"/>
          <w:rtl/>
          <w:lang w:val="en-GB"/>
        </w:rPr>
        <w:t> </w:t>
      </w:r>
      <w:r w:rsidRPr="00FB2311">
        <w:rPr>
          <w:rtl/>
          <w:lang w:val="en-GB"/>
        </w:rPr>
        <w:t>(</w:t>
      </w:r>
      <w:r w:rsidRPr="00FB2311">
        <w:rPr>
          <w:lang w:val="en-GB"/>
        </w:rPr>
        <w:t>CITS</w:t>
      </w:r>
      <w:r w:rsidRPr="00FB2311">
        <w:rPr>
          <w:rtl/>
          <w:lang w:val="en-GB"/>
        </w:rPr>
        <w:t>) أنشأ فريق الخبراء المعني بتكنولوجيا الاتصالات للقيادة ال</w:t>
      </w:r>
      <w:r>
        <w:rPr>
          <w:rtl/>
          <w:lang w:val="en-GB"/>
        </w:rPr>
        <w:t>مؤتمت</w:t>
      </w:r>
      <w:r w:rsidRPr="00FB2311">
        <w:rPr>
          <w:rtl/>
          <w:lang w:val="en-GB"/>
        </w:rPr>
        <w:t>ة</w:t>
      </w:r>
      <w:r>
        <w:rPr>
          <w:rFonts w:hint="cs"/>
          <w:rtl/>
          <w:lang w:val="en-GB"/>
        </w:rPr>
        <w:t> </w:t>
      </w:r>
      <w:r w:rsidRPr="00FB2311">
        <w:rPr>
          <w:rtl/>
          <w:lang w:val="en-GB"/>
        </w:rPr>
        <w:t>(</w:t>
      </w:r>
      <w:r w:rsidRPr="00FB2311">
        <w:rPr>
          <w:lang w:val="en-GB"/>
        </w:rPr>
        <w:t>EG</w:t>
      </w:r>
      <w:r>
        <w:rPr>
          <w:lang w:bidi="ar-EG"/>
        </w:rPr>
        <w:noBreakHyphen/>
      </w:r>
      <w:proofErr w:type="spellStart"/>
      <w:r w:rsidRPr="00FB2311">
        <w:rPr>
          <w:lang w:val="en-GB"/>
        </w:rPr>
        <w:t>ComAD</w:t>
      </w:r>
      <w:proofErr w:type="spellEnd"/>
      <w:r w:rsidRPr="00FB2311">
        <w:rPr>
          <w:rtl/>
          <w:lang w:val="en-GB"/>
        </w:rPr>
        <w:t>)، الذي يهدف إلى تيسير نشر أنظمة القيادة المؤتمتة الآمنة والموثوقة بواسطة تكنولوجيا الاتصالات المتقدمة</w:t>
      </w:r>
      <w:r w:rsidRPr="00FB2311">
        <w:rPr>
          <w:rFonts w:hint="cs"/>
          <w:rtl/>
          <w:lang w:val="en-GB"/>
        </w:rPr>
        <w:t>؛</w:t>
      </w:r>
    </w:p>
    <w:p w14:paraId="46F65215" w14:textId="77777777" w:rsidR="00901F13" w:rsidRDefault="00901F13" w:rsidP="00901F13">
      <w:pPr>
        <w:rPr>
          <w:rtl/>
          <w:lang w:bidi="ar-EG"/>
        </w:rPr>
      </w:pPr>
      <w:r>
        <w:rPr>
          <w:rFonts w:hint="cs"/>
          <w:i/>
          <w:iCs/>
          <w:rtl/>
        </w:rPr>
        <w:t>هـ</w:t>
      </w:r>
      <w:r w:rsidRPr="00FC0F14">
        <w:rPr>
          <w:rFonts w:hint="eastAsia"/>
          <w:i/>
          <w:iCs/>
          <w:rtl/>
        </w:rPr>
        <w:t> </w:t>
      </w:r>
      <w:r w:rsidRPr="00FC0F14">
        <w:rPr>
          <w:i/>
          <w:iCs/>
          <w:rtl/>
        </w:rPr>
        <w:t>)</w:t>
      </w:r>
      <w:r w:rsidRPr="00FC0F14">
        <w:rPr>
          <w:rtl/>
        </w:rPr>
        <w:tab/>
      </w:r>
      <w:r w:rsidRPr="004D19E6">
        <w:rPr>
          <w:rtl/>
          <w:lang w:val="en-GB"/>
        </w:rPr>
        <w:t>أن قطاع تقييس الاتصالات يشترك بالتعاون مع لجنة الأمم المتحدة الاقتصادية لأوروبا في تنظيم ندوة سيارة المستقبل الموصولة شبكياً والتي أصبحت منتدى رئيسياً لمناقشة ودراسة أحدث التطورات في توصيلية المركبات والتنقل الآلي ودور الذكاء الاصطناعي في قطاع النقل</w:t>
      </w:r>
      <w:r>
        <w:rPr>
          <w:rFonts w:hint="cs"/>
          <w:rtl/>
          <w:lang w:val="en-GB" w:bidi="ar-EG"/>
        </w:rPr>
        <w:t>،</w:t>
      </w:r>
    </w:p>
    <w:p w14:paraId="72B7BA54" w14:textId="77777777" w:rsidR="00901F13" w:rsidRDefault="00901F13" w:rsidP="00901F13">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تلاحظ</w:t>
      </w:r>
      <w:r w:rsidRPr="005A57D8">
        <w:rPr>
          <w:rtl/>
          <w:lang w:bidi="ar-EG"/>
        </w:rPr>
        <w:t xml:space="preserve"> </w:t>
      </w:r>
      <w:r w:rsidRPr="005A57D8">
        <w:rPr>
          <w:rFonts w:hint="eastAsia"/>
          <w:rtl/>
          <w:lang w:bidi="ar-EG"/>
        </w:rPr>
        <w:t>كذلك</w:t>
      </w:r>
    </w:p>
    <w:p w14:paraId="0D742C65" w14:textId="77777777" w:rsidR="00901F13" w:rsidRPr="00FC0F14" w:rsidRDefault="00901F13" w:rsidP="00901F13">
      <w:pPr>
        <w:rPr>
          <w:rtl/>
        </w:rPr>
      </w:pPr>
      <w:r w:rsidRPr="00FC0F14">
        <w:rPr>
          <w:rFonts w:hint="eastAsia"/>
          <w:i/>
          <w:iCs/>
          <w:rtl/>
          <w:lang w:bidi="ar-SY"/>
        </w:rPr>
        <w:t> أ </w:t>
      </w:r>
      <w:r w:rsidRPr="00FC0F14">
        <w:rPr>
          <w:i/>
          <w:iCs/>
          <w:rtl/>
          <w:lang w:bidi="ar-SY"/>
        </w:rPr>
        <w:t>)</w:t>
      </w:r>
      <w:r w:rsidRPr="00FC0F14">
        <w:rPr>
          <w:rFonts w:hint="cs"/>
          <w:rtl/>
          <w:lang w:bidi="ar-SY"/>
        </w:rPr>
        <w:tab/>
      </w:r>
      <w:r w:rsidRPr="004D19E6">
        <w:rPr>
          <w:rtl/>
          <w:lang w:val="en-GB"/>
        </w:rPr>
        <w:t>أن قطاع الاتصالات الراديوية بالاتحاد</w:t>
      </w:r>
      <w:r>
        <w:rPr>
          <w:rFonts w:hint="cs"/>
          <w:rtl/>
          <w:lang w:val="en-GB"/>
        </w:rPr>
        <w:t> </w:t>
      </w:r>
      <w:r w:rsidRPr="004D19E6">
        <w:rPr>
          <w:rtl/>
          <w:lang w:val="en-GB"/>
        </w:rPr>
        <w:t>(</w:t>
      </w:r>
      <w:r w:rsidRPr="004D19E6">
        <w:rPr>
          <w:lang w:val="en-GB"/>
        </w:rPr>
        <w:t>ITU-R</w:t>
      </w:r>
      <w:r w:rsidRPr="004D19E6">
        <w:rPr>
          <w:rtl/>
          <w:lang w:val="en-GB"/>
        </w:rPr>
        <w:t xml:space="preserve">)، ولا سيما لجنة الدراسات </w:t>
      </w:r>
      <w:r w:rsidRPr="004D19E6">
        <w:rPr>
          <w:lang w:val="en-GB"/>
        </w:rPr>
        <w:t>5</w:t>
      </w:r>
      <w:r>
        <w:rPr>
          <w:rFonts w:hint="cs"/>
          <w:rtl/>
          <w:lang w:val="en-GB"/>
        </w:rPr>
        <w:t xml:space="preserve"> لدى </w:t>
      </w:r>
      <w:r w:rsidRPr="0005380B">
        <w:rPr>
          <w:rtl/>
          <w:lang w:val="en-GB"/>
        </w:rPr>
        <w:t>قطاع الاتصالات الراديوية</w:t>
      </w:r>
      <w:r w:rsidRPr="004D19E6">
        <w:rPr>
          <w:rtl/>
          <w:lang w:val="en-GB"/>
        </w:rPr>
        <w:t>، يتولى مسؤولية جوانب الاتصالات الراديوية ومتطلبات الطيف والخصائص التقنية والتشغيلية من أجل تحقيق تنسيق الطيف الراديوي لاتصالات المركبات مثل من مركبة إلى كل شيء</w:t>
      </w:r>
      <w:r>
        <w:rPr>
          <w:rFonts w:hint="cs"/>
          <w:rtl/>
          <w:lang w:val="en-GB"/>
        </w:rPr>
        <w:t> </w:t>
      </w:r>
      <w:r w:rsidRPr="004D19E6">
        <w:rPr>
          <w:rtl/>
          <w:lang w:val="en-GB"/>
        </w:rPr>
        <w:t>(</w:t>
      </w:r>
      <w:r w:rsidRPr="004D19E6">
        <w:rPr>
          <w:lang w:val="en-GB"/>
        </w:rPr>
        <w:t>V2X</w:t>
      </w:r>
      <w:r w:rsidRPr="004D19E6">
        <w:rPr>
          <w:rtl/>
          <w:lang w:val="en-GB"/>
        </w:rPr>
        <w:t>) وأنظمة النقل الذكية</w:t>
      </w:r>
      <w:r>
        <w:rPr>
          <w:rFonts w:hint="cs"/>
          <w:rtl/>
          <w:lang w:val="en-GB"/>
        </w:rPr>
        <w:t> </w:t>
      </w:r>
      <w:r w:rsidRPr="004D19E6">
        <w:rPr>
          <w:rtl/>
          <w:lang w:val="en-GB"/>
        </w:rPr>
        <w:t>(</w:t>
      </w:r>
      <w:r w:rsidRPr="004D19E6">
        <w:rPr>
          <w:lang w:val="en-GB"/>
        </w:rPr>
        <w:t>ITS</w:t>
      </w:r>
      <w:r w:rsidRPr="004D19E6">
        <w:rPr>
          <w:rtl/>
          <w:lang w:val="en-GB"/>
        </w:rPr>
        <w:t>) ورادارات المركبات والمركبات الموصولة والمؤتمتة</w:t>
      </w:r>
      <w:r>
        <w:rPr>
          <w:rFonts w:hint="cs"/>
          <w:rtl/>
          <w:lang w:val="en-GB"/>
        </w:rPr>
        <w:t> </w:t>
      </w:r>
      <w:r w:rsidRPr="004D19E6">
        <w:rPr>
          <w:rtl/>
          <w:lang w:val="en-GB"/>
        </w:rPr>
        <w:t>(</w:t>
      </w:r>
      <w:r w:rsidRPr="004D19E6">
        <w:rPr>
          <w:lang w:val="en-GB"/>
        </w:rPr>
        <w:t>CAV</w:t>
      </w:r>
      <w:r w:rsidRPr="004D19E6">
        <w:rPr>
          <w:rtl/>
          <w:lang w:val="en-GB"/>
        </w:rPr>
        <w:t>)</w:t>
      </w:r>
      <w:r w:rsidRPr="00FC0F14">
        <w:rPr>
          <w:rFonts w:hint="cs"/>
          <w:rtl/>
        </w:rPr>
        <w:t>؛</w:t>
      </w:r>
    </w:p>
    <w:p w14:paraId="3CD7C62E" w14:textId="77777777" w:rsidR="00901F13" w:rsidRPr="00FC0F14" w:rsidRDefault="00901F13" w:rsidP="00901F13">
      <w:pPr>
        <w:rPr>
          <w:rtl/>
        </w:rPr>
      </w:pPr>
      <w:r w:rsidRPr="00FC0F14">
        <w:rPr>
          <w:rFonts w:hint="eastAsia"/>
          <w:i/>
          <w:iCs/>
          <w:rtl/>
        </w:rPr>
        <w:t>ب</w:t>
      </w:r>
      <w:r w:rsidRPr="00FC0F14">
        <w:rPr>
          <w:i/>
          <w:iCs/>
          <w:rtl/>
        </w:rPr>
        <w:t>)</w:t>
      </w:r>
      <w:r w:rsidRPr="00FC0F14">
        <w:rPr>
          <w:i/>
          <w:iCs/>
          <w:rtl/>
        </w:rPr>
        <w:tab/>
      </w:r>
      <w:r w:rsidRPr="004D19E6">
        <w:rPr>
          <w:rtl/>
          <w:lang w:val="en-GB"/>
        </w:rPr>
        <w:t xml:space="preserve">أن لجنة الدراسات </w:t>
      </w:r>
      <w:r w:rsidRPr="004D19E6">
        <w:rPr>
          <w:lang w:val="en-GB"/>
        </w:rPr>
        <w:t>2</w:t>
      </w:r>
      <w:r w:rsidRPr="004D19E6">
        <w:rPr>
          <w:rtl/>
          <w:lang w:val="en-GB"/>
        </w:rPr>
        <w:t xml:space="preserve"> ل</w:t>
      </w:r>
      <w:r>
        <w:rPr>
          <w:rFonts w:hint="cs"/>
          <w:rtl/>
          <w:lang w:val="en-GB"/>
        </w:rPr>
        <w:t xml:space="preserve">دى </w:t>
      </w:r>
      <w:r w:rsidRPr="004D19E6">
        <w:rPr>
          <w:rtl/>
          <w:lang w:val="en-GB"/>
        </w:rPr>
        <w:t>قطاع تنمية الاتصالات</w:t>
      </w:r>
      <w:r>
        <w:rPr>
          <w:rFonts w:hint="cs"/>
          <w:rtl/>
          <w:lang w:val="en-GB"/>
        </w:rPr>
        <w:t xml:space="preserve"> بالاتحاد </w:t>
      </w:r>
      <w:r w:rsidRPr="004D19E6">
        <w:rPr>
          <w:rtl/>
          <w:lang w:val="en-GB"/>
        </w:rPr>
        <w:t>(</w:t>
      </w:r>
      <w:r w:rsidRPr="004D19E6">
        <w:rPr>
          <w:lang w:val="en-GB"/>
        </w:rPr>
        <w:t>ITU-D</w:t>
      </w:r>
      <w:r w:rsidRPr="004D19E6">
        <w:rPr>
          <w:rtl/>
          <w:lang w:val="en-GB"/>
        </w:rPr>
        <w:t>) تركز على التحول الرقمي، ولا سيما</w:t>
      </w:r>
      <w:r>
        <w:rPr>
          <w:rFonts w:hint="cs"/>
          <w:rtl/>
          <w:lang w:val="en-GB"/>
        </w:rPr>
        <w:t xml:space="preserve"> في إطار دراسة</w:t>
      </w:r>
      <w:r w:rsidRPr="004D19E6">
        <w:rPr>
          <w:rtl/>
          <w:lang w:val="en-GB"/>
        </w:rPr>
        <w:t xml:space="preserve"> المسألة</w:t>
      </w:r>
      <w:r>
        <w:rPr>
          <w:rFonts w:hint="cs"/>
          <w:rtl/>
          <w:lang w:val="en-GB"/>
        </w:rPr>
        <w:t> </w:t>
      </w:r>
      <w:r w:rsidRPr="004D19E6">
        <w:rPr>
          <w:lang w:val="en-GB"/>
        </w:rPr>
        <w:t>2</w:t>
      </w:r>
      <w:r w:rsidRPr="004D19E6">
        <w:rPr>
          <w:rtl/>
          <w:lang w:val="en-GB"/>
        </w:rPr>
        <w:t>/</w:t>
      </w:r>
      <w:r w:rsidRPr="004D19E6">
        <w:rPr>
          <w:lang w:val="en-GB"/>
        </w:rPr>
        <w:t>1</w:t>
      </w:r>
      <w:r w:rsidRPr="004D19E6">
        <w:rPr>
          <w:rtl/>
          <w:lang w:val="en-GB"/>
        </w:rPr>
        <w:t>، بهدف دراسة المشاكل المتعلقة بتعزيز المدن والمجتمعات الذكية المستدامة، وتبادل الخبرات بشأن تحسين التوصيلية والبنى التحتية الأساسية لدعم المجتمعات الذكية والنقل الذكي</w:t>
      </w:r>
      <w:r>
        <w:rPr>
          <w:rFonts w:hint="cs"/>
          <w:rtl/>
        </w:rPr>
        <w:t>،</w:t>
      </w:r>
    </w:p>
    <w:p w14:paraId="3CDAA1FC" w14:textId="77777777" w:rsidR="00901F13" w:rsidRPr="00FC0F14" w:rsidRDefault="00901F13" w:rsidP="00901F13">
      <w:pPr>
        <w:pStyle w:val="Call"/>
        <w:rPr>
          <w:rtl/>
          <w:lang w:bidi="ar-EG"/>
        </w:rPr>
      </w:pPr>
      <w:r w:rsidRPr="005A57D8">
        <w:rPr>
          <w:rFonts w:hint="eastAsia"/>
          <w:rtl/>
          <w:lang w:bidi="ar-EG"/>
        </w:rPr>
        <w:t>وإذ</w:t>
      </w:r>
      <w:r w:rsidRPr="005A57D8">
        <w:rPr>
          <w:rtl/>
          <w:lang w:bidi="ar-EG"/>
        </w:rPr>
        <w:t xml:space="preserve"> </w:t>
      </w:r>
      <w:r w:rsidRPr="005A57D8">
        <w:rPr>
          <w:rFonts w:hint="eastAsia"/>
          <w:rtl/>
          <w:lang w:bidi="ar-EG"/>
        </w:rPr>
        <w:t>تدرك</w:t>
      </w:r>
    </w:p>
    <w:p w14:paraId="2A852122" w14:textId="77777777" w:rsidR="00901F13" w:rsidRPr="00FC0F14" w:rsidRDefault="00901F13" w:rsidP="00901F13">
      <w:pPr>
        <w:rPr>
          <w:rtl/>
        </w:rPr>
      </w:pPr>
      <w:r w:rsidRPr="00FC0F14">
        <w:rPr>
          <w:rFonts w:hint="eastAsia"/>
          <w:i/>
          <w:iCs/>
          <w:rtl/>
          <w:lang w:bidi="ar-SY"/>
        </w:rPr>
        <w:t> أ </w:t>
      </w:r>
      <w:r w:rsidRPr="00FC0F14">
        <w:rPr>
          <w:i/>
          <w:iCs/>
          <w:rtl/>
          <w:lang w:bidi="ar-SY"/>
        </w:rPr>
        <w:t>)</w:t>
      </w:r>
      <w:r w:rsidRPr="00FC0F14">
        <w:rPr>
          <w:rFonts w:hint="cs"/>
          <w:rtl/>
          <w:lang w:bidi="ar-SY"/>
        </w:rPr>
        <w:tab/>
      </w:r>
      <w:r w:rsidRPr="004D19E6">
        <w:rPr>
          <w:rtl/>
          <w:lang w:val="en-GB"/>
        </w:rPr>
        <w:t xml:space="preserve">أن قطاع تقييس الاتصالات </w:t>
      </w:r>
      <w:r>
        <w:rPr>
          <w:rFonts w:hint="cs"/>
          <w:rtl/>
          <w:lang w:val="en-GB"/>
        </w:rPr>
        <w:t xml:space="preserve">يؤدي </w:t>
      </w:r>
      <w:r w:rsidRPr="004D19E6">
        <w:rPr>
          <w:rtl/>
          <w:lang w:val="en-GB"/>
        </w:rPr>
        <w:t xml:space="preserve">دوراً في </w:t>
      </w:r>
      <w:r>
        <w:rPr>
          <w:rFonts w:hint="cs"/>
          <w:rtl/>
          <w:lang w:val="en-GB"/>
        </w:rPr>
        <w:t>قطاع</w:t>
      </w:r>
      <w:r w:rsidRPr="004D19E6">
        <w:rPr>
          <w:rtl/>
          <w:lang w:val="en-GB"/>
        </w:rPr>
        <w:t xml:space="preserve"> تكنولوجيا المعلومات والاتصالات في وضع معايير لاتصالات المركبات مثل من مركبة إلى كل شيء (</w:t>
      </w:r>
      <w:r w:rsidRPr="004D19E6">
        <w:rPr>
          <w:lang w:val="en-GB"/>
        </w:rPr>
        <w:t>V2X</w:t>
      </w:r>
      <w:r w:rsidRPr="004D19E6">
        <w:rPr>
          <w:rtl/>
          <w:lang w:val="en-GB"/>
        </w:rPr>
        <w:t>) وأنظمة النقل الذكية (</w:t>
      </w:r>
      <w:r w:rsidRPr="004D19E6">
        <w:rPr>
          <w:lang w:val="en-GB"/>
        </w:rPr>
        <w:t>ITS</w:t>
      </w:r>
      <w:r w:rsidRPr="004D19E6">
        <w:rPr>
          <w:rtl/>
          <w:lang w:val="en-GB"/>
        </w:rPr>
        <w:t>)</w:t>
      </w:r>
      <w:r w:rsidRPr="00FC0F14">
        <w:rPr>
          <w:rFonts w:hint="cs"/>
          <w:rtl/>
        </w:rPr>
        <w:t>؛</w:t>
      </w:r>
    </w:p>
    <w:p w14:paraId="606F95C3" w14:textId="77777777" w:rsidR="00901F13" w:rsidRDefault="00901F13" w:rsidP="00901F13">
      <w:pPr>
        <w:rPr>
          <w:rtl/>
        </w:rPr>
      </w:pPr>
      <w:r>
        <w:rPr>
          <w:rtl/>
        </w:rPr>
        <w:br w:type="page"/>
      </w:r>
    </w:p>
    <w:p w14:paraId="77558CF5" w14:textId="77777777" w:rsidR="008176CA" w:rsidRPr="007C6CB3" w:rsidRDefault="008176CA" w:rsidP="008176CA">
      <w:r w:rsidRPr="00FC0F14">
        <w:rPr>
          <w:rFonts w:hint="eastAsia"/>
          <w:i/>
          <w:iCs/>
          <w:rtl/>
        </w:rPr>
        <w:lastRenderedPageBreak/>
        <w:t>ب</w:t>
      </w:r>
      <w:r w:rsidRPr="00FC0F14">
        <w:rPr>
          <w:i/>
          <w:iCs/>
          <w:rtl/>
        </w:rPr>
        <w:t>)</w:t>
      </w:r>
      <w:r w:rsidRPr="00FC0F14">
        <w:rPr>
          <w:i/>
          <w:iCs/>
          <w:rtl/>
        </w:rPr>
        <w:tab/>
      </w:r>
      <w:r w:rsidRPr="004D19E6">
        <w:rPr>
          <w:rtl/>
          <w:lang w:val="en-GB"/>
        </w:rPr>
        <w:t>أن هناك حاجة إلى إطار معياري منسق للاتصالات/تكنولوجيا المعلومات والاتصالات لأغراض اتصالات المركبات مثل من مركبة إلى كل شيء (</w:t>
      </w:r>
      <w:r w:rsidRPr="004D19E6">
        <w:rPr>
          <w:lang w:val="en-GB"/>
        </w:rPr>
        <w:t>V2X</w:t>
      </w:r>
      <w:r w:rsidRPr="004D19E6">
        <w:rPr>
          <w:rtl/>
          <w:lang w:val="en-GB"/>
        </w:rPr>
        <w:t>) وأنظمة النقل الذكية (</w:t>
      </w:r>
      <w:r w:rsidRPr="004D19E6">
        <w:rPr>
          <w:lang w:val="en-GB"/>
        </w:rPr>
        <w:t>ITS</w:t>
      </w:r>
      <w:r w:rsidRPr="004D19E6">
        <w:rPr>
          <w:rtl/>
          <w:lang w:val="en-GB"/>
        </w:rPr>
        <w:t xml:space="preserve">) </w:t>
      </w:r>
      <w:r w:rsidRPr="00BE0705">
        <w:rPr>
          <w:rtl/>
          <w:lang w:val="en-GB"/>
        </w:rPr>
        <w:t xml:space="preserve">‏بما في ذلك التعاون مع منظمات </w:t>
      </w:r>
      <w:r>
        <w:rPr>
          <w:rFonts w:hint="cs"/>
          <w:rtl/>
          <w:lang w:val="en-GB"/>
        </w:rPr>
        <w:t xml:space="preserve">وضع </w:t>
      </w:r>
      <w:r w:rsidRPr="00BE0705">
        <w:rPr>
          <w:rtl/>
          <w:lang w:val="en-GB"/>
        </w:rPr>
        <w:t>المعايير</w:t>
      </w:r>
      <w:r>
        <w:rPr>
          <w:rFonts w:hint="cs"/>
          <w:rtl/>
          <w:lang w:val="en-GB"/>
        </w:rPr>
        <w:t> </w:t>
      </w:r>
      <w:r>
        <w:t>(SDO)</w:t>
      </w:r>
      <w:r w:rsidRPr="00BE0705">
        <w:rPr>
          <w:rtl/>
          <w:lang w:val="en-GB"/>
        </w:rPr>
        <w:t xml:space="preserve"> الأخرى النشطة في هذه المجالات، مثل </w:t>
      </w:r>
      <w:r>
        <w:rPr>
          <w:rFonts w:hint="cs"/>
          <w:rtl/>
          <w:lang w:val="en-GB"/>
        </w:rPr>
        <w:t>اللجنة التقنية 204 التابعة ل</w:t>
      </w:r>
      <w:r w:rsidRPr="007C6CB3">
        <w:rPr>
          <w:rtl/>
          <w:lang w:val="en-GB"/>
        </w:rPr>
        <w:t>منظمة التقييس الدولية</w:t>
      </w:r>
      <w:r>
        <w:rPr>
          <w:rFonts w:hint="cs"/>
          <w:rtl/>
          <w:lang w:val="en-GB"/>
        </w:rPr>
        <w:t xml:space="preserve"> </w:t>
      </w:r>
      <w:r>
        <w:rPr>
          <w:lang w:val="en-GB"/>
        </w:rPr>
        <w:t>(</w:t>
      </w:r>
      <w:r w:rsidRPr="00BE0705">
        <w:rPr>
          <w:cs/>
          <w:lang w:val="en-GB"/>
        </w:rPr>
        <w:t>‎</w:t>
      </w:r>
      <w:r w:rsidRPr="00BE0705">
        <w:rPr>
          <w:lang w:val="en-GB"/>
        </w:rPr>
        <w:t>ISO TC 204</w:t>
      </w:r>
      <w:r>
        <w:rPr>
          <w:lang w:val="en-GB"/>
        </w:rPr>
        <w:t>)</w:t>
      </w:r>
      <w:r>
        <w:rPr>
          <w:rFonts w:hint="cs"/>
          <w:rtl/>
          <w:lang w:val="en-GB"/>
        </w:rPr>
        <w:t xml:space="preserve"> و</w:t>
      </w:r>
      <w:r w:rsidRPr="007C6CB3">
        <w:rPr>
          <w:rtl/>
          <w:lang w:val="en-GB"/>
        </w:rPr>
        <w:t>اللجنة التقنية المعنية بنظام النقل الذكي لدى المعهد الأوروبي لمعايير الاتصالات</w:t>
      </w:r>
      <w:r>
        <w:rPr>
          <w:rFonts w:hint="cs"/>
          <w:rtl/>
          <w:lang w:val="en-GB"/>
        </w:rPr>
        <w:t xml:space="preserve"> </w:t>
      </w:r>
      <w:r>
        <w:rPr>
          <w:lang w:val="en-GB"/>
        </w:rPr>
        <w:t>(</w:t>
      </w:r>
      <w:r w:rsidRPr="00BE0705">
        <w:rPr>
          <w:cs/>
          <w:lang w:val="en-GB"/>
        </w:rPr>
        <w:t>‎</w:t>
      </w:r>
      <w:r w:rsidRPr="00BE0705">
        <w:rPr>
          <w:lang w:val="en-GB"/>
        </w:rPr>
        <w:t>ETSI TC ITS</w:t>
      </w:r>
      <w:r>
        <w:rPr>
          <w:lang w:val="en-GB"/>
        </w:rPr>
        <w:t>)</w:t>
      </w:r>
      <w:r w:rsidRPr="00BE0705">
        <w:rPr>
          <w:rtl/>
          <w:lang w:val="en-GB"/>
        </w:rPr>
        <w:t xml:space="preserve"> ‏</w:t>
      </w:r>
      <w:r>
        <w:rPr>
          <w:rFonts w:ascii="Segoe UI" w:hAnsi="Segoe UI" w:cs="Segoe UI" w:hint="cs"/>
          <w:color w:val="000000"/>
          <w:sz w:val="20"/>
          <w:szCs w:val="20"/>
          <w:shd w:val="clear" w:color="auto" w:fill="FFFFFF"/>
          <w:rtl/>
          <w:lang w:bidi="ar-EG"/>
        </w:rPr>
        <w:t>و</w:t>
      </w:r>
      <w:r w:rsidRPr="007C6CB3">
        <w:rPr>
          <w:rtl/>
          <w:lang w:val="en-GB"/>
        </w:rPr>
        <w:t>مشروع شراكة الجيل الثالث</w:t>
      </w:r>
      <w:r>
        <w:rPr>
          <w:rFonts w:hint="cs"/>
          <w:rtl/>
          <w:lang w:val="en-GB"/>
        </w:rPr>
        <w:t xml:space="preserve"> </w:t>
      </w:r>
      <w:r>
        <w:t>(</w:t>
      </w:r>
      <w:r w:rsidRPr="00BE0705">
        <w:rPr>
          <w:cs/>
          <w:lang w:val="en-GB"/>
        </w:rPr>
        <w:t>‎</w:t>
      </w:r>
      <w:r w:rsidRPr="00BE0705">
        <w:rPr>
          <w:lang w:val="en-GB"/>
        </w:rPr>
        <w:t>3GPP</w:t>
      </w:r>
      <w:r>
        <w:rPr>
          <w:lang w:val="en-GB"/>
        </w:rPr>
        <w:t>)</w:t>
      </w:r>
      <w:r>
        <w:rPr>
          <w:rFonts w:hint="cs"/>
          <w:rtl/>
          <w:lang w:val="en-GB"/>
        </w:rPr>
        <w:t xml:space="preserve"> </w:t>
      </w:r>
      <w:r w:rsidRPr="007C6CB3">
        <w:rPr>
          <w:rtl/>
          <w:lang w:val="en-GB"/>
        </w:rPr>
        <w:t>ومعهد مهندسي الكهرباء والإلكترونيات</w:t>
      </w:r>
      <w:r>
        <w:rPr>
          <w:rFonts w:hint="cs"/>
          <w:rtl/>
          <w:lang w:val="en-GB"/>
        </w:rPr>
        <w:t xml:space="preserve"> </w:t>
      </w:r>
      <w:r>
        <w:t>(</w:t>
      </w:r>
      <w:r w:rsidRPr="00BE0705">
        <w:rPr>
          <w:cs/>
          <w:lang w:val="en-GB"/>
        </w:rPr>
        <w:t>‎</w:t>
      </w:r>
      <w:r w:rsidRPr="00BE0705">
        <w:rPr>
          <w:lang w:val="en-GB"/>
        </w:rPr>
        <w:t>IEEE</w:t>
      </w:r>
      <w:r>
        <w:rPr>
          <w:lang w:val="en-GB"/>
        </w:rPr>
        <w:t>)</w:t>
      </w:r>
      <w:r>
        <w:rPr>
          <w:rFonts w:hint="cs"/>
          <w:rtl/>
          <w:lang w:val="en-GB"/>
        </w:rPr>
        <w:t xml:space="preserve"> </w:t>
      </w:r>
      <w:r w:rsidRPr="007C6CB3">
        <w:rPr>
          <w:rtl/>
          <w:lang w:val="en-GB"/>
        </w:rPr>
        <w:t>واللجنة التقنية 278 التابعة للجنة الأوروبية المعنية بالتقييس</w:t>
      </w:r>
      <w:r>
        <w:rPr>
          <w:rFonts w:hint="cs"/>
          <w:rtl/>
          <w:lang w:val="en-GB"/>
        </w:rPr>
        <w:t xml:space="preserve"> </w:t>
      </w:r>
      <w:r>
        <w:t>(</w:t>
      </w:r>
      <w:r w:rsidRPr="00BE0705">
        <w:rPr>
          <w:cs/>
          <w:lang w:val="en-GB"/>
        </w:rPr>
        <w:t>‎</w:t>
      </w:r>
      <w:r w:rsidRPr="00BE0705">
        <w:rPr>
          <w:lang w:val="en-GB"/>
        </w:rPr>
        <w:t>CEN</w:t>
      </w:r>
      <w:r>
        <w:rPr>
          <w:lang w:val="en-GB"/>
        </w:rPr>
        <w:t>/</w:t>
      </w:r>
      <w:r w:rsidRPr="00BE0705">
        <w:rPr>
          <w:lang w:val="en-GB"/>
        </w:rPr>
        <w:t>TC 278</w:t>
      </w:r>
      <w:r>
        <w:rPr>
          <w:lang w:val="en-GB"/>
        </w:rPr>
        <w:t>)</w:t>
      </w:r>
      <w:r w:rsidRPr="00BE0705">
        <w:rPr>
          <w:rtl/>
          <w:lang w:val="en-GB"/>
        </w:rPr>
        <w:t xml:space="preserve"> </w:t>
      </w:r>
      <w:r w:rsidRPr="007C6CB3">
        <w:rPr>
          <w:rtl/>
          <w:lang w:val="en-GB"/>
        </w:rPr>
        <w:t>وفريق مهام هندسة الإنترنت</w:t>
      </w:r>
      <w:r>
        <w:rPr>
          <w:rFonts w:hint="cs"/>
          <w:rtl/>
          <w:lang w:val="en-GB"/>
        </w:rPr>
        <w:t xml:space="preserve"> </w:t>
      </w:r>
      <w:r>
        <w:t>(</w:t>
      </w:r>
      <w:r w:rsidRPr="00BE0705">
        <w:rPr>
          <w:cs/>
          <w:lang w:val="en-GB"/>
        </w:rPr>
        <w:t>‎</w:t>
      </w:r>
      <w:r w:rsidRPr="00BE0705">
        <w:rPr>
          <w:lang w:val="en-GB"/>
        </w:rPr>
        <w:t>IETF</w:t>
      </w:r>
      <w:r>
        <w:rPr>
          <w:lang w:val="en-GB"/>
        </w:rPr>
        <w:t>)</w:t>
      </w:r>
      <w:r>
        <w:rPr>
          <w:rFonts w:hint="cs"/>
          <w:rtl/>
          <w:lang w:val="en-GB" w:bidi="ar-EG"/>
        </w:rPr>
        <w:t>؛</w:t>
      </w:r>
    </w:p>
    <w:p w14:paraId="33D149C9" w14:textId="1C319E33" w:rsidR="00901F13" w:rsidRPr="00FC0F14" w:rsidRDefault="00901F13" w:rsidP="00901F13">
      <w:pPr>
        <w:rPr>
          <w:rtl/>
        </w:rPr>
      </w:pPr>
      <w:r w:rsidRPr="00FC0F14">
        <w:rPr>
          <w:rFonts w:hint="eastAsia"/>
          <w:i/>
          <w:iCs/>
          <w:rtl/>
        </w:rPr>
        <w:t>ج</w:t>
      </w:r>
      <w:r w:rsidRPr="00FC0F14">
        <w:rPr>
          <w:i/>
          <w:iCs/>
          <w:rtl/>
        </w:rPr>
        <w:t>)</w:t>
      </w:r>
      <w:r w:rsidRPr="00FC0F14">
        <w:rPr>
          <w:i/>
          <w:iCs/>
          <w:rtl/>
        </w:rPr>
        <w:tab/>
      </w:r>
      <w:r w:rsidRPr="004D19E6">
        <w:rPr>
          <w:rtl/>
          <w:lang w:val="en-GB"/>
        </w:rPr>
        <w:t>أن اتباع نهج لأصحاب المصلحة المتعددين ضروري لتمكين أنشطة التقييس ونشر اتصالات المركبات مثل من مركبة إلى كل شيء (</w:t>
      </w:r>
      <w:r w:rsidRPr="004D19E6">
        <w:rPr>
          <w:lang w:val="en-GB"/>
        </w:rPr>
        <w:t>V2X</w:t>
      </w:r>
      <w:r w:rsidRPr="004D19E6">
        <w:rPr>
          <w:rtl/>
          <w:lang w:val="en-GB"/>
        </w:rPr>
        <w:t>) وأنظمة النقل الذكية (</w:t>
      </w:r>
      <w:r w:rsidRPr="004D19E6">
        <w:rPr>
          <w:lang w:val="en-GB"/>
        </w:rPr>
        <w:t>ITS</w:t>
      </w:r>
      <w:r w:rsidRPr="004D19E6">
        <w:rPr>
          <w:rtl/>
          <w:lang w:val="en-GB"/>
        </w:rPr>
        <w:t>) وأنه ينبغي الاستفادة من التعاون والشراكة بين الاتحاد ولجنة الأمم المتحدة الاقتصادية لأوروبا لهذا الغرض</w:t>
      </w:r>
      <w:r>
        <w:rPr>
          <w:rFonts w:hint="cs"/>
          <w:rtl/>
        </w:rPr>
        <w:t>،</w:t>
      </w:r>
      <w:r w:rsidRPr="00BE0705">
        <w:rPr>
          <w:rtl/>
        </w:rPr>
        <w:t xml:space="preserve"> </w:t>
      </w:r>
      <w:r w:rsidRPr="00BE0705">
        <w:rPr>
          <w:rtl/>
          <w:lang w:val="en-GB"/>
        </w:rPr>
        <w:t>مع قيام لجنة الأمم المتحدة الاقتصادية لأوروبا بتحديد المتطلبات التنظيمية، والاتحاد بتحديد معايير الاتصالات/تكنولوجيا المعلومات والاتصالات التي قد تفي بتلك المتطلبات</w:t>
      </w:r>
      <w:r>
        <w:rPr>
          <w:rFonts w:hint="cs"/>
          <w:rtl/>
        </w:rPr>
        <w:t>،</w:t>
      </w:r>
    </w:p>
    <w:p w14:paraId="7F0865BA" w14:textId="77777777" w:rsidR="00901F13" w:rsidRPr="00FC0F14" w:rsidRDefault="00901F13" w:rsidP="00901F13">
      <w:pPr>
        <w:pStyle w:val="Call"/>
      </w:pPr>
      <w:r w:rsidRPr="005A57D8">
        <w:rPr>
          <w:rFonts w:hint="eastAsia"/>
          <w:rtl/>
        </w:rPr>
        <w:t>تقرر</w:t>
      </w:r>
    </w:p>
    <w:p w14:paraId="00339C3E" w14:textId="77777777" w:rsidR="00901F13" w:rsidRPr="00FC0F14" w:rsidRDefault="00901F13" w:rsidP="00901F13">
      <w:pPr>
        <w:rPr>
          <w:rtl/>
        </w:rPr>
      </w:pPr>
      <w:r w:rsidRPr="00FC0F14">
        <w:t>1</w:t>
      </w:r>
      <w:r w:rsidRPr="00FC0F14">
        <w:rPr>
          <w:rtl/>
        </w:rPr>
        <w:tab/>
      </w:r>
      <w:r w:rsidRPr="004D19E6">
        <w:rPr>
          <w:rtl/>
          <w:lang w:val="en-GB"/>
        </w:rPr>
        <w:t>دعم وظيفة التنسيق التي يضطلع بها التعاون بشأن معايير الاتصالات لأنظمة النقل الذكية (</w:t>
      </w:r>
      <w:r w:rsidRPr="004D19E6">
        <w:rPr>
          <w:lang w:val="en-GB"/>
        </w:rPr>
        <w:t>CITS</w:t>
      </w:r>
      <w:r w:rsidRPr="004D19E6">
        <w:rPr>
          <w:rtl/>
          <w:lang w:val="en-GB"/>
        </w:rPr>
        <w:t>) بغية ترسيخ معايير الاتصالات الدولية بشأن اتصالات المركبات مثل من مركبة إلى كل شيء (</w:t>
      </w:r>
      <w:r w:rsidRPr="004D19E6">
        <w:rPr>
          <w:lang w:val="en-GB"/>
        </w:rPr>
        <w:t>V2X</w:t>
      </w:r>
      <w:r w:rsidRPr="004D19E6">
        <w:rPr>
          <w:rtl/>
          <w:lang w:val="en-GB"/>
        </w:rPr>
        <w:t>) وأنظمة النقل الذكية (</w:t>
      </w:r>
      <w:r w:rsidRPr="004D19E6">
        <w:rPr>
          <w:lang w:val="en-GB"/>
        </w:rPr>
        <w:t>ITS</w:t>
      </w:r>
      <w:r w:rsidRPr="004D19E6">
        <w:rPr>
          <w:rtl/>
          <w:lang w:val="en-GB"/>
        </w:rPr>
        <w:t xml:space="preserve">)، بما في ذلك </w:t>
      </w:r>
      <w:r>
        <w:rPr>
          <w:rFonts w:hint="cs"/>
          <w:rtl/>
          <w:lang w:val="en-GB"/>
        </w:rPr>
        <w:t xml:space="preserve">اتصالات المركبات لدعم </w:t>
      </w:r>
      <w:r w:rsidRPr="004D19E6">
        <w:rPr>
          <w:rtl/>
          <w:lang w:val="en-GB"/>
        </w:rPr>
        <w:t>القيادة ال</w:t>
      </w:r>
      <w:r>
        <w:rPr>
          <w:rtl/>
          <w:lang w:val="en-GB"/>
        </w:rPr>
        <w:t>مؤتمت</w:t>
      </w:r>
      <w:r w:rsidRPr="004D19E6">
        <w:rPr>
          <w:rtl/>
          <w:lang w:val="en-GB"/>
        </w:rPr>
        <w:t xml:space="preserve">ة، مع مراعاة احتياجات مختلف المناطق والدول </w:t>
      </w:r>
      <w:proofErr w:type="gramStart"/>
      <w:r w:rsidRPr="004D19E6">
        <w:rPr>
          <w:rtl/>
          <w:lang w:val="en-GB"/>
        </w:rPr>
        <w:t>الأعضاء</w:t>
      </w:r>
      <w:r>
        <w:rPr>
          <w:rFonts w:hint="cs"/>
          <w:rtl/>
        </w:rPr>
        <w:t>؛</w:t>
      </w:r>
      <w:proofErr w:type="gramEnd"/>
    </w:p>
    <w:p w14:paraId="56FD99D0" w14:textId="77777777" w:rsidR="00901F13" w:rsidRPr="00FC0F14" w:rsidRDefault="00901F13" w:rsidP="00901F13">
      <w:pPr>
        <w:rPr>
          <w:rtl/>
          <w:lang w:bidi="ar-EG"/>
        </w:rPr>
      </w:pPr>
      <w:r w:rsidRPr="00FC0F14">
        <w:rPr>
          <w:lang w:bidi="ar-EG"/>
        </w:rPr>
        <w:t>2</w:t>
      </w:r>
      <w:r w:rsidRPr="00FC0F14">
        <w:tab/>
      </w:r>
      <w:r w:rsidRPr="004D19E6">
        <w:rPr>
          <w:rtl/>
          <w:lang w:val="en-GB"/>
        </w:rPr>
        <w:t>التعاون مع منظمات وضع المعايير الأخرى (</w:t>
      </w:r>
      <w:r w:rsidRPr="00BE3E7D">
        <w:rPr>
          <w:lang w:val="en-GB"/>
        </w:rPr>
        <w:t>SDO</w:t>
      </w:r>
      <w:r w:rsidRPr="004D19E6">
        <w:rPr>
          <w:rtl/>
          <w:lang w:val="en-GB"/>
        </w:rPr>
        <w:t>) ولجنة الأمم المتحدة الاقتصادية لأوروبا وغيرها من الجهات الصاحبة المصلحة، مثل منتديات الصناعة والرابطات وتحالفات الشركات، فضلاً عن لجان الدراسات قطاع تقييس الاتصالات وقطاع الاتصالات الراديوية</w:t>
      </w:r>
      <w:r w:rsidRPr="00520C67">
        <w:rPr>
          <w:rtl/>
          <w:lang w:val="en-GB"/>
        </w:rPr>
        <w:t xml:space="preserve"> </w:t>
      </w:r>
      <w:r w:rsidRPr="004D19E6">
        <w:rPr>
          <w:rtl/>
          <w:lang w:val="en-GB"/>
        </w:rPr>
        <w:t>المعنية، بشأن اتصالات المركبات مثل من مركبة إلى كل شيء (</w:t>
      </w:r>
      <w:r w:rsidRPr="004D19E6">
        <w:rPr>
          <w:lang w:val="en-GB"/>
        </w:rPr>
        <w:t>V2X</w:t>
      </w:r>
      <w:r w:rsidRPr="004D19E6">
        <w:rPr>
          <w:rtl/>
          <w:lang w:val="en-GB"/>
        </w:rPr>
        <w:t>) وأنظمة النقل الذكية (</w:t>
      </w:r>
      <w:r w:rsidRPr="004D19E6">
        <w:rPr>
          <w:lang w:val="en-GB"/>
        </w:rPr>
        <w:t>ITS</w:t>
      </w:r>
      <w:r w:rsidRPr="004D19E6">
        <w:rPr>
          <w:rtl/>
          <w:lang w:val="en-GB"/>
        </w:rPr>
        <w:t xml:space="preserve">)، بما في ذلك </w:t>
      </w:r>
      <w:r>
        <w:rPr>
          <w:rFonts w:hint="cs"/>
          <w:rtl/>
          <w:lang w:val="en-GB"/>
        </w:rPr>
        <w:t xml:space="preserve">اتصالات المركبات لدعم </w:t>
      </w:r>
      <w:r w:rsidRPr="004D19E6">
        <w:rPr>
          <w:rtl/>
          <w:lang w:val="en-GB"/>
        </w:rPr>
        <w:t xml:space="preserve">القيادة </w:t>
      </w:r>
      <w:proofErr w:type="gramStart"/>
      <w:r w:rsidRPr="004D19E6">
        <w:rPr>
          <w:rtl/>
          <w:lang w:val="en-GB"/>
        </w:rPr>
        <w:t>ال</w:t>
      </w:r>
      <w:r>
        <w:rPr>
          <w:rtl/>
          <w:lang w:val="en-GB"/>
        </w:rPr>
        <w:t>مؤتمت</w:t>
      </w:r>
      <w:r w:rsidRPr="004D19E6">
        <w:rPr>
          <w:rtl/>
          <w:lang w:val="en-GB"/>
        </w:rPr>
        <w:t>ة</w:t>
      </w:r>
      <w:r w:rsidRPr="00FC0F14">
        <w:rPr>
          <w:rFonts w:hint="cs"/>
          <w:rtl/>
          <w:lang w:bidi="ar-EG"/>
        </w:rPr>
        <w:t>؛</w:t>
      </w:r>
      <w:proofErr w:type="gramEnd"/>
    </w:p>
    <w:p w14:paraId="5A02AF9B" w14:textId="77777777" w:rsidR="00901F13" w:rsidRPr="00FC0F14" w:rsidRDefault="00901F13" w:rsidP="00901F13">
      <w:pPr>
        <w:rPr>
          <w:lang w:bidi="ar-EG"/>
        </w:rPr>
      </w:pPr>
      <w:r w:rsidRPr="00FC0F14">
        <w:rPr>
          <w:lang w:bidi="ar-EG"/>
        </w:rPr>
        <w:t>3</w:t>
      </w:r>
      <w:r w:rsidRPr="00FC0F14">
        <w:rPr>
          <w:lang w:bidi="ar-EG"/>
        </w:rPr>
        <w:tab/>
      </w:r>
      <w:r w:rsidRPr="004D19E6">
        <w:rPr>
          <w:rtl/>
          <w:lang w:val="en-GB" w:bidi="ar-EG"/>
        </w:rPr>
        <w:t>تنظيم وتقدير وتقييم سيناريوهات التطبيق ودراسات الحالة لاتصالات المركبات مثل من مركبة إلى كل شيء (</w:t>
      </w:r>
      <w:r w:rsidRPr="004D19E6">
        <w:rPr>
          <w:lang w:val="en-GB" w:bidi="ar-EG"/>
        </w:rPr>
        <w:t>V2X</w:t>
      </w:r>
      <w:r w:rsidRPr="004D19E6">
        <w:rPr>
          <w:rtl/>
          <w:lang w:val="en-GB" w:bidi="ar-EG"/>
        </w:rPr>
        <w:t>) وأنظمة النقل الذكية (</w:t>
      </w:r>
      <w:r w:rsidRPr="004D19E6">
        <w:rPr>
          <w:lang w:val="en-GB" w:bidi="ar-EG"/>
        </w:rPr>
        <w:t>ITS</w:t>
      </w:r>
      <w:r w:rsidRPr="004D19E6">
        <w:rPr>
          <w:rtl/>
          <w:lang w:val="en-GB" w:bidi="ar-EG"/>
        </w:rPr>
        <w:t>)، وتبادلها مع أصحاب المصلحة المعنيين</w:t>
      </w:r>
      <w:r w:rsidRPr="00FC0F14">
        <w:rPr>
          <w:rFonts w:hint="cs"/>
          <w:rtl/>
          <w:lang w:bidi="ar-EG"/>
        </w:rPr>
        <w:t>،</w:t>
      </w:r>
    </w:p>
    <w:p w14:paraId="3417BCE1" w14:textId="77777777" w:rsidR="00901F13" w:rsidRPr="00FC0F14" w:rsidRDefault="00901F13" w:rsidP="00901F13">
      <w:pPr>
        <w:pStyle w:val="Call"/>
      </w:pPr>
      <w:r>
        <w:rPr>
          <w:rFonts w:hint="cs"/>
          <w:rtl/>
        </w:rPr>
        <w:t>تكلف</w:t>
      </w:r>
      <w:r w:rsidRPr="005A57D8">
        <w:rPr>
          <w:rFonts w:hint="eastAsia"/>
          <w:rtl/>
        </w:rPr>
        <w:t xml:space="preserve"> مدير</w:t>
      </w:r>
      <w:r w:rsidRPr="005A57D8">
        <w:rPr>
          <w:rtl/>
        </w:rPr>
        <w:t xml:space="preserve"> </w:t>
      </w:r>
      <w:r w:rsidRPr="005A57D8">
        <w:rPr>
          <w:rFonts w:hint="eastAsia"/>
          <w:rtl/>
        </w:rPr>
        <w:t>مكتب</w:t>
      </w:r>
      <w:r w:rsidRPr="005A57D8">
        <w:rPr>
          <w:rtl/>
        </w:rPr>
        <w:t xml:space="preserve"> </w:t>
      </w:r>
      <w:r w:rsidRPr="005A57D8">
        <w:rPr>
          <w:rFonts w:hint="eastAsia"/>
          <w:rtl/>
        </w:rPr>
        <w:t>تقييس</w:t>
      </w:r>
      <w:r w:rsidRPr="005A57D8">
        <w:rPr>
          <w:rtl/>
        </w:rPr>
        <w:t xml:space="preserve"> </w:t>
      </w:r>
      <w:r w:rsidRPr="005A57D8">
        <w:rPr>
          <w:rFonts w:hint="eastAsia"/>
          <w:rtl/>
        </w:rPr>
        <w:t>الاتصالات</w:t>
      </w:r>
    </w:p>
    <w:p w14:paraId="0DB5C8FA" w14:textId="77777777" w:rsidR="00901F13" w:rsidRPr="00FC0F14" w:rsidRDefault="00901F13" w:rsidP="00901F13">
      <w:pPr>
        <w:rPr>
          <w:rtl/>
          <w:lang w:bidi="ar-EG"/>
        </w:rPr>
      </w:pPr>
      <w:r w:rsidRPr="00FC0F14">
        <w:t>1</w:t>
      </w:r>
      <w:r w:rsidRPr="00FC0F14">
        <w:tab/>
      </w:r>
      <w:r w:rsidRPr="00DC0DC3">
        <w:rPr>
          <w:rtl/>
          <w:lang w:val="en-GB" w:bidi="ar-EG"/>
        </w:rPr>
        <w:t xml:space="preserve">بتقديم المساعدة اللازمة في استخدام جميع الموارد المتاحة في حدود الميزانية المخصصة لتعزيز أعمال التقييس </w:t>
      </w:r>
      <w:r>
        <w:rPr>
          <w:rFonts w:hint="cs"/>
          <w:rtl/>
          <w:lang w:val="en-GB" w:bidi="ar-EG"/>
        </w:rPr>
        <w:t xml:space="preserve">ذات الصلة </w:t>
      </w:r>
      <w:r w:rsidRPr="00DC0DC3">
        <w:rPr>
          <w:rtl/>
          <w:lang w:val="en-GB" w:bidi="ar-EG"/>
        </w:rPr>
        <w:t>عالية الجودة في الوقت المناسب، وصون الصفحات الإلكترونية الترويجية ذات الصلة بغية تعزيز التواصل مع دوائر صناعة السيارات والاتصالات/تكنولوجيا المعلومات والاتصالات، وتشجيع مشاركتها في قطاع تقييس الاتصالات المتعلقة باتصالات المركبات مثل من مركبة إلى كل شيء (</w:t>
      </w:r>
      <w:r w:rsidRPr="00DC0DC3">
        <w:rPr>
          <w:lang w:val="en-GB" w:bidi="ar-EG"/>
        </w:rPr>
        <w:t>V2X</w:t>
      </w:r>
      <w:r w:rsidRPr="00DC0DC3">
        <w:rPr>
          <w:rtl/>
          <w:lang w:val="en-GB" w:bidi="ar-EG"/>
        </w:rPr>
        <w:t>) وأنظمة النقل الذكية (</w:t>
      </w:r>
      <w:r w:rsidRPr="00DC0DC3">
        <w:rPr>
          <w:lang w:val="en-GB" w:bidi="ar-EG"/>
        </w:rPr>
        <w:t>ITS</w:t>
      </w:r>
      <w:r w:rsidRPr="00DC0DC3">
        <w:rPr>
          <w:rtl/>
          <w:lang w:val="en-GB" w:bidi="ar-EG"/>
        </w:rPr>
        <w:t xml:space="preserve">)، بما في ذلك </w:t>
      </w:r>
      <w:r>
        <w:rPr>
          <w:rFonts w:hint="cs"/>
          <w:rtl/>
          <w:lang w:val="en-GB" w:bidi="ar-EG"/>
        </w:rPr>
        <w:t xml:space="preserve">اتصالات المركبات لدعم </w:t>
      </w:r>
      <w:r w:rsidRPr="00DC0DC3">
        <w:rPr>
          <w:rtl/>
          <w:lang w:val="en-GB" w:bidi="ar-EG"/>
        </w:rPr>
        <w:t>القيادة ال</w:t>
      </w:r>
      <w:r>
        <w:rPr>
          <w:rtl/>
          <w:lang w:val="en-GB" w:bidi="ar-EG"/>
        </w:rPr>
        <w:t>مؤتمت</w:t>
      </w:r>
      <w:r w:rsidRPr="00DC0DC3">
        <w:rPr>
          <w:rtl/>
          <w:lang w:val="en-GB" w:bidi="ar-EG"/>
        </w:rPr>
        <w:t>ة</w:t>
      </w:r>
      <w:r>
        <w:rPr>
          <w:rFonts w:hint="cs"/>
          <w:rtl/>
          <w:lang w:val="en-GB" w:bidi="ar-EG"/>
        </w:rPr>
        <w:t xml:space="preserve">، </w:t>
      </w:r>
      <w:r w:rsidRPr="00C65C3A">
        <w:rPr>
          <w:rtl/>
          <w:lang w:val="en-GB" w:bidi="ar-EG"/>
        </w:rPr>
        <w:t>فيما يتعلق بجوانب الاتصالات وتكنولوجيا المعلومات والاتصالا</w:t>
      </w:r>
      <w:r>
        <w:rPr>
          <w:rFonts w:hint="cs"/>
          <w:rtl/>
          <w:lang w:bidi="ar-EG"/>
        </w:rPr>
        <w:t>ت</w:t>
      </w:r>
      <w:r w:rsidRPr="00FC0F14">
        <w:rPr>
          <w:rFonts w:hint="cs"/>
          <w:rtl/>
          <w:lang w:bidi="ar-EG"/>
        </w:rPr>
        <w:t>؛</w:t>
      </w:r>
    </w:p>
    <w:p w14:paraId="11EBCC01" w14:textId="77777777" w:rsidR="00901F13" w:rsidRDefault="00901F13" w:rsidP="00901F13">
      <w:pPr>
        <w:rPr>
          <w:rtl/>
        </w:rPr>
      </w:pPr>
      <w:r w:rsidRPr="00FC0F14">
        <w:t>2</w:t>
      </w:r>
      <w:r w:rsidRPr="00FC0F14">
        <w:rPr>
          <w:rtl/>
        </w:rPr>
        <w:tab/>
      </w:r>
      <w:r w:rsidRPr="00DC0DC3">
        <w:rPr>
          <w:rtl/>
          <w:lang w:val="en-GB"/>
        </w:rPr>
        <w:t>بالاستفادة من الشراكة مع لجنة الأمم المتحدة الاقتصادية لأوروبا من خلال ندوة سيارة المستقبل الموصولة شبكياً والأحداث ذات الصلة، ودعم اجتماعات التعاون بشأن معايير الاتصالات لأنظمة النقل الذكية (</w:t>
      </w:r>
      <w:r w:rsidRPr="00DC0DC3">
        <w:rPr>
          <w:lang w:val="en-GB"/>
        </w:rPr>
        <w:t>CITS</w:t>
      </w:r>
      <w:r w:rsidRPr="00DC0DC3">
        <w:rPr>
          <w:rtl/>
          <w:lang w:val="en-GB"/>
        </w:rPr>
        <w:t>) لتمكين التعاون مع منظمات وضع المعايير الأخرى ومنتديات الصناعة والمنظمات وغيرها من المنظمات والمبادرات الأخرى ذات الصلة لتعزيز تطوير المعايير الدولية للاتصالات/تكنولوجيا المعلومات والاتصالات والنواتج الأخرى لتحقيق قابلية التشغيل البيني لاتصالات المركبات مثل من مركبة إلى كل شيء (</w:t>
      </w:r>
      <w:r w:rsidRPr="00DC0DC3">
        <w:rPr>
          <w:lang w:val="en-GB"/>
        </w:rPr>
        <w:t>V2X</w:t>
      </w:r>
      <w:r w:rsidRPr="00DC0DC3">
        <w:rPr>
          <w:rtl/>
          <w:lang w:val="en-GB"/>
        </w:rPr>
        <w:t>) وأنظمة النقل الذكية (</w:t>
      </w:r>
      <w:r w:rsidRPr="00DC0DC3">
        <w:rPr>
          <w:lang w:val="en-GB"/>
        </w:rPr>
        <w:t>ITS</w:t>
      </w:r>
      <w:r w:rsidRPr="00DC0DC3">
        <w:rPr>
          <w:rtl/>
          <w:lang w:val="en-GB"/>
        </w:rPr>
        <w:t xml:space="preserve">)، بما في ذلك </w:t>
      </w:r>
      <w:r>
        <w:rPr>
          <w:rFonts w:hint="cs"/>
          <w:rtl/>
          <w:lang w:val="en-GB"/>
        </w:rPr>
        <w:t xml:space="preserve">اتصالات المركبات لدعم </w:t>
      </w:r>
      <w:r w:rsidRPr="00DC0DC3">
        <w:rPr>
          <w:rtl/>
          <w:lang w:val="en-GB"/>
        </w:rPr>
        <w:t>القيادة ال</w:t>
      </w:r>
      <w:r>
        <w:rPr>
          <w:rtl/>
          <w:lang w:val="en-GB"/>
        </w:rPr>
        <w:t>مؤتمت</w:t>
      </w:r>
      <w:r w:rsidRPr="00DC0DC3">
        <w:rPr>
          <w:rtl/>
          <w:lang w:val="en-GB"/>
        </w:rPr>
        <w:t>ة</w:t>
      </w:r>
      <w:r w:rsidRPr="00FC0F14">
        <w:rPr>
          <w:rtl/>
        </w:rPr>
        <w:t>،</w:t>
      </w:r>
    </w:p>
    <w:p w14:paraId="51B6313C" w14:textId="2198649F" w:rsidR="008176CA" w:rsidRDefault="008176CA" w:rsidP="00901F13">
      <w:pPr>
        <w:rPr>
          <w:rtl/>
        </w:rPr>
      </w:pPr>
      <w:r>
        <w:rPr>
          <w:rtl/>
        </w:rPr>
        <w:br w:type="page"/>
      </w:r>
    </w:p>
    <w:p w14:paraId="1DFE0A26" w14:textId="77777777" w:rsidR="00901F13" w:rsidRPr="00FC0F14" w:rsidRDefault="00901F13" w:rsidP="00901F13">
      <w:pPr>
        <w:pStyle w:val="Call"/>
        <w:rPr>
          <w:rtl/>
        </w:rPr>
      </w:pPr>
      <w:r>
        <w:rPr>
          <w:rFonts w:hint="cs"/>
          <w:rtl/>
        </w:rPr>
        <w:lastRenderedPageBreak/>
        <w:t>تكلف</w:t>
      </w:r>
      <w:r w:rsidRPr="005A57D8">
        <w:rPr>
          <w:rtl/>
        </w:rPr>
        <w:t xml:space="preserve"> </w:t>
      </w:r>
      <w:r w:rsidRPr="005A57D8">
        <w:rPr>
          <w:rFonts w:hint="eastAsia"/>
          <w:rtl/>
        </w:rPr>
        <w:t>مدير</w:t>
      </w:r>
      <w:r w:rsidRPr="005A57D8">
        <w:rPr>
          <w:rtl/>
        </w:rPr>
        <w:t xml:space="preserve"> </w:t>
      </w:r>
      <w:r w:rsidRPr="005A57D8">
        <w:rPr>
          <w:rFonts w:hint="eastAsia"/>
          <w:rtl/>
        </w:rPr>
        <w:t>مكتب</w:t>
      </w:r>
      <w:r w:rsidRPr="005A57D8">
        <w:rPr>
          <w:rtl/>
        </w:rPr>
        <w:t xml:space="preserve"> </w:t>
      </w:r>
      <w:r w:rsidRPr="005A57D8">
        <w:rPr>
          <w:rFonts w:hint="eastAsia"/>
          <w:rtl/>
        </w:rPr>
        <w:t>تقييس</w:t>
      </w:r>
      <w:r w:rsidRPr="005A57D8">
        <w:rPr>
          <w:rtl/>
        </w:rPr>
        <w:t xml:space="preserve"> </w:t>
      </w:r>
      <w:r w:rsidRPr="005A57D8">
        <w:rPr>
          <w:rFonts w:hint="eastAsia"/>
          <w:rtl/>
        </w:rPr>
        <w:t>الاتصالات</w:t>
      </w:r>
      <w:r w:rsidRPr="00511C6C">
        <w:rPr>
          <w:rFonts w:hint="cs"/>
          <w:rtl/>
          <w:lang w:val="en-GB" w:bidi="ar-EG"/>
        </w:rPr>
        <w:t xml:space="preserve"> </w:t>
      </w:r>
      <w:r w:rsidRPr="00511C6C">
        <w:rPr>
          <w:rtl/>
          <w:lang w:val="en-GB"/>
        </w:rPr>
        <w:t>بالتعاون مع مدير مكتب تنمية الاتصالات</w:t>
      </w:r>
    </w:p>
    <w:p w14:paraId="35D807BB" w14:textId="77777777" w:rsidR="00901F13" w:rsidRPr="00FC0F14" w:rsidRDefault="00901F13" w:rsidP="00901F13">
      <w:pPr>
        <w:rPr>
          <w:rtl/>
        </w:rPr>
      </w:pPr>
      <w:r w:rsidRPr="00FC0F14">
        <w:t>1</w:t>
      </w:r>
      <w:r w:rsidRPr="00FC0F14">
        <w:rPr>
          <w:rtl/>
        </w:rPr>
        <w:tab/>
      </w:r>
      <w:r>
        <w:rPr>
          <w:rFonts w:hint="cs"/>
          <w:rtl/>
        </w:rPr>
        <w:t>ب</w:t>
      </w:r>
      <w:r w:rsidRPr="00DC0DC3">
        <w:rPr>
          <w:rtl/>
          <w:lang w:val="en-GB"/>
        </w:rPr>
        <w:t>دعم الدول الأعضاء في تنفيذ تطبيقات ونشر اتصالات المركبات مثل من مركبة إلى كل شيء (</w:t>
      </w:r>
      <w:r w:rsidRPr="00DC0DC3">
        <w:rPr>
          <w:lang w:val="en-GB"/>
        </w:rPr>
        <w:t>V2X</w:t>
      </w:r>
      <w:r w:rsidRPr="00DC0DC3">
        <w:rPr>
          <w:rtl/>
          <w:lang w:val="en-GB"/>
        </w:rPr>
        <w:t>) وأنظمة النقل الذكية (</w:t>
      </w:r>
      <w:r w:rsidRPr="00DC0DC3">
        <w:rPr>
          <w:lang w:val="en-GB"/>
        </w:rPr>
        <w:t>ITS</w:t>
      </w:r>
      <w:r w:rsidRPr="00DC0DC3">
        <w:rPr>
          <w:rtl/>
          <w:lang w:val="en-GB"/>
        </w:rPr>
        <w:t xml:space="preserve">)، بما في ذلك </w:t>
      </w:r>
      <w:r>
        <w:rPr>
          <w:rFonts w:hint="cs"/>
          <w:rtl/>
          <w:lang w:val="en-GB"/>
        </w:rPr>
        <w:t xml:space="preserve">اتصالات المركبات لدعم </w:t>
      </w:r>
      <w:r w:rsidRPr="00DC0DC3">
        <w:rPr>
          <w:rtl/>
          <w:lang w:val="en-GB"/>
        </w:rPr>
        <w:t xml:space="preserve">القيادة </w:t>
      </w:r>
      <w:proofErr w:type="gramStart"/>
      <w:r w:rsidRPr="00DC0DC3">
        <w:rPr>
          <w:rtl/>
          <w:lang w:val="en-GB"/>
        </w:rPr>
        <w:t>ال</w:t>
      </w:r>
      <w:r>
        <w:rPr>
          <w:rtl/>
          <w:lang w:val="en-GB"/>
        </w:rPr>
        <w:t>مؤتمت</w:t>
      </w:r>
      <w:r w:rsidRPr="00DC0DC3">
        <w:rPr>
          <w:rtl/>
          <w:lang w:val="en-GB"/>
        </w:rPr>
        <w:t>ة</w:t>
      </w:r>
      <w:r>
        <w:rPr>
          <w:rFonts w:hint="cs"/>
          <w:rtl/>
        </w:rPr>
        <w:t>؛</w:t>
      </w:r>
      <w:proofErr w:type="gramEnd"/>
    </w:p>
    <w:p w14:paraId="0630E7C1" w14:textId="56387F92" w:rsidR="00901F13" w:rsidRPr="00FC0F14" w:rsidRDefault="00901F13" w:rsidP="00901F13">
      <w:pPr>
        <w:rPr>
          <w:rtl/>
          <w:lang w:bidi="ar-EG"/>
        </w:rPr>
      </w:pPr>
      <w:r w:rsidRPr="00FC0F14">
        <w:rPr>
          <w:lang w:bidi="ar-EG"/>
        </w:rPr>
        <w:t>2</w:t>
      </w:r>
      <w:r w:rsidRPr="00FC0F14">
        <w:tab/>
      </w:r>
      <w:r>
        <w:rPr>
          <w:rFonts w:hint="cs"/>
          <w:rtl/>
        </w:rPr>
        <w:t>ب</w:t>
      </w:r>
      <w:r w:rsidRPr="00DC0DC3">
        <w:rPr>
          <w:rtl/>
          <w:lang w:val="en-GB"/>
        </w:rPr>
        <w:t>دعم الدول الأعضاء، وخصوصاً البلدان النامية</w:t>
      </w:r>
      <w:r w:rsidRPr="00DC0DC3">
        <w:rPr>
          <w:rtl/>
          <w:lang w:val="en-GB" w:bidi="ar-EG"/>
        </w:rPr>
        <w:t>، في تنظيم منتديات وحلقات دراسية وورش عمل تتعلق باتصالات المركبات مثل من مركبة إلى كل شيء (</w:t>
      </w:r>
      <w:r w:rsidRPr="00DC0DC3">
        <w:rPr>
          <w:lang w:val="en-GB" w:bidi="ar-EG"/>
        </w:rPr>
        <w:t>V2X</w:t>
      </w:r>
      <w:r w:rsidRPr="00DC0DC3">
        <w:rPr>
          <w:rtl/>
          <w:lang w:val="en-GB" w:bidi="ar-EG"/>
        </w:rPr>
        <w:t>) وأنظمة النقل الذكية (</w:t>
      </w:r>
      <w:r w:rsidRPr="00DC0DC3">
        <w:rPr>
          <w:lang w:val="en-GB" w:bidi="ar-EG"/>
        </w:rPr>
        <w:t>ITS</w:t>
      </w:r>
      <w:r w:rsidRPr="00DC0DC3">
        <w:rPr>
          <w:rtl/>
          <w:lang w:val="en-GB" w:bidi="ar-EG"/>
        </w:rPr>
        <w:t xml:space="preserve">)، بما يشمل </w:t>
      </w:r>
      <w:r>
        <w:rPr>
          <w:rFonts w:hint="cs"/>
          <w:rtl/>
          <w:lang w:val="en-GB"/>
        </w:rPr>
        <w:t xml:space="preserve">اتصالات المركبات لدعم </w:t>
      </w:r>
      <w:r w:rsidRPr="00DC0DC3">
        <w:rPr>
          <w:rtl/>
          <w:lang w:val="en-GB" w:bidi="ar-EG"/>
        </w:rPr>
        <w:t>القيادة ال</w:t>
      </w:r>
      <w:r>
        <w:rPr>
          <w:rtl/>
          <w:lang w:val="en-GB" w:bidi="ar-EG"/>
        </w:rPr>
        <w:t>مؤتمت</w:t>
      </w:r>
      <w:r w:rsidRPr="00DC0DC3">
        <w:rPr>
          <w:rtl/>
          <w:lang w:val="en-GB" w:bidi="ar-EG"/>
        </w:rPr>
        <w:t>ة، من أجل تعزيز الابتكار والتنمية والنمو في مجال التكنولوجيا والحلول</w:t>
      </w:r>
      <w:r>
        <w:rPr>
          <w:rFonts w:hint="cs"/>
          <w:rtl/>
          <w:lang w:val="en-GB"/>
        </w:rPr>
        <w:t>،</w:t>
      </w:r>
      <w:r w:rsidRPr="00291CC5">
        <w:rPr>
          <w:rtl/>
        </w:rPr>
        <w:t xml:space="preserve"> </w:t>
      </w:r>
      <w:r w:rsidRPr="00291CC5">
        <w:rPr>
          <w:rtl/>
          <w:lang w:val="en-GB"/>
        </w:rPr>
        <w:t xml:space="preserve">‏شريطة توافر البرامج والميزانية </w:t>
      </w:r>
      <w:proofErr w:type="gramStart"/>
      <w:r w:rsidRPr="00291CC5">
        <w:rPr>
          <w:rtl/>
          <w:lang w:val="en-GB"/>
        </w:rPr>
        <w:t>المناسبة</w:t>
      </w:r>
      <w:r w:rsidRPr="00FC0F14">
        <w:rPr>
          <w:rFonts w:hint="cs"/>
          <w:rtl/>
          <w:lang w:bidi="ar-EG"/>
        </w:rPr>
        <w:t>؛</w:t>
      </w:r>
      <w:proofErr w:type="gramEnd"/>
    </w:p>
    <w:p w14:paraId="1D37813A" w14:textId="77777777" w:rsidR="00901F13" w:rsidRPr="00FC0F14" w:rsidRDefault="00901F13" w:rsidP="00901F13">
      <w:pPr>
        <w:rPr>
          <w:lang w:bidi="ar-EG"/>
        </w:rPr>
      </w:pPr>
      <w:r w:rsidRPr="00FC0F14">
        <w:rPr>
          <w:lang w:bidi="ar-EG"/>
        </w:rPr>
        <w:t>3</w:t>
      </w:r>
      <w:r w:rsidRPr="00FC0F14">
        <w:rPr>
          <w:lang w:bidi="ar-EG"/>
        </w:rPr>
        <w:tab/>
      </w:r>
      <w:r>
        <w:rPr>
          <w:rFonts w:hint="cs"/>
          <w:rtl/>
          <w:lang w:bidi="ar-EG"/>
        </w:rPr>
        <w:t>ب</w:t>
      </w:r>
      <w:r w:rsidRPr="00DC0DC3">
        <w:rPr>
          <w:rtl/>
          <w:lang w:val="en-GB" w:bidi="ar-EG"/>
        </w:rPr>
        <w:t>مساعدة البلدان النامية في تنفيذ اتصالات المركبات مثل من مركبة إلى كل شيء (</w:t>
      </w:r>
      <w:r w:rsidRPr="00DC0DC3">
        <w:rPr>
          <w:lang w:val="en-GB" w:bidi="ar-EG"/>
        </w:rPr>
        <w:t>V2X</w:t>
      </w:r>
      <w:r w:rsidRPr="00DC0DC3">
        <w:rPr>
          <w:rtl/>
          <w:lang w:val="en-GB" w:bidi="ar-EG"/>
        </w:rPr>
        <w:t>) وأنظمة النقل الذكية (</w:t>
      </w:r>
      <w:r w:rsidRPr="00DC0DC3">
        <w:rPr>
          <w:lang w:val="en-GB" w:bidi="ar-EG"/>
        </w:rPr>
        <w:t>ITS</w:t>
      </w:r>
      <w:r w:rsidRPr="00DC0DC3">
        <w:rPr>
          <w:rtl/>
          <w:lang w:val="en-GB" w:bidi="ar-EG"/>
        </w:rPr>
        <w:t xml:space="preserve">)، بما في ذلك </w:t>
      </w:r>
      <w:r>
        <w:rPr>
          <w:rFonts w:hint="cs"/>
          <w:rtl/>
          <w:lang w:val="en-GB"/>
        </w:rPr>
        <w:t xml:space="preserve">اتصالات المركبات لدعم </w:t>
      </w:r>
      <w:r w:rsidRPr="00DC0DC3">
        <w:rPr>
          <w:rtl/>
          <w:lang w:val="en-GB" w:bidi="ar-EG"/>
        </w:rPr>
        <w:t>القيادة ال</w:t>
      </w:r>
      <w:r>
        <w:rPr>
          <w:rtl/>
          <w:lang w:val="en-GB" w:bidi="ar-EG"/>
        </w:rPr>
        <w:t>مؤتمت</w:t>
      </w:r>
      <w:r w:rsidRPr="00DC0DC3">
        <w:rPr>
          <w:rtl/>
          <w:lang w:val="en-GB" w:bidi="ar-EG"/>
        </w:rPr>
        <w:t>ة، من خلال توصيات قطاع تقييس الاتصالات والتقارير التقنية والمبادئ التوجيهية</w:t>
      </w:r>
      <w:r>
        <w:rPr>
          <w:rFonts w:hint="cs"/>
          <w:rtl/>
          <w:lang w:val="en-GB"/>
        </w:rPr>
        <w:t xml:space="preserve">، </w:t>
      </w:r>
      <w:r w:rsidRPr="00472FFF">
        <w:rPr>
          <w:rtl/>
          <w:lang w:val="en-GB"/>
        </w:rPr>
        <w:t xml:space="preserve">فيما </w:t>
      </w:r>
      <w:r>
        <w:rPr>
          <w:rFonts w:hint="cs"/>
          <w:rtl/>
          <w:lang w:val="en-GB"/>
        </w:rPr>
        <w:t>يخص</w:t>
      </w:r>
      <w:r w:rsidRPr="00472FFF">
        <w:rPr>
          <w:rtl/>
          <w:lang w:val="en-GB"/>
        </w:rPr>
        <w:t xml:space="preserve"> جوانبها المتعلقة بالاتصالات وتكنولوجيا المعلومات والاتصالات</w:t>
      </w:r>
      <w:r w:rsidRPr="00FC0F14">
        <w:rPr>
          <w:rFonts w:hint="cs"/>
          <w:rtl/>
          <w:lang w:bidi="ar-EG"/>
        </w:rPr>
        <w:t>،</w:t>
      </w:r>
    </w:p>
    <w:p w14:paraId="756544B1" w14:textId="77777777" w:rsidR="00901F13" w:rsidRPr="00FC0F14" w:rsidRDefault="00901F13" w:rsidP="00901F13">
      <w:pPr>
        <w:pStyle w:val="Call"/>
        <w:rPr>
          <w:rtl/>
        </w:rPr>
      </w:pPr>
      <w:r>
        <w:rPr>
          <w:rFonts w:hint="cs"/>
          <w:rtl/>
          <w:lang w:val="en-GB"/>
        </w:rPr>
        <w:t>تكلف</w:t>
      </w:r>
    </w:p>
    <w:p w14:paraId="49092419" w14:textId="7E142B2F" w:rsidR="00901F13" w:rsidRPr="00FC0F14" w:rsidRDefault="00901F13" w:rsidP="00901F13">
      <w:pPr>
        <w:rPr>
          <w:rtl/>
        </w:rPr>
      </w:pPr>
      <w:r w:rsidRPr="00FC0F14">
        <w:t>1</w:t>
      </w:r>
      <w:r w:rsidRPr="00FC0F14">
        <w:rPr>
          <w:rtl/>
        </w:rPr>
        <w:tab/>
      </w:r>
      <w:r w:rsidRPr="00DC0DC3">
        <w:rPr>
          <w:rtl/>
          <w:lang w:val="en-GB"/>
        </w:rPr>
        <w:t xml:space="preserve">لجنة الدراسات </w:t>
      </w:r>
      <w:r w:rsidRPr="00DC0DC3">
        <w:rPr>
          <w:lang w:val="en-GB"/>
        </w:rPr>
        <w:t>2</w:t>
      </w:r>
      <w:r w:rsidRPr="00DC0DC3">
        <w:rPr>
          <w:rtl/>
          <w:lang w:val="en-GB"/>
        </w:rPr>
        <w:t xml:space="preserve"> </w:t>
      </w:r>
      <w:bookmarkStart w:id="6" w:name="_Hlk180169198"/>
      <w:r>
        <w:rPr>
          <w:rFonts w:hint="cs"/>
          <w:rtl/>
          <w:lang w:val="en-GB"/>
        </w:rPr>
        <w:t xml:space="preserve">لدى </w:t>
      </w:r>
      <w:r w:rsidRPr="00F11D8B">
        <w:rPr>
          <w:rFonts w:hint="cs"/>
          <w:rtl/>
          <w:lang w:val="en-GB"/>
        </w:rPr>
        <w:t xml:space="preserve">قطاع تقييس الاتصالات </w:t>
      </w:r>
      <w:bookmarkEnd w:id="6"/>
      <w:r w:rsidRPr="00DC0DC3">
        <w:rPr>
          <w:rtl/>
          <w:lang w:val="en-GB"/>
        </w:rPr>
        <w:t>بتوطيد أنشطة التقييس المتعلقة بقضايا الترقيم والتسمية والعنونة وتحديد الهوية (</w:t>
      </w:r>
      <w:r w:rsidRPr="00DC0DC3">
        <w:rPr>
          <w:lang w:val="en-GB"/>
        </w:rPr>
        <w:t>NNAI</w:t>
      </w:r>
      <w:r w:rsidRPr="00DC0DC3">
        <w:rPr>
          <w:rtl/>
          <w:lang w:val="en-GB"/>
        </w:rPr>
        <w:t>) فيما يتصل باتصالات المركبات مثل من مركبة إلى كل شيء (</w:t>
      </w:r>
      <w:r w:rsidRPr="00DC0DC3">
        <w:rPr>
          <w:lang w:val="en-GB"/>
        </w:rPr>
        <w:t>V2X</w:t>
      </w:r>
      <w:r w:rsidRPr="00DC0DC3">
        <w:rPr>
          <w:rtl/>
          <w:lang w:val="en-GB"/>
        </w:rPr>
        <w:t>) وأنظمة النقل الذكية (</w:t>
      </w:r>
      <w:r w:rsidRPr="00DC0DC3">
        <w:rPr>
          <w:lang w:val="en-GB"/>
        </w:rPr>
        <w:t>ITS</w:t>
      </w:r>
      <w:r w:rsidRPr="00DC0DC3">
        <w:rPr>
          <w:rtl/>
          <w:lang w:val="en-GB"/>
        </w:rPr>
        <w:t>)، بما</w:t>
      </w:r>
      <w:r w:rsidR="008176CA">
        <w:rPr>
          <w:rFonts w:hint="cs"/>
          <w:rtl/>
          <w:lang w:val="en-GB"/>
        </w:rPr>
        <w:t> </w:t>
      </w:r>
      <w:r w:rsidRPr="00DC0DC3">
        <w:rPr>
          <w:rtl/>
          <w:lang w:val="en-GB"/>
        </w:rPr>
        <w:t>في</w:t>
      </w:r>
      <w:r w:rsidR="008176CA">
        <w:rPr>
          <w:rFonts w:hint="cs"/>
          <w:rtl/>
          <w:lang w:val="en-GB"/>
        </w:rPr>
        <w:t> </w:t>
      </w:r>
      <w:r w:rsidRPr="00DC0DC3">
        <w:rPr>
          <w:rtl/>
          <w:lang w:val="en-GB"/>
        </w:rPr>
        <w:t xml:space="preserve">ذلك </w:t>
      </w:r>
      <w:r>
        <w:rPr>
          <w:rFonts w:hint="cs"/>
          <w:rtl/>
          <w:lang w:val="en-GB"/>
        </w:rPr>
        <w:t>اتصالات المركبات لدعم</w:t>
      </w:r>
      <w:r w:rsidRPr="00DC0DC3">
        <w:rPr>
          <w:rtl/>
          <w:lang w:val="en-GB"/>
        </w:rPr>
        <w:t xml:space="preserve"> القيادة </w:t>
      </w:r>
      <w:proofErr w:type="gramStart"/>
      <w:r w:rsidRPr="00DC0DC3">
        <w:rPr>
          <w:rtl/>
          <w:lang w:val="en-GB"/>
        </w:rPr>
        <w:t>ال</w:t>
      </w:r>
      <w:r>
        <w:rPr>
          <w:rtl/>
          <w:lang w:val="en-GB"/>
        </w:rPr>
        <w:t>مؤتمت</w:t>
      </w:r>
      <w:r w:rsidRPr="00DC0DC3">
        <w:rPr>
          <w:rtl/>
          <w:lang w:val="en-GB"/>
        </w:rPr>
        <w:t>ة</w:t>
      </w:r>
      <w:r>
        <w:rPr>
          <w:rFonts w:hint="cs"/>
          <w:rtl/>
        </w:rPr>
        <w:t>؛</w:t>
      </w:r>
      <w:proofErr w:type="gramEnd"/>
    </w:p>
    <w:p w14:paraId="7EBABF33" w14:textId="77777777" w:rsidR="00901F13" w:rsidRPr="00FC0F14" w:rsidRDefault="00901F13" w:rsidP="00901F13">
      <w:pPr>
        <w:rPr>
          <w:rtl/>
          <w:lang w:bidi="ar-EG"/>
        </w:rPr>
      </w:pPr>
      <w:r w:rsidRPr="00FC0F14">
        <w:rPr>
          <w:lang w:bidi="ar-EG"/>
        </w:rPr>
        <w:t>2</w:t>
      </w:r>
      <w:r w:rsidRPr="00FC0F14">
        <w:tab/>
      </w:r>
      <w:r w:rsidRPr="00DC0DC3">
        <w:rPr>
          <w:rtl/>
          <w:lang w:val="en-GB"/>
        </w:rPr>
        <w:t xml:space="preserve">لجنة الدراسات </w:t>
      </w:r>
      <w:r>
        <w:rPr>
          <w:lang w:val="en-GB"/>
        </w:rPr>
        <w:t>12</w:t>
      </w:r>
      <w:r w:rsidRPr="00DC0DC3">
        <w:rPr>
          <w:rtl/>
          <w:lang w:val="en-GB"/>
        </w:rPr>
        <w:t xml:space="preserve"> </w:t>
      </w:r>
      <w:r w:rsidRPr="00FC5B34">
        <w:rPr>
          <w:rtl/>
          <w:lang w:val="en-GB"/>
        </w:rPr>
        <w:t xml:space="preserve">لدى قطاع تقييس الاتصالات </w:t>
      </w:r>
      <w:r w:rsidRPr="00DC0DC3">
        <w:rPr>
          <w:rtl/>
          <w:lang w:val="en-GB"/>
        </w:rPr>
        <w:t xml:space="preserve">بتوطيد أنشطة التقييس المتعلقة </w:t>
      </w:r>
      <w:r>
        <w:rPr>
          <w:rFonts w:hint="cs"/>
          <w:rtl/>
          <w:lang w:val="en-GB"/>
        </w:rPr>
        <w:t>بجودة</w:t>
      </w:r>
      <w:r w:rsidRPr="00DC0DC3">
        <w:rPr>
          <w:rtl/>
          <w:lang w:val="en-GB"/>
        </w:rPr>
        <w:t xml:space="preserve"> الخدمة (</w:t>
      </w:r>
      <w:r w:rsidRPr="00DC0DC3">
        <w:rPr>
          <w:lang w:val="en-GB"/>
        </w:rPr>
        <w:t>QoS</w:t>
      </w:r>
      <w:r w:rsidRPr="00DC0DC3">
        <w:rPr>
          <w:rtl/>
          <w:lang w:val="en-GB"/>
        </w:rPr>
        <w:t>) وجودة التجربة فيما يتصل باتصالات المركبات مثل من مركبة إلى كل شيء (</w:t>
      </w:r>
      <w:r w:rsidRPr="00DC0DC3">
        <w:rPr>
          <w:lang w:val="en-GB"/>
        </w:rPr>
        <w:t>V2X</w:t>
      </w:r>
      <w:r w:rsidRPr="00DC0DC3">
        <w:rPr>
          <w:rtl/>
          <w:lang w:val="en-GB"/>
        </w:rPr>
        <w:t>) وأنظمة النقل الذكية (</w:t>
      </w:r>
      <w:r w:rsidRPr="00DC0DC3">
        <w:rPr>
          <w:lang w:val="en-GB"/>
        </w:rPr>
        <w:t>ITS</w:t>
      </w:r>
      <w:r w:rsidRPr="00DC0DC3">
        <w:rPr>
          <w:rtl/>
          <w:lang w:val="en-GB"/>
        </w:rPr>
        <w:t>)، بما في ذلك</w:t>
      </w:r>
      <w:r w:rsidRPr="009A6FC9">
        <w:rPr>
          <w:rFonts w:hint="cs"/>
          <w:rtl/>
          <w:lang w:val="en-GB"/>
        </w:rPr>
        <w:t xml:space="preserve"> </w:t>
      </w:r>
      <w:r>
        <w:rPr>
          <w:rFonts w:hint="cs"/>
          <w:rtl/>
          <w:lang w:val="en-GB"/>
        </w:rPr>
        <w:t>اتصالات المركبات لدعم</w:t>
      </w:r>
      <w:r w:rsidRPr="00DC0DC3">
        <w:rPr>
          <w:rtl/>
          <w:lang w:val="en-GB"/>
        </w:rPr>
        <w:t xml:space="preserve"> القيادة </w:t>
      </w:r>
      <w:proofErr w:type="gramStart"/>
      <w:r w:rsidRPr="00DC0DC3">
        <w:rPr>
          <w:rtl/>
          <w:lang w:val="en-GB"/>
        </w:rPr>
        <w:t>ال</w:t>
      </w:r>
      <w:r>
        <w:rPr>
          <w:rtl/>
          <w:lang w:val="en-GB"/>
        </w:rPr>
        <w:t>مؤتمت</w:t>
      </w:r>
      <w:r w:rsidRPr="00DC0DC3">
        <w:rPr>
          <w:rtl/>
          <w:lang w:val="en-GB"/>
        </w:rPr>
        <w:t>ة</w:t>
      </w:r>
      <w:r w:rsidRPr="00FC0F14">
        <w:rPr>
          <w:rFonts w:hint="cs"/>
          <w:rtl/>
          <w:lang w:bidi="ar-EG"/>
        </w:rPr>
        <w:t>؛</w:t>
      </w:r>
      <w:proofErr w:type="gramEnd"/>
    </w:p>
    <w:p w14:paraId="5D460BD9" w14:textId="77777777" w:rsidR="00901F13" w:rsidRDefault="00901F13" w:rsidP="00901F13">
      <w:pPr>
        <w:rPr>
          <w:rtl/>
          <w:lang w:bidi="ar-EG"/>
        </w:rPr>
      </w:pPr>
      <w:r>
        <w:rPr>
          <w:lang w:bidi="ar-EG"/>
        </w:rPr>
        <w:t>3</w:t>
      </w:r>
      <w:r w:rsidRPr="00511C6C">
        <w:rPr>
          <w:rtl/>
          <w:lang w:bidi="ar-EG"/>
        </w:rPr>
        <w:tab/>
      </w:r>
      <w:r w:rsidRPr="00511C6C">
        <w:rPr>
          <w:rtl/>
          <w:lang w:val="en-GB" w:bidi="ar-EG"/>
        </w:rPr>
        <w:t>لج</w:t>
      </w:r>
      <w:r w:rsidRPr="00DC0DC3">
        <w:rPr>
          <w:rtl/>
          <w:lang w:val="en-GB" w:bidi="ar-EG"/>
        </w:rPr>
        <w:t xml:space="preserve">نة الدراسات </w:t>
      </w:r>
      <w:r w:rsidRPr="00DC0DC3">
        <w:rPr>
          <w:lang w:val="en-GB" w:bidi="ar-EG"/>
        </w:rPr>
        <w:t>17</w:t>
      </w:r>
      <w:r w:rsidRPr="00DC0DC3">
        <w:rPr>
          <w:rtl/>
          <w:lang w:val="en-GB" w:bidi="ar-EG"/>
        </w:rPr>
        <w:t xml:space="preserve"> </w:t>
      </w:r>
      <w:r w:rsidRPr="00FC5B34">
        <w:rPr>
          <w:rtl/>
          <w:lang w:val="en-GB" w:bidi="ar-EG"/>
        </w:rPr>
        <w:t xml:space="preserve">لدى قطاع تقييس الاتصالات </w:t>
      </w:r>
      <w:r w:rsidRPr="00DC0DC3">
        <w:rPr>
          <w:rtl/>
          <w:lang w:val="en-GB" w:bidi="ar-EG"/>
        </w:rPr>
        <w:t>بتوطيد أنشطة التقييس المتعلقة بسلامة اتصالات المركبات مثل من مركبة إلى كل شيء (</w:t>
      </w:r>
      <w:r w:rsidRPr="00DC0DC3">
        <w:rPr>
          <w:lang w:val="en-GB" w:bidi="ar-EG"/>
        </w:rPr>
        <w:t>V2X</w:t>
      </w:r>
      <w:r w:rsidRPr="00DC0DC3">
        <w:rPr>
          <w:rtl/>
          <w:lang w:val="en-GB" w:bidi="ar-EG"/>
        </w:rPr>
        <w:t>) وأنظمة النقل الذكية (</w:t>
      </w:r>
      <w:r w:rsidRPr="00DC0DC3">
        <w:rPr>
          <w:lang w:val="en-GB" w:bidi="ar-EG"/>
        </w:rPr>
        <w:t>ITS</w:t>
      </w:r>
      <w:r w:rsidRPr="00DC0DC3">
        <w:rPr>
          <w:rtl/>
          <w:lang w:val="en-GB" w:bidi="ar-EG"/>
        </w:rPr>
        <w:t xml:space="preserve">)، بما في ذلك </w:t>
      </w:r>
      <w:r>
        <w:rPr>
          <w:rFonts w:hint="cs"/>
          <w:rtl/>
          <w:lang w:val="en-GB"/>
        </w:rPr>
        <w:t xml:space="preserve">اتصالات المركبات لدعم </w:t>
      </w:r>
      <w:r w:rsidRPr="00DC0DC3">
        <w:rPr>
          <w:rtl/>
          <w:lang w:val="en-GB" w:bidi="ar-EG"/>
        </w:rPr>
        <w:t>القيادة ال</w:t>
      </w:r>
      <w:r>
        <w:rPr>
          <w:rtl/>
          <w:lang w:val="en-GB" w:bidi="ar-EG"/>
        </w:rPr>
        <w:t>مؤتمت</w:t>
      </w:r>
      <w:r w:rsidRPr="00DC0DC3">
        <w:rPr>
          <w:rtl/>
          <w:lang w:val="en-GB" w:bidi="ar-EG"/>
        </w:rPr>
        <w:t xml:space="preserve">ة؛ وبتغطية الحلول الأمنية الشاملة وآليات </w:t>
      </w:r>
      <w:r>
        <w:rPr>
          <w:rFonts w:hint="cs"/>
          <w:rtl/>
          <w:lang w:val="en-GB" w:bidi="ar-EG"/>
        </w:rPr>
        <w:t xml:space="preserve">الاتصالات </w:t>
      </w:r>
      <w:r w:rsidRPr="00DC0DC3">
        <w:rPr>
          <w:rtl/>
          <w:lang w:val="en-GB" w:bidi="ar-EG"/>
        </w:rPr>
        <w:t>الأمن</w:t>
      </w:r>
      <w:r>
        <w:rPr>
          <w:rFonts w:hint="cs"/>
          <w:rtl/>
          <w:lang w:val="en-GB" w:bidi="ar-EG"/>
        </w:rPr>
        <w:t>ية</w:t>
      </w:r>
      <w:r w:rsidRPr="00DC0DC3">
        <w:rPr>
          <w:rtl/>
          <w:lang w:val="en-GB" w:bidi="ar-EG"/>
        </w:rPr>
        <w:t xml:space="preserve"> وما إلى </w:t>
      </w:r>
      <w:proofErr w:type="gramStart"/>
      <w:r w:rsidRPr="00DC0DC3">
        <w:rPr>
          <w:rtl/>
          <w:lang w:val="en-GB" w:bidi="ar-EG"/>
        </w:rPr>
        <w:t>ذلك</w:t>
      </w:r>
      <w:r w:rsidRPr="00FC0F14">
        <w:rPr>
          <w:rFonts w:hint="cs"/>
          <w:rtl/>
          <w:lang w:bidi="ar-EG"/>
        </w:rPr>
        <w:t>؛</w:t>
      </w:r>
      <w:proofErr w:type="gramEnd"/>
    </w:p>
    <w:p w14:paraId="63417BA4" w14:textId="77777777" w:rsidR="00901F13" w:rsidRDefault="00901F13" w:rsidP="00901F13">
      <w:pPr>
        <w:rPr>
          <w:rtl/>
          <w:lang w:bidi="ar-EG"/>
        </w:rPr>
      </w:pPr>
      <w:r>
        <w:rPr>
          <w:lang w:bidi="ar-EG"/>
        </w:rPr>
        <w:t>4</w:t>
      </w:r>
      <w:r>
        <w:rPr>
          <w:lang w:bidi="ar-EG"/>
        </w:rPr>
        <w:tab/>
      </w:r>
      <w:r w:rsidRPr="00DC0DC3">
        <w:rPr>
          <w:rtl/>
          <w:lang w:val="en-GB" w:bidi="ar-EG"/>
        </w:rPr>
        <w:t xml:space="preserve">لجنة الدراسات </w:t>
      </w:r>
      <w:r w:rsidRPr="00DC0DC3">
        <w:rPr>
          <w:lang w:val="en-GB" w:bidi="ar-EG"/>
        </w:rPr>
        <w:t>20</w:t>
      </w:r>
      <w:r w:rsidRPr="00DC0DC3">
        <w:rPr>
          <w:rtl/>
          <w:lang w:val="en-GB" w:bidi="ar-EG"/>
        </w:rPr>
        <w:t xml:space="preserve"> </w:t>
      </w:r>
      <w:r w:rsidRPr="00FC5B34">
        <w:rPr>
          <w:rtl/>
          <w:lang w:val="en-GB" w:bidi="ar-EG"/>
        </w:rPr>
        <w:t xml:space="preserve">لدى قطاع تقييس الاتصالات </w:t>
      </w:r>
      <w:r w:rsidRPr="00DC0DC3">
        <w:rPr>
          <w:rtl/>
          <w:lang w:val="en-GB" w:bidi="ar-EG"/>
        </w:rPr>
        <w:t>بالاستفادة من نشر تطبيقات إنترنت الأشياء بغية المساهمة في نقل أكثر توصيلاً واستدامة وأماناً</w:t>
      </w:r>
      <w:r w:rsidRPr="00FC0F14">
        <w:rPr>
          <w:rFonts w:hint="cs"/>
          <w:rtl/>
          <w:lang w:bidi="ar-EG"/>
        </w:rPr>
        <w:t>،</w:t>
      </w:r>
      <w:r>
        <w:rPr>
          <w:rFonts w:hint="cs"/>
          <w:rtl/>
          <w:lang w:bidi="ar-EG"/>
        </w:rPr>
        <w:t xml:space="preserve"> </w:t>
      </w:r>
      <w:r w:rsidRPr="009A6FC9">
        <w:rPr>
          <w:rtl/>
          <w:lang w:bidi="ar-JO"/>
        </w:rPr>
        <w:t xml:space="preserve">مع </w:t>
      </w:r>
      <w:r>
        <w:rPr>
          <w:rFonts w:hint="cs"/>
          <w:rtl/>
          <w:lang w:bidi="ar-JO"/>
        </w:rPr>
        <w:t>التركيز</w:t>
      </w:r>
      <w:r w:rsidRPr="009A6FC9">
        <w:rPr>
          <w:rtl/>
          <w:lang w:bidi="ar-JO"/>
        </w:rPr>
        <w:t xml:space="preserve"> بوجه خاص </w:t>
      </w:r>
      <w:r>
        <w:rPr>
          <w:rFonts w:hint="cs"/>
          <w:rtl/>
          <w:lang w:bidi="ar-JO"/>
        </w:rPr>
        <w:t>على</w:t>
      </w:r>
      <w:r w:rsidRPr="009A6FC9">
        <w:rPr>
          <w:rtl/>
          <w:lang w:bidi="ar-JO"/>
        </w:rPr>
        <w:t xml:space="preserve"> قضايا قابلية التشغيل البيني والتوافق مع الإصدارات </w:t>
      </w:r>
      <w:proofErr w:type="gramStart"/>
      <w:r w:rsidRPr="009A6FC9">
        <w:rPr>
          <w:rtl/>
          <w:lang w:bidi="ar-JO"/>
        </w:rPr>
        <w:t>السابقة</w:t>
      </w:r>
      <w:r>
        <w:rPr>
          <w:rFonts w:hint="cs"/>
          <w:rtl/>
          <w:lang w:bidi="ar-JO"/>
        </w:rPr>
        <w:t>؛</w:t>
      </w:r>
      <w:proofErr w:type="gramEnd"/>
    </w:p>
    <w:p w14:paraId="62312D6D" w14:textId="77777777" w:rsidR="00901F13" w:rsidRPr="00511C6C" w:rsidRDefault="00901F13" w:rsidP="00901F13">
      <w:pPr>
        <w:rPr>
          <w:lang w:bidi="ar-EG"/>
        </w:rPr>
      </w:pPr>
      <w:r>
        <w:rPr>
          <w:lang w:bidi="ar-EG"/>
        </w:rPr>
        <w:t>5</w:t>
      </w:r>
      <w:r w:rsidRPr="00FC0F14">
        <w:rPr>
          <w:lang w:bidi="ar-EG"/>
        </w:rPr>
        <w:tab/>
      </w:r>
      <w:r w:rsidRPr="00DC0DC3">
        <w:rPr>
          <w:rtl/>
          <w:lang w:val="en-GB" w:bidi="ar-EG"/>
        </w:rPr>
        <w:t xml:space="preserve">لجنة الدراسات </w:t>
      </w:r>
      <w:r>
        <w:rPr>
          <w:rFonts w:hint="cs"/>
          <w:rtl/>
          <w:lang w:bidi="ar-EG"/>
        </w:rPr>
        <w:t>21</w:t>
      </w:r>
      <w:r w:rsidRPr="00DC0DC3">
        <w:rPr>
          <w:rtl/>
          <w:lang w:val="en-GB" w:bidi="ar-EG"/>
        </w:rPr>
        <w:t xml:space="preserve"> </w:t>
      </w:r>
      <w:r w:rsidRPr="00FC5B34">
        <w:rPr>
          <w:rtl/>
          <w:lang w:val="en-GB" w:bidi="ar-EG"/>
        </w:rPr>
        <w:t xml:space="preserve">لدى قطاع تقييس الاتصالات </w:t>
      </w:r>
      <w:r w:rsidRPr="00DC0DC3">
        <w:rPr>
          <w:rtl/>
          <w:lang w:val="en-GB" w:bidi="ar-EG"/>
        </w:rPr>
        <w:t>بإعداد توصيات قطاع تقييس الاتصالات الرامية إلى تنفيذ اتصالات المركبات مثل من مركبة إلى كل شيء (</w:t>
      </w:r>
      <w:r w:rsidRPr="00DC0DC3">
        <w:rPr>
          <w:lang w:val="en-GB" w:bidi="ar-EG"/>
        </w:rPr>
        <w:t>V2X</w:t>
      </w:r>
      <w:r w:rsidRPr="00DC0DC3">
        <w:rPr>
          <w:rtl/>
          <w:lang w:val="en-GB" w:bidi="ar-EG"/>
        </w:rPr>
        <w:t>) وأنظمة النقل الذكية (</w:t>
      </w:r>
      <w:r w:rsidRPr="00DC0DC3">
        <w:rPr>
          <w:lang w:val="en-GB" w:bidi="ar-EG"/>
        </w:rPr>
        <w:t>ITS</w:t>
      </w:r>
      <w:r w:rsidRPr="00DC0DC3">
        <w:rPr>
          <w:rtl/>
          <w:lang w:val="en-GB" w:bidi="ar-EG"/>
        </w:rPr>
        <w:t>)، بما في ذلك</w:t>
      </w:r>
      <w:r w:rsidRPr="009A6FC9">
        <w:rPr>
          <w:rFonts w:hint="cs"/>
          <w:rtl/>
          <w:lang w:val="en-GB"/>
        </w:rPr>
        <w:t xml:space="preserve"> </w:t>
      </w:r>
      <w:r>
        <w:rPr>
          <w:rFonts w:hint="cs"/>
          <w:rtl/>
          <w:lang w:val="en-GB"/>
        </w:rPr>
        <w:t>اتصالات المركبات لدعم</w:t>
      </w:r>
      <w:r w:rsidRPr="00DC0DC3">
        <w:rPr>
          <w:rtl/>
          <w:lang w:val="en-GB" w:bidi="ar-EG"/>
        </w:rPr>
        <w:t xml:space="preserve"> القيادة ال</w:t>
      </w:r>
      <w:r>
        <w:rPr>
          <w:rtl/>
          <w:lang w:val="en-GB" w:bidi="ar-EG"/>
        </w:rPr>
        <w:t>مؤتمت</w:t>
      </w:r>
      <w:r w:rsidRPr="00DC0DC3">
        <w:rPr>
          <w:rtl/>
          <w:lang w:val="en-GB" w:bidi="ar-EG"/>
        </w:rPr>
        <w:t>ة، وتغطية المتطلبات، وحالات الاستعمال، والمعمارية الوظيفية، والسطوح البينية، وخرائط طريق المعايير، وما إلى ذلك، مع مراعاة نتائج التعاون بشأن معايير الاتصالات لأنظمة النقل الذكية (</w:t>
      </w:r>
      <w:r w:rsidRPr="00DC0DC3">
        <w:rPr>
          <w:lang w:val="en-GB" w:bidi="ar-EG"/>
        </w:rPr>
        <w:t>CITS</w:t>
      </w:r>
      <w:r w:rsidRPr="00511C6C">
        <w:rPr>
          <w:rtl/>
          <w:lang w:val="en-GB" w:bidi="ar-EG"/>
        </w:rPr>
        <w:t>)/</w:t>
      </w:r>
      <w:r w:rsidRPr="00497E15">
        <w:rPr>
          <w:rtl/>
          <w:lang w:val="en-GB"/>
        </w:rPr>
        <w:t>فريق الخبراء المعني بتكنولوجيا الاتصالات للقيادة المؤتمتة</w:t>
      </w:r>
      <w:r>
        <w:rPr>
          <w:rFonts w:hint="cs"/>
          <w:rtl/>
          <w:lang w:val="en-GB" w:bidi="ar-EG"/>
        </w:rPr>
        <w:t> </w:t>
      </w:r>
      <w:r w:rsidRPr="005A57D8">
        <w:rPr>
          <w:rtl/>
          <w:lang w:val="en-GB" w:bidi="ar-EG"/>
        </w:rPr>
        <w:t>(</w:t>
      </w:r>
      <w:r w:rsidRPr="005A57D8">
        <w:rPr>
          <w:lang w:val="en-GB" w:bidi="ar-EG"/>
        </w:rPr>
        <w:t>EG</w:t>
      </w:r>
      <w:r>
        <w:rPr>
          <w:lang w:bidi="ar-EG"/>
        </w:rPr>
        <w:noBreakHyphen/>
      </w:r>
      <w:proofErr w:type="spellStart"/>
      <w:r w:rsidRPr="005A57D8">
        <w:rPr>
          <w:lang w:val="en-GB" w:bidi="ar-EG"/>
        </w:rPr>
        <w:t>ComAD</w:t>
      </w:r>
      <w:proofErr w:type="spellEnd"/>
      <w:r w:rsidRPr="005A57D8">
        <w:rPr>
          <w:rtl/>
          <w:lang w:val="en-GB" w:bidi="ar-EG"/>
        </w:rPr>
        <w:t>)</w:t>
      </w:r>
      <w:r w:rsidRPr="00511C6C">
        <w:rPr>
          <w:rtl/>
          <w:lang w:val="en-GB" w:bidi="ar-EG"/>
        </w:rPr>
        <w:t xml:space="preserve"> وكذلك نتائج لجنة الدراسات </w:t>
      </w:r>
      <w:r w:rsidRPr="00511C6C">
        <w:rPr>
          <w:lang w:val="en-GB" w:bidi="ar-EG"/>
        </w:rPr>
        <w:t>5</w:t>
      </w:r>
      <w:r w:rsidRPr="00511C6C">
        <w:rPr>
          <w:rtl/>
          <w:lang w:val="en-GB" w:bidi="ar-EG"/>
        </w:rPr>
        <w:t xml:space="preserve"> </w:t>
      </w:r>
      <w:r>
        <w:rPr>
          <w:rFonts w:hint="cs"/>
          <w:rtl/>
          <w:lang w:val="en-GB" w:bidi="ar-EG"/>
        </w:rPr>
        <w:t>ب</w:t>
      </w:r>
      <w:r w:rsidRPr="00511C6C">
        <w:rPr>
          <w:rtl/>
          <w:lang w:val="en-GB" w:bidi="ar-EG"/>
        </w:rPr>
        <w:t>قطاع الاتصالات الراديوية بشأن متطلبات الطيف</w:t>
      </w:r>
      <w:r w:rsidRPr="00511C6C">
        <w:rPr>
          <w:rFonts w:hint="cs"/>
          <w:rtl/>
          <w:lang w:bidi="ar-EG"/>
        </w:rPr>
        <w:t>؛</w:t>
      </w:r>
    </w:p>
    <w:p w14:paraId="13A88930" w14:textId="77777777" w:rsidR="00901F13" w:rsidRPr="00975F73" w:rsidRDefault="00901F13" w:rsidP="00901F13">
      <w:pPr>
        <w:rPr>
          <w:lang w:bidi="ar-EG"/>
        </w:rPr>
      </w:pPr>
      <w:r>
        <w:rPr>
          <w:rFonts w:hint="cs"/>
          <w:rtl/>
          <w:lang w:bidi="ar-EG"/>
        </w:rPr>
        <w:t>6</w:t>
      </w:r>
      <w:r>
        <w:rPr>
          <w:lang w:bidi="ar-EG"/>
        </w:rPr>
        <w:tab/>
      </w:r>
      <w:r w:rsidRPr="00FC5B34">
        <w:rPr>
          <w:rtl/>
          <w:lang w:bidi="ar-EG"/>
        </w:rPr>
        <w:t xml:space="preserve">لجان الدراسات ذات الصلة </w:t>
      </w:r>
      <w:r>
        <w:rPr>
          <w:rFonts w:hint="cs"/>
          <w:rtl/>
          <w:lang w:bidi="ar-EG"/>
        </w:rPr>
        <w:t>لدى</w:t>
      </w:r>
      <w:r w:rsidRPr="00FC5B34">
        <w:rPr>
          <w:rtl/>
          <w:lang w:bidi="ar-EG"/>
        </w:rPr>
        <w:t xml:space="preserve"> قطاع تقييس الاتصالات </w:t>
      </w:r>
      <w:r>
        <w:rPr>
          <w:rFonts w:hint="cs"/>
          <w:rtl/>
          <w:lang w:bidi="ar-EG"/>
        </w:rPr>
        <w:t>بتحديد</w:t>
      </w:r>
      <w:r w:rsidRPr="00382673">
        <w:rPr>
          <w:rtl/>
          <w:lang w:bidi="ar-JO"/>
        </w:rPr>
        <w:t xml:space="preserve"> وتقييم مشهد </w:t>
      </w:r>
      <w:r>
        <w:rPr>
          <w:rFonts w:hint="cs"/>
          <w:rtl/>
          <w:lang w:bidi="ar-JO"/>
        </w:rPr>
        <w:t>ال</w:t>
      </w:r>
      <w:r w:rsidRPr="00382673">
        <w:rPr>
          <w:rtl/>
          <w:lang w:bidi="ar-JO"/>
        </w:rPr>
        <w:t>تقييس</w:t>
      </w:r>
      <w:r>
        <w:rPr>
          <w:rFonts w:hint="cs"/>
          <w:rtl/>
          <w:lang w:bidi="ar-JO"/>
        </w:rPr>
        <w:t xml:space="preserve"> فيما يتعلق ب</w:t>
      </w:r>
      <w:r w:rsidRPr="00382673">
        <w:rPr>
          <w:rtl/>
          <w:lang w:bidi="ar-JO"/>
        </w:rPr>
        <w:t xml:space="preserve">اتصالات المركبات - مثل </w:t>
      </w:r>
      <w:r>
        <w:rPr>
          <w:rFonts w:hint="cs"/>
          <w:rtl/>
          <w:lang w:bidi="ar-JO"/>
        </w:rPr>
        <w:t>الاتصالات من مركبة إلى كل شيء</w:t>
      </w:r>
      <w:r w:rsidRPr="00382673">
        <w:rPr>
          <w:rtl/>
          <w:lang w:bidi="ar-JO"/>
        </w:rPr>
        <w:t xml:space="preserve"> و</w:t>
      </w:r>
      <w:r>
        <w:rPr>
          <w:rFonts w:hint="cs"/>
          <w:rtl/>
          <w:lang w:bidi="ar-JO"/>
        </w:rPr>
        <w:t>أنظمة النقل الذكية</w:t>
      </w:r>
      <w:r w:rsidRPr="00382673">
        <w:rPr>
          <w:rtl/>
          <w:lang w:bidi="ar-JO"/>
        </w:rPr>
        <w:t xml:space="preserve"> - بما في ذلك اتصالات المركبات لدعم القيادة ال</w:t>
      </w:r>
      <w:r>
        <w:rPr>
          <w:rtl/>
          <w:lang w:bidi="ar-JO"/>
        </w:rPr>
        <w:t>مؤتمت</w:t>
      </w:r>
      <w:r w:rsidRPr="00382673">
        <w:rPr>
          <w:rtl/>
          <w:lang w:bidi="ar-JO"/>
        </w:rPr>
        <w:t>ة، مع ضمان التعاون وتجنب التداخل مع المنظمات الأخرى المعنية بوضع المعايير</w:t>
      </w:r>
      <w:r>
        <w:rPr>
          <w:rFonts w:hint="cs"/>
          <w:rtl/>
          <w:lang w:bidi="ar-JO"/>
        </w:rPr>
        <w:t>،</w:t>
      </w:r>
    </w:p>
    <w:p w14:paraId="43A3C111" w14:textId="77777777" w:rsidR="00901F13" w:rsidRDefault="00901F13" w:rsidP="00901F13">
      <w:pPr>
        <w:rPr>
          <w:rtl/>
        </w:rPr>
      </w:pPr>
      <w:r>
        <w:rPr>
          <w:rtl/>
        </w:rPr>
        <w:br w:type="page"/>
      </w:r>
    </w:p>
    <w:p w14:paraId="7C327FB7" w14:textId="77777777" w:rsidR="00901F13" w:rsidRPr="00FC0F14" w:rsidRDefault="00901F13" w:rsidP="00901F13">
      <w:pPr>
        <w:pStyle w:val="Call"/>
      </w:pPr>
      <w:r w:rsidRPr="005A57D8">
        <w:rPr>
          <w:rFonts w:hint="eastAsia"/>
          <w:rtl/>
        </w:rPr>
        <w:lastRenderedPageBreak/>
        <w:t>تدعو</w:t>
      </w:r>
      <w:r w:rsidRPr="005A57D8">
        <w:rPr>
          <w:rtl/>
        </w:rPr>
        <w:t xml:space="preserve"> الدول الأعضاء وأعضاء القطاع </w:t>
      </w:r>
      <w:r w:rsidRPr="005A57D8">
        <w:rPr>
          <w:rFonts w:hint="eastAsia"/>
          <w:rtl/>
          <w:lang w:val="en-GB"/>
        </w:rPr>
        <w:t>والمنتسبين</w:t>
      </w:r>
      <w:r w:rsidRPr="005A57D8">
        <w:rPr>
          <w:rtl/>
          <w:lang w:val="en-GB"/>
        </w:rPr>
        <w:t xml:space="preserve"> </w:t>
      </w:r>
      <w:r w:rsidRPr="005A57D8">
        <w:rPr>
          <w:rFonts w:hint="eastAsia"/>
          <w:rtl/>
          <w:lang w:val="en-GB"/>
        </w:rPr>
        <w:t>والهيئات</w:t>
      </w:r>
      <w:r w:rsidRPr="005A57D8">
        <w:rPr>
          <w:rtl/>
          <w:lang w:val="en-GB"/>
        </w:rPr>
        <w:t xml:space="preserve"> </w:t>
      </w:r>
      <w:r w:rsidRPr="005A57D8">
        <w:rPr>
          <w:rFonts w:hint="eastAsia"/>
          <w:rtl/>
          <w:lang w:val="en-GB"/>
        </w:rPr>
        <w:t>الأكاديمية</w:t>
      </w:r>
      <w:r w:rsidRPr="005A57D8">
        <w:rPr>
          <w:rtl/>
        </w:rPr>
        <w:t xml:space="preserve"> </w:t>
      </w:r>
      <w:r w:rsidRPr="005A57D8">
        <w:rPr>
          <w:rFonts w:hint="eastAsia"/>
          <w:rtl/>
        </w:rPr>
        <w:t>إلى</w:t>
      </w:r>
    </w:p>
    <w:p w14:paraId="385A87D1" w14:textId="77777777" w:rsidR="00901F13" w:rsidRPr="00FC0F14" w:rsidRDefault="00901F13" w:rsidP="00901F13">
      <w:pPr>
        <w:rPr>
          <w:rtl/>
          <w:lang w:bidi="ar-SY"/>
        </w:rPr>
      </w:pPr>
      <w:r w:rsidRPr="00FC0F14">
        <w:t>1</w:t>
      </w:r>
      <w:r w:rsidRPr="00FC0F14">
        <w:tab/>
      </w:r>
      <w:r w:rsidRPr="00D75656">
        <w:rPr>
          <w:rtl/>
          <w:lang w:val="en-GB"/>
        </w:rPr>
        <w:t xml:space="preserve">تقديم المساهمات والمشاركة بنشاط في بحوث </w:t>
      </w:r>
      <w:r>
        <w:rPr>
          <w:rFonts w:hint="cs"/>
          <w:rtl/>
          <w:lang w:val="en-GB"/>
        </w:rPr>
        <w:t xml:space="preserve">قطاع تقييس الاتصالات </w:t>
      </w:r>
      <w:r w:rsidRPr="00D75656">
        <w:rPr>
          <w:rtl/>
          <w:lang w:val="en-GB"/>
        </w:rPr>
        <w:t>المتعلقة باتصالات المركبات مثل من مركبة إلى كل شيء (</w:t>
      </w:r>
      <w:r w:rsidRPr="00D75656">
        <w:rPr>
          <w:lang w:val="en-GB"/>
        </w:rPr>
        <w:t>V2X</w:t>
      </w:r>
      <w:r w:rsidRPr="00D75656">
        <w:rPr>
          <w:rtl/>
          <w:lang w:val="en-GB"/>
        </w:rPr>
        <w:t>) وأنظمة النقل الذكية (</w:t>
      </w:r>
      <w:r w:rsidRPr="00D75656">
        <w:rPr>
          <w:lang w:val="en-GB"/>
        </w:rPr>
        <w:t>ITS</w:t>
      </w:r>
      <w:r w:rsidRPr="00D75656">
        <w:rPr>
          <w:rtl/>
          <w:lang w:val="en-GB"/>
        </w:rPr>
        <w:t>)، بما في ذلك</w:t>
      </w:r>
      <w:r>
        <w:rPr>
          <w:rFonts w:hint="cs"/>
          <w:rtl/>
          <w:lang w:val="en-GB"/>
        </w:rPr>
        <w:t xml:space="preserve"> اتصالات المركبات لدعم</w:t>
      </w:r>
      <w:r w:rsidRPr="00D75656">
        <w:rPr>
          <w:rtl/>
          <w:lang w:val="en-GB"/>
        </w:rPr>
        <w:t xml:space="preserve"> القيادة </w:t>
      </w:r>
      <w:proofErr w:type="gramStart"/>
      <w:r w:rsidRPr="00D75656">
        <w:rPr>
          <w:rtl/>
          <w:lang w:val="en-GB"/>
        </w:rPr>
        <w:t>ال</w:t>
      </w:r>
      <w:r>
        <w:rPr>
          <w:rtl/>
          <w:lang w:val="en-GB"/>
        </w:rPr>
        <w:t>مؤتمت</w:t>
      </w:r>
      <w:r w:rsidRPr="00D75656">
        <w:rPr>
          <w:rtl/>
          <w:lang w:val="en-GB"/>
        </w:rPr>
        <w:t>ة</w:t>
      </w:r>
      <w:r w:rsidRPr="00FC0F14">
        <w:rPr>
          <w:rFonts w:hint="eastAsia"/>
          <w:rtl/>
          <w:lang w:bidi="ar-SY"/>
        </w:rPr>
        <w:t>؛</w:t>
      </w:r>
      <w:proofErr w:type="gramEnd"/>
    </w:p>
    <w:p w14:paraId="04192BFB" w14:textId="77777777" w:rsidR="00901F13" w:rsidRPr="00FC0F14" w:rsidRDefault="00901F13" w:rsidP="00901F13">
      <w:pPr>
        <w:rPr>
          <w:lang w:bidi="ar-SY"/>
        </w:rPr>
      </w:pPr>
      <w:r w:rsidRPr="00FC0F14">
        <w:rPr>
          <w:lang w:bidi="ar-SY"/>
        </w:rPr>
        <w:t>2</w:t>
      </w:r>
      <w:r w:rsidRPr="00FC0F14">
        <w:rPr>
          <w:lang w:bidi="ar-SY"/>
        </w:rPr>
        <w:tab/>
      </w:r>
      <w:r w:rsidRPr="00D75656">
        <w:rPr>
          <w:rtl/>
          <w:lang w:val="en-GB" w:bidi="ar-SY"/>
        </w:rPr>
        <w:t>وضع خطط شاملة وتبادل حالات الاستعمال وت</w:t>
      </w:r>
      <w:r>
        <w:rPr>
          <w:rFonts w:hint="cs"/>
          <w:rtl/>
          <w:lang w:val="en-GB" w:bidi="ar-SY"/>
        </w:rPr>
        <w:t>ناقل</w:t>
      </w:r>
      <w:r w:rsidRPr="00D75656">
        <w:rPr>
          <w:rtl/>
          <w:lang w:val="en-GB" w:bidi="ar-SY"/>
        </w:rPr>
        <w:t xml:space="preserve"> الممارسات</w:t>
      </w:r>
      <w:r>
        <w:rPr>
          <w:rFonts w:hint="cs"/>
          <w:rtl/>
          <w:lang w:val="en-GB" w:bidi="ar-SY"/>
        </w:rPr>
        <w:t xml:space="preserve"> الفضلى</w:t>
      </w:r>
      <w:r w:rsidRPr="00D75656">
        <w:rPr>
          <w:rtl/>
          <w:lang w:val="en-GB" w:bidi="ar-SY"/>
        </w:rPr>
        <w:t>، لتعزيز النظام الإيكولوجي لاتصالات المركبات مثل من مركبة إلى كل شيء (</w:t>
      </w:r>
      <w:r w:rsidRPr="00D75656">
        <w:rPr>
          <w:lang w:val="en-GB" w:bidi="ar-SY"/>
        </w:rPr>
        <w:t>V2X</w:t>
      </w:r>
      <w:r w:rsidRPr="00D75656">
        <w:rPr>
          <w:rtl/>
          <w:lang w:val="en-GB" w:bidi="ar-SY"/>
        </w:rPr>
        <w:t>) وأنظمة النقل الذكية (</w:t>
      </w:r>
      <w:r w:rsidRPr="00D75656">
        <w:rPr>
          <w:lang w:val="en-GB" w:bidi="ar-SY"/>
        </w:rPr>
        <w:t>ITS</w:t>
      </w:r>
      <w:r w:rsidRPr="00D75656">
        <w:rPr>
          <w:rtl/>
          <w:lang w:val="en-GB" w:bidi="ar-SY"/>
        </w:rPr>
        <w:t xml:space="preserve">)، بما في ذلك </w:t>
      </w:r>
      <w:r>
        <w:rPr>
          <w:rFonts w:hint="cs"/>
          <w:rtl/>
          <w:lang w:val="en-GB"/>
        </w:rPr>
        <w:t xml:space="preserve">اتصالات المركبات لدعم </w:t>
      </w:r>
      <w:r w:rsidRPr="00D75656">
        <w:rPr>
          <w:rtl/>
          <w:lang w:val="en-GB" w:bidi="ar-SY"/>
        </w:rPr>
        <w:t>القيادة ال</w:t>
      </w:r>
      <w:r>
        <w:rPr>
          <w:rtl/>
          <w:lang w:val="en-GB" w:bidi="ar-SY"/>
        </w:rPr>
        <w:t>مؤتمت</w:t>
      </w:r>
      <w:r w:rsidRPr="00D75656">
        <w:rPr>
          <w:rtl/>
          <w:lang w:val="en-GB" w:bidi="ar-SY"/>
        </w:rPr>
        <w:t xml:space="preserve">ة، وتسهيل التنمية الاجتماعية والنمو الاقتصادي لتحقيق أهداف التنمية </w:t>
      </w:r>
      <w:proofErr w:type="gramStart"/>
      <w:r w:rsidRPr="00D75656">
        <w:rPr>
          <w:rtl/>
          <w:lang w:val="en-GB" w:bidi="ar-SY"/>
        </w:rPr>
        <w:t>المستدامة</w:t>
      </w:r>
      <w:r w:rsidRPr="00FC0F14">
        <w:rPr>
          <w:rFonts w:hint="cs"/>
          <w:rtl/>
          <w:lang w:bidi="ar-SY"/>
        </w:rPr>
        <w:t>؛</w:t>
      </w:r>
      <w:proofErr w:type="gramEnd"/>
    </w:p>
    <w:p w14:paraId="54B8E17F" w14:textId="77777777" w:rsidR="00901F13" w:rsidRPr="00FC0F14" w:rsidRDefault="00901F13" w:rsidP="00901F13">
      <w:pPr>
        <w:rPr>
          <w:rtl/>
          <w:lang w:bidi="ar-SY"/>
        </w:rPr>
      </w:pPr>
      <w:r w:rsidRPr="00FC0F14">
        <w:rPr>
          <w:lang w:bidi="ar-SY"/>
        </w:rPr>
        <w:t>3</w:t>
      </w:r>
      <w:r w:rsidRPr="00FC0F14">
        <w:rPr>
          <w:lang w:bidi="ar-SY"/>
        </w:rPr>
        <w:tab/>
      </w:r>
      <w:r w:rsidRPr="00D75656">
        <w:rPr>
          <w:rtl/>
          <w:lang w:val="en-GB" w:bidi="ar-SY"/>
        </w:rPr>
        <w:t xml:space="preserve">تنظيم منتديات وحلقات دراسية وورش عمل </w:t>
      </w:r>
      <w:r>
        <w:rPr>
          <w:rFonts w:hint="cs"/>
          <w:rtl/>
          <w:lang w:val="en-GB" w:bidi="ar-SY"/>
        </w:rPr>
        <w:t xml:space="preserve">بشأن </w:t>
      </w:r>
      <w:r w:rsidRPr="00D75656">
        <w:rPr>
          <w:rtl/>
          <w:lang w:val="en-GB" w:bidi="ar-SY"/>
        </w:rPr>
        <w:t>اتصالات المركبات مثل من مركبة إلى كل شيء (</w:t>
      </w:r>
      <w:r w:rsidRPr="00D75656">
        <w:rPr>
          <w:lang w:val="en-GB" w:bidi="ar-SY"/>
        </w:rPr>
        <w:t>V2X</w:t>
      </w:r>
      <w:r w:rsidRPr="00D75656">
        <w:rPr>
          <w:rtl/>
          <w:lang w:val="en-GB" w:bidi="ar-SY"/>
        </w:rPr>
        <w:t>) وأنظمة النقل الذكية (</w:t>
      </w:r>
      <w:r w:rsidRPr="00D75656">
        <w:rPr>
          <w:lang w:val="en-GB" w:bidi="ar-SY"/>
        </w:rPr>
        <w:t>ITS</w:t>
      </w:r>
      <w:r w:rsidRPr="00D75656">
        <w:rPr>
          <w:rtl/>
          <w:lang w:val="en-GB" w:bidi="ar-SY"/>
        </w:rPr>
        <w:t xml:space="preserve">)، لتعزيز ودعم الابتكار والبحث والتطوير ونمو التكنولوجيات </w:t>
      </w:r>
      <w:proofErr w:type="gramStart"/>
      <w:r w:rsidRPr="00D75656">
        <w:rPr>
          <w:rtl/>
          <w:lang w:val="en-GB" w:bidi="ar-SY"/>
        </w:rPr>
        <w:t>والحلول</w:t>
      </w:r>
      <w:r w:rsidRPr="00FC0F14">
        <w:rPr>
          <w:rFonts w:hint="cs"/>
          <w:rtl/>
          <w:lang w:bidi="ar-SY"/>
        </w:rPr>
        <w:t>؛</w:t>
      </w:r>
      <w:proofErr w:type="gramEnd"/>
    </w:p>
    <w:p w14:paraId="53AFB082" w14:textId="77777777" w:rsidR="00901F13" w:rsidRPr="00FC0F14" w:rsidRDefault="00901F13" w:rsidP="00901F13">
      <w:pPr>
        <w:rPr>
          <w:rtl/>
          <w:lang w:bidi="ar-EG"/>
        </w:rPr>
      </w:pPr>
      <w:r w:rsidRPr="00FC0F14">
        <w:rPr>
          <w:rFonts w:hint="cs"/>
          <w:lang w:bidi="ar-SY"/>
        </w:rPr>
        <w:t>4</w:t>
      </w:r>
      <w:r w:rsidRPr="00FC0F14">
        <w:rPr>
          <w:rtl/>
          <w:lang w:bidi="ar-SY"/>
        </w:rPr>
        <w:tab/>
      </w:r>
      <w:r w:rsidRPr="00D75656">
        <w:rPr>
          <w:rtl/>
          <w:lang w:val="en-GB"/>
        </w:rPr>
        <w:t>اتخاذ التدابير اللازمة لتعزيز وتنفيذ تقييس اتصالات المركبات مثل من مركبة إلى كل شيء (</w:t>
      </w:r>
      <w:r w:rsidRPr="00D75656">
        <w:rPr>
          <w:lang w:val="en-GB"/>
        </w:rPr>
        <w:t>V2X</w:t>
      </w:r>
      <w:r w:rsidRPr="00D75656">
        <w:rPr>
          <w:rtl/>
          <w:lang w:val="en-GB"/>
        </w:rPr>
        <w:t>) وأنظمة النقل الذكية (</w:t>
      </w:r>
      <w:r w:rsidRPr="00D75656">
        <w:rPr>
          <w:lang w:val="en-GB"/>
        </w:rPr>
        <w:t>ITS</w:t>
      </w:r>
      <w:r w:rsidRPr="00D75656">
        <w:rPr>
          <w:rtl/>
          <w:lang w:val="en-GB"/>
        </w:rPr>
        <w:t>).</w:t>
      </w:r>
    </w:p>
    <w:p w14:paraId="2B0BA94C" w14:textId="77777777" w:rsidR="00F00532" w:rsidRDefault="00F00532" w:rsidP="005A0B25">
      <w:pPr>
        <w:rPr>
          <w:rtl/>
          <w:lang w:bidi="ar-EG"/>
        </w:rPr>
      </w:pPr>
    </w:p>
    <w:p w14:paraId="23B21427" w14:textId="77777777" w:rsidR="00901F13" w:rsidRDefault="00901F13" w:rsidP="005A0B25">
      <w:pPr>
        <w:rPr>
          <w:rtl/>
          <w:lang w:bidi="ar-EG"/>
        </w:rPr>
      </w:pPr>
    </w:p>
    <w:p w14:paraId="25655AB5" w14:textId="77777777" w:rsidR="00901F13" w:rsidRDefault="00901F13" w:rsidP="005A0B25">
      <w:pPr>
        <w:rPr>
          <w:rtl/>
          <w:lang w:bidi="ar-EG"/>
        </w:rPr>
      </w:pPr>
    </w:p>
    <w:p w14:paraId="3734DDA9" w14:textId="77777777" w:rsidR="00901F13" w:rsidRDefault="00901F13" w:rsidP="005A0B25">
      <w:pPr>
        <w:rPr>
          <w:rtl/>
          <w:lang w:bidi="ar-EG"/>
        </w:rPr>
      </w:pPr>
    </w:p>
    <w:p w14:paraId="59C15AEB" w14:textId="77777777" w:rsidR="00901F13" w:rsidRDefault="00901F13" w:rsidP="005A0B25">
      <w:pPr>
        <w:rPr>
          <w:rtl/>
          <w:lang w:bidi="ar-EG"/>
        </w:rPr>
      </w:pPr>
    </w:p>
    <w:p w14:paraId="0C386D14" w14:textId="77777777" w:rsidR="00901F13" w:rsidRDefault="00901F13" w:rsidP="005A0B25">
      <w:pPr>
        <w:rPr>
          <w:rtl/>
          <w:lang w:bidi="ar-EG"/>
        </w:rPr>
      </w:pPr>
    </w:p>
    <w:p w14:paraId="192B752C" w14:textId="77777777" w:rsidR="00901F13" w:rsidRDefault="00901F13" w:rsidP="005A0B25">
      <w:pPr>
        <w:rPr>
          <w:rtl/>
          <w:lang w:bidi="ar-EG"/>
        </w:rPr>
      </w:pPr>
    </w:p>
    <w:p w14:paraId="38EEE85C" w14:textId="77777777" w:rsidR="00901F13" w:rsidRDefault="00901F13" w:rsidP="005A0B25">
      <w:pPr>
        <w:rPr>
          <w:rtl/>
          <w:lang w:bidi="ar-EG"/>
        </w:rPr>
      </w:pPr>
    </w:p>
    <w:p w14:paraId="4A2AE282" w14:textId="77777777" w:rsidR="00901F13" w:rsidRDefault="00901F13" w:rsidP="005A0B25">
      <w:pPr>
        <w:rPr>
          <w:rtl/>
          <w:lang w:bidi="ar-EG"/>
        </w:rPr>
      </w:pPr>
    </w:p>
    <w:p w14:paraId="57C24A82" w14:textId="77777777" w:rsidR="00901F13" w:rsidRDefault="00901F13" w:rsidP="005A0B25">
      <w:pPr>
        <w:rPr>
          <w:rtl/>
          <w:lang w:bidi="ar-EG"/>
        </w:rPr>
      </w:pPr>
    </w:p>
    <w:p w14:paraId="15536658" w14:textId="77777777" w:rsidR="00901F13" w:rsidRDefault="00901F13" w:rsidP="005A0B25">
      <w:pPr>
        <w:rPr>
          <w:rtl/>
          <w:lang w:bidi="ar-EG"/>
        </w:rPr>
      </w:pPr>
    </w:p>
    <w:p w14:paraId="719F46F4" w14:textId="77777777" w:rsidR="00901F13" w:rsidRDefault="00901F13" w:rsidP="005A0B25">
      <w:pPr>
        <w:rPr>
          <w:rtl/>
          <w:lang w:bidi="ar-EG"/>
        </w:rPr>
      </w:pPr>
    </w:p>
    <w:p w14:paraId="3B9C89D0" w14:textId="77777777" w:rsidR="00901F13" w:rsidRDefault="00901F13" w:rsidP="005A0B25">
      <w:pPr>
        <w:rPr>
          <w:rtl/>
          <w:lang w:bidi="ar-EG"/>
        </w:rPr>
      </w:pPr>
    </w:p>
    <w:p w14:paraId="63696974" w14:textId="77777777" w:rsidR="00901F13" w:rsidRDefault="00901F13" w:rsidP="005A0B25">
      <w:pPr>
        <w:rPr>
          <w:rtl/>
          <w:lang w:bidi="ar-EG"/>
        </w:rPr>
      </w:pPr>
    </w:p>
    <w:p w14:paraId="48417E38" w14:textId="77777777" w:rsidR="00901F13" w:rsidRDefault="00901F13" w:rsidP="005A0B25">
      <w:pPr>
        <w:rPr>
          <w:rtl/>
          <w:lang w:bidi="ar-EG"/>
        </w:rPr>
      </w:pPr>
    </w:p>
    <w:p w14:paraId="18B43AB2" w14:textId="77777777" w:rsidR="00901F13" w:rsidRPr="00976E9F" w:rsidRDefault="00901F13" w:rsidP="005A0B25">
      <w:pPr>
        <w:rPr>
          <w:rtl/>
          <w:lang w:bidi="ar-EG"/>
        </w:rPr>
      </w:pPr>
    </w:p>
    <w:sectPr w:rsidR="00901F13" w:rsidRPr="00976E9F"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77321928"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AC733D">
      <w:rPr>
        <w:b/>
        <w:bCs/>
        <w:noProof/>
      </w:rPr>
      <w:t>104</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4936AE03"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AC733D">
      <w:rPr>
        <w:b/>
        <w:bCs/>
        <w:noProof/>
        <w:rtl/>
        <w:lang w:bidi="ar-EG"/>
      </w:rPr>
      <w:t>104</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126470A6"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AC733D">
      <w:rPr>
        <w:b/>
        <w:bCs/>
        <w:noProof/>
        <w:rtl/>
        <w:lang w:bidi="ar-EG"/>
      </w:rPr>
      <w:t>104</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7E0B7105"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C40F68">
      <w:rPr>
        <w:b/>
        <w:bCs/>
        <w:rtl/>
        <w:lang w:bidi="ar-EG"/>
      </w:rPr>
      <w:fldChar w:fldCharType="begin"/>
    </w:r>
    <w:r w:rsidRPr="00C40F68">
      <w:rPr>
        <w:b/>
        <w:bCs/>
        <w:rtl/>
        <w:lang w:bidi="ar-EG"/>
      </w:rPr>
      <w:instrText xml:space="preserve"> </w:instrText>
    </w:r>
    <w:r w:rsidRPr="00C40F68">
      <w:rPr>
        <w:b/>
        <w:bCs/>
        <w:lang w:bidi="ar-EG"/>
      </w:rPr>
      <w:instrText>STYLEREF  href  \* MERGEFORMAT</w:instrText>
    </w:r>
    <w:r w:rsidRPr="00C40F68">
      <w:rPr>
        <w:b/>
        <w:bCs/>
        <w:rtl/>
        <w:lang w:bidi="ar-EG"/>
      </w:rPr>
      <w:instrText xml:space="preserve"> </w:instrText>
    </w:r>
    <w:r w:rsidRPr="00C40F68">
      <w:rPr>
        <w:b/>
        <w:bCs/>
        <w:rtl/>
        <w:lang w:bidi="ar-EG"/>
      </w:rPr>
      <w:fldChar w:fldCharType="separate"/>
    </w:r>
    <w:r w:rsidR="00AC733D">
      <w:rPr>
        <w:b/>
        <w:bCs/>
        <w:noProof/>
        <w:rtl/>
        <w:lang w:bidi="ar-EG"/>
      </w:rPr>
      <w:t>104</w:t>
    </w:r>
    <w:r w:rsidRPr="00C40F68">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1613503C" w14:textId="77777777" w:rsidR="00901F13" w:rsidRPr="00651CE1" w:rsidRDefault="00901F13" w:rsidP="00901F13">
      <w:pPr>
        <w:pStyle w:val="FootnoteText"/>
        <w:rPr>
          <w:lang w:bidi="ar-EG"/>
        </w:rPr>
      </w:pPr>
      <w:r>
        <w:rPr>
          <w:rStyle w:val="FootnoteReference"/>
          <w:rtl/>
        </w:rPr>
        <w:t>1</w:t>
      </w:r>
      <w:r>
        <w:rPr>
          <w:rtl/>
        </w:rPr>
        <w:tab/>
      </w:r>
      <w:r w:rsidRPr="00651CE1">
        <w:rPr>
          <w:rtl/>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628CF"/>
    <w:rsid w:val="0007593C"/>
    <w:rsid w:val="00075A3F"/>
    <w:rsid w:val="000921BF"/>
    <w:rsid w:val="000A1B16"/>
    <w:rsid w:val="000A3F81"/>
    <w:rsid w:val="000A451D"/>
    <w:rsid w:val="000A5C99"/>
    <w:rsid w:val="000B0891"/>
    <w:rsid w:val="000B3896"/>
    <w:rsid w:val="000B5404"/>
    <w:rsid w:val="000B6449"/>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14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39EC"/>
    <w:rsid w:val="002843E4"/>
    <w:rsid w:val="0028769D"/>
    <w:rsid w:val="002919E1"/>
    <w:rsid w:val="00292529"/>
    <w:rsid w:val="00293DC1"/>
    <w:rsid w:val="00295917"/>
    <w:rsid w:val="00296071"/>
    <w:rsid w:val="002A4572"/>
    <w:rsid w:val="002A6159"/>
    <w:rsid w:val="002A794D"/>
    <w:rsid w:val="002A7E2E"/>
    <w:rsid w:val="002B12C5"/>
    <w:rsid w:val="002B16D8"/>
    <w:rsid w:val="002D1C76"/>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59C"/>
    <w:rsid w:val="003309DA"/>
    <w:rsid w:val="00335CFA"/>
    <w:rsid w:val="0033737F"/>
    <w:rsid w:val="003425B8"/>
    <w:rsid w:val="003475E8"/>
    <w:rsid w:val="00353652"/>
    <w:rsid w:val="003569E1"/>
    <w:rsid w:val="003636B6"/>
    <w:rsid w:val="003725C1"/>
    <w:rsid w:val="003736B2"/>
    <w:rsid w:val="00376EA1"/>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378D"/>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6394"/>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34C8"/>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49F2"/>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176CA"/>
    <w:rsid w:val="00820067"/>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09D"/>
    <w:rsid w:val="008B52B7"/>
    <w:rsid w:val="008C3818"/>
    <w:rsid w:val="008D19EE"/>
    <w:rsid w:val="008D6ACC"/>
    <w:rsid w:val="008D753F"/>
    <w:rsid w:val="008D7AF0"/>
    <w:rsid w:val="008E1A32"/>
    <w:rsid w:val="008E2CBE"/>
    <w:rsid w:val="008E32DD"/>
    <w:rsid w:val="008F4626"/>
    <w:rsid w:val="009004DF"/>
    <w:rsid w:val="00901F13"/>
    <w:rsid w:val="00902E2A"/>
    <w:rsid w:val="00903DB9"/>
    <w:rsid w:val="00904AA5"/>
    <w:rsid w:val="009066E5"/>
    <w:rsid w:val="009108DC"/>
    <w:rsid w:val="009114CE"/>
    <w:rsid w:val="009141A8"/>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6E9F"/>
    <w:rsid w:val="0097742C"/>
    <w:rsid w:val="00993463"/>
    <w:rsid w:val="009A3D30"/>
    <w:rsid w:val="009B4139"/>
    <w:rsid w:val="009C13BE"/>
    <w:rsid w:val="009C6188"/>
    <w:rsid w:val="009D0558"/>
    <w:rsid w:val="009D0810"/>
    <w:rsid w:val="009D4D3E"/>
    <w:rsid w:val="009D6348"/>
    <w:rsid w:val="009D6F51"/>
    <w:rsid w:val="009E5007"/>
    <w:rsid w:val="009E5413"/>
    <w:rsid w:val="009E613F"/>
    <w:rsid w:val="009F042B"/>
    <w:rsid w:val="00A03FD6"/>
    <w:rsid w:val="00A04CF4"/>
    <w:rsid w:val="00A05A8A"/>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3D"/>
    <w:rsid w:val="00AC7395"/>
    <w:rsid w:val="00AD162B"/>
    <w:rsid w:val="00AD2DEB"/>
    <w:rsid w:val="00AD538E"/>
    <w:rsid w:val="00AD690F"/>
    <w:rsid w:val="00AD69DD"/>
    <w:rsid w:val="00AE5BB8"/>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542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1165E"/>
    <w:rsid w:val="00C134B9"/>
    <w:rsid w:val="00C22074"/>
    <w:rsid w:val="00C2377B"/>
    <w:rsid w:val="00C32D73"/>
    <w:rsid w:val="00C341E0"/>
    <w:rsid w:val="00C34E09"/>
    <w:rsid w:val="00C35338"/>
    <w:rsid w:val="00C3693C"/>
    <w:rsid w:val="00C37F27"/>
    <w:rsid w:val="00C40F68"/>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1FA"/>
    <w:rsid w:val="00D1576B"/>
    <w:rsid w:val="00D179AA"/>
    <w:rsid w:val="00D209B5"/>
    <w:rsid w:val="00D21D8E"/>
    <w:rsid w:val="00D25120"/>
    <w:rsid w:val="00D34C24"/>
    <w:rsid w:val="00D353FE"/>
    <w:rsid w:val="00D3725C"/>
    <w:rsid w:val="00D419CB"/>
    <w:rsid w:val="00D44350"/>
    <w:rsid w:val="00D44E3F"/>
    <w:rsid w:val="00D50901"/>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0532"/>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5E80"/>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bf6fb32c-fdd7-4c1d-9827-aab97e27f7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1862</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القـرار 104 – تشجيع وتعزيز أنشطة التقييس لاتصالات المركبات</vt:lpstr>
    </vt:vector>
  </TitlesOfParts>
  <Manager>General Secretariat - Pool</Manager>
  <Company>International Telecommunication Union (ITU)</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104 – تشجيع وتعزيز أنشطة التقييس لاتصالات المركبات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91</cp:revision>
  <cp:lastPrinted>2024-11-27T06:26:00Z</cp:lastPrinted>
  <dcterms:created xsi:type="dcterms:W3CDTF">2024-11-08T10:24:00Z</dcterms:created>
  <dcterms:modified xsi:type="dcterms:W3CDTF">2024-11-27T06:27:00Z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