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6F7193" w:rsidRPr="0033681A" w14:paraId="5C21517E" w14:textId="77777777" w:rsidTr="00CA058D">
        <w:trPr>
          <w:trHeight w:hRule="exact" w:val="426"/>
        </w:trPr>
        <w:tc>
          <w:tcPr>
            <w:tcW w:w="5070" w:type="dxa"/>
            <w:gridSpan w:val="2"/>
          </w:tcPr>
          <w:p w14:paraId="38A32B17" w14:textId="77777777" w:rsidR="006F7193" w:rsidRPr="0033681A" w:rsidRDefault="006F7193" w:rsidP="00CA058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Start w:id="1" w:name="_Hlk183096748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66B8D71D" w14:textId="77777777" w:rsidR="006F7193" w:rsidRPr="00EA2A26" w:rsidRDefault="006F7193" w:rsidP="00CA058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6F7193" w:rsidRPr="0033681A" w14:paraId="22CBF9A1" w14:textId="77777777" w:rsidTr="00CA058D">
        <w:trPr>
          <w:trHeight w:hRule="exact" w:val="992"/>
        </w:trPr>
        <w:tc>
          <w:tcPr>
            <w:tcW w:w="5070" w:type="dxa"/>
            <w:gridSpan w:val="2"/>
          </w:tcPr>
          <w:p w14:paraId="05404670" w14:textId="4794D950" w:rsidR="006F7193" w:rsidRPr="00EA2A26" w:rsidRDefault="0031263B" w:rsidP="00CA058D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Opiniones</w:t>
            </w:r>
          </w:p>
        </w:tc>
        <w:tc>
          <w:tcPr>
            <w:tcW w:w="5670" w:type="dxa"/>
          </w:tcPr>
          <w:p w14:paraId="0DDAED3D" w14:textId="77777777" w:rsidR="006F7193" w:rsidRPr="00EA2A26" w:rsidRDefault="006F7193" w:rsidP="00CA058D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6F7193" w:rsidRPr="0033681A" w14:paraId="223B76BC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06345F5F" w14:textId="77777777" w:rsidR="006F7193" w:rsidRPr="0033681A" w:rsidRDefault="006F7193" w:rsidP="00CA058D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6F7193" w:rsidRPr="00613D5C" w14:paraId="5FEA4D0D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5E46DF1D" w14:textId="77777777" w:rsidR="006F7193" w:rsidRPr="00613D5C" w:rsidRDefault="006F7193" w:rsidP="00CA058D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6F7193" w:rsidRPr="00423BC5" w14:paraId="348D5AAD" w14:textId="77777777" w:rsidTr="00CA058D">
        <w:trPr>
          <w:trHeight w:val="80"/>
        </w:trPr>
        <w:tc>
          <w:tcPr>
            <w:tcW w:w="817" w:type="dxa"/>
          </w:tcPr>
          <w:p w14:paraId="3A9ACCAE" w14:textId="77777777" w:rsidR="006F7193" w:rsidRPr="00613D5C" w:rsidRDefault="006F7193" w:rsidP="00CA058D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5FAB0AB2" w14:textId="64A6D7DE" w:rsidR="006F7193" w:rsidRPr="00423BC5" w:rsidRDefault="006F7193" w:rsidP="00CA058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47EE0">
              <w:rPr>
                <w:rFonts w:ascii="Arial" w:hAnsi="Arial" w:cs="Arial"/>
                <w:sz w:val="36"/>
                <w:szCs w:val="36"/>
                <w:lang w:val="fr-CH"/>
              </w:rPr>
              <w:t>ASAMBLEA MUNDIAL DE NORMALIZACIÓN DE LAS TELECOMUNICACIONES</w:t>
            </w:r>
            <w:r w:rsidRPr="00423BC5">
              <w:rPr>
                <w:rFonts w:ascii="Arial" w:hAnsi="Arial" w:cs="Arial"/>
                <w:sz w:val="36"/>
                <w:szCs w:val="36"/>
                <w:lang w:val="fr-CH"/>
              </w:rPr>
              <w:t xml:space="preserve"> </w:t>
            </w:r>
            <w:r w:rsidRPr="00423BC5">
              <w:rPr>
                <w:rFonts w:ascii="Arial" w:hAnsi="Arial" w:cs="Arial"/>
                <w:sz w:val="36"/>
                <w:szCs w:val="36"/>
                <w:lang w:val="fr-CH"/>
              </w:rPr>
              <w:br/>
            </w:r>
            <w:r w:rsidR="00821C7C" w:rsidRPr="00821C7C">
              <w:rPr>
                <w:rFonts w:ascii="Arial" w:hAnsi="Arial" w:cs="Arial"/>
                <w:sz w:val="36"/>
                <w:szCs w:val="36"/>
                <w:lang w:val="fr-CH"/>
              </w:rPr>
              <w:t>Dubái</w:t>
            </w:r>
            <w:r w:rsidR="00867BCC" w:rsidRPr="00867BCC">
              <w:rPr>
                <w:rFonts w:ascii="Arial" w:hAnsi="Arial" w:cs="Arial"/>
                <w:sz w:val="36"/>
                <w:szCs w:val="36"/>
                <w:lang w:val="fr-CH"/>
              </w:rPr>
              <w:t>, 20-29 de noviembre de 2012</w:t>
            </w:r>
          </w:p>
          <w:p w14:paraId="3FC6468D" w14:textId="77777777" w:rsidR="006F7193" w:rsidRPr="00423BC5" w:rsidRDefault="006F7193" w:rsidP="00CA058D">
            <w:pPr>
              <w:rPr>
                <w:lang w:val="fr-CH"/>
              </w:rPr>
            </w:pPr>
          </w:p>
        </w:tc>
      </w:tr>
      <w:tr w:rsidR="006F7193" w:rsidRPr="0033681A" w14:paraId="1E6AFDEA" w14:textId="77777777" w:rsidTr="00CA058D">
        <w:trPr>
          <w:trHeight w:val="743"/>
        </w:trPr>
        <w:tc>
          <w:tcPr>
            <w:tcW w:w="817" w:type="dxa"/>
          </w:tcPr>
          <w:p w14:paraId="2DDC7551" w14:textId="77777777" w:rsidR="006F7193" w:rsidRPr="00423BC5" w:rsidRDefault="006F7193" w:rsidP="00CA058D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fr-CH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7D8D6F6D" w14:textId="1A442860" w:rsidR="006F7193" w:rsidRPr="0033681A" w:rsidRDefault="00867BCC" w:rsidP="006F7193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n-GB"/>
              </w:rPr>
            </w:pPr>
            <w:r w:rsidRPr="00867BCC">
              <w:rPr>
                <w:spacing w:val="-6"/>
                <w:sz w:val="44"/>
                <w:szCs w:val="44"/>
                <w:lang w:val="en-GB"/>
              </w:rPr>
              <w:t>Opinión 1 – Aplicación efectiva de la prima de externalidad de red</w:t>
            </w:r>
          </w:p>
          <w:p w14:paraId="35F8A1FC" w14:textId="77777777" w:rsidR="006F7193" w:rsidRPr="0033681A" w:rsidRDefault="006F7193" w:rsidP="00CA058D"/>
        </w:tc>
      </w:tr>
    </w:tbl>
    <w:p w14:paraId="099BCAC9" w14:textId="77777777" w:rsidR="006F7193" w:rsidRPr="00A14194" w:rsidRDefault="006F7193" w:rsidP="006F7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013829" wp14:editId="59D454EF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8FE1E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41CB3F13" wp14:editId="2D3F851C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F2D27" w14:textId="77777777" w:rsidR="006F7193" w:rsidRPr="0033681A" w:rsidRDefault="006F7193" w:rsidP="006F7193">
      <w:pPr>
        <w:jc w:val="left"/>
        <w:sectPr w:rsidR="006F7193" w:rsidRPr="0033681A" w:rsidSect="006F7193">
          <w:headerReference w:type="even" r:id="rId8"/>
          <w:headerReference w:type="default" r:id="rId9"/>
          <w:type w:val="even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19340A7C" w14:textId="77777777" w:rsidR="006F7193" w:rsidRPr="008968B6" w:rsidRDefault="006F7193" w:rsidP="006F7193">
      <w:pPr>
        <w:spacing w:before="480"/>
        <w:jc w:val="center"/>
        <w:rPr>
          <w:lang w:val="en-US"/>
        </w:rPr>
      </w:pPr>
      <w:bookmarkStart w:id="2" w:name="irecnoe"/>
      <w:bookmarkEnd w:id="2"/>
      <w:r w:rsidRPr="00347EE0">
        <w:lastRenderedPageBreak/>
        <w:t>PREFACIO</w:t>
      </w:r>
    </w:p>
    <w:p w14:paraId="7C82FE4D" w14:textId="77777777" w:rsidR="006F7193" w:rsidRPr="00347EE0" w:rsidRDefault="006F7193" w:rsidP="006F7193">
      <w:pPr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4862C636" w14:textId="77777777" w:rsidR="006F7193" w:rsidRPr="00347EE0" w:rsidRDefault="006F7193" w:rsidP="006F7193">
      <w:pPr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105AD15F" w14:textId="77777777" w:rsidR="006F7193" w:rsidRPr="00347EE0" w:rsidRDefault="006F7193" w:rsidP="006F7193">
      <w:pPr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071EF57E" w14:textId="77777777" w:rsidR="006F7193" w:rsidRPr="00347EE0" w:rsidRDefault="006F7193" w:rsidP="006F7193">
      <w:pPr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49BC9D4B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63EB1AC3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4D6EA6D8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29039DE9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0ACDCDA3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14569F77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5A304303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0887BF6E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5AC7A3AB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37DEC69D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787659A9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6F5AA66C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03AF6B28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7BAEA2FD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75AFAC5B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6F74275A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5616911E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3ACA1B9E" w14:textId="77777777" w:rsidR="006F7193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0EBB25B9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76924F91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66035F57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2A6D7B93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452A909E" w14:textId="77777777" w:rsidR="006F7193" w:rsidRPr="002A37D9" w:rsidRDefault="006F7193" w:rsidP="006F7193">
      <w:pPr>
        <w:spacing w:line="240" w:lineRule="exact"/>
        <w:jc w:val="center"/>
        <w:rPr>
          <w:sz w:val="20"/>
          <w:lang w:val="fr-CH"/>
        </w:rPr>
      </w:pPr>
    </w:p>
    <w:p w14:paraId="0CFACB8D" w14:textId="77777777" w:rsidR="006F7193" w:rsidRPr="002A37D9" w:rsidRDefault="006F7193" w:rsidP="006F7193">
      <w:pPr>
        <w:rPr>
          <w:sz w:val="20"/>
          <w:lang w:val="fr-CH"/>
        </w:rPr>
      </w:pPr>
    </w:p>
    <w:p w14:paraId="0C5FA503" w14:textId="3ADA489F" w:rsidR="006F7193" w:rsidRPr="00423BC5" w:rsidRDefault="006F7193" w:rsidP="006F7193">
      <w:pPr>
        <w:jc w:val="center"/>
        <w:rPr>
          <w:sz w:val="20"/>
          <w:lang w:val="fr-CH"/>
        </w:rPr>
      </w:pPr>
      <w:r w:rsidRPr="00EA2A26">
        <w:rPr>
          <w:sz w:val="20"/>
          <w:lang w:val="en-GB"/>
        </w:rPr>
        <w:sym w:font="Symbol" w:char="F0E3"/>
      </w:r>
      <w:r w:rsidRPr="00423BC5">
        <w:rPr>
          <w:sz w:val="20"/>
          <w:lang w:val="fr-CH"/>
        </w:rPr>
        <w:t> UIT 20</w:t>
      </w:r>
      <w:r w:rsidR="00867BCC">
        <w:rPr>
          <w:sz w:val="20"/>
          <w:lang w:val="fr-CH"/>
        </w:rPr>
        <w:t>13</w:t>
      </w:r>
    </w:p>
    <w:p w14:paraId="704448AC" w14:textId="504E4851" w:rsidR="006F7193" w:rsidRPr="006F7193" w:rsidRDefault="006F7193" w:rsidP="006F7193">
      <w:pPr>
        <w:jc w:val="center"/>
        <w:rPr>
          <w:sz w:val="20"/>
          <w:lang w:val="en-GB"/>
        </w:rPr>
      </w:pPr>
      <w:r w:rsidRPr="006F7193">
        <w:rPr>
          <w:sz w:val="20"/>
          <w:lang w:val="en-GB"/>
        </w:rPr>
        <w:t xml:space="preserve">Esta </w:t>
      </w:r>
      <w:r w:rsidR="00821C7C">
        <w:rPr>
          <w:sz w:val="20"/>
          <w:lang w:val="en-GB"/>
        </w:rPr>
        <w:t>opinión</w:t>
      </w:r>
      <w:r w:rsidRPr="006F7193">
        <w:rPr>
          <w:sz w:val="20"/>
          <w:lang w:val="en-GB"/>
        </w:rPr>
        <w:t xml:space="preserve"> se volvió a publicar en 2024 para actualizar la portada. No se introdujeron otras modificaciones.</w:t>
      </w:r>
    </w:p>
    <w:p w14:paraId="4C4A0DD3" w14:textId="77777777" w:rsidR="006F7193" w:rsidRDefault="006F7193" w:rsidP="006F7193">
      <w:pPr>
        <w:rPr>
          <w:sz w:val="20"/>
        </w:rPr>
      </w:pPr>
      <w:r w:rsidRPr="00347EE0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bookmarkEnd w:id="1"/>
    <w:p w14:paraId="67335DD2" w14:textId="77777777" w:rsidR="006F7193" w:rsidRPr="00E361F3" w:rsidRDefault="006F7193">
      <w:pPr>
        <w:spacing w:before="80"/>
        <w:jc w:val="left"/>
        <w:rPr>
          <w:i/>
          <w:sz w:val="20"/>
          <w:lang w:val="es-CO"/>
        </w:rPr>
      </w:pPr>
    </w:p>
    <w:p w14:paraId="77650EC3" w14:textId="77777777" w:rsidR="00FB6D55" w:rsidRPr="00E361F3" w:rsidRDefault="00FB6D55">
      <w:pPr>
        <w:rPr>
          <w:lang w:val="es-CO"/>
        </w:rPr>
        <w:sectPr w:rsidR="00FB6D55" w:rsidRPr="00E361F3" w:rsidSect="008028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185435E8" w14:textId="44E6BE6B" w:rsidR="00867BCC" w:rsidRPr="00867BCC" w:rsidRDefault="00867BCC" w:rsidP="00867BCC">
      <w:pPr>
        <w:pStyle w:val="ResNo"/>
      </w:pPr>
      <w:bookmarkStart w:id="3" w:name="irecnos"/>
      <w:bookmarkEnd w:id="3"/>
      <w:r w:rsidRPr="00867BCC">
        <w:lastRenderedPageBreak/>
        <w:t xml:space="preserve">OPINIÓN </w:t>
      </w:r>
      <w:r w:rsidRPr="00867BCC">
        <w:rPr>
          <w:rStyle w:val="href"/>
        </w:rPr>
        <w:t>1</w:t>
      </w:r>
      <w:r w:rsidRPr="00867BCC">
        <w:t xml:space="preserve"> (Dub</w:t>
      </w:r>
      <w:r w:rsidR="00821C7C">
        <w:t>á</w:t>
      </w:r>
      <w:r w:rsidRPr="00867BCC">
        <w:t>i, 2012)</w:t>
      </w:r>
    </w:p>
    <w:p w14:paraId="71A4BEC0" w14:textId="77777777" w:rsidR="00867BCC" w:rsidRPr="00DE7ACD" w:rsidRDefault="00867BCC" w:rsidP="00ED4528">
      <w:pPr>
        <w:pStyle w:val="Opiniontitle"/>
        <w:rPr>
          <w:lang w:val="es-ES_tradnl"/>
        </w:rPr>
      </w:pPr>
      <w:r w:rsidRPr="00DE7ACD">
        <w:rPr>
          <w:lang w:val="es-ES_tradnl"/>
        </w:rPr>
        <w:t>Aplicación efectiva de la prima de externalidad de red</w:t>
      </w:r>
    </w:p>
    <w:p w14:paraId="5836B1CD" w14:textId="7ABCF9F1" w:rsidR="00867BCC" w:rsidRPr="00DE7ACD" w:rsidRDefault="00867BCC" w:rsidP="00ED4528">
      <w:pPr>
        <w:pStyle w:val="Opinionref"/>
        <w:rPr>
          <w:lang w:val="es-ES_tradnl"/>
        </w:rPr>
      </w:pPr>
      <w:r w:rsidRPr="00DE7ACD">
        <w:rPr>
          <w:lang w:val="es-ES_tradnl"/>
        </w:rPr>
        <w:t>(Dub</w:t>
      </w:r>
      <w:r w:rsidR="00821C7C">
        <w:rPr>
          <w:lang w:val="es-ES_tradnl"/>
        </w:rPr>
        <w:t>á</w:t>
      </w:r>
      <w:r w:rsidRPr="00DE7ACD">
        <w:rPr>
          <w:lang w:val="es-ES_tradnl"/>
        </w:rPr>
        <w:t>i, 2012)</w:t>
      </w:r>
    </w:p>
    <w:p w14:paraId="454FEE99" w14:textId="1E67427D" w:rsidR="00867BCC" w:rsidRPr="00DE7ACD" w:rsidRDefault="00867BCC" w:rsidP="00ED4528">
      <w:pPr>
        <w:pStyle w:val="Normalaftertitle0"/>
        <w:rPr>
          <w:lang w:val="es-ES_tradnl"/>
        </w:rPr>
      </w:pPr>
      <w:r w:rsidRPr="00DE7ACD">
        <w:rPr>
          <w:lang w:val="es-ES_tradnl"/>
        </w:rPr>
        <w:t>La Asamblea Mundial de Normalización de las Telecomunicaciones (Dub</w:t>
      </w:r>
      <w:r w:rsidR="00821C7C">
        <w:rPr>
          <w:lang w:val="es-ES_tradnl"/>
        </w:rPr>
        <w:t>á</w:t>
      </w:r>
      <w:r w:rsidRPr="00DE7ACD">
        <w:rPr>
          <w:lang w:val="es-ES_tradnl"/>
        </w:rPr>
        <w:t>i, 2012),</w:t>
      </w:r>
    </w:p>
    <w:p w14:paraId="2681375B" w14:textId="77777777" w:rsidR="00867BCC" w:rsidRPr="00DE7ACD" w:rsidRDefault="00867BCC" w:rsidP="00ED4528">
      <w:pPr>
        <w:pStyle w:val="Call"/>
      </w:pPr>
      <w:r w:rsidRPr="00DE7ACD">
        <w:t>considerando</w:t>
      </w:r>
    </w:p>
    <w:p w14:paraId="46355462" w14:textId="77777777" w:rsidR="00867BCC" w:rsidRPr="00DE7ACD" w:rsidRDefault="00867BCC" w:rsidP="00ED4528">
      <w:r w:rsidRPr="00DE7ACD">
        <w:rPr>
          <w:i/>
          <w:iCs/>
        </w:rPr>
        <w:t>a)</w:t>
      </w:r>
      <w:r w:rsidRPr="00DE7ACD">
        <w:tab/>
        <w:t>la Agenda de Túnez para la Sociedad de la Información (Túnez, 2005);</w:t>
      </w:r>
    </w:p>
    <w:p w14:paraId="06F30188" w14:textId="77777777" w:rsidR="00867BCC" w:rsidRPr="00DE7ACD" w:rsidRDefault="00867BCC" w:rsidP="00ED4528">
      <w:r w:rsidRPr="00DE7ACD">
        <w:rPr>
          <w:i/>
          <w:iCs/>
        </w:rPr>
        <w:t>b)</w:t>
      </w:r>
      <w:r w:rsidRPr="00DE7ACD">
        <w:tab/>
        <w:t>la Resolución 22 (Rev. Antalya, 2006) de la Conferencia de Plenipotenciarios sobre el reparto de los ingresos derivados de la prestación de servicios internacionales de telecomunicaciones;</w:t>
      </w:r>
    </w:p>
    <w:p w14:paraId="338E6E49" w14:textId="77777777" w:rsidR="00867BCC" w:rsidRPr="00DE7ACD" w:rsidRDefault="00867BCC" w:rsidP="00ED4528">
      <w:r w:rsidRPr="00DE7ACD">
        <w:rPr>
          <w:i/>
          <w:iCs/>
        </w:rPr>
        <w:t>c)</w:t>
      </w:r>
      <w:r w:rsidRPr="00DE7ACD">
        <w:tab/>
        <w:t>la aprobación por la Asamblea Mundial de Normalización de las Telecomunicaciones (Johannesburgo, 2008) (AMNT-08) de la Recomendación UIT-T D.156 sobre externalidades de red,</w:t>
      </w:r>
    </w:p>
    <w:p w14:paraId="7A29C2FA" w14:textId="77777777" w:rsidR="00867BCC" w:rsidRPr="00DE7ACD" w:rsidRDefault="00867BCC" w:rsidP="00ED4528">
      <w:pPr>
        <w:pStyle w:val="Call"/>
      </w:pPr>
      <w:r w:rsidRPr="00DE7ACD">
        <w:t>observando</w:t>
      </w:r>
    </w:p>
    <w:p w14:paraId="2F29F692" w14:textId="77777777" w:rsidR="00867BCC" w:rsidRPr="00DE7ACD" w:rsidRDefault="00867BCC" w:rsidP="00ED4528">
      <w:r w:rsidRPr="00DE7ACD">
        <w:t xml:space="preserve">que algunos Estados Miembros expresaron reservas respecto de dicha Recomendación y solicitaron que se aportaran aclaraciones respecto de ciertas cuestiones y que se elaborara un modelo práctico para el cálculo del valor de la prima de externalidad de red, </w:t>
      </w:r>
    </w:p>
    <w:p w14:paraId="77E4FB5A" w14:textId="77777777" w:rsidR="00867BCC" w:rsidRPr="00DE7ACD" w:rsidRDefault="00867BCC" w:rsidP="00ED4528">
      <w:pPr>
        <w:pStyle w:val="Call"/>
      </w:pPr>
      <w:r w:rsidRPr="00DE7ACD">
        <w:t>considerando además</w:t>
      </w:r>
    </w:p>
    <w:p w14:paraId="268BB45E" w14:textId="77777777" w:rsidR="00867BCC" w:rsidRPr="00DE7ACD" w:rsidRDefault="00867BCC" w:rsidP="00ED4528">
      <w:r w:rsidRPr="00DE7ACD">
        <w:rPr>
          <w:i/>
          <w:iCs/>
        </w:rPr>
        <w:t>a)</w:t>
      </w:r>
      <w:r w:rsidRPr="00DE7ACD">
        <w:tab/>
        <w:t>la aprobación por la Comisión de Estudio 3 del Sector de Normalización de las Telecomunicaciones de la UIT (UIT-T) en mayo de 2010 del Anexo A a la Recomendación UIT</w:t>
      </w:r>
      <w:r w:rsidRPr="00DE7ACD">
        <w:noBreakHyphen/>
        <w:t>T D.156 sobre la aplicación práctica de la Recomendación UIT-T D.156, en el cual se aportan respuestas a las Cuestiones que se habían planteado;</w:t>
      </w:r>
    </w:p>
    <w:p w14:paraId="5893399D" w14:textId="77777777" w:rsidR="00867BCC" w:rsidRPr="00DE7ACD" w:rsidRDefault="00867BCC" w:rsidP="00ED4528">
      <w:r w:rsidRPr="00DE7ACD">
        <w:rPr>
          <w:i/>
          <w:iCs/>
        </w:rPr>
        <w:t>b)</w:t>
      </w:r>
      <w:r w:rsidRPr="00DE7ACD">
        <w:tab/>
        <w:t>la aprobación por la Comisión de Estudio 3 del UIT-T en septiembre de 2012 del Anexo B a la Recomendación UIT-T D.156 sobre el cálculo de la prima de externalidades de red, en el cual se propone un método práctico de cálculo de la prima de externalidad de red,</w:t>
      </w:r>
    </w:p>
    <w:p w14:paraId="2316101B" w14:textId="3BFF6372" w:rsidR="00867BCC" w:rsidRPr="00DE7ACD" w:rsidRDefault="00867BCC" w:rsidP="00ED4528">
      <w:pPr>
        <w:pStyle w:val="Call"/>
      </w:pPr>
      <w:r w:rsidRPr="00DE7ACD">
        <w:t>opina que</w:t>
      </w:r>
    </w:p>
    <w:p w14:paraId="2074AE02" w14:textId="77777777" w:rsidR="00867BCC" w:rsidRPr="00DE7ACD" w:rsidRDefault="00867BCC" w:rsidP="00ED4528">
      <w:r w:rsidRPr="00DE7ACD">
        <w:t>habida cuenta de los avances logrados hasta ahora en la Comisión de Estudio 3, los Estados Miembros interesados tal vez deseen examinar sus respectivas posiciones planteadas en la AMNT</w:t>
      </w:r>
      <w:r w:rsidRPr="00DE7ACD">
        <w:noBreakHyphen/>
        <w:t>08 y, posiblemente, retirar sus reservas con respecto a la Recomendación UIT-T D.156,</w:t>
      </w:r>
    </w:p>
    <w:p w14:paraId="3744402B" w14:textId="77777777" w:rsidR="00867BCC" w:rsidRPr="00DE7ACD" w:rsidRDefault="00867BCC" w:rsidP="00ED4528">
      <w:pPr>
        <w:pStyle w:val="Call"/>
      </w:pPr>
      <w:r w:rsidRPr="00DE7ACD">
        <w:t>invita a los Estados Miembros</w:t>
      </w:r>
    </w:p>
    <w:p w14:paraId="505E895D" w14:textId="77777777" w:rsidR="00867BCC" w:rsidRPr="00DE7ACD" w:rsidRDefault="00867BCC" w:rsidP="00ED4528">
      <w:r w:rsidRPr="00DE7ACD">
        <w:t>a adoptar todas las medidas necesarias para la aplicación efectiva de la Recomendación UIT</w:t>
      </w:r>
      <w:r w:rsidRPr="00DE7ACD">
        <w:noBreakHyphen/>
        <w:t>T D.156,</w:t>
      </w:r>
    </w:p>
    <w:p w14:paraId="55C88329" w14:textId="77777777" w:rsidR="00867BCC" w:rsidRPr="00DE7ACD" w:rsidRDefault="00867BCC" w:rsidP="00ED4528">
      <w:pPr>
        <w:pStyle w:val="Call"/>
      </w:pPr>
      <w:r w:rsidRPr="00DE7ACD">
        <w:t>invita al Consejo</w:t>
      </w:r>
    </w:p>
    <w:p w14:paraId="085C9596" w14:textId="77777777" w:rsidR="00867BCC" w:rsidRPr="00DE7ACD" w:rsidRDefault="00867BCC" w:rsidP="00ED4528">
      <w:r w:rsidRPr="00DE7ACD">
        <w:t>en su reunión de 2013 a remitir un Informe sobre esta cuestión a la Conferencia de Plenipotenciarios de 2014, de conformidad con lo dispuesto en la Resolución 22 (Rev. Antalya, 2006) de la Conferencia de Plenipotenciarios.</w:t>
      </w:r>
    </w:p>
    <w:p w14:paraId="62E35F3A" w14:textId="77777777" w:rsidR="00867BCC" w:rsidRDefault="00867BCC" w:rsidP="00867BCC"/>
    <w:p w14:paraId="47C915B4" w14:textId="77777777" w:rsidR="00867BCC" w:rsidRPr="00BC24C2" w:rsidRDefault="00867BCC" w:rsidP="00867BCC"/>
    <w:p w14:paraId="085267DF" w14:textId="77777777" w:rsidR="00867BCC" w:rsidRPr="00C87C51" w:rsidRDefault="00867BCC" w:rsidP="00867BCC"/>
    <w:p w14:paraId="3556CAF4" w14:textId="77777777" w:rsidR="00867BCC" w:rsidRPr="00E361F3" w:rsidRDefault="00867BCC" w:rsidP="00867BCC">
      <w:pPr>
        <w:rPr>
          <w:lang w:val="es-CO"/>
        </w:rPr>
      </w:pPr>
    </w:p>
    <w:sectPr w:rsidR="00867BCC" w:rsidRPr="00E361F3" w:rsidSect="00A922AD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762E" w14:textId="77777777" w:rsidR="006706C4" w:rsidRDefault="006706C4">
      <w:r>
        <w:separator/>
      </w:r>
    </w:p>
  </w:endnote>
  <w:endnote w:type="continuationSeparator" w:id="0">
    <w:p w14:paraId="7C8C9AA4" w14:textId="77777777" w:rsidR="006706C4" w:rsidRDefault="0067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B6BA" w14:textId="77777777" w:rsidR="00D66CC4" w:rsidRDefault="00D66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01D9" w14:textId="77777777" w:rsidR="00D66CC4" w:rsidRDefault="00D66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3B79" w14:textId="77777777" w:rsidR="00D66CC4" w:rsidRDefault="00D66C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9542" w14:textId="4BA9C267" w:rsidR="00877E7D" w:rsidRPr="00F6582B" w:rsidRDefault="00F6582B" w:rsidP="00F6582B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20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AMNT-20 – </w:t>
    </w:r>
    <w:r w:rsidRPr="00D66CC4">
      <w:rPr>
        <w:lang w:val="es-CO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A8739E">
      <w:rPr>
        <w:noProof/>
        <w:lang w:val="en-US"/>
      </w:rPr>
      <w:t>1</w:t>
    </w:r>
    <w:r>
      <w:fldChar w:fldCharType="end"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A398F" w14:textId="24994B6A" w:rsidR="00877E7D" w:rsidRPr="00F6582B" w:rsidRDefault="00F6582B" w:rsidP="00F6582B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</w:t>
    </w:r>
    <w:r w:rsidRPr="00D66CC4">
      <w:rPr>
        <w:lang w:val="es-CO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A8739E">
      <w:rPr>
        <w:noProof/>
        <w:lang w:val="en-US"/>
      </w:rPr>
      <w:t>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19</w:t>
    </w:r>
    <w:r w:rsidRPr="00B73379">
      <w:rPr>
        <w:b w:val="0"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90E" w14:textId="1F0D290F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AMNT-</w:t>
    </w:r>
    <w:r w:rsidR="00867BCC">
      <w:rPr>
        <w:lang w:val="en-US"/>
      </w:rPr>
      <w:t>12</w:t>
    </w:r>
    <w:r>
      <w:rPr>
        <w:lang w:val="en-US"/>
      </w:rPr>
      <w:t xml:space="preserve"> – </w:t>
    </w:r>
    <w:r w:rsidR="00867BCC">
      <w:rPr>
        <w:lang w:val="en-US"/>
      </w:rPr>
      <w:t>Opinión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A8739E">
      <w:rPr>
        <w:noProof/>
        <w:lang w:val="en-US"/>
      </w:rPr>
      <w:t>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2E1E" w14:textId="77777777" w:rsidR="006706C4" w:rsidRDefault="006706C4">
      <w:r>
        <w:t>____________________</w:t>
      </w:r>
    </w:p>
  </w:footnote>
  <w:footnote w:type="continuationSeparator" w:id="0">
    <w:p w14:paraId="231E8914" w14:textId="77777777" w:rsidR="006706C4" w:rsidRDefault="0067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4867" w14:textId="77777777" w:rsidR="006F7193" w:rsidRDefault="006F7193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0B5F" w14:textId="77777777" w:rsidR="006F7193" w:rsidRDefault="006F7193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77BF" w14:textId="77777777" w:rsidR="00D66CC4" w:rsidRDefault="00D66C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BB5F2" w14:textId="77777777" w:rsidR="00D66CC4" w:rsidRDefault="00D66C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4F3B" w14:textId="77777777" w:rsidR="00D66CC4" w:rsidRDefault="00D66C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C57A" w14:textId="77777777" w:rsidR="006D0F26" w:rsidRPr="00D075E1" w:rsidRDefault="006D0F26" w:rsidP="00D075E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7622767">
    <w:abstractNumId w:val="9"/>
  </w:num>
  <w:num w:numId="2" w16cid:durableId="1393650401">
    <w:abstractNumId w:val="7"/>
  </w:num>
  <w:num w:numId="3" w16cid:durableId="1172647567">
    <w:abstractNumId w:val="6"/>
  </w:num>
  <w:num w:numId="4" w16cid:durableId="1258446974">
    <w:abstractNumId w:val="5"/>
  </w:num>
  <w:num w:numId="5" w16cid:durableId="1202665970">
    <w:abstractNumId w:val="4"/>
  </w:num>
  <w:num w:numId="6" w16cid:durableId="178157799">
    <w:abstractNumId w:val="8"/>
  </w:num>
  <w:num w:numId="7" w16cid:durableId="787237357">
    <w:abstractNumId w:val="3"/>
  </w:num>
  <w:num w:numId="8" w16cid:durableId="934674741">
    <w:abstractNumId w:val="2"/>
  </w:num>
  <w:num w:numId="9" w16cid:durableId="756823715">
    <w:abstractNumId w:val="1"/>
  </w:num>
  <w:num w:numId="10" w16cid:durableId="184504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26442"/>
    <w:rsid w:val="00044B4D"/>
    <w:rsid w:val="00065BE4"/>
    <w:rsid w:val="00082EA6"/>
    <w:rsid w:val="00096419"/>
    <w:rsid w:val="000B08A1"/>
    <w:rsid w:val="000B14AC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4513F"/>
    <w:rsid w:val="0014682C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FC8"/>
    <w:rsid w:val="0021547F"/>
    <w:rsid w:val="00217CDB"/>
    <w:rsid w:val="00223031"/>
    <w:rsid w:val="00241D6F"/>
    <w:rsid w:val="00245661"/>
    <w:rsid w:val="002525F9"/>
    <w:rsid w:val="00253C8D"/>
    <w:rsid w:val="00256525"/>
    <w:rsid w:val="00256F54"/>
    <w:rsid w:val="0028582D"/>
    <w:rsid w:val="0029052C"/>
    <w:rsid w:val="00295585"/>
    <w:rsid w:val="002E1872"/>
    <w:rsid w:val="0031263B"/>
    <w:rsid w:val="00312766"/>
    <w:rsid w:val="00315C1E"/>
    <w:rsid w:val="003518D5"/>
    <w:rsid w:val="00362BD0"/>
    <w:rsid w:val="00372B66"/>
    <w:rsid w:val="00377687"/>
    <w:rsid w:val="00397E47"/>
    <w:rsid w:val="003C2D00"/>
    <w:rsid w:val="003E33A8"/>
    <w:rsid w:val="003F0680"/>
    <w:rsid w:val="00400600"/>
    <w:rsid w:val="004442F6"/>
    <w:rsid w:val="004533B9"/>
    <w:rsid w:val="00466E41"/>
    <w:rsid w:val="00470176"/>
    <w:rsid w:val="004F1EA7"/>
    <w:rsid w:val="005224F0"/>
    <w:rsid w:val="0052251F"/>
    <w:rsid w:val="005330B1"/>
    <w:rsid w:val="005428C5"/>
    <w:rsid w:val="005435AA"/>
    <w:rsid w:val="0055021E"/>
    <w:rsid w:val="00551012"/>
    <w:rsid w:val="00585ED1"/>
    <w:rsid w:val="005A4F08"/>
    <w:rsid w:val="006253EC"/>
    <w:rsid w:val="006349BE"/>
    <w:rsid w:val="00642735"/>
    <w:rsid w:val="00643BC7"/>
    <w:rsid w:val="00664F8D"/>
    <w:rsid w:val="006706C4"/>
    <w:rsid w:val="00671751"/>
    <w:rsid w:val="006A2304"/>
    <w:rsid w:val="006B0F3C"/>
    <w:rsid w:val="006C1E98"/>
    <w:rsid w:val="006C5ED6"/>
    <w:rsid w:val="006C62D4"/>
    <w:rsid w:val="006D0F26"/>
    <w:rsid w:val="006F5455"/>
    <w:rsid w:val="006F7193"/>
    <w:rsid w:val="007057EE"/>
    <w:rsid w:val="00712378"/>
    <w:rsid w:val="00743611"/>
    <w:rsid w:val="0079215F"/>
    <w:rsid w:val="007A0BE3"/>
    <w:rsid w:val="007A411D"/>
    <w:rsid w:val="007B0D90"/>
    <w:rsid w:val="007C64E7"/>
    <w:rsid w:val="007C7F35"/>
    <w:rsid w:val="007E7C15"/>
    <w:rsid w:val="008028AE"/>
    <w:rsid w:val="00812CE2"/>
    <w:rsid w:val="00821C7C"/>
    <w:rsid w:val="008222EF"/>
    <w:rsid w:val="00831A21"/>
    <w:rsid w:val="00841271"/>
    <w:rsid w:val="00862C3A"/>
    <w:rsid w:val="00867BCC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584B"/>
    <w:rsid w:val="00906FCA"/>
    <w:rsid w:val="00917AD8"/>
    <w:rsid w:val="009215A0"/>
    <w:rsid w:val="009242C6"/>
    <w:rsid w:val="009376DC"/>
    <w:rsid w:val="00946DF2"/>
    <w:rsid w:val="009560C3"/>
    <w:rsid w:val="009B4B48"/>
    <w:rsid w:val="009C06D6"/>
    <w:rsid w:val="009D569A"/>
    <w:rsid w:val="009D6746"/>
    <w:rsid w:val="009E0CE3"/>
    <w:rsid w:val="009E4ACC"/>
    <w:rsid w:val="009E7DD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8739E"/>
    <w:rsid w:val="00A922AD"/>
    <w:rsid w:val="00AD62D4"/>
    <w:rsid w:val="00AE1300"/>
    <w:rsid w:val="00B122C8"/>
    <w:rsid w:val="00B24C2D"/>
    <w:rsid w:val="00B31246"/>
    <w:rsid w:val="00B450BE"/>
    <w:rsid w:val="00B57627"/>
    <w:rsid w:val="00B75BAA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510C4"/>
    <w:rsid w:val="00C87C51"/>
    <w:rsid w:val="00C92632"/>
    <w:rsid w:val="00C97C18"/>
    <w:rsid w:val="00CC2761"/>
    <w:rsid w:val="00CD1B1B"/>
    <w:rsid w:val="00CE17EC"/>
    <w:rsid w:val="00CF15EA"/>
    <w:rsid w:val="00D075E1"/>
    <w:rsid w:val="00D13CDA"/>
    <w:rsid w:val="00D23B4C"/>
    <w:rsid w:val="00D460E6"/>
    <w:rsid w:val="00D5142C"/>
    <w:rsid w:val="00D5161F"/>
    <w:rsid w:val="00D66CC4"/>
    <w:rsid w:val="00D74EFE"/>
    <w:rsid w:val="00D9465C"/>
    <w:rsid w:val="00D962F2"/>
    <w:rsid w:val="00D976F2"/>
    <w:rsid w:val="00DB386E"/>
    <w:rsid w:val="00DB64E6"/>
    <w:rsid w:val="00DC4B81"/>
    <w:rsid w:val="00DD71D5"/>
    <w:rsid w:val="00DE4D43"/>
    <w:rsid w:val="00E14B9A"/>
    <w:rsid w:val="00E16169"/>
    <w:rsid w:val="00E22C65"/>
    <w:rsid w:val="00E26A91"/>
    <w:rsid w:val="00E361F3"/>
    <w:rsid w:val="00E461D8"/>
    <w:rsid w:val="00E5178C"/>
    <w:rsid w:val="00E654F0"/>
    <w:rsid w:val="00E72AD0"/>
    <w:rsid w:val="00EA07C8"/>
    <w:rsid w:val="00ED48FA"/>
    <w:rsid w:val="00EE233D"/>
    <w:rsid w:val="00F40D91"/>
    <w:rsid w:val="00F46759"/>
    <w:rsid w:val="00F517A1"/>
    <w:rsid w:val="00F56432"/>
    <w:rsid w:val="00F64291"/>
    <w:rsid w:val="00F6582B"/>
    <w:rsid w:val="00F72501"/>
    <w:rsid w:val="00F816C3"/>
    <w:rsid w:val="00F968E6"/>
    <w:rsid w:val="00FB6D55"/>
    <w:rsid w:val="00FC2E10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9D569A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qFormat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9D569A"/>
    <w:rPr>
      <w:rFonts w:ascii="Times New Roman" w:hAnsi="Times New Roman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  <w:style w:type="paragraph" w:customStyle="1" w:styleId="Reasons">
    <w:name w:val="Reasons"/>
    <w:basedOn w:val="Normal"/>
    <w:qFormat/>
    <w:rsid w:val="006B0F3C"/>
    <w:pPr>
      <w:jc w:val="left"/>
    </w:pPr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6F7193"/>
    <w:pPr>
      <w:spacing w:before="160" w:line="280" w:lineRule="exact"/>
    </w:pPr>
    <w:rPr>
      <w:rFonts w:ascii="Arial" w:hAnsi="Arial" w:cs="Arial"/>
      <w:b/>
      <w:bCs/>
      <w:sz w:val="36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F7193"/>
    <w:rPr>
      <w:rFonts w:ascii="Arial" w:hAnsi="Arial" w:cs="Arial"/>
      <w:b/>
      <w:bCs/>
      <w:sz w:val="36"/>
      <w:lang w:val="fr-FR" w:eastAsia="en-US"/>
    </w:rPr>
  </w:style>
  <w:style w:type="paragraph" w:customStyle="1" w:styleId="Opinionref">
    <w:name w:val="Opinion_ref"/>
    <w:basedOn w:val="Normal"/>
    <w:next w:val="Normalaftertitle0"/>
    <w:qFormat/>
    <w:rsid w:val="00867B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67B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TSB%20PUB\T-REC-FINAL-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T-REC-FINAL-S.dotm</Template>
  <TotalTime>87</TotalTime>
  <Pages>4</Pages>
  <Words>581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1 – Reglamento Interno del Sector de Normalización de las Telecomunicaciones de la UIT</vt:lpstr>
    </vt:vector>
  </TitlesOfParts>
  <Company>International Telecommunication Union (ITU)</Company>
  <LinksUpToDate>false</LinksUpToDate>
  <CharactersWithSpaces>3780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Opinión 1 – Aplicación efectiva de la prima de externalidad de red</dc:title>
  <dc:subject>ASAMBLEA MUNDIAL DE NORMALIZACIÓN DE LAS TELECOMUNICACIONES</dc:subject>
  <dc:creator>ITU-T</dc:creator>
  <cp:keywords/>
  <dc:description/>
  <cp:lastModifiedBy>Saez Grau, Ricardo</cp:lastModifiedBy>
  <cp:revision>34</cp:revision>
  <cp:lastPrinted>2024-12-02T07:43:00Z</cp:lastPrinted>
  <dcterms:created xsi:type="dcterms:W3CDTF">2022-04-19T06:55:00Z</dcterms:created>
  <dcterms:modified xsi:type="dcterms:W3CDTF">2024-12-02T07:43:00Z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