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Y="506"/>
        <w:tblOverlap w:val="never"/>
        <w:tblW w:w="10740" w:type="dxa"/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5670"/>
      </w:tblGrid>
      <w:tr w:rsidR="00EA2A26" w:rsidRPr="0033681A" w14:paraId="7078E33C" w14:textId="77777777" w:rsidTr="00367A2B">
        <w:trPr>
          <w:trHeight w:hRule="exact" w:val="426"/>
        </w:trPr>
        <w:tc>
          <w:tcPr>
            <w:tcW w:w="5070" w:type="dxa"/>
            <w:gridSpan w:val="2"/>
          </w:tcPr>
          <w:p w14:paraId="1C1FE4AD" w14:textId="76362E0F" w:rsidR="00EA2A26" w:rsidRPr="00C65373" w:rsidRDefault="00EA2A26" w:rsidP="00A3085D">
            <w:pPr>
              <w:spacing w:before="60"/>
              <w:rPr>
                <w:rFonts w:ascii="Arial" w:eastAsia="SimHei" w:hAnsi="Arial" w:cs="Arial"/>
                <w:noProof/>
                <w:szCs w:val="24"/>
                <w:lang w:eastAsia="zh-CN"/>
              </w:rPr>
            </w:pPr>
            <w:bookmarkStart w:id="0" w:name="c2tope"/>
            <w:bookmarkEnd w:id="0"/>
            <w:r w:rsidRPr="00C65373">
              <w:rPr>
                <w:rFonts w:ascii="Arial" w:eastAsia="SimHei" w:hAnsi="Arial" w:cs="Arial"/>
                <w:b/>
                <w:color w:val="009CD6"/>
                <w:spacing w:val="-4"/>
                <w:sz w:val="32"/>
                <w:szCs w:val="32"/>
              </w:rPr>
              <w:t>ITU</w:t>
            </w:r>
            <w:r w:rsidR="004D6FF6" w:rsidRPr="00C65373">
              <w:rPr>
                <w:rFonts w:ascii="Arial" w:eastAsia="SimHei" w:hAnsi="Arial" w:cs="Arial"/>
                <w:b/>
                <w:color w:val="292829"/>
                <w:spacing w:val="-4"/>
                <w:sz w:val="32"/>
                <w:szCs w:val="32"/>
                <w:lang w:eastAsia="zh-CN"/>
              </w:rPr>
              <w:t>出版物</w:t>
            </w:r>
          </w:p>
        </w:tc>
        <w:tc>
          <w:tcPr>
            <w:tcW w:w="5670" w:type="dxa"/>
          </w:tcPr>
          <w:p w14:paraId="0E9475D3" w14:textId="2CB736BA" w:rsidR="00EA2A26" w:rsidRPr="00C65373" w:rsidRDefault="00370DE5" w:rsidP="00A3085D">
            <w:pPr>
              <w:spacing w:before="60"/>
              <w:jc w:val="right"/>
              <w:rPr>
                <w:rFonts w:ascii="Arial" w:eastAsia="SimHei" w:hAnsi="Arial" w:cs="Arial"/>
                <w:szCs w:val="24"/>
              </w:rPr>
            </w:pPr>
            <w:proofErr w:type="spellStart"/>
            <w:r w:rsidRPr="00C65373">
              <w:rPr>
                <w:rFonts w:ascii="Arial" w:eastAsia="SimHei" w:hAnsi="Arial" w:cs="Arial"/>
                <w:b/>
                <w:spacing w:val="-4"/>
                <w:szCs w:val="24"/>
              </w:rPr>
              <w:t>国际电信联盟</w:t>
            </w:r>
            <w:proofErr w:type="spellEnd"/>
          </w:p>
        </w:tc>
      </w:tr>
      <w:tr w:rsidR="00EA2A26" w:rsidRPr="0033681A" w14:paraId="42C85EB6" w14:textId="77777777" w:rsidTr="00367A2B">
        <w:trPr>
          <w:trHeight w:hRule="exact" w:val="992"/>
        </w:trPr>
        <w:tc>
          <w:tcPr>
            <w:tcW w:w="5070" w:type="dxa"/>
            <w:gridSpan w:val="2"/>
          </w:tcPr>
          <w:p w14:paraId="68B26EDA" w14:textId="2C397D83" w:rsidR="00EA2A26" w:rsidRPr="00C65373" w:rsidRDefault="00CA5F9A" w:rsidP="00367A2B">
            <w:pPr>
              <w:spacing w:before="0"/>
              <w:rPr>
                <w:rFonts w:ascii="Arial" w:eastAsia="SimHei" w:hAnsi="Arial" w:cs="Arial"/>
                <w:szCs w:val="24"/>
              </w:rPr>
            </w:pPr>
            <w:r>
              <w:rPr>
                <w:rFonts w:ascii="Arial" w:eastAsia="SimHei" w:hAnsi="Arial" w:cs="Arial" w:hint="eastAsia"/>
                <w:szCs w:val="24"/>
                <w:lang w:eastAsia="zh-CN"/>
              </w:rPr>
              <w:t>意见</w:t>
            </w:r>
          </w:p>
        </w:tc>
        <w:tc>
          <w:tcPr>
            <w:tcW w:w="5670" w:type="dxa"/>
          </w:tcPr>
          <w:p w14:paraId="20539D5B" w14:textId="2850E370" w:rsidR="00EA2A26" w:rsidRPr="00C65373" w:rsidRDefault="000843D3" w:rsidP="00367A2B">
            <w:pPr>
              <w:spacing w:before="0"/>
              <w:jc w:val="right"/>
              <w:rPr>
                <w:rFonts w:ascii="Arial" w:eastAsia="SimHei" w:hAnsi="Arial" w:cs="Arial"/>
                <w:szCs w:val="24"/>
              </w:rPr>
            </w:pPr>
            <w:proofErr w:type="spellStart"/>
            <w:r w:rsidRPr="00C65373">
              <w:rPr>
                <w:rFonts w:ascii="Arial" w:eastAsia="SimHei" w:hAnsi="Arial" w:cs="Arial"/>
                <w:szCs w:val="24"/>
              </w:rPr>
              <w:t>电信标准化部门</w:t>
            </w:r>
            <w:proofErr w:type="spellEnd"/>
          </w:p>
        </w:tc>
      </w:tr>
      <w:tr w:rsidR="00EA2A26" w:rsidRPr="0033681A" w14:paraId="6AE027A4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709"/>
        </w:trPr>
        <w:tc>
          <w:tcPr>
            <w:tcW w:w="9923" w:type="dxa"/>
            <w:gridSpan w:val="2"/>
          </w:tcPr>
          <w:p w14:paraId="1BE63DDE" w14:textId="77777777" w:rsidR="00EA2A26" w:rsidRPr="002825B1" w:rsidRDefault="00EA2A26" w:rsidP="00367A2B">
            <w:pPr>
              <w:pStyle w:val="BodyText"/>
              <w:spacing w:before="440"/>
              <w:rPr>
                <w:rFonts w:ascii="SimHei" w:eastAsia="SimHei" w:hAnsi="SimHei"/>
                <w:b w:val="0"/>
                <w:bCs w:val="0"/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613D5C" w14:paraId="09112B91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129"/>
        </w:trPr>
        <w:tc>
          <w:tcPr>
            <w:tcW w:w="9923" w:type="dxa"/>
            <w:gridSpan w:val="2"/>
          </w:tcPr>
          <w:p w14:paraId="345DAF0C" w14:textId="77777777" w:rsidR="00EA2A26" w:rsidRPr="002825B1" w:rsidRDefault="00EA2A26" w:rsidP="00367A2B">
            <w:pPr>
              <w:pStyle w:val="BodyText"/>
              <w:spacing w:before="120" w:after="240"/>
              <w:rPr>
                <w:rFonts w:ascii="SimHei" w:eastAsia="SimHei" w:hAnsi="SimHei"/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370DE5" w14:paraId="594C2C35" w14:textId="77777777" w:rsidTr="00367A2B">
        <w:trPr>
          <w:trHeight w:val="80"/>
        </w:trPr>
        <w:tc>
          <w:tcPr>
            <w:tcW w:w="817" w:type="dxa"/>
          </w:tcPr>
          <w:p w14:paraId="72C102BC" w14:textId="5507C8BE" w:rsidR="00EA2A26" w:rsidRPr="002825B1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9923" w:type="dxa"/>
            <w:gridSpan w:val="2"/>
            <w:tcBorders>
              <w:bottom w:val="single" w:sz="8" w:space="0" w:color="auto"/>
            </w:tcBorders>
          </w:tcPr>
          <w:p w14:paraId="46F1491F" w14:textId="2600B822" w:rsidR="00EA2A26" w:rsidRPr="002825B1" w:rsidRDefault="008C46CF" w:rsidP="00EA2A26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djustRightInd/>
              <w:spacing w:before="276" w:line="240" w:lineRule="auto"/>
              <w:jc w:val="left"/>
              <w:textAlignment w:val="auto"/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</w:pPr>
            <w:r w:rsidRPr="002825B1">
              <w:rPr>
                <w:rFonts w:ascii="Arial" w:eastAsia="SimHei" w:hAnsi="Arial" w:cs="Arial"/>
                <w:sz w:val="36"/>
                <w:szCs w:val="36"/>
                <w:lang w:val="en-US" w:eastAsia="zh-CN"/>
              </w:rPr>
              <w:t>世界电信标准化全会</w:t>
            </w:r>
            <w:r w:rsidR="00EA2A26" w:rsidRPr="002825B1">
              <w:rPr>
                <w:rFonts w:ascii="Arial" w:eastAsia="SimHei" w:hAnsi="Arial" w:cs="Arial"/>
                <w:sz w:val="36"/>
                <w:szCs w:val="36"/>
                <w:lang w:val="en-US" w:eastAsia="zh-CN"/>
              </w:rPr>
              <w:br/>
            </w:r>
            <w:r w:rsidR="00FD149C" w:rsidRPr="00FD149C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迪拜，</w:t>
            </w:r>
            <w:r w:rsidR="00FD149C" w:rsidRPr="00FD149C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2012</w:t>
            </w:r>
            <w:r w:rsidR="00FD149C" w:rsidRPr="00FD149C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年</w:t>
            </w:r>
            <w:r w:rsidR="00FD149C" w:rsidRPr="00FD149C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11</w:t>
            </w:r>
            <w:r w:rsidR="00FD149C" w:rsidRPr="00FD149C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月</w:t>
            </w:r>
            <w:r w:rsidR="00FD149C" w:rsidRPr="00FD149C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20-29</w:t>
            </w:r>
            <w:r w:rsidR="00FD149C" w:rsidRPr="00FD149C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日</w:t>
            </w:r>
          </w:p>
          <w:p w14:paraId="318F1603" w14:textId="77777777" w:rsidR="00EA2A26" w:rsidRPr="002825B1" w:rsidRDefault="00EA2A26" w:rsidP="00367A2B">
            <w:pPr>
              <w:rPr>
                <w:rFonts w:ascii="Arial" w:eastAsia="SimHei" w:hAnsi="Arial" w:cs="Arial"/>
                <w:lang w:val="en-GB" w:eastAsia="zh-CN"/>
              </w:rPr>
            </w:pPr>
          </w:p>
        </w:tc>
      </w:tr>
      <w:tr w:rsidR="00EA2A26" w:rsidRPr="0033681A" w14:paraId="40EA4FB7" w14:textId="77777777" w:rsidTr="00367A2B">
        <w:trPr>
          <w:trHeight w:val="743"/>
        </w:trPr>
        <w:tc>
          <w:tcPr>
            <w:tcW w:w="817" w:type="dxa"/>
          </w:tcPr>
          <w:p w14:paraId="5A48D328" w14:textId="77777777" w:rsidR="00EA2A26" w:rsidRPr="002825B1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48"/>
                <w:szCs w:val="48"/>
                <w:lang w:val="en-GB" w:eastAsia="zh-CN"/>
              </w:rPr>
            </w:pPr>
          </w:p>
        </w:tc>
        <w:tc>
          <w:tcPr>
            <w:tcW w:w="9923" w:type="dxa"/>
            <w:gridSpan w:val="2"/>
            <w:tcBorders>
              <w:top w:val="single" w:sz="8" w:space="0" w:color="auto"/>
            </w:tcBorders>
          </w:tcPr>
          <w:p w14:paraId="36D98092" w14:textId="4A816AB8" w:rsidR="00EA2A26" w:rsidRPr="002825B1" w:rsidRDefault="00CA5F9A" w:rsidP="00843454">
            <w:pPr>
              <w:pStyle w:val="BodyText"/>
              <w:spacing w:before="440" w:line="240" w:lineRule="auto"/>
              <w:jc w:val="left"/>
              <w:rPr>
                <w:rFonts w:eastAsia="SimHei"/>
                <w:spacing w:val="-6"/>
                <w:sz w:val="44"/>
                <w:szCs w:val="44"/>
                <w:lang w:val="en-GB" w:eastAsia="zh-CN"/>
              </w:rPr>
            </w:pPr>
            <w:r>
              <w:rPr>
                <w:rFonts w:eastAsia="SimHei" w:hint="eastAsia"/>
                <w:spacing w:val="-6"/>
                <w:sz w:val="44"/>
                <w:szCs w:val="44"/>
                <w:lang w:val="en-GB" w:eastAsia="zh-CN"/>
              </w:rPr>
              <w:t>意见</w:t>
            </w:r>
            <w:r>
              <w:rPr>
                <w:rFonts w:eastAsia="SimHei" w:hint="eastAsia"/>
                <w:spacing w:val="-6"/>
                <w:sz w:val="44"/>
                <w:szCs w:val="44"/>
                <w:lang w:val="en-GB" w:eastAsia="zh-CN"/>
              </w:rPr>
              <w:t xml:space="preserve">1 </w:t>
            </w:r>
            <w:r w:rsidR="00845E8E"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>–</w:t>
            </w:r>
            <w:r w:rsidR="00AB4404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 xml:space="preserve"> </w:t>
            </w:r>
            <w:r w:rsidR="00FD149C" w:rsidRPr="00FD149C">
              <w:rPr>
                <w:rFonts w:eastAsia="SimHei" w:hint="eastAsia"/>
                <w:spacing w:val="-6"/>
                <w:sz w:val="44"/>
                <w:szCs w:val="44"/>
                <w:lang w:val="en-GB" w:eastAsia="zh-CN"/>
              </w:rPr>
              <w:t>网络外部性溢价的实际应用</w:t>
            </w:r>
          </w:p>
          <w:p w14:paraId="51262F1D" w14:textId="77777777" w:rsidR="00EA2A26" w:rsidRPr="002825B1" w:rsidRDefault="00EA2A26" w:rsidP="00367A2B">
            <w:pPr>
              <w:rPr>
                <w:rFonts w:ascii="Arial" w:eastAsia="SimHei" w:hAnsi="Arial" w:cs="Arial"/>
                <w:lang w:eastAsia="zh-CN"/>
              </w:rPr>
            </w:pPr>
          </w:p>
        </w:tc>
      </w:tr>
    </w:tbl>
    <w:p w14:paraId="7800F3B2" w14:textId="77777777" w:rsidR="00EA2A26" w:rsidRPr="00A14194" w:rsidRDefault="00EA2A26" w:rsidP="00EA2A2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sz w:val="18"/>
          <w:lang w:eastAsia="zh-CN"/>
        </w:rPr>
      </w:pPr>
      <w:r w:rsidRPr="0033681A">
        <w:rPr>
          <w:rFonts w:ascii="Arial" w:eastAsia="Avenir Next W1G Medium" w:hAnsi="Arial" w:cs="Arial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C388CF" wp14:editId="2C642E50">
                <wp:simplePos x="0" y="0"/>
                <wp:positionH relativeFrom="page">
                  <wp:posOffset>6350</wp:posOffset>
                </wp:positionH>
                <wp:positionV relativeFrom="page">
                  <wp:posOffset>908685</wp:posOffset>
                </wp:positionV>
                <wp:extent cx="7772400" cy="22987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29870"/>
                          <a:chOff x="0" y="1784"/>
                          <a:chExt cx="11906" cy="362"/>
                        </a:xfrm>
                      </wpg:grpSpPr>
                      <wps:wsp>
                        <wps:cNvPr id="3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1817"/>
                            <a:ext cx="11906" cy="329"/>
                          </a:xfrm>
                          <a:prstGeom prst="rect">
                            <a:avLst/>
                          </a:prstGeom>
                          <a:solidFill>
                            <a:srgbClr val="9D17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"/>
                        <wps:cNvSpPr>
                          <a:spLocks/>
                        </wps:cNvSpPr>
                        <wps:spPr bwMode="auto">
                          <a:xfrm>
                            <a:off x="1109" y="1784"/>
                            <a:ext cx="627" cy="314"/>
                          </a:xfrm>
                          <a:custGeom>
                            <a:avLst/>
                            <a:gdLst>
                              <a:gd name="T0" fmla="+- 0 1736 1109"/>
                              <a:gd name="T1" fmla="*/ T0 w 627"/>
                              <a:gd name="T2" fmla="+- 0 1784 1784"/>
                              <a:gd name="T3" fmla="*/ 1784 h 314"/>
                              <a:gd name="T4" fmla="+- 0 1109 1109"/>
                              <a:gd name="T5" fmla="*/ T4 w 627"/>
                              <a:gd name="T6" fmla="+- 0 1784 1784"/>
                              <a:gd name="T7" fmla="*/ 1784 h 314"/>
                              <a:gd name="T8" fmla="+- 0 1423 1109"/>
                              <a:gd name="T9" fmla="*/ T8 w 627"/>
                              <a:gd name="T10" fmla="+- 0 2097 1784"/>
                              <a:gd name="T11" fmla="*/ 2097 h 314"/>
                              <a:gd name="T12" fmla="+- 0 1736 1109"/>
                              <a:gd name="T13" fmla="*/ T12 w 627"/>
                              <a:gd name="T14" fmla="+- 0 1784 1784"/>
                              <a:gd name="T15" fmla="*/ 1784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7" h="314">
                                <a:moveTo>
                                  <a:pt x="627" y="0"/>
                                </a:moveTo>
                                <a:lnTo>
                                  <a:pt x="0" y="0"/>
                                </a:lnTo>
                                <a:lnTo>
                                  <a:pt x="314" y="313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CC4C1" id="Group 30" o:spid="_x0000_s1026" style="position:absolute;margin-left:.5pt;margin-top:71.55pt;width:612pt;height:18.1pt;z-index:-251656192;mso-position-horizontal-relative:page;mso-position-vertical-relative:page" coordorigin=",1784" coordsize="1190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">
                <v:rect id="docshape4" o:spid="_x0000_s1027" style="position:absolute;top:1817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" fillcolor="#9d170a" stroked="f"/>
                <v:shape id="docshape5" o:spid="_x0000_s1028" style="position:absolute;left:1109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" path="m627,l,,314,313,627,xe" stroked="f">
                  <v:path arrowok="t" o:connecttype="custom" o:connectlocs="627,1784;0,1784;314,2097;627,1784" o:connectangles="0,0,0,0"/>
                </v:shape>
                <w10:wrap anchorx="page" anchory="page"/>
              </v:group>
            </w:pict>
          </mc:Fallback>
        </mc:AlternateContent>
      </w:r>
      <w:r w:rsidRPr="0033681A">
        <w:rPr>
          <w:noProof/>
        </w:rPr>
        <w:drawing>
          <wp:anchor distT="0" distB="0" distL="0" distR="0" simplePos="0" relativeHeight="251659264" behindDoc="1" locked="0" layoutInCell="1" allowOverlap="1" wp14:anchorId="1A5186FC" wp14:editId="44B435CE">
            <wp:simplePos x="0" y="0"/>
            <wp:positionH relativeFrom="page">
              <wp:posOffset>6355080</wp:posOffset>
            </wp:positionH>
            <wp:positionV relativeFrom="page">
              <wp:posOffset>9591675</wp:posOffset>
            </wp:positionV>
            <wp:extent cx="737870" cy="813435"/>
            <wp:effectExtent l="0" t="0" r="0" b="0"/>
            <wp:wrapNone/>
            <wp:docPr id="1" name="image1.png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1FA29" w14:textId="77777777" w:rsidR="00EA2A26" w:rsidRPr="0033681A" w:rsidRDefault="00EA2A26" w:rsidP="00EA2A26">
      <w:pPr>
        <w:jc w:val="left"/>
        <w:rPr>
          <w:lang w:eastAsia="zh-CN"/>
        </w:rPr>
        <w:sectPr w:rsidR="00EA2A26" w:rsidRPr="0033681A" w:rsidSect="00EA2A26">
          <w:headerReference w:type="even" r:id="rId9"/>
          <w:headerReference w:type="default" r:id="rId10"/>
          <w:type w:val="oddPage"/>
          <w:pgSz w:w="11907" w:h="16840" w:code="9"/>
          <w:pgMar w:top="1038" w:right="601" w:bottom="1860" w:left="618" w:header="567" w:footer="284" w:gutter="0"/>
          <w:pgNumType w:start="1"/>
          <w:cols w:space="720"/>
          <w:titlePg/>
          <w:docGrid w:linePitch="326"/>
        </w:sectPr>
      </w:pPr>
    </w:p>
    <w:p w14:paraId="640B1B4E" w14:textId="70C943D7" w:rsidR="000E4393" w:rsidRPr="00346698" w:rsidRDefault="00F07EEC" w:rsidP="00141741">
      <w:pPr>
        <w:spacing w:before="480" w:line="240" w:lineRule="auto"/>
        <w:jc w:val="center"/>
        <w:rPr>
          <w:szCs w:val="24"/>
          <w:lang w:val="en-US" w:eastAsia="zh-CN"/>
        </w:rPr>
      </w:pPr>
      <w:bookmarkStart w:id="1" w:name="irecnoe"/>
      <w:bookmarkEnd w:id="1"/>
      <w:r w:rsidRPr="00346698">
        <w:rPr>
          <w:rFonts w:hint="eastAsia"/>
          <w:szCs w:val="24"/>
          <w:lang w:val="en-US" w:eastAsia="zh-CN"/>
        </w:rPr>
        <w:lastRenderedPageBreak/>
        <w:t>前言</w:t>
      </w:r>
    </w:p>
    <w:p w14:paraId="28286A50" w14:textId="77777777" w:rsidR="00141741" w:rsidRPr="00346698" w:rsidRDefault="00141741" w:rsidP="00141741">
      <w:pPr>
        <w:pStyle w:val="Normal2"/>
        <w:spacing w:before="360"/>
        <w:rPr>
          <w:szCs w:val="24"/>
          <w:lang w:eastAsia="zh-CN"/>
        </w:rPr>
      </w:pPr>
      <w:r w:rsidRPr="00346698">
        <w:rPr>
          <w:rFonts w:hint="eastAsia"/>
          <w:szCs w:val="24"/>
          <w:lang w:eastAsia="zh-CN"/>
        </w:rPr>
        <w:t>国际电信联盟（</w:t>
      </w:r>
      <w:r w:rsidRPr="00346698">
        <w:rPr>
          <w:rFonts w:hint="eastAsia"/>
          <w:szCs w:val="24"/>
          <w:lang w:eastAsia="zh-CN"/>
        </w:rPr>
        <w:t>ITU</w:t>
      </w:r>
      <w:r w:rsidRPr="00346698">
        <w:rPr>
          <w:rFonts w:hint="eastAsia"/>
          <w:szCs w:val="24"/>
          <w:lang w:eastAsia="zh-CN"/>
        </w:rPr>
        <w:t>）是从事电信领域工作的联合国专门机构。</w:t>
      </w:r>
      <w:r w:rsidRPr="00346698">
        <w:rPr>
          <w:rFonts w:hint="eastAsia"/>
          <w:szCs w:val="24"/>
          <w:lang w:eastAsia="zh-CN"/>
        </w:rPr>
        <w:t>ITU-T</w:t>
      </w:r>
      <w:r w:rsidRPr="00346698">
        <w:rPr>
          <w:rFonts w:hint="eastAsia"/>
          <w:szCs w:val="24"/>
          <w:lang w:eastAsia="zh-CN"/>
        </w:rPr>
        <w:t>（国际电信联盟电信标准化部门）是国际电联的常设机构，负责研究技术、操作和资费问题，并发布有关上述内容的建议书，以便在世界范围内实现电信标准化。</w:t>
      </w:r>
    </w:p>
    <w:p w14:paraId="31834772" w14:textId="77777777" w:rsidR="00141741" w:rsidRPr="00346698" w:rsidRDefault="00141741" w:rsidP="00141741">
      <w:pPr>
        <w:pStyle w:val="Normal2"/>
        <w:rPr>
          <w:szCs w:val="24"/>
          <w:lang w:eastAsia="zh-CN"/>
        </w:rPr>
      </w:pPr>
      <w:r w:rsidRPr="00346698">
        <w:rPr>
          <w:rFonts w:hint="eastAsia"/>
          <w:szCs w:val="24"/>
          <w:lang w:eastAsia="zh-CN"/>
        </w:rPr>
        <w:t>每四年一届的世界电信标准化全会（</w:t>
      </w:r>
      <w:r w:rsidRPr="00346698">
        <w:rPr>
          <w:rFonts w:hint="eastAsia"/>
          <w:szCs w:val="24"/>
          <w:lang w:eastAsia="zh-CN"/>
        </w:rPr>
        <w:t>WTSA</w:t>
      </w:r>
      <w:r w:rsidRPr="00346698">
        <w:rPr>
          <w:rFonts w:hint="eastAsia"/>
          <w:szCs w:val="24"/>
          <w:lang w:eastAsia="zh-CN"/>
        </w:rPr>
        <w:t>）确定</w:t>
      </w:r>
      <w:r w:rsidRPr="00346698">
        <w:rPr>
          <w:rFonts w:hint="eastAsia"/>
          <w:szCs w:val="24"/>
          <w:lang w:eastAsia="zh-CN"/>
        </w:rPr>
        <w:t>ITU-T</w:t>
      </w:r>
      <w:r w:rsidRPr="00346698">
        <w:rPr>
          <w:rFonts w:hint="eastAsia"/>
          <w:szCs w:val="24"/>
          <w:lang w:eastAsia="zh-CN"/>
        </w:rPr>
        <w:t>各研究组的课题，再由各研究组制定有关这些课题的建议书。</w:t>
      </w:r>
    </w:p>
    <w:p w14:paraId="1458A5BA" w14:textId="77777777" w:rsidR="00141741" w:rsidRPr="00346698" w:rsidRDefault="00141741" w:rsidP="00141741">
      <w:pPr>
        <w:pStyle w:val="Normal2"/>
        <w:rPr>
          <w:szCs w:val="24"/>
          <w:lang w:eastAsia="zh-CN"/>
        </w:rPr>
      </w:pPr>
      <w:r w:rsidRPr="00346698">
        <w:rPr>
          <w:rFonts w:hint="eastAsia"/>
          <w:szCs w:val="24"/>
          <w:lang w:eastAsia="zh-CN"/>
        </w:rPr>
        <w:t>世界电信标准化全会第</w:t>
      </w:r>
      <w:r w:rsidRPr="00346698">
        <w:rPr>
          <w:rFonts w:hint="eastAsia"/>
          <w:szCs w:val="24"/>
          <w:lang w:eastAsia="zh-CN"/>
        </w:rPr>
        <w:t>1</w:t>
      </w:r>
      <w:r w:rsidRPr="00346698">
        <w:rPr>
          <w:rFonts w:hint="eastAsia"/>
          <w:szCs w:val="24"/>
          <w:lang w:eastAsia="zh-CN"/>
        </w:rPr>
        <w:t>号决议规定了批准</w:t>
      </w:r>
      <w:r w:rsidRPr="00346698">
        <w:rPr>
          <w:szCs w:val="24"/>
          <w:lang w:val="en-US" w:eastAsia="zh-CN"/>
        </w:rPr>
        <w:t>ITU-T</w:t>
      </w:r>
      <w:r w:rsidRPr="00346698">
        <w:rPr>
          <w:rFonts w:hint="eastAsia"/>
          <w:szCs w:val="24"/>
          <w:lang w:eastAsia="zh-CN"/>
        </w:rPr>
        <w:t>建议书所须遵循的程序。</w:t>
      </w:r>
    </w:p>
    <w:p w14:paraId="0422050D" w14:textId="27DA84B9" w:rsidR="00141741" w:rsidRPr="00F81B8E" w:rsidRDefault="00141741" w:rsidP="00E32EEC">
      <w:pPr>
        <w:pStyle w:val="Normal2"/>
        <w:rPr>
          <w:sz w:val="20"/>
          <w:lang w:val="en-GB" w:eastAsia="zh-CN"/>
        </w:rPr>
      </w:pPr>
      <w:r w:rsidRPr="00346698">
        <w:rPr>
          <w:rFonts w:hint="eastAsia"/>
          <w:szCs w:val="24"/>
          <w:lang w:eastAsia="zh-CN"/>
        </w:rPr>
        <w:t>属</w:t>
      </w:r>
      <w:r w:rsidRPr="00346698">
        <w:rPr>
          <w:rFonts w:hint="eastAsia"/>
          <w:szCs w:val="24"/>
          <w:lang w:eastAsia="zh-CN"/>
        </w:rPr>
        <w:t>ITU-T</w:t>
      </w:r>
      <w:r w:rsidRPr="00346698">
        <w:rPr>
          <w:rFonts w:hint="eastAsia"/>
          <w:szCs w:val="24"/>
          <w:lang w:eastAsia="zh-CN"/>
        </w:rPr>
        <w:t>研究范围的一些信息技术领域的必要标准是与国际标准化组织（</w:t>
      </w:r>
      <w:r w:rsidRPr="00346698">
        <w:rPr>
          <w:rFonts w:hint="eastAsia"/>
          <w:szCs w:val="24"/>
          <w:lang w:eastAsia="zh-CN"/>
        </w:rPr>
        <w:t>ISO</w:t>
      </w:r>
      <w:r w:rsidRPr="00346698">
        <w:rPr>
          <w:rFonts w:hint="eastAsia"/>
          <w:szCs w:val="24"/>
          <w:lang w:eastAsia="zh-CN"/>
        </w:rPr>
        <w:t>）和国际电工技术委员会（</w:t>
      </w:r>
      <w:r w:rsidRPr="00346698">
        <w:rPr>
          <w:rFonts w:hint="eastAsia"/>
          <w:szCs w:val="24"/>
          <w:lang w:eastAsia="zh-CN"/>
        </w:rPr>
        <w:t>IEC</w:t>
      </w:r>
      <w:r w:rsidRPr="00346698">
        <w:rPr>
          <w:rFonts w:hint="eastAsia"/>
          <w:szCs w:val="24"/>
          <w:lang w:eastAsia="zh-CN"/>
        </w:rPr>
        <w:t>）协作制定的。</w:t>
      </w:r>
    </w:p>
    <w:p w14:paraId="192371AE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7FCCDABA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70F00C73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441A93C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4AA4512C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CCAE5F2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2EE42A0A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022D932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297330FC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432B0A04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652C1D75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687301D2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F19B9D8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38FB642B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F3E9127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3E533C3E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A3ADD6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5F4CB22D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C5C488F" w14:textId="77777777" w:rsidR="000E4393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B58521F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39F6B1E2" w14:textId="77777777" w:rsidR="00EA2A26" w:rsidRPr="00E32EEC" w:rsidRDefault="00EA2A26" w:rsidP="00EA2A26">
      <w:pPr>
        <w:spacing w:before="120" w:line="240" w:lineRule="auto"/>
        <w:rPr>
          <w:szCs w:val="22"/>
          <w:lang w:val="en-GB" w:eastAsia="zh-CN"/>
        </w:rPr>
      </w:pPr>
    </w:p>
    <w:p w14:paraId="4812ECBE" w14:textId="7BE89A8D" w:rsidR="00EA2A26" w:rsidRDefault="00EA2A26" w:rsidP="00EA2A26">
      <w:pPr>
        <w:spacing w:before="120" w:line="240" w:lineRule="auto"/>
        <w:jc w:val="center"/>
        <w:rPr>
          <w:rFonts w:hint="eastAsia"/>
          <w:szCs w:val="22"/>
          <w:lang w:val="en-GB" w:eastAsia="zh-CN"/>
        </w:rPr>
      </w:pPr>
      <w:r w:rsidRPr="00DF1AFD">
        <w:rPr>
          <w:szCs w:val="22"/>
          <w:lang w:val="en-GB"/>
        </w:rPr>
        <w:sym w:font="Symbol" w:char="F0E3"/>
      </w:r>
      <w:r w:rsidRPr="00DF1AFD">
        <w:rPr>
          <w:szCs w:val="22"/>
          <w:lang w:val="en-GB" w:eastAsia="zh-CN"/>
        </w:rPr>
        <w:t> </w:t>
      </w:r>
      <w:r w:rsidR="00953471" w:rsidRPr="00DF1AFD">
        <w:rPr>
          <w:rFonts w:hint="eastAsia"/>
          <w:szCs w:val="22"/>
          <w:lang w:val="en-GB" w:eastAsia="zh-CN"/>
        </w:rPr>
        <w:t>国际电联</w:t>
      </w:r>
      <w:r w:rsidR="00953471" w:rsidRPr="00DF1AFD">
        <w:rPr>
          <w:rFonts w:hint="eastAsia"/>
          <w:szCs w:val="22"/>
          <w:lang w:val="en-GB" w:eastAsia="zh-CN"/>
        </w:rPr>
        <w:t xml:space="preserve"> </w:t>
      </w:r>
      <w:r w:rsidRPr="00DF1AFD">
        <w:rPr>
          <w:szCs w:val="22"/>
          <w:lang w:val="en-GB" w:eastAsia="zh-CN"/>
        </w:rPr>
        <w:t>20</w:t>
      </w:r>
      <w:r w:rsidR="00FD149C">
        <w:rPr>
          <w:rFonts w:hint="eastAsia"/>
          <w:szCs w:val="22"/>
          <w:lang w:val="en-GB" w:eastAsia="zh-CN"/>
        </w:rPr>
        <w:t>13</w:t>
      </w:r>
    </w:p>
    <w:p w14:paraId="3E0AEC30" w14:textId="56041F20" w:rsidR="008413B5" w:rsidRDefault="008413B5" w:rsidP="00EA2A26">
      <w:pPr>
        <w:spacing w:before="120" w:line="240" w:lineRule="auto"/>
        <w:jc w:val="center"/>
        <w:rPr>
          <w:szCs w:val="22"/>
          <w:lang w:val="en-GB" w:eastAsia="zh-CN"/>
        </w:rPr>
      </w:pPr>
      <w:r w:rsidRPr="008413B5">
        <w:rPr>
          <w:rFonts w:hint="eastAsia"/>
          <w:szCs w:val="22"/>
          <w:lang w:val="en-GB" w:eastAsia="zh-CN"/>
        </w:rPr>
        <w:t>该</w:t>
      </w:r>
      <w:r>
        <w:rPr>
          <w:rFonts w:hint="eastAsia"/>
          <w:szCs w:val="22"/>
          <w:lang w:val="en-GB" w:eastAsia="zh-CN"/>
        </w:rPr>
        <w:t>意见</w:t>
      </w:r>
      <w:r w:rsidRPr="008413B5">
        <w:rPr>
          <w:rFonts w:hint="eastAsia"/>
          <w:szCs w:val="22"/>
          <w:lang w:val="en-GB" w:eastAsia="zh-CN"/>
        </w:rPr>
        <w:t>于</w:t>
      </w:r>
      <w:r w:rsidRPr="008413B5">
        <w:rPr>
          <w:rFonts w:hint="eastAsia"/>
          <w:szCs w:val="22"/>
          <w:lang w:val="en-GB" w:eastAsia="zh-CN"/>
        </w:rPr>
        <w:t>2024</w:t>
      </w:r>
      <w:r w:rsidRPr="008413B5">
        <w:rPr>
          <w:rFonts w:hint="eastAsia"/>
          <w:szCs w:val="22"/>
          <w:lang w:val="en-GB" w:eastAsia="zh-CN"/>
        </w:rPr>
        <w:t>年重新发布，以更新封面。未引入其他修改。</w:t>
      </w:r>
    </w:p>
    <w:p w14:paraId="44AA25C4" w14:textId="77777777" w:rsidR="00B73379" w:rsidRDefault="00FC6CA4" w:rsidP="00DF1AFD">
      <w:pPr>
        <w:rPr>
          <w:sz w:val="20"/>
          <w:lang w:val="en-GB" w:eastAsia="zh-CN"/>
        </w:rPr>
      </w:pPr>
      <w:r w:rsidRPr="00E32EEC">
        <w:rPr>
          <w:rFonts w:hint="eastAsia"/>
          <w:szCs w:val="22"/>
          <w:lang w:val="en-GB" w:eastAsia="zh-CN"/>
        </w:rPr>
        <w:t>版权所有。未经国际电联事先书面许可，不得以任何手段复制本出版物的任何部分。</w:t>
      </w:r>
    </w:p>
    <w:p w14:paraId="03F90964" w14:textId="77777777" w:rsidR="00CF0C69" w:rsidRDefault="00CF0C69" w:rsidP="00953471">
      <w:pPr>
        <w:ind w:firstLineChars="200" w:firstLine="400"/>
        <w:rPr>
          <w:sz w:val="20"/>
          <w:lang w:val="en-GB" w:eastAsia="zh-CN"/>
        </w:rPr>
      </w:pPr>
    </w:p>
    <w:p w14:paraId="73B79B51" w14:textId="1F45D117" w:rsidR="00CF0C69" w:rsidRPr="00953471" w:rsidRDefault="00CF0C69" w:rsidP="00953471">
      <w:pPr>
        <w:ind w:firstLineChars="200" w:firstLine="480"/>
        <w:rPr>
          <w:lang w:eastAsia="zh-CN"/>
        </w:rPr>
        <w:sectPr w:rsidR="00CF0C69" w:rsidRPr="00953471" w:rsidSect="00DE48B4">
          <w:headerReference w:type="even" r:id="rId11"/>
          <w:footerReference w:type="even" r:id="rId12"/>
          <w:footerReference w:type="default" r:id="rId13"/>
          <w:footnotePr>
            <w:numRestart w:val="eachSect"/>
          </w:footnotePr>
          <w:type w:val="evenPage"/>
          <w:pgSz w:w="11907" w:h="16834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14:paraId="68603E25" w14:textId="77777777" w:rsidR="00346E91" w:rsidRPr="00991064" w:rsidRDefault="00346E91" w:rsidP="00FD149C">
      <w:pPr>
        <w:pStyle w:val="OpinionNo"/>
        <w:outlineLvl w:val="0"/>
        <w:rPr>
          <w:lang w:val="en-US" w:eastAsia="zh-CN"/>
        </w:rPr>
      </w:pPr>
      <w:r w:rsidRPr="00C52866">
        <w:rPr>
          <w:rStyle w:val="href"/>
          <w:rFonts w:hint="eastAsia"/>
          <w:lang w:eastAsia="zh-CN"/>
        </w:rPr>
        <w:lastRenderedPageBreak/>
        <w:t>意见</w:t>
      </w:r>
      <w:r w:rsidRPr="00C52866">
        <w:rPr>
          <w:rStyle w:val="href"/>
          <w:rFonts w:hint="eastAsia"/>
          <w:lang w:eastAsia="zh-CN"/>
        </w:rPr>
        <w:t>1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2012</w:t>
      </w:r>
      <w:r>
        <w:rPr>
          <w:rFonts w:hint="eastAsia"/>
          <w:lang w:eastAsia="zh-CN"/>
        </w:rPr>
        <w:t>年，迪拜）</w:t>
      </w:r>
    </w:p>
    <w:p w14:paraId="4F3CF120" w14:textId="77777777" w:rsidR="00346E91" w:rsidRPr="00991064" w:rsidRDefault="00346E91" w:rsidP="002F493C">
      <w:pPr>
        <w:pStyle w:val="Opiniontitle"/>
        <w:rPr>
          <w:lang w:val="en-US" w:eastAsia="zh-CN"/>
        </w:rPr>
      </w:pPr>
      <w:r w:rsidRPr="00991064">
        <w:rPr>
          <w:lang w:val="en-US" w:eastAsia="zh-CN"/>
        </w:rPr>
        <w:t>网络外部性溢价的实际</w:t>
      </w:r>
      <w:r w:rsidRPr="00991064">
        <w:rPr>
          <w:rFonts w:hint="eastAsia"/>
          <w:lang w:val="en-US" w:eastAsia="zh-CN"/>
        </w:rPr>
        <w:t>应用</w:t>
      </w:r>
    </w:p>
    <w:p w14:paraId="6FFB30BD" w14:textId="77777777" w:rsidR="00346E91" w:rsidRPr="00C52866" w:rsidRDefault="00346E91" w:rsidP="00346E91">
      <w:pPr>
        <w:pStyle w:val="Opinionref"/>
        <w:rPr>
          <w:lang w:eastAsia="zh-CN"/>
        </w:rPr>
      </w:pPr>
      <w:r w:rsidRPr="00C52866">
        <w:rPr>
          <w:lang w:eastAsia="zh-CN"/>
        </w:rPr>
        <w:t>（</w:t>
      </w:r>
      <w:r w:rsidRPr="00C52866">
        <w:rPr>
          <w:lang w:eastAsia="zh-CN"/>
        </w:rPr>
        <w:t>2012</w:t>
      </w:r>
      <w:r w:rsidRPr="00C52866">
        <w:rPr>
          <w:lang w:eastAsia="zh-CN"/>
        </w:rPr>
        <w:t>年，</w:t>
      </w:r>
      <w:r w:rsidRPr="00C52866">
        <w:rPr>
          <w:rFonts w:hint="eastAsia"/>
          <w:lang w:eastAsia="zh-CN"/>
        </w:rPr>
        <w:t>迪拜</w:t>
      </w:r>
      <w:r w:rsidRPr="00C52866">
        <w:rPr>
          <w:lang w:eastAsia="zh-CN"/>
        </w:rPr>
        <w:t>）</w:t>
      </w:r>
    </w:p>
    <w:p w14:paraId="4CE03C7D" w14:textId="77777777" w:rsidR="00FD149C" w:rsidRPr="00991064" w:rsidRDefault="00FD149C" w:rsidP="00FD149C">
      <w:pPr>
        <w:pStyle w:val="Normalaftertitle0"/>
        <w:rPr>
          <w:lang w:eastAsia="zh-CN"/>
        </w:rPr>
      </w:pPr>
      <w:r w:rsidRPr="00991064">
        <w:rPr>
          <w:lang w:eastAsia="zh-CN"/>
        </w:rPr>
        <w:t>世界电信标准化全会（</w:t>
      </w:r>
      <w:r w:rsidRPr="00991064">
        <w:rPr>
          <w:lang w:eastAsia="zh-CN"/>
        </w:rPr>
        <w:t>2012</w:t>
      </w:r>
      <w:r w:rsidRPr="00991064">
        <w:rPr>
          <w:lang w:eastAsia="zh-CN"/>
        </w:rPr>
        <w:t>年，</w:t>
      </w:r>
      <w:r w:rsidRPr="00991064">
        <w:rPr>
          <w:rFonts w:hint="eastAsia"/>
          <w:lang w:eastAsia="zh-CN"/>
        </w:rPr>
        <w:t>迪拜</w:t>
      </w:r>
      <w:r w:rsidRPr="00991064">
        <w:rPr>
          <w:lang w:eastAsia="zh-CN"/>
        </w:rPr>
        <w:t>），</w:t>
      </w:r>
    </w:p>
    <w:p w14:paraId="517D6C90" w14:textId="77777777" w:rsidR="00FD149C" w:rsidRPr="00991064" w:rsidRDefault="00FD149C" w:rsidP="00FD149C">
      <w:pPr>
        <w:pStyle w:val="Call"/>
        <w:rPr>
          <w:lang w:eastAsia="zh-CN"/>
        </w:rPr>
      </w:pPr>
      <w:r w:rsidRPr="00991064">
        <w:rPr>
          <w:lang w:eastAsia="zh-CN"/>
        </w:rPr>
        <w:t>考虑到</w:t>
      </w:r>
    </w:p>
    <w:p w14:paraId="53BAB265" w14:textId="77777777" w:rsidR="00FD149C" w:rsidRPr="00991064" w:rsidRDefault="00FD149C" w:rsidP="00FD149C">
      <w:pPr>
        <w:rPr>
          <w:rFonts w:ascii="STKaiti" w:eastAsia="STKaiti" w:hAnsi="STKaiti"/>
          <w:lang w:val="en-US" w:eastAsia="zh-CN"/>
        </w:rPr>
      </w:pPr>
      <w:r w:rsidRPr="00991064">
        <w:rPr>
          <w:rFonts w:eastAsiaTheme="minorEastAsia"/>
          <w:i/>
          <w:iCs/>
          <w:lang w:val="en-US" w:eastAsia="zh-CN"/>
        </w:rPr>
        <w:t>a)</w:t>
      </w:r>
      <w:r w:rsidRPr="00991064">
        <w:rPr>
          <w:rFonts w:ascii="Calibri" w:eastAsiaTheme="minorEastAsia" w:hAnsi="Calibri" w:cs="Calibri" w:hint="eastAsia"/>
          <w:lang w:val="en-US" w:eastAsia="zh-CN"/>
        </w:rPr>
        <w:tab/>
      </w:r>
      <w:r>
        <w:rPr>
          <w:rFonts w:ascii="Calibri" w:eastAsiaTheme="minorEastAsia" w:hAnsi="Calibri" w:cs="Calibri" w:hint="eastAsia"/>
          <w:lang w:val="en-US" w:eastAsia="zh-CN"/>
        </w:rPr>
        <w:t>《</w:t>
      </w:r>
      <w:r w:rsidRPr="00991064">
        <w:rPr>
          <w:lang w:val="en-US" w:eastAsia="zh-CN"/>
        </w:rPr>
        <w:t>信息社会突尼斯议程</w:t>
      </w:r>
      <w:r>
        <w:rPr>
          <w:rFonts w:hint="eastAsia"/>
          <w:lang w:val="en-US" w:eastAsia="zh-CN"/>
        </w:rPr>
        <w:t>》</w:t>
      </w:r>
      <w:r w:rsidRPr="00991064">
        <w:rPr>
          <w:lang w:val="en-US" w:eastAsia="zh-CN"/>
        </w:rPr>
        <w:t>（</w:t>
      </w:r>
      <w:r w:rsidRPr="00991064">
        <w:rPr>
          <w:rFonts w:eastAsiaTheme="minorEastAsia"/>
          <w:lang w:val="en-US" w:eastAsia="zh-CN"/>
        </w:rPr>
        <w:t>2005</w:t>
      </w:r>
      <w:r w:rsidRPr="00991064">
        <w:rPr>
          <w:lang w:val="en-US" w:eastAsia="zh-CN"/>
        </w:rPr>
        <w:t>年，突尼斯</w:t>
      </w:r>
      <w:proofErr w:type="gramStart"/>
      <w:r w:rsidRPr="00991064">
        <w:rPr>
          <w:rFonts w:asciiTheme="minorHAnsi" w:eastAsiaTheme="minorEastAsia" w:hAnsiTheme="minorHAnsi"/>
          <w:lang w:val="en-US" w:eastAsia="zh-CN"/>
        </w:rPr>
        <w:t>）；</w:t>
      </w:r>
      <w:proofErr w:type="gramEnd"/>
    </w:p>
    <w:p w14:paraId="3C5A9D9D" w14:textId="77777777" w:rsidR="00FD149C" w:rsidRPr="00991064" w:rsidRDefault="00FD149C" w:rsidP="00FD149C">
      <w:pPr>
        <w:rPr>
          <w:rFonts w:asciiTheme="minorHAnsi" w:eastAsiaTheme="minorEastAsia" w:hAnsiTheme="minorHAnsi" w:cstheme="minorBidi"/>
          <w:szCs w:val="24"/>
          <w:lang w:val="en-US" w:eastAsia="zh-CN"/>
        </w:rPr>
      </w:pPr>
      <w:r w:rsidRPr="00991064">
        <w:rPr>
          <w:rFonts w:eastAsia="STKaiti"/>
          <w:i/>
          <w:iCs/>
          <w:szCs w:val="24"/>
          <w:lang w:val="en-US" w:eastAsia="zh-CN"/>
        </w:rPr>
        <w:t>b)</w:t>
      </w:r>
      <w:r w:rsidRPr="00991064">
        <w:rPr>
          <w:rFonts w:ascii="Calibri" w:eastAsia="STKaiti" w:hAnsi="Calibri" w:cs="Calibri" w:hint="eastAsia"/>
          <w:szCs w:val="24"/>
          <w:lang w:val="en-US" w:eastAsia="zh-CN"/>
        </w:rPr>
        <w:tab/>
      </w:r>
      <w:r w:rsidRPr="00991064">
        <w:rPr>
          <w:rFonts w:ascii="SimSun" w:hAnsi="SimSun" w:cstheme="minorBidi"/>
          <w:szCs w:val="24"/>
          <w:lang w:val="en-US" w:eastAsia="zh-CN"/>
        </w:rPr>
        <w:t>有关提供国际电信业务所得收入的摊分的</w:t>
      </w:r>
      <w:r w:rsidRPr="00991064">
        <w:rPr>
          <w:rFonts w:ascii="SimSun" w:hAnsi="SimSun" w:cstheme="minorBidi" w:hint="eastAsia"/>
          <w:szCs w:val="24"/>
          <w:lang w:val="en-US" w:eastAsia="zh-CN"/>
        </w:rPr>
        <w:t>全权代表大会</w:t>
      </w:r>
      <w:r w:rsidRPr="00991064">
        <w:rPr>
          <w:rFonts w:ascii="SimSun" w:hAnsi="SimSun" w:cstheme="minorBidi"/>
          <w:szCs w:val="24"/>
          <w:lang w:val="en-US" w:eastAsia="zh-CN"/>
        </w:rPr>
        <w:t>第</w:t>
      </w:r>
      <w:r w:rsidRPr="00991064">
        <w:rPr>
          <w:rFonts w:asciiTheme="majorBidi" w:eastAsiaTheme="minorEastAsia" w:hAnsiTheme="majorBidi" w:cstheme="majorBidi"/>
          <w:szCs w:val="24"/>
          <w:lang w:val="en-US" w:eastAsia="zh-CN"/>
        </w:rPr>
        <w:t>22</w:t>
      </w:r>
      <w:r w:rsidRPr="00991064">
        <w:rPr>
          <w:rFonts w:ascii="SimSun" w:hAnsi="SimSun" w:cstheme="minorBidi"/>
          <w:szCs w:val="24"/>
          <w:lang w:val="en-US" w:eastAsia="zh-CN"/>
        </w:rPr>
        <w:t>号决议（</w:t>
      </w:r>
      <w:r w:rsidRPr="00991064">
        <w:rPr>
          <w:rFonts w:eastAsiaTheme="minorEastAsia"/>
          <w:szCs w:val="24"/>
          <w:lang w:val="en-US" w:eastAsia="zh-CN"/>
        </w:rPr>
        <w:t>2006</w:t>
      </w:r>
      <w:r w:rsidRPr="00991064">
        <w:rPr>
          <w:rFonts w:ascii="SimSun" w:hAnsi="SimSun" w:cstheme="minorBidi"/>
          <w:szCs w:val="24"/>
          <w:lang w:val="en-US" w:eastAsia="zh-CN"/>
        </w:rPr>
        <w:t>年，安塔利亚，修订版</w:t>
      </w:r>
      <w:proofErr w:type="gramStart"/>
      <w:r w:rsidRPr="00991064">
        <w:rPr>
          <w:rFonts w:ascii="SimSun" w:hAnsi="SimSun" w:cstheme="minorBidi"/>
          <w:szCs w:val="24"/>
          <w:lang w:val="en-US" w:eastAsia="zh-CN"/>
        </w:rPr>
        <w:t>）</w:t>
      </w:r>
      <w:r w:rsidRPr="00991064">
        <w:rPr>
          <w:rFonts w:asciiTheme="minorHAnsi" w:eastAsiaTheme="minorEastAsia" w:hAnsiTheme="minorHAnsi" w:cstheme="minorBidi"/>
          <w:szCs w:val="24"/>
          <w:lang w:val="en-US" w:eastAsia="zh-CN"/>
        </w:rPr>
        <w:t>；</w:t>
      </w:r>
      <w:proofErr w:type="gramEnd"/>
    </w:p>
    <w:p w14:paraId="7B5D7077" w14:textId="77777777" w:rsidR="00FD149C" w:rsidRPr="00991064" w:rsidRDefault="00FD149C" w:rsidP="00FD149C">
      <w:pPr>
        <w:rPr>
          <w:rFonts w:ascii="STKaiti" w:eastAsia="STKaiti" w:hAnsi="STKaiti" w:cstheme="minorBidi"/>
          <w:sz w:val="22"/>
          <w:szCs w:val="22"/>
          <w:lang w:val="en-US" w:eastAsia="zh-CN"/>
        </w:rPr>
      </w:pPr>
      <w:r w:rsidRPr="00991064">
        <w:rPr>
          <w:rFonts w:eastAsiaTheme="minorEastAsia"/>
          <w:i/>
          <w:iCs/>
          <w:szCs w:val="24"/>
          <w:lang w:val="en-US" w:eastAsia="zh-CN"/>
        </w:rPr>
        <w:t>c)</w:t>
      </w:r>
      <w:r w:rsidRPr="00991064">
        <w:rPr>
          <w:rFonts w:eastAsiaTheme="minorEastAsia" w:hint="eastAsia"/>
          <w:i/>
          <w:iCs/>
          <w:szCs w:val="24"/>
          <w:lang w:val="en-US" w:eastAsia="zh-CN"/>
        </w:rPr>
        <w:tab/>
      </w:r>
      <w:r w:rsidRPr="00991064">
        <w:rPr>
          <w:rFonts w:ascii="SimSun" w:hAnsi="SimSun" w:cstheme="minorBidi"/>
          <w:spacing w:val="-10"/>
          <w:szCs w:val="24"/>
          <w:lang w:val="en-US" w:eastAsia="zh-CN"/>
        </w:rPr>
        <w:t>世界电信标准化全会（</w:t>
      </w:r>
      <w:r w:rsidRPr="00991064">
        <w:rPr>
          <w:rFonts w:eastAsiaTheme="minorEastAsia"/>
          <w:spacing w:val="-10"/>
          <w:szCs w:val="24"/>
          <w:lang w:val="en-US" w:eastAsia="zh-CN"/>
        </w:rPr>
        <w:t>2008</w:t>
      </w:r>
      <w:r w:rsidRPr="00991064">
        <w:rPr>
          <w:rFonts w:ascii="SimSun" w:hAnsi="SimSun" w:cstheme="minorBidi"/>
          <w:spacing w:val="-10"/>
          <w:szCs w:val="24"/>
          <w:lang w:val="en-US" w:eastAsia="zh-CN"/>
        </w:rPr>
        <w:t>年，约翰内斯堡）</w:t>
      </w:r>
      <w:r>
        <w:rPr>
          <w:rFonts w:ascii="SimSun" w:hAnsi="SimSun" w:cstheme="minorBidi" w:hint="eastAsia"/>
          <w:spacing w:val="-10"/>
          <w:szCs w:val="24"/>
          <w:lang w:val="en-US" w:eastAsia="zh-CN"/>
        </w:rPr>
        <w:t>（</w:t>
      </w:r>
      <w:r w:rsidRPr="007E46E4">
        <w:rPr>
          <w:rFonts w:eastAsiaTheme="minorEastAsia" w:hint="eastAsia"/>
          <w:spacing w:val="-10"/>
          <w:szCs w:val="24"/>
          <w:lang w:val="en-US" w:eastAsia="zh-CN"/>
        </w:rPr>
        <w:t>WTSA-08</w:t>
      </w:r>
      <w:r>
        <w:rPr>
          <w:rFonts w:ascii="SimSun" w:hAnsi="SimSun" w:cstheme="minorBidi"/>
          <w:spacing w:val="-10"/>
          <w:szCs w:val="24"/>
          <w:lang w:val="en-US" w:eastAsia="zh-CN"/>
        </w:rPr>
        <w:t>）</w:t>
      </w:r>
      <w:r w:rsidRPr="00991064">
        <w:rPr>
          <w:rFonts w:ascii="SimSun" w:hAnsi="SimSun" w:cstheme="minorBidi"/>
          <w:spacing w:val="-10"/>
          <w:szCs w:val="24"/>
          <w:lang w:val="en-US" w:eastAsia="zh-CN"/>
        </w:rPr>
        <w:t>批准的有关网络外部性的</w:t>
      </w:r>
      <w:r w:rsidRPr="00991064">
        <w:rPr>
          <w:rFonts w:eastAsiaTheme="minorEastAsia"/>
          <w:spacing w:val="-4"/>
          <w:szCs w:val="24"/>
          <w:lang w:val="en-US" w:eastAsia="zh-CN"/>
        </w:rPr>
        <w:t>ITU-T</w:t>
      </w:r>
      <w:r w:rsidRPr="00991064">
        <w:rPr>
          <w:rFonts w:eastAsiaTheme="minorEastAsia"/>
          <w:szCs w:val="24"/>
          <w:lang w:val="en-US" w:eastAsia="zh-CN"/>
        </w:rPr>
        <w:t xml:space="preserve"> D.156</w:t>
      </w:r>
      <w:r w:rsidRPr="00991064">
        <w:rPr>
          <w:rFonts w:ascii="SimSun" w:hAnsi="SimSun" w:cstheme="minorBidi"/>
          <w:szCs w:val="24"/>
          <w:lang w:val="en-US" w:eastAsia="zh-CN"/>
        </w:rPr>
        <w:t>建议书，</w:t>
      </w:r>
    </w:p>
    <w:p w14:paraId="4AB07CAA" w14:textId="77777777" w:rsidR="00FD149C" w:rsidRPr="00991064" w:rsidRDefault="00FD149C" w:rsidP="00FD149C">
      <w:pPr>
        <w:pStyle w:val="Call"/>
        <w:rPr>
          <w:lang w:eastAsia="zh-CN"/>
        </w:rPr>
      </w:pPr>
      <w:r w:rsidRPr="00991064">
        <w:rPr>
          <w:lang w:eastAsia="zh-CN"/>
        </w:rPr>
        <w:t>注意到</w:t>
      </w:r>
    </w:p>
    <w:p w14:paraId="6FAB7446" w14:textId="77777777" w:rsidR="00FD149C" w:rsidRPr="00991064" w:rsidRDefault="00FD149C" w:rsidP="00FD149C">
      <w:pPr>
        <w:ind w:firstLineChars="200" w:firstLine="480"/>
        <w:rPr>
          <w:lang w:val="en-US" w:eastAsia="zh-CN"/>
        </w:rPr>
      </w:pPr>
      <w:r w:rsidRPr="00991064">
        <w:rPr>
          <w:lang w:val="en-US" w:eastAsia="zh-CN"/>
        </w:rPr>
        <w:t>一些成员国已就该建议书提出保留，要求澄清一些问题</w:t>
      </w:r>
      <w:r w:rsidRPr="00991064">
        <w:rPr>
          <w:rFonts w:hint="eastAsia"/>
          <w:lang w:val="en-US" w:eastAsia="zh-CN"/>
        </w:rPr>
        <w:t>并制</w:t>
      </w:r>
      <w:r w:rsidRPr="00991064">
        <w:rPr>
          <w:lang w:val="en-US" w:eastAsia="zh-CN"/>
        </w:rPr>
        <w:t>定</w:t>
      </w:r>
      <w:r w:rsidRPr="00991064">
        <w:rPr>
          <w:rFonts w:hint="eastAsia"/>
          <w:lang w:val="en-US" w:eastAsia="zh-CN"/>
        </w:rPr>
        <w:t>实际模型</w:t>
      </w:r>
      <w:r>
        <w:rPr>
          <w:rFonts w:hint="eastAsia"/>
          <w:lang w:val="en-US" w:eastAsia="zh-CN"/>
        </w:rPr>
        <w:t>，以</w:t>
      </w:r>
      <w:r w:rsidRPr="00991064">
        <w:rPr>
          <w:rFonts w:hint="eastAsia"/>
          <w:lang w:val="en-US" w:eastAsia="zh-CN"/>
        </w:rPr>
        <w:t>计算</w:t>
      </w:r>
      <w:r w:rsidRPr="00991064">
        <w:rPr>
          <w:lang w:val="en-US" w:eastAsia="zh-CN"/>
        </w:rPr>
        <w:t>网络外部性溢价，</w:t>
      </w:r>
    </w:p>
    <w:p w14:paraId="1F989E90" w14:textId="77777777" w:rsidR="00FD149C" w:rsidRPr="00991064" w:rsidRDefault="00FD149C" w:rsidP="00FD149C">
      <w:pPr>
        <w:pStyle w:val="Call"/>
        <w:rPr>
          <w:lang w:eastAsia="zh-CN"/>
        </w:rPr>
      </w:pPr>
      <w:r w:rsidRPr="00991064">
        <w:rPr>
          <w:lang w:eastAsia="zh-CN"/>
        </w:rPr>
        <w:t>进一步考虑到</w:t>
      </w:r>
    </w:p>
    <w:p w14:paraId="3D07BAFA" w14:textId="77777777" w:rsidR="00FD149C" w:rsidRPr="00991064" w:rsidRDefault="00FD149C" w:rsidP="00FD149C">
      <w:pPr>
        <w:rPr>
          <w:rFonts w:ascii="STKaiti" w:eastAsia="STKaiti" w:hAnsi="STKaiti"/>
          <w:sz w:val="22"/>
          <w:szCs w:val="22"/>
          <w:lang w:val="en-US" w:eastAsia="zh-CN"/>
        </w:rPr>
      </w:pPr>
      <w:r w:rsidRPr="00991064">
        <w:rPr>
          <w:rFonts w:eastAsia="STKaiti"/>
          <w:i/>
          <w:iCs/>
          <w:lang w:val="en-US" w:eastAsia="zh-CN"/>
        </w:rPr>
        <w:t>a)</w:t>
      </w:r>
      <w:r w:rsidRPr="00991064">
        <w:rPr>
          <w:rFonts w:ascii="Calibri" w:eastAsia="STKaiti" w:hAnsi="Calibri" w:cs="Calibri" w:hint="eastAsia"/>
          <w:lang w:val="en-US" w:eastAsia="zh-CN"/>
        </w:rPr>
        <w:tab/>
      </w:r>
      <w:r w:rsidRPr="007E46E4">
        <w:rPr>
          <w:rFonts w:hint="eastAsia"/>
          <w:lang w:val="en-US" w:eastAsia="zh-CN"/>
        </w:rPr>
        <w:t>国际电联电信标准化部门（</w:t>
      </w:r>
      <w:r w:rsidRPr="00991064">
        <w:rPr>
          <w:rFonts w:eastAsiaTheme="minorEastAsia"/>
          <w:spacing w:val="10"/>
          <w:lang w:val="en-US" w:eastAsia="zh-CN"/>
        </w:rPr>
        <w:t>ITU-T</w:t>
      </w:r>
      <w:r>
        <w:rPr>
          <w:rFonts w:eastAsiaTheme="minorEastAsia" w:hint="eastAsia"/>
          <w:spacing w:val="10"/>
          <w:lang w:val="en-US" w:eastAsia="zh-CN"/>
        </w:rPr>
        <w:t>）</w:t>
      </w:r>
      <w:r w:rsidRPr="00991064">
        <w:rPr>
          <w:spacing w:val="10"/>
          <w:lang w:val="en-US" w:eastAsia="zh-CN"/>
        </w:rPr>
        <w:t>第</w:t>
      </w:r>
      <w:r w:rsidRPr="00991064">
        <w:rPr>
          <w:rFonts w:eastAsiaTheme="minorEastAsia"/>
          <w:spacing w:val="10"/>
          <w:lang w:val="en-US" w:eastAsia="zh-CN"/>
        </w:rPr>
        <w:t>3</w:t>
      </w:r>
      <w:r w:rsidRPr="00991064">
        <w:rPr>
          <w:spacing w:val="10"/>
          <w:lang w:val="en-US" w:eastAsia="zh-CN"/>
        </w:rPr>
        <w:t>研究组</w:t>
      </w:r>
      <w:r w:rsidRPr="00991064">
        <w:rPr>
          <w:rFonts w:hint="eastAsia"/>
          <w:spacing w:val="10"/>
          <w:lang w:val="en-US" w:eastAsia="zh-CN"/>
        </w:rPr>
        <w:t>于</w:t>
      </w:r>
      <w:r w:rsidRPr="00991064">
        <w:rPr>
          <w:rFonts w:eastAsiaTheme="minorEastAsia"/>
          <w:spacing w:val="10"/>
          <w:lang w:val="en-US" w:eastAsia="zh-CN"/>
        </w:rPr>
        <w:t>2010</w:t>
      </w:r>
      <w:r w:rsidRPr="00991064">
        <w:rPr>
          <w:spacing w:val="10"/>
          <w:lang w:val="en-US" w:eastAsia="zh-CN"/>
        </w:rPr>
        <w:t>年</w:t>
      </w:r>
      <w:r w:rsidRPr="00991064">
        <w:rPr>
          <w:rFonts w:eastAsiaTheme="minorEastAsia"/>
          <w:spacing w:val="10"/>
          <w:lang w:val="en-US" w:eastAsia="zh-CN"/>
        </w:rPr>
        <w:t>5</w:t>
      </w:r>
      <w:r w:rsidRPr="00991064">
        <w:rPr>
          <w:spacing w:val="10"/>
          <w:lang w:val="en-US" w:eastAsia="zh-CN"/>
        </w:rPr>
        <w:t>月批准了可对上述问题</w:t>
      </w:r>
      <w:r w:rsidRPr="00991064">
        <w:rPr>
          <w:rFonts w:hint="eastAsia"/>
          <w:spacing w:val="10"/>
          <w:lang w:val="en-US" w:eastAsia="zh-CN"/>
        </w:rPr>
        <w:t>做</w:t>
      </w:r>
      <w:r w:rsidRPr="00991064">
        <w:rPr>
          <w:spacing w:val="10"/>
          <w:lang w:val="en-US" w:eastAsia="zh-CN"/>
        </w:rPr>
        <w:t>出答复的有关实际落实</w:t>
      </w:r>
      <w:r w:rsidRPr="00991064">
        <w:rPr>
          <w:rFonts w:eastAsiaTheme="minorEastAsia"/>
          <w:spacing w:val="10"/>
          <w:lang w:val="en-US" w:eastAsia="zh-CN"/>
        </w:rPr>
        <w:t>ITU-T</w:t>
      </w:r>
      <w:r w:rsidRPr="00991064">
        <w:rPr>
          <w:rFonts w:eastAsiaTheme="minorEastAsia"/>
          <w:lang w:val="en-US" w:eastAsia="zh-CN"/>
        </w:rPr>
        <w:t xml:space="preserve"> D.</w:t>
      </w:r>
      <w:proofErr w:type="gramStart"/>
      <w:r w:rsidRPr="00991064">
        <w:rPr>
          <w:rFonts w:eastAsiaTheme="minorEastAsia"/>
          <w:lang w:val="en-US" w:eastAsia="zh-CN"/>
        </w:rPr>
        <w:t>156</w:t>
      </w:r>
      <w:r w:rsidRPr="00991064">
        <w:rPr>
          <w:lang w:val="en-US" w:eastAsia="zh-CN"/>
        </w:rPr>
        <w:t>建议书</w:t>
      </w:r>
      <w:r w:rsidRPr="00991064">
        <w:rPr>
          <w:rFonts w:hint="eastAsia"/>
          <w:lang w:val="en-US" w:eastAsia="zh-CN"/>
        </w:rPr>
        <w:t>的</w:t>
      </w:r>
      <w:r w:rsidRPr="00991064">
        <w:rPr>
          <w:lang w:val="en-US" w:eastAsia="zh-CN"/>
        </w:rPr>
        <w:t>该建议书</w:t>
      </w:r>
      <w:r>
        <w:rPr>
          <w:rFonts w:hint="eastAsia"/>
          <w:lang w:val="en-US" w:eastAsia="zh-CN"/>
        </w:rPr>
        <w:t>附件</w:t>
      </w:r>
      <w:r w:rsidRPr="00991064">
        <w:rPr>
          <w:lang w:val="en-US" w:eastAsia="zh-CN"/>
        </w:rPr>
        <w:t>A</w:t>
      </w:r>
      <w:r w:rsidRPr="00991064">
        <w:rPr>
          <w:rFonts w:asciiTheme="minorHAnsi" w:eastAsiaTheme="minorEastAsia" w:hAnsiTheme="minorHAnsi"/>
          <w:sz w:val="22"/>
          <w:szCs w:val="22"/>
          <w:lang w:val="en-US" w:eastAsia="zh-CN"/>
        </w:rPr>
        <w:t>；</w:t>
      </w:r>
      <w:proofErr w:type="gramEnd"/>
    </w:p>
    <w:p w14:paraId="6C9CD94A" w14:textId="77777777" w:rsidR="00FD149C" w:rsidRPr="00991064" w:rsidRDefault="00FD149C" w:rsidP="00FD149C">
      <w:pPr>
        <w:rPr>
          <w:rFonts w:ascii="STKaiti" w:eastAsia="STKaiti" w:hAnsi="STKaiti"/>
          <w:lang w:val="en-US" w:eastAsia="zh-CN"/>
        </w:rPr>
      </w:pPr>
      <w:r w:rsidRPr="00991064">
        <w:rPr>
          <w:rFonts w:eastAsia="STKaiti"/>
          <w:i/>
          <w:iCs/>
          <w:lang w:val="en-US" w:eastAsia="zh-CN"/>
        </w:rPr>
        <w:t>b)</w:t>
      </w:r>
      <w:r w:rsidRPr="00991064">
        <w:rPr>
          <w:rFonts w:ascii="Calibri" w:eastAsia="STKaiti" w:hAnsi="Calibri" w:cs="Calibri" w:hint="eastAsia"/>
          <w:lang w:val="en-US" w:eastAsia="zh-CN"/>
        </w:rPr>
        <w:tab/>
      </w:r>
      <w:r w:rsidRPr="00991064">
        <w:rPr>
          <w:lang w:val="en-US" w:eastAsia="zh-CN"/>
        </w:rPr>
        <w:t>第</w:t>
      </w:r>
      <w:r w:rsidRPr="00991064">
        <w:rPr>
          <w:rFonts w:eastAsiaTheme="minorEastAsia"/>
          <w:lang w:val="en-US" w:eastAsia="zh-CN"/>
        </w:rPr>
        <w:t>3</w:t>
      </w:r>
      <w:r w:rsidRPr="00991064">
        <w:rPr>
          <w:lang w:val="en-US" w:eastAsia="zh-CN"/>
        </w:rPr>
        <w:t>研究组</w:t>
      </w:r>
      <w:r w:rsidRPr="00991064">
        <w:rPr>
          <w:rFonts w:hint="eastAsia"/>
          <w:lang w:val="en-US" w:eastAsia="zh-CN"/>
        </w:rPr>
        <w:t>于</w:t>
      </w:r>
      <w:r w:rsidRPr="00991064">
        <w:rPr>
          <w:rFonts w:eastAsiaTheme="minorEastAsia"/>
          <w:lang w:val="en-US" w:eastAsia="zh-CN"/>
        </w:rPr>
        <w:t>2012</w:t>
      </w:r>
      <w:r w:rsidRPr="00991064">
        <w:rPr>
          <w:lang w:val="en-US" w:eastAsia="zh-CN"/>
        </w:rPr>
        <w:t>年</w:t>
      </w:r>
      <w:r w:rsidRPr="00991064">
        <w:rPr>
          <w:rFonts w:eastAsiaTheme="minorEastAsia"/>
          <w:lang w:val="en-US" w:eastAsia="zh-CN"/>
        </w:rPr>
        <w:t>9</w:t>
      </w:r>
      <w:r w:rsidRPr="00991064">
        <w:rPr>
          <w:lang w:val="en-US" w:eastAsia="zh-CN"/>
        </w:rPr>
        <w:t>月批准了有关确定网络外部性溢价的</w:t>
      </w:r>
      <w:r w:rsidRPr="00991064">
        <w:rPr>
          <w:rFonts w:eastAsiaTheme="minorEastAsia"/>
          <w:lang w:val="en-US" w:eastAsia="zh-CN"/>
        </w:rPr>
        <w:t>ITU-T D.156</w:t>
      </w:r>
      <w:r w:rsidRPr="00991064">
        <w:rPr>
          <w:lang w:val="en-US" w:eastAsia="zh-CN"/>
        </w:rPr>
        <w:t>建议书附件</w:t>
      </w:r>
      <w:r w:rsidRPr="00991064">
        <w:rPr>
          <w:lang w:val="en-US" w:eastAsia="zh-CN"/>
        </w:rPr>
        <w:t>B</w:t>
      </w:r>
      <w:r w:rsidRPr="00991064">
        <w:rPr>
          <w:lang w:val="en-US" w:eastAsia="zh-CN"/>
        </w:rPr>
        <w:t>，</w:t>
      </w:r>
      <w:r w:rsidRPr="00991064">
        <w:rPr>
          <w:rFonts w:hint="eastAsia"/>
          <w:lang w:val="en-US" w:eastAsia="zh-CN"/>
        </w:rPr>
        <w:t>提出了计算该溢价的</w:t>
      </w:r>
      <w:r w:rsidRPr="00991064">
        <w:rPr>
          <w:lang w:val="en-US" w:eastAsia="zh-CN"/>
        </w:rPr>
        <w:t>具体方法</w:t>
      </w:r>
      <w:r w:rsidRPr="00991064">
        <w:rPr>
          <w:rFonts w:asciiTheme="minorHAnsi" w:eastAsiaTheme="minorEastAsia" w:hAnsiTheme="minorHAnsi"/>
          <w:lang w:val="en-US" w:eastAsia="zh-CN"/>
        </w:rPr>
        <w:t>，</w:t>
      </w:r>
    </w:p>
    <w:p w14:paraId="5848EF3B" w14:textId="77777777" w:rsidR="00FD149C" w:rsidRPr="00991064" w:rsidRDefault="00FD149C" w:rsidP="00FD149C">
      <w:pPr>
        <w:pStyle w:val="Call"/>
        <w:rPr>
          <w:lang w:val="en-US" w:eastAsia="zh-CN"/>
        </w:rPr>
      </w:pPr>
      <w:r w:rsidRPr="00991064">
        <w:rPr>
          <w:rFonts w:hint="eastAsia"/>
          <w:lang w:val="en-US" w:eastAsia="zh-CN"/>
        </w:rPr>
        <w:t>认为</w:t>
      </w:r>
    </w:p>
    <w:p w14:paraId="010E9450" w14:textId="77777777" w:rsidR="00FD149C" w:rsidRPr="00991064" w:rsidRDefault="00FD149C" w:rsidP="00FD149C">
      <w:pPr>
        <w:ind w:firstLineChars="200" w:firstLine="480"/>
        <w:rPr>
          <w:lang w:val="en-US" w:eastAsia="zh-CN"/>
        </w:rPr>
      </w:pPr>
      <w:r>
        <w:rPr>
          <w:rFonts w:hint="eastAsia"/>
          <w:lang w:eastAsia="zh-CN"/>
        </w:rPr>
        <w:t>鉴于迄今为止在第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研究组内所取得的进展，相关成员国可能希望审议各自在</w:t>
      </w:r>
      <w:r>
        <w:rPr>
          <w:rFonts w:hint="eastAsia"/>
          <w:lang w:eastAsia="zh-CN"/>
        </w:rPr>
        <w:t>WTSA</w:t>
      </w:r>
      <w:r w:rsidRPr="00991064">
        <w:rPr>
          <w:rFonts w:eastAsiaTheme="minorEastAsia"/>
          <w:spacing w:val="10"/>
          <w:lang w:val="en-US" w:eastAsia="zh-CN"/>
        </w:rPr>
        <w:t>-</w:t>
      </w:r>
      <w:r>
        <w:rPr>
          <w:rFonts w:hint="eastAsia"/>
          <w:lang w:eastAsia="zh-CN"/>
        </w:rPr>
        <w:t>08</w:t>
      </w:r>
      <w:r>
        <w:rPr>
          <w:rFonts w:hint="eastAsia"/>
          <w:lang w:eastAsia="zh-CN"/>
        </w:rPr>
        <w:t>上</w:t>
      </w:r>
      <w:r>
        <w:rPr>
          <w:rFonts w:hint="eastAsia"/>
          <w:lang w:val="en-US" w:eastAsia="zh-CN"/>
        </w:rPr>
        <w:t>采取</w:t>
      </w:r>
      <w:r>
        <w:rPr>
          <w:rFonts w:hint="eastAsia"/>
          <w:lang w:eastAsia="zh-CN"/>
        </w:rPr>
        <w:t>的相关立场，并</w:t>
      </w:r>
      <w:r w:rsidRPr="00991064">
        <w:rPr>
          <w:rFonts w:hint="eastAsia"/>
          <w:lang w:eastAsia="zh-CN"/>
        </w:rPr>
        <w:t>可</w:t>
      </w:r>
      <w:r>
        <w:rPr>
          <w:rFonts w:hint="eastAsia"/>
          <w:lang w:eastAsia="zh-CN"/>
        </w:rPr>
        <w:t>能</w:t>
      </w:r>
      <w:r w:rsidRPr="00991064">
        <w:rPr>
          <w:rFonts w:hint="eastAsia"/>
          <w:lang w:eastAsia="zh-CN"/>
        </w:rPr>
        <w:t>考虑撤销</w:t>
      </w:r>
      <w:r w:rsidRPr="00991064">
        <w:rPr>
          <w:lang w:val="en-US" w:eastAsia="zh-CN"/>
        </w:rPr>
        <w:t>有关</w:t>
      </w:r>
      <w:r w:rsidRPr="00991064">
        <w:rPr>
          <w:rFonts w:eastAsiaTheme="minorEastAsia"/>
          <w:lang w:val="en-US" w:eastAsia="zh-CN"/>
        </w:rPr>
        <w:t>ITU-T D.156</w:t>
      </w:r>
      <w:r w:rsidRPr="00991064">
        <w:rPr>
          <w:lang w:val="en-US" w:eastAsia="zh-CN"/>
        </w:rPr>
        <w:t>建议书的保留</w:t>
      </w:r>
      <w:r>
        <w:rPr>
          <w:rFonts w:hint="eastAsia"/>
          <w:lang w:val="en-US" w:eastAsia="zh-CN"/>
        </w:rPr>
        <w:t>，</w:t>
      </w:r>
    </w:p>
    <w:p w14:paraId="275C676D" w14:textId="77777777" w:rsidR="00FD149C" w:rsidRPr="00991064" w:rsidRDefault="00FD149C" w:rsidP="00FD149C">
      <w:pPr>
        <w:pStyle w:val="Call"/>
        <w:rPr>
          <w:rFonts w:asciiTheme="minorHAnsi" w:eastAsiaTheme="minorEastAsia" w:hAnsiTheme="minorHAnsi"/>
          <w:lang w:val="en-US" w:eastAsia="zh-CN"/>
        </w:rPr>
      </w:pPr>
      <w:r w:rsidRPr="00991064">
        <w:rPr>
          <w:rFonts w:hint="eastAsia"/>
          <w:lang w:eastAsia="zh-CN"/>
        </w:rPr>
        <w:t>请成员国</w:t>
      </w:r>
    </w:p>
    <w:p w14:paraId="1EF89A71" w14:textId="77777777" w:rsidR="00FD149C" w:rsidRPr="00991064" w:rsidRDefault="00FD149C" w:rsidP="00FD149C">
      <w:pPr>
        <w:ind w:firstLineChars="200" w:firstLine="480"/>
        <w:rPr>
          <w:rFonts w:asciiTheme="minorHAnsi" w:eastAsiaTheme="minorEastAsia" w:hAnsiTheme="minorHAnsi"/>
          <w:lang w:val="en-US" w:eastAsia="zh-CN"/>
        </w:rPr>
      </w:pPr>
      <w:r w:rsidRPr="00991064">
        <w:rPr>
          <w:lang w:val="en-US" w:eastAsia="zh-CN"/>
        </w:rPr>
        <w:t>为</w:t>
      </w:r>
      <w:r w:rsidRPr="00991064">
        <w:rPr>
          <w:rFonts w:hint="eastAsia"/>
          <w:lang w:val="en-US" w:eastAsia="zh-CN"/>
        </w:rPr>
        <w:t>有效</w:t>
      </w:r>
      <w:r w:rsidRPr="00991064">
        <w:rPr>
          <w:lang w:val="en-US" w:eastAsia="zh-CN"/>
        </w:rPr>
        <w:t>落实</w:t>
      </w:r>
      <w:r w:rsidRPr="00991064">
        <w:rPr>
          <w:rFonts w:eastAsiaTheme="minorEastAsia"/>
          <w:lang w:val="en-US" w:eastAsia="zh-CN"/>
        </w:rPr>
        <w:t>ITU-T D.156</w:t>
      </w:r>
      <w:r w:rsidRPr="00991064">
        <w:rPr>
          <w:lang w:val="en-US" w:eastAsia="zh-CN"/>
        </w:rPr>
        <w:t>建议书采取一切必要的措施，</w:t>
      </w:r>
    </w:p>
    <w:p w14:paraId="424997DC" w14:textId="77777777" w:rsidR="00FD149C" w:rsidRPr="00991064" w:rsidRDefault="00FD149C" w:rsidP="00FD149C">
      <w:pPr>
        <w:pStyle w:val="Call"/>
        <w:rPr>
          <w:lang w:val="en-US" w:eastAsia="zh-CN"/>
        </w:rPr>
      </w:pPr>
      <w:r w:rsidRPr="00991064">
        <w:rPr>
          <w:rFonts w:hint="eastAsia"/>
          <w:lang w:val="en-US" w:eastAsia="zh-CN"/>
        </w:rPr>
        <w:t>请理事会</w:t>
      </w:r>
    </w:p>
    <w:p w14:paraId="1C53BAF6" w14:textId="77777777" w:rsidR="00FD149C" w:rsidRPr="00991064" w:rsidRDefault="00FD149C" w:rsidP="00FD149C">
      <w:pPr>
        <w:ind w:firstLineChars="200" w:firstLine="480"/>
        <w:rPr>
          <w:lang w:val="en-US" w:eastAsia="zh-CN"/>
        </w:rPr>
      </w:pPr>
      <w:r w:rsidRPr="00991064">
        <w:rPr>
          <w:rFonts w:hint="eastAsia"/>
          <w:lang w:val="en-US" w:eastAsia="zh-CN"/>
        </w:rPr>
        <w:t>在</w:t>
      </w:r>
      <w:r w:rsidRPr="00991064">
        <w:rPr>
          <w:lang w:val="en-US" w:eastAsia="zh-CN"/>
        </w:rPr>
        <w:t>2013</w:t>
      </w:r>
      <w:r w:rsidRPr="00991064">
        <w:rPr>
          <w:lang w:val="en-US" w:eastAsia="zh-CN"/>
        </w:rPr>
        <w:t>年会议</w:t>
      </w:r>
      <w:r>
        <w:rPr>
          <w:rFonts w:hint="eastAsia"/>
          <w:lang w:val="en-US" w:eastAsia="zh-CN"/>
        </w:rPr>
        <w:t>上</w:t>
      </w:r>
      <w:r w:rsidRPr="00991064">
        <w:rPr>
          <w:rFonts w:hint="eastAsia"/>
          <w:lang w:val="en-US" w:eastAsia="zh-CN"/>
        </w:rPr>
        <w:t>，</w:t>
      </w:r>
      <w:r w:rsidRPr="00991064">
        <w:rPr>
          <w:lang w:val="en-US" w:eastAsia="zh-CN"/>
        </w:rPr>
        <w:t>按照第</w:t>
      </w:r>
      <w:r w:rsidRPr="00991064">
        <w:rPr>
          <w:lang w:val="en-US" w:eastAsia="zh-CN"/>
        </w:rPr>
        <w:t>22</w:t>
      </w:r>
      <w:r w:rsidRPr="00991064">
        <w:rPr>
          <w:lang w:val="en-US" w:eastAsia="zh-CN"/>
        </w:rPr>
        <w:t>号决议（</w:t>
      </w:r>
      <w:r w:rsidRPr="00991064">
        <w:rPr>
          <w:lang w:val="en-US" w:eastAsia="zh-CN"/>
        </w:rPr>
        <w:t>2006</w:t>
      </w:r>
      <w:r w:rsidRPr="00991064">
        <w:rPr>
          <w:lang w:val="en-US" w:eastAsia="zh-CN"/>
        </w:rPr>
        <w:t>年，安塔利亚，修订版）就此</w:t>
      </w:r>
      <w:r w:rsidRPr="00991064">
        <w:rPr>
          <w:rFonts w:hint="eastAsia"/>
          <w:lang w:val="en-US" w:eastAsia="zh-CN"/>
        </w:rPr>
        <w:t>事宜</w:t>
      </w:r>
      <w:r w:rsidRPr="00991064">
        <w:rPr>
          <w:lang w:val="en-US" w:eastAsia="zh-CN"/>
        </w:rPr>
        <w:t>向</w:t>
      </w:r>
      <w:r w:rsidRPr="00991064">
        <w:rPr>
          <w:lang w:val="en-US" w:eastAsia="zh-CN"/>
        </w:rPr>
        <w:t>2014</w:t>
      </w:r>
      <w:r w:rsidRPr="00991064">
        <w:rPr>
          <w:lang w:val="en-US" w:eastAsia="zh-CN"/>
        </w:rPr>
        <w:t>年全权代表大会</w:t>
      </w:r>
      <w:r w:rsidRPr="00991064">
        <w:rPr>
          <w:rFonts w:hint="eastAsia"/>
          <w:lang w:val="en-US" w:eastAsia="zh-CN"/>
        </w:rPr>
        <w:t>做出</w:t>
      </w:r>
      <w:r w:rsidRPr="00991064">
        <w:rPr>
          <w:lang w:val="en-US" w:eastAsia="zh-CN"/>
        </w:rPr>
        <w:t>报告。</w:t>
      </w:r>
    </w:p>
    <w:p w14:paraId="53383E0B" w14:textId="77777777" w:rsidR="00FD149C" w:rsidRPr="007E46E4" w:rsidRDefault="00FD149C" w:rsidP="00FD149C">
      <w:pPr>
        <w:pStyle w:val="Reasons"/>
        <w:rPr>
          <w:lang w:val="en-US" w:eastAsia="zh-CN"/>
        </w:rPr>
      </w:pPr>
    </w:p>
    <w:p w14:paraId="621C33A2" w14:textId="77777777" w:rsidR="00346E91" w:rsidRPr="00FD149C" w:rsidRDefault="00346E91" w:rsidP="00526543">
      <w:pPr>
        <w:rPr>
          <w:lang w:eastAsia="zh-CN"/>
        </w:rPr>
      </w:pPr>
    </w:p>
    <w:p w14:paraId="1D00873D" w14:textId="77777777" w:rsidR="004D3C2C" w:rsidRPr="00526543" w:rsidRDefault="004D3C2C" w:rsidP="00526543">
      <w:pPr>
        <w:rPr>
          <w:lang w:eastAsia="zh-CN"/>
        </w:rPr>
      </w:pPr>
    </w:p>
    <w:p w14:paraId="6A78B6F6" w14:textId="60CE314C" w:rsidR="00E03ABC" w:rsidRPr="00526543" w:rsidRDefault="00E03ABC" w:rsidP="00526543">
      <w:pPr>
        <w:rPr>
          <w:lang w:eastAsia="zh-CN"/>
        </w:rPr>
      </w:pPr>
    </w:p>
    <w:sectPr w:rsidR="00E03ABC" w:rsidRPr="00526543" w:rsidSect="007267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34" w:code="9"/>
      <w:pgMar w:top="1134" w:right="1134" w:bottom="1134" w:left="1134" w:header="567" w:footer="567" w:gutter="0"/>
      <w:paperSrc w:first="15" w:other="15"/>
      <w:pgNumType w:start="1"/>
      <w:cols w:space="720"/>
      <w:vAlign w:val="both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09BCB" w14:textId="77777777" w:rsidR="00AB243B" w:rsidRDefault="00AB243B">
      <w:r>
        <w:separator/>
      </w:r>
    </w:p>
  </w:endnote>
  <w:endnote w:type="continuationSeparator" w:id="0">
    <w:p w14:paraId="39891FAF" w14:textId="77777777" w:rsidR="00AB243B" w:rsidRDefault="00AB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Kaiti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venir Next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4EDF" w14:textId="77777777" w:rsidR="000D3CE4" w:rsidRPr="00DE48B4" w:rsidRDefault="000D3CE4" w:rsidP="00DE4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5C13" w14:textId="77777777" w:rsidR="000D3CE4" w:rsidRPr="008968B6" w:rsidRDefault="000D3CE4" w:rsidP="008968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BAB00" w14:textId="34DC678E" w:rsidR="00C72AF4" w:rsidRPr="00D50046" w:rsidRDefault="00D50046" w:rsidP="00B150A9">
    <w:pPr>
      <w:pStyle w:val="FooterQP"/>
      <w:tabs>
        <w:tab w:val="clear" w:pos="907"/>
        <w:tab w:val="left" w:pos="851"/>
      </w:tabs>
      <w:rPr>
        <w:lang w:val="en-US"/>
      </w:rPr>
    </w:pP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EA12A2">
      <w:rPr>
        <w:b w:val="0"/>
        <w:noProof/>
        <w:lang w:val="en-US"/>
      </w:rPr>
      <w:t>26</w:t>
    </w:r>
    <w:r>
      <w:rPr>
        <w:b w:val="0"/>
      </w:rPr>
      <w:fldChar w:fldCharType="end"/>
    </w:r>
    <w:r>
      <w:rPr>
        <w:lang w:val="en-US"/>
      </w:rPr>
      <w:tab/>
    </w:r>
    <w:r w:rsidR="00233820" w:rsidRPr="00DF1AFD">
      <w:rPr>
        <w:lang w:val="en-US"/>
      </w:rPr>
      <w:t>WTSA-</w:t>
    </w:r>
    <w:r w:rsidR="00233820" w:rsidRPr="00DF1AFD">
      <w:rPr>
        <w:lang w:val="en-US" w:eastAsia="zh-CN"/>
      </w:rPr>
      <w:t>24</w:t>
    </w:r>
    <w:r w:rsidR="00233820" w:rsidRPr="00DF1AFD">
      <w:rPr>
        <w:lang w:val="en-US"/>
      </w:rPr>
      <w:t xml:space="preserve"> –</w:t>
    </w:r>
    <w:r w:rsidR="00233820" w:rsidRPr="00DF1AFD">
      <w:fldChar w:fldCharType="begin"/>
    </w:r>
    <w:r w:rsidR="00233820" w:rsidRPr="00DF1AFD">
      <w:rPr>
        <w:lang w:val="en-US"/>
      </w:rPr>
      <w:instrText>styleref href</w:instrText>
    </w:r>
    <w:r w:rsidR="00233820" w:rsidRPr="00DF1AFD">
      <w:fldChar w:fldCharType="separate"/>
    </w:r>
    <w:r w:rsidR="00427234">
      <w:rPr>
        <w:rFonts w:hint="eastAsia"/>
        <w:noProof/>
        <w:lang w:val="en-US"/>
      </w:rPr>
      <w:t>意见</w:t>
    </w:r>
    <w:r w:rsidR="00427234">
      <w:rPr>
        <w:rFonts w:hint="eastAsia"/>
        <w:noProof/>
        <w:lang w:val="en-US"/>
      </w:rPr>
      <w:t>1</w:t>
    </w:r>
    <w:r w:rsidR="00233820" w:rsidRPr="00DF1AFD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43F9" w14:textId="18059458" w:rsidR="00AA1264" w:rsidRPr="00D50046" w:rsidRDefault="00D50046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233820" w:rsidRPr="00DF1AFD">
      <w:rPr>
        <w:lang w:val="en-US"/>
      </w:rPr>
      <w:t>WTSA-</w:t>
    </w:r>
    <w:r w:rsidR="00233820" w:rsidRPr="00DF1AFD">
      <w:rPr>
        <w:lang w:val="en-US" w:eastAsia="zh-CN"/>
      </w:rPr>
      <w:t>24</w:t>
    </w:r>
    <w:r w:rsidR="00233820" w:rsidRPr="00DF1AFD">
      <w:rPr>
        <w:lang w:val="en-US"/>
      </w:rPr>
      <w:t xml:space="preserve"> – </w:t>
    </w:r>
    <w:r w:rsidR="00233820">
      <w:rPr>
        <w:rFonts w:hint="eastAsia"/>
        <w:lang w:val="en-US" w:eastAsia="zh-CN"/>
      </w:rPr>
      <w:t>意见</w:t>
    </w:r>
    <w:r w:rsidR="00233820" w:rsidRPr="00DF1AFD">
      <w:fldChar w:fldCharType="begin"/>
    </w:r>
    <w:r w:rsidR="00233820" w:rsidRPr="00DF1AFD">
      <w:rPr>
        <w:lang w:val="en-US"/>
      </w:rPr>
      <w:instrText>styleref href</w:instrText>
    </w:r>
    <w:r w:rsidR="00233820" w:rsidRPr="00DF1AFD">
      <w:fldChar w:fldCharType="separate"/>
    </w:r>
    <w:r w:rsidR="00427234">
      <w:rPr>
        <w:rFonts w:hint="eastAsia"/>
        <w:noProof/>
        <w:lang w:val="en-US"/>
      </w:rPr>
      <w:t>意见</w:t>
    </w:r>
    <w:r w:rsidR="00427234">
      <w:rPr>
        <w:rFonts w:hint="eastAsia"/>
        <w:noProof/>
        <w:lang w:val="en-US"/>
      </w:rPr>
      <w:t>1</w:t>
    </w:r>
    <w:r w:rsidR="00233820" w:rsidRPr="00DF1AFD">
      <w:fldChar w:fldCharType="end"/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25</w:t>
    </w:r>
    <w:r w:rsidRPr="00B73379">
      <w:rPr>
        <w:b w:val="0"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6C6A4" w14:textId="17FD36F7" w:rsidR="00A4766C" w:rsidRPr="00A4766C" w:rsidRDefault="00A4766C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Pr="00DF1AFD">
      <w:rPr>
        <w:lang w:val="en-US"/>
      </w:rPr>
      <w:t>WTSA-</w:t>
    </w:r>
    <w:r w:rsidR="00FD149C">
      <w:rPr>
        <w:rFonts w:hint="eastAsia"/>
        <w:lang w:val="en-US" w:eastAsia="zh-CN"/>
      </w:rPr>
      <w:t>12</w:t>
    </w:r>
    <w:r w:rsidRPr="00DF1AFD">
      <w:rPr>
        <w:lang w:val="en-US"/>
      </w:rPr>
      <w:t xml:space="preserve"> –</w:t>
    </w:r>
    <w:r w:rsidRPr="00DF1AFD">
      <w:fldChar w:fldCharType="begin"/>
    </w:r>
    <w:r w:rsidRPr="00DF1AFD">
      <w:rPr>
        <w:lang w:val="en-US"/>
      </w:rPr>
      <w:instrText>styleref href</w:instrText>
    </w:r>
    <w:r w:rsidRPr="00DF1AFD">
      <w:fldChar w:fldCharType="separate"/>
    </w:r>
    <w:r w:rsidR="00427234">
      <w:rPr>
        <w:rFonts w:hint="eastAsia"/>
        <w:noProof/>
        <w:lang w:val="en-US"/>
      </w:rPr>
      <w:t>意见</w:t>
    </w:r>
    <w:r w:rsidR="00427234">
      <w:rPr>
        <w:rFonts w:hint="eastAsia"/>
        <w:noProof/>
        <w:lang w:val="en-US"/>
      </w:rPr>
      <w:t>1</w:t>
    </w:r>
    <w:r w:rsidRPr="00DF1AFD">
      <w:fldChar w:fldCharType="end"/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15</w:t>
    </w:r>
    <w:r w:rsidRPr="00B73379">
      <w:rPr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84567" w14:textId="77777777" w:rsidR="00AB243B" w:rsidRDefault="00AB243B">
      <w:r>
        <w:t>____________________</w:t>
      </w:r>
    </w:p>
  </w:footnote>
  <w:footnote w:type="continuationSeparator" w:id="0">
    <w:p w14:paraId="19EE083E" w14:textId="77777777" w:rsidR="00AB243B" w:rsidRDefault="00AB2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0BE2" w14:textId="77777777" w:rsidR="00EA2A26" w:rsidRDefault="00EA2A2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6D224" w14:textId="77777777" w:rsidR="00EA2A26" w:rsidRDefault="00EA2A26" w:rsidP="00CE6FB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2A584" w14:textId="77777777" w:rsidR="00A65D98" w:rsidRDefault="00A65D98">
    <w:pPr>
      <w:pStyle w:val="Header"/>
      <w:ind w:right="360"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F2D71" w14:textId="77777777" w:rsidR="00C72AF4" w:rsidRDefault="00C72AF4">
    <w:pPr>
      <w:pStyle w:val="Header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CFEDD" w14:textId="77777777" w:rsidR="00AA1264" w:rsidRPr="00AA1264" w:rsidRDefault="00AA1264" w:rsidP="00AA126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BC5B" w14:textId="77777777" w:rsidR="00A4766C" w:rsidRDefault="00A47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3771CF"/>
    <w:multiLevelType w:val="hybridMultilevel"/>
    <w:tmpl w:val="A6E2B150"/>
    <w:lvl w:ilvl="0" w:tplc="13AC265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AD64F5"/>
    <w:multiLevelType w:val="hybridMultilevel"/>
    <w:tmpl w:val="FB7ECF2E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945E817E">
      <w:start w:val="3"/>
      <w:numFmt w:val="bullet"/>
      <w:lvlText w:val="-"/>
      <w:lvlJc w:val="left"/>
      <w:pPr>
        <w:tabs>
          <w:tab w:val="num" w:pos="2339"/>
        </w:tabs>
        <w:ind w:left="2339" w:hanging="465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6" w15:restartNumberingAfterBreak="0">
    <w:nsid w:val="04C10297"/>
    <w:multiLevelType w:val="hybridMultilevel"/>
    <w:tmpl w:val="C9E84DA2"/>
    <w:lvl w:ilvl="0" w:tplc="B9C2E4B0">
      <w:start w:val="3"/>
      <w:numFmt w:val="lowerRoman"/>
      <w:lvlText w:val="%1)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94"/>
        </w:tabs>
        <w:ind w:left="159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94"/>
        </w:tabs>
        <w:ind w:left="279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94"/>
        </w:tabs>
        <w:ind w:left="399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00"/>
      </w:pPr>
    </w:lvl>
  </w:abstractNum>
  <w:abstractNum w:abstractNumId="7" w15:restartNumberingAfterBreak="0">
    <w:nsid w:val="06D13142"/>
    <w:multiLevelType w:val="multilevel"/>
    <w:tmpl w:val="FC805C12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DB3661"/>
    <w:multiLevelType w:val="hybridMultilevel"/>
    <w:tmpl w:val="18B06554"/>
    <w:lvl w:ilvl="0" w:tplc="C728CD9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0C0E3449"/>
    <w:multiLevelType w:val="hybridMultilevel"/>
    <w:tmpl w:val="12049A1A"/>
    <w:lvl w:ilvl="0" w:tplc="32400C4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137C3191"/>
    <w:multiLevelType w:val="multilevel"/>
    <w:tmpl w:val="3426EF6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E552A1"/>
    <w:multiLevelType w:val="hybridMultilevel"/>
    <w:tmpl w:val="9C3ACEEA"/>
    <w:lvl w:ilvl="0" w:tplc="3C3C5DB6">
      <w:start w:val="3"/>
      <w:numFmt w:val="lowerLetter"/>
      <w:lvlText w:val="%1)"/>
      <w:lvlJc w:val="left"/>
      <w:pPr>
        <w:tabs>
          <w:tab w:val="num" w:pos="1155"/>
        </w:tabs>
        <w:ind w:left="1155" w:hanging="7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B2326"/>
    <w:multiLevelType w:val="hybridMultilevel"/>
    <w:tmpl w:val="2A5A2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3433"/>
    <w:multiLevelType w:val="hybridMultilevel"/>
    <w:tmpl w:val="542460AA"/>
    <w:lvl w:ilvl="0" w:tplc="5756D91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C7644E"/>
    <w:multiLevelType w:val="hybridMultilevel"/>
    <w:tmpl w:val="5D2016D4"/>
    <w:lvl w:ilvl="0" w:tplc="18C6A21C">
      <w:start w:val="1"/>
      <w:numFmt w:val="lowerLetter"/>
      <w:lvlText w:val="%1)"/>
      <w:lvlJc w:val="left"/>
      <w:pPr>
        <w:ind w:left="3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073DB"/>
    <w:multiLevelType w:val="hybridMultilevel"/>
    <w:tmpl w:val="B7F4B8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4B2CB9"/>
    <w:multiLevelType w:val="multilevel"/>
    <w:tmpl w:val="705E47D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A75D95"/>
    <w:multiLevelType w:val="hybridMultilevel"/>
    <w:tmpl w:val="03CCFCEA"/>
    <w:lvl w:ilvl="0" w:tplc="F1829A40">
      <w:start w:val="1"/>
      <w:numFmt w:val="lowerLetter"/>
      <w:lvlText w:val="%1)"/>
      <w:lvlJc w:val="left"/>
      <w:pPr>
        <w:ind w:left="72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580ADD"/>
    <w:multiLevelType w:val="hybridMultilevel"/>
    <w:tmpl w:val="57D874FA"/>
    <w:lvl w:ilvl="0" w:tplc="D16005EA">
      <w:start w:val="3"/>
      <w:numFmt w:val="lowerRoman"/>
      <w:lvlText w:val="%1)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9" w15:restartNumberingAfterBreak="0">
    <w:nsid w:val="559F0960"/>
    <w:multiLevelType w:val="hybridMultilevel"/>
    <w:tmpl w:val="C52E18BE"/>
    <w:lvl w:ilvl="0" w:tplc="0B06629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A955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37678"/>
    <w:multiLevelType w:val="hybridMultilevel"/>
    <w:tmpl w:val="36B05B1C"/>
    <w:lvl w:ilvl="0" w:tplc="4D02BE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8CB6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 Bold" w:eastAsia="Times New Roman" w:hAnsi="Times New Roman Bold"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F6C09"/>
    <w:multiLevelType w:val="hybridMultilevel"/>
    <w:tmpl w:val="94225D8E"/>
    <w:lvl w:ilvl="0" w:tplc="92D22FA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5726E"/>
    <w:multiLevelType w:val="multilevel"/>
    <w:tmpl w:val="4BDC83F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D496900"/>
    <w:multiLevelType w:val="hybridMultilevel"/>
    <w:tmpl w:val="D528D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C4DA6"/>
    <w:multiLevelType w:val="hybridMultilevel"/>
    <w:tmpl w:val="AA5C218A"/>
    <w:lvl w:ilvl="0" w:tplc="040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</w:lvl>
    <w:lvl w:ilvl="1" w:tplc="48DA20EE">
      <w:start w:val="1"/>
      <w:numFmt w:val="decimal"/>
      <w:lvlText w:val="%2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1B001E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6A26EA"/>
    <w:multiLevelType w:val="hybridMultilevel"/>
    <w:tmpl w:val="4A180894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26" w15:restartNumberingAfterBreak="0">
    <w:nsid w:val="7AF43A61"/>
    <w:multiLevelType w:val="hybridMultilevel"/>
    <w:tmpl w:val="B890094C"/>
    <w:lvl w:ilvl="0" w:tplc="0C78C4B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10BA4"/>
    <w:multiLevelType w:val="hybridMultilevel"/>
    <w:tmpl w:val="4AA87EB8"/>
    <w:lvl w:ilvl="0" w:tplc="27E61176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450147"/>
    <w:multiLevelType w:val="hybridMultilevel"/>
    <w:tmpl w:val="166A2A8E"/>
    <w:lvl w:ilvl="0" w:tplc="1FF8DF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508400534">
    <w:abstractNumId w:val="28"/>
  </w:num>
  <w:num w:numId="2" w16cid:durableId="1539005737">
    <w:abstractNumId w:val="13"/>
  </w:num>
  <w:num w:numId="3" w16cid:durableId="139750628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763375">
    <w:abstractNumId w:val="18"/>
  </w:num>
  <w:num w:numId="5" w16cid:durableId="769550680">
    <w:abstractNumId w:val="20"/>
  </w:num>
  <w:num w:numId="6" w16cid:durableId="1028213405">
    <w:abstractNumId w:val="8"/>
  </w:num>
  <w:num w:numId="7" w16cid:durableId="40861194">
    <w:abstractNumId w:val="6"/>
  </w:num>
  <w:num w:numId="8" w16cid:durableId="548878394">
    <w:abstractNumId w:val="26"/>
  </w:num>
  <w:num w:numId="9" w16cid:durableId="1708675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3695314">
    <w:abstractNumId w:val="21"/>
  </w:num>
  <w:num w:numId="11" w16cid:durableId="1320033458">
    <w:abstractNumId w:val="4"/>
  </w:num>
  <w:num w:numId="12" w16cid:durableId="1625772228">
    <w:abstractNumId w:val="14"/>
  </w:num>
  <w:num w:numId="13" w16cid:durableId="1976832084">
    <w:abstractNumId w:val="15"/>
  </w:num>
  <w:num w:numId="14" w16cid:durableId="1031564875">
    <w:abstractNumId w:val="23"/>
  </w:num>
  <w:num w:numId="15" w16cid:durableId="163209178">
    <w:abstractNumId w:val="12"/>
  </w:num>
  <w:num w:numId="16" w16cid:durableId="922253490">
    <w:abstractNumId w:val="27"/>
  </w:num>
  <w:num w:numId="17" w16cid:durableId="100997407">
    <w:abstractNumId w:val="24"/>
  </w:num>
  <w:num w:numId="18" w16cid:durableId="1323191817">
    <w:abstractNumId w:val="19"/>
  </w:num>
  <w:num w:numId="19" w16cid:durableId="1344938320">
    <w:abstractNumId w:val="9"/>
  </w:num>
  <w:num w:numId="20" w16cid:durableId="1045105427">
    <w:abstractNumId w:val="16"/>
  </w:num>
  <w:num w:numId="21" w16cid:durableId="957953241">
    <w:abstractNumId w:val="10"/>
  </w:num>
  <w:num w:numId="22" w16cid:durableId="884409409">
    <w:abstractNumId w:val="22"/>
  </w:num>
  <w:num w:numId="23" w16cid:durableId="1534727971">
    <w:abstractNumId w:val="7"/>
  </w:num>
  <w:num w:numId="24" w16cid:durableId="108009643">
    <w:abstractNumId w:val="25"/>
  </w:num>
  <w:num w:numId="25" w16cid:durableId="160618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26"/>
    <w:rsid w:val="00001053"/>
    <w:rsid w:val="00006C17"/>
    <w:rsid w:val="00011D78"/>
    <w:rsid w:val="00017B45"/>
    <w:rsid w:val="00023463"/>
    <w:rsid w:val="0003503D"/>
    <w:rsid w:val="00073A3F"/>
    <w:rsid w:val="0007772C"/>
    <w:rsid w:val="00083684"/>
    <w:rsid w:val="000843D3"/>
    <w:rsid w:val="000B071B"/>
    <w:rsid w:val="000B47CD"/>
    <w:rsid w:val="000B5A36"/>
    <w:rsid w:val="000C22AE"/>
    <w:rsid w:val="000C26CC"/>
    <w:rsid w:val="000D378F"/>
    <w:rsid w:val="000D3CE4"/>
    <w:rsid w:val="000D5219"/>
    <w:rsid w:val="000D6DAE"/>
    <w:rsid w:val="000E4393"/>
    <w:rsid w:val="000F33F8"/>
    <w:rsid w:val="001077E5"/>
    <w:rsid w:val="00117D80"/>
    <w:rsid w:val="00120886"/>
    <w:rsid w:val="00123A0C"/>
    <w:rsid w:val="001309FB"/>
    <w:rsid w:val="00141741"/>
    <w:rsid w:val="001762A1"/>
    <w:rsid w:val="001B4A76"/>
    <w:rsid w:val="001C5240"/>
    <w:rsid w:val="001C604C"/>
    <w:rsid w:val="001F3813"/>
    <w:rsid w:val="002178BA"/>
    <w:rsid w:val="002204D5"/>
    <w:rsid w:val="002210D5"/>
    <w:rsid w:val="00227040"/>
    <w:rsid w:val="00233820"/>
    <w:rsid w:val="00237B40"/>
    <w:rsid w:val="002462EF"/>
    <w:rsid w:val="00246C17"/>
    <w:rsid w:val="00267790"/>
    <w:rsid w:val="002742C3"/>
    <w:rsid w:val="002825B1"/>
    <w:rsid w:val="00285B9F"/>
    <w:rsid w:val="002C182C"/>
    <w:rsid w:val="002D5607"/>
    <w:rsid w:val="002E1B7B"/>
    <w:rsid w:val="002E6A20"/>
    <w:rsid w:val="002F493C"/>
    <w:rsid w:val="00330BF4"/>
    <w:rsid w:val="00331B2F"/>
    <w:rsid w:val="003374BB"/>
    <w:rsid w:val="00346698"/>
    <w:rsid w:val="00346E91"/>
    <w:rsid w:val="0035222D"/>
    <w:rsid w:val="00370DE5"/>
    <w:rsid w:val="0038237B"/>
    <w:rsid w:val="00390D83"/>
    <w:rsid w:val="003B5D6F"/>
    <w:rsid w:val="003C3FD9"/>
    <w:rsid w:val="003D116F"/>
    <w:rsid w:val="003D3DD5"/>
    <w:rsid w:val="003D7A8C"/>
    <w:rsid w:val="003F212E"/>
    <w:rsid w:val="003F293E"/>
    <w:rsid w:val="00410114"/>
    <w:rsid w:val="00427234"/>
    <w:rsid w:val="00443754"/>
    <w:rsid w:val="004568D2"/>
    <w:rsid w:val="004612A7"/>
    <w:rsid w:val="00462F6A"/>
    <w:rsid w:val="00467305"/>
    <w:rsid w:val="00482375"/>
    <w:rsid w:val="0048772A"/>
    <w:rsid w:val="00490B7D"/>
    <w:rsid w:val="004A58A4"/>
    <w:rsid w:val="004A78C2"/>
    <w:rsid w:val="004B23A7"/>
    <w:rsid w:val="004B7CB1"/>
    <w:rsid w:val="004D09AC"/>
    <w:rsid w:val="004D3C2C"/>
    <w:rsid w:val="004D6FF6"/>
    <w:rsid w:val="004F2E56"/>
    <w:rsid w:val="00501F47"/>
    <w:rsid w:val="00504D1F"/>
    <w:rsid w:val="00524FB2"/>
    <w:rsid w:val="00526543"/>
    <w:rsid w:val="0053765D"/>
    <w:rsid w:val="0054155E"/>
    <w:rsid w:val="00541FB7"/>
    <w:rsid w:val="005457B6"/>
    <w:rsid w:val="005534D7"/>
    <w:rsid w:val="005569CA"/>
    <w:rsid w:val="00562EF2"/>
    <w:rsid w:val="00565747"/>
    <w:rsid w:val="00566436"/>
    <w:rsid w:val="00574CFF"/>
    <w:rsid w:val="005D1D45"/>
    <w:rsid w:val="00601999"/>
    <w:rsid w:val="00611CD0"/>
    <w:rsid w:val="00631549"/>
    <w:rsid w:val="006425B4"/>
    <w:rsid w:val="00653C1B"/>
    <w:rsid w:val="00665F6E"/>
    <w:rsid w:val="006678D7"/>
    <w:rsid w:val="006824D9"/>
    <w:rsid w:val="00684F2B"/>
    <w:rsid w:val="00693D4F"/>
    <w:rsid w:val="00697D23"/>
    <w:rsid w:val="006B0459"/>
    <w:rsid w:val="006B2E7F"/>
    <w:rsid w:val="006B5987"/>
    <w:rsid w:val="006E13C5"/>
    <w:rsid w:val="006F01CD"/>
    <w:rsid w:val="006F72F4"/>
    <w:rsid w:val="00706D36"/>
    <w:rsid w:val="00707551"/>
    <w:rsid w:val="007116DC"/>
    <w:rsid w:val="0071403C"/>
    <w:rsid w:val="00717E4B"/>
    <w:rsid w:val="00720F3C"/>
    <w:rsid w:val="00726747"/>
    <w:rsid w:val="00731CD7"/>
    <w:rsid w:val="0074102F"/>
    <w:rsid w:val="007550BF"/>
    <w:rsid w:val="00756CA5"/>
    <w:rsid w:val="00780423"/>
    <w:rsid w:val="00781E25"/>
    <w:rsid w:val="00783EB8"/>
    <w:rsid w:val="007958DD"/>
    <w:rsid w:val="007B6474"/>
    <w:rsid w:val="007D13B4"/>
    <w:rsid w:val="007D2462"/>
    <w:rsid w:val="007E0240"/>
    <w:rsid w:val="007F32A3"/>
    <w:rsid w:val="008075CD"/>
    <w:rsid w:val="00823AB1"/>
    <w:rsid w:val="00837339"/>
    <w:rsid w:val="008413B5"/>
    <w:rsid w:val="00843454"/>
    <w:rsid w:val="00845E8E"/>
    <w:rsid w:val="00851E30"/>
    <w:rsid w:val="0088751E"/>
    <w:rsid w:val="008968B6"/>
    <w:rsid w:val="008A73EB"/>
    <w:rsid w:val="008B4CF6"/>
    <w:rsid w:val="008C323E"/>
    <w:rsid w:val="008C46CF"/>
    <w:rsid w:val="008C7FC3"/>
    <w:rsid w:val="008D4A0D"/>
    <w:rsid w:val="008D6D8D"/>
    <w:rsid w:val="008E3EF3"/>
    <w:rsid w:val="008E4278"/>
    <w:rsid w:val="00901958"/>
    <w:rsid w:val="009055E3"/>
    <w:rsid w:val="00905B41"/>
    <w:rsid w:val="00916468"/>
    <w:rsid w:val="0092650E"/>
    <w:rsid w:val="009301C1"/>
    <w:rsid w:val="00931C08"/>
    <w:rsid w:val="00931EE1"/>
    <w:rsid w:val="009330E7"/>
    <w:rsid w:val="00934946"/>
    <w:rsid w:val="009423EF"/>
    <w:rsid w:val="0095090C"/>
    <w:rsid w:val="009517D7"/>
    <w:rsid w:val="00953471"/>
    <w:rsid w:val="00965E76"/>
    <w:rsid w:val="00974C0C"/>
    <w:rsid w:val="009755D7"/>
    <w:rsid w:val="009C2357"/>
    <w:rsid w:val="009C39E4"/>
    <w:rsid w:val="009D10A5"/>
    <w:rsid w:val="009D26AE"/>
    <w:rsid w:val="009D447B"/>
    <w:rsid w:val="009E1DCF"/>
    <w:rsid w:val="009F7009"/>
    <w:rsid w:val="00A01A91"/>
    <w:rsid w:val="00A03B1F"/>
    <w:rsid w:val="00A24E9A"/>
    <w:rsid w:val="00A26B1A"/>
    <w:rsid w:val="00A3085D"/>
    <w:rsid w:val="00A42BA1"/>
    <w:rsid w:val="00A4766C"/>
    <w:rsid w:val="00A64521"/>
    <w:rsid w:val="00A65D98"/>
    <w:rsid w:val="00A83D3D"/>
    <w:rsid w:val="00AA1264"/>
    <w:rsid w:val="00AA1D27"/>
    <w:rsid w:val="00AA2D89"/>
    <w:rsid w:val="00AB1DD4"/>
    <w:rsid w:val="00AB243B"/>
    <w:rsid w:val="00AB2633"/>
    <w:rsid w:val="00AB4404"/>
    <w:rsid w:val="00AC02D1"/>
    <w:rsid w:val="00AC0AFD"/>
    <w:rsid w:val="00AC4AF1"/>
    <w:rsid w:val="00AD167C"/>
    <w:rsid w:val="00AE4C26"/>
    <w:rsid w:val="00B07593"/>
    <w:rsid w:val="00B150A9"/>
    <w:rsid w:val="00B23929"/>
    <w:rsid w:val="00B241C9"/>
    <w:rsid w:val="00B3059C"/>
    <w:rsid w:val="00B33CAA"/>
    <w:rsid w:val="00B50CB4"/>
    <w:rsid w:val="00B50D4E"/>
    <w:rsid w:val="00B50F17"/>
    <w:rsid w:val="00B56BC0"/>
    <w:rsid w:val="00B67290"/>
    <w:rsid w:val="00B73379"/>
    <w:rsid w:val="00B73B62"/>
    <w:rsid w:val="00B92804"/>
    <w:rsid w:val="00BB34EA"/>
    <w:rsid w:val="00BE58E6"/>
    <w:rsid w:val="00BF610E"/>
    <w:rsid w:val="00C12E70"/>
    <w:rsid w:val="00C32F69"/>
    <w:rsid w:val="00C42785"/>
    <w:rsid w:val="00C42BE5"/>
    <w:rsid w:val="00C46BDC"/>
    <w:rsid w:val="00C64078"/>
    <w:rsid w:val="00C65373"/>
    <w:rsid w:val="00C706FC"/>
    <w:rsid w:val="00C72AF4"/>
    <w:rsid w:val="00CA5F9A"/>
    <w:rsid w:val="00CB2274"/>
    <w:rsid w:val="00CD10C2"/>
    <w:rsid w:val="00CD3865"/>
    <w:rsid w:val="00CD517B"/>
    <w:rsid w:val="00CE767E"/>
    <w:rsid w:val="00CF024D"/>
    <w:rsid w:val="00CF0C69"/>
    <w:rsid w:val="00D20887"/>
    <w:rsid w:val="00D252EF"/>
    <w:rsid w:val="00D26ECC"/>
    <w:rsid w:val="00D4292A"/>
    <w:rsid w:val="00D457B6"/>
    <w:rsid w:val="00D50046"/>
    <w:rsid w:val="00D54881"/>
    <w:rsid w:val="00D55C4C"/>
    <w:rsid w:val="00D63743"/>
    <w:rsid w:val="00D66950"/>
    <w:rsid w:val="00D76D88"/>
    <w:rsid w:val="00D8497D"/>
    <w:rsid w:val="00D85D53"/>
    <w:rsid w:val="00D94D9E"/>
    <w:rsid w:val="00D96CEE"/>
    <w:rsid w:val="00DA7D60"/>
    <w:rsid w:val="00DB2AF8"/>
    <w:rsid w:val="00DB5592"/>
    <w:rsid w:val="00DD345D"/>
    <w:rsid w:val="00DE48B4"/>
    <w:rsid w:val="00DF1AFD"/>
    <w:rsid w:val="00E03ABC"/>
    <w:rsid w:val="00E154E2"/>
    <w:rsid w:val="00E20918"/>
    <w:rsid w:val="00E300EC"/>
    <w:rsid w:val="00E32EEC"/>
    <w:rsid w:val="00E51820"/>
    <w:rsid w:val="00E56BAB"/>
    <w:rsid w:val="00E67297"/>
    <w:rsid w:val="00E758D6"/>
    <w:rsid w:val="00E82452"/>
    <w:rsid w:val="00E83C1C"/>
    <w:rsid w:val="00E9008A"/>
    <w:rsid w:val="00E913E3"/>
    <w:rsid w:val="00E93AC9"/>
    <w:rsid w:val="00E96B11"/>
    <w:rsid w:val="00E96C27"/>
    <w:rsid w:val="00EA12A2"/>
    <w:rsid w:val="00EA2A26"/>
    <w:rsid w:val="00EB3556"/>
    <w:rsid w:val="00EC2D19"/>
    <w:rsid w:val="00EE1126"/>
    <w:rsid w:val="00EE2FE2"/>
    <w:rsid w:val="00EE4B7A"/>
    <w:rsid w:val="00F0099E"/>
    <w:rsid w:val="00F07EEC"/>
    <w:rsid w:val="00F12607"/>
    <w:rsid w:val="00F15F98"/>
    <w:rsid w:val="00F250DC"/>
    <w:rsid w:val="00F34748"/>
    <w:rsid w:val="00F4281C"/>
    <w:rsid w:val="00F576B9"/>
    <w:rsid w:val="00F67E96"/>
    <w:rsid w:val="00FA70B7"/>
    <w:rsid w:val="00FC6CA4"/>
    <w:rsid w:val="00FD149C"/>
    <w:rsid w:val="00FD23A9"/>
    <w:rsid w:val="00FE50DE"/>
    <w:rsid w:val="00FE715C"/>
    <w:rsid w:val="00FF0521"/>
    <w:rsid w:val="00FF2798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E57DB"/>
  <w15:docId w15:val="{4EFD016A-5C5C-47F6-9039-194AE1CE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772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60"/>
      <w:outlineLvl w:val="1"/>
    </w:pPr>
  </w:style>
  <w:style w:type="paragraph" w:styleId="Heading3">
    <w:name w:val="heading 3"/>
    <w:basedOn w:val="Heading1"/>
    <w:next w:val="Normal"/>
    <w:qFormat/>
    <w:pPr>
      <w:spacing w:before="24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qFormat/>
    <w:rsid w:val="00B3059C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qFormat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 w:line="240" w:lineRule="exact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qFormat/>
    <w:rsid w:val="003374BB"/>
    <w:rPr>
      <w:lang w:val="fr-FR" w:eastAsia="en-US" w:bidi="ar-SA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character" w:customStyle="1" w:styleId="enumlev1Char">
    <w:name w:val="enumlev1 Char"/>
    <w:link w:val="enumlev1"/>
    <w:rsid w:val="003374BB"/>
    <w:rPr>
      <w:sz w:val="22"/>
      <w:lang w:val="fr-FR" w:eastAsia="en-US" w:bidi="ar-SA"/>
    </w:r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</w:style>
  <w:style w:type="paragraph" w:customStyle="1" w:styleId="Chaptitle">
    <w:name w:val="Chap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uiPriority w:val="99"/>
    <w:pPr>
      <w:spacing w:before="400"/>
    </w:pPr>
  </w:style>
  <w:style w:type="character" w:styleId="PageNumber">
    <w:name w:val="page number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BodyTextFirstIndent">
    <w:name w:val="Body Text First Indent"/>
    <w:basedOn w:val="BodyText"/>
    <w:rsid w:val="00EE1126"/>
    <w:pPr>
      <w:spacing w:after="120"/>
      <w:ind w:firstLine="210"/>
    </w:pPr>
    <w:rPr>
      <w:rFonts w:ascii="Times New Roman" w:hAnsi="Times New Roman" w:cs="Times New Roman"/>
      <w:b w:val="0"/>
      <w:bCs w:val="0"/>
      <w:sz w:val="22"/>
    </w:rPr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b/>
      <w:bCs/>
      <w:sz w:val="36"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720" w:after="120"/>
      <w:jc w:val="center"/>
    </w:pPr>
    <w:rPr>
      <w:b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Title"/>
    <w:basedOn w:val="AnnexNoTitle"/>
    <w:next w:val="Normalaftertitle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rsid w:val="0007772C"/>
    <w:pPr>
      <w:keepNext/>
      <w:keepLines/>
      <w:spacing w:before="240"/>
      <w:ind w:left="794"/>
      <w:jc w:val="left"/>
    </w:pPr>
    <w:rPr>
      <w:rFonts w:ascii="STKaiti" w:eastAsia="STKaiti" w:hAnsi="STKaiti"/>
    </w:rPr>
  </w:style>
  <w:style w:type="character" w:customStyle="1" w:styleId="CallChar">
    <w:name w:val="Call Char"/>
    <w:link w:val="Call"/>
    <w:rsid w:val="0007772C"/>
    <w:rPr>
      <w:rFonts w:ascii="STKaiti" w:eastAsia="STKaiti" w:hAnsi="STKaiti"/>
      <w:sz w:val="24"/>
      <w:lang w:val="fr-FR" w:eastAsia="en-US"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pPr>
      <w:ind w:left="284"/>
      <w:jc w:val="left"/>
    </w:pPr>
  </w:style>
  <w:style w:type="paragraph" w:styleId="Index3">
    <w:name w:val="index 3"/>
    <w:basedOn w:val="Normal"/>
    <w:next w:val="Normal"/>
    <w:semiHidden/>
    <w:pPr>
      <w:ind w:left="567"/>
      <w:jc w:val="left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 w:line="240" w:lineRule="auto"/>
      <w:jc w:val="center"/>
    </w:pPr>
    <w:rPr>
      <w:b/>
      <w:sz w:val="28"/>
    </w:rPr>
  </w:style>
  <w:style w:type="character" w:customStyle="1" w:styleId="RecNoChar">
    <w:name w:val="Rec_No Char"/>
    <w:link w:val="RecNo"/>
    <w:rsid w:val="003D7A8C"/>
    <w:rPr>
      <w:b/>
      <w:sz w:val="28"/>
      <w:lang w:val="fr-FR" w:eastAsia="en-US" w:bidi="ar-SA"/>
    </w:rPr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</w:style>
  <w:style w:type="paragraph" w:customStyle="1" w:styleId="Resref">
    <w:name w:val="Res_ref"/>
    <w:basedOn w:val="Recref"/>
    <w:next w:val="Resdate"/>
    <w:qFormat/>
    <w:rsid w:val="00443754"/>
    <w:rPr>
      <w:rFonts w:eastAsia="STKaiti"/>
      <w:i w:val="0"/>
    </w:rPr>
  </w:style>
  <w:style w:type="character" w:customStyle="1" w:styleId="RestitleChar">
    <w:name w:val="Res_title Char"/>
    <w:link w:val="Restitle"/>
    <w:rsid w:val="003374BB"/>
    <w:rPr>
      <w:b/>
      <w:sz w:val="28"/>
      <w:lang w:val="fr-FR" w:eastAsia="en-US" w:bidi="ar-SA"/>
    </w:rPr>
  </w:style>
  <w:style w:type="character" w:customStyle="1" w:styleId="ResNoChar">
    <w:name w:val="Res_No Char"/>
    <w:link w:val="ResNo"/>
    <w:rsid w:val="00D8497D"/>
    <w:rPr>
      <w:caps/>
      <w:sz w:val="28"/>
      <w:lang w:val="fr-FR" w:eastAsia="en-US" w:bidi="ar-SA"/>
    </w:rPr>
  </w:style>
  <w:style w:type="paragraph" w:customStyle="1" w:styleId="SectionNo">
    <w:name w:val="Section_No"/>
    <w:basedOn w:val="Normal"/>
    <w:next w:val="Sectiontitl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Index5">
    <w:name w:val="index 5"/>
    <w:basedOn w:val="Normal"/>
    <w:next w:val="Normal"/>
    <w:semiHidden/>
    <w:pPr>
      <w:spacing w:before="120" w:line="240" w:lineRule="auto"/>
      <w:ind w:left="1132"/>
      <w:jc w:val="left"/>
    </w:pPr>
    <w:rPr>
      <w:lang w:val="en-GB"/>
    </w:rPr>
  </w:style>
  <w:style w:type="paragraph" w:styleId="Index4">
    <w:name w:val="index 4"/>
    <w:basedOn w:val="Normal"/>
    <w:next w:val="Normal"/>
    <w:semiHidden/>
    <w:pPr>
      <w:spacing w:before="120" w:line="240" w:lineRule="auto"/>
      <w:ind w:left="849"/>
      <w:jc w:val="left"/>
    </w:pPr>
    <w:rPr>
      <w:lang w:val="en-GB"/>
    </w:rPr>
  </w:style>
  <w:style w:type="paragraph" w:styleId="BodyText2">
    <w:name w:val="Body Text 2"/>
    <w:basedOn w:val="Normal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character" w:customStyle="1" w:styleId="href">
    <w:name w:val="href"/>
    <w:basedOn w:val="DefaultParagraphFont"/>
    <w:qFormat/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 w:line="240" w:lineRule="auto"/>
    </w:pPr>
    <w:rPr>
      <w:lang w:val="en-GB"/>
    </w:rPr>
  </w:style>
  <w:style w:type="paragraph" w:customStyle="1" w:styleId="blanc">
    <w:name w:val="blanc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TableTitle">
    <w:name w:val="Table_Title"/>
    <w:basedOn w:val="Normal"/>
    <w:next w:val="Tabletext"/>
    <w:rsid w:val="00A01A91"/>
    <w:pPr>
      <w:keepNext/>
      <w:keepLines/>
      <w:spacing w:before="480" w:after="120" w:line="240" w:lineRule="auto"/>
      <w:jc w:val="center"/>
    </w:pPr>
    <w:rPr>
      <w:b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rsid w:val="004A58A4"/>
    <w:pPr>
      <w:spacing w:before="280" w:line="240" w:lineRule="auto"/>
    </w:pPr>
    <w:rPr>
      <w:lang w:val="en-GB"/>
    </w:rPr>
  </w:style>
  <w:style w:type="character" w:customStyle="1" w:styleId="docdisplay">
    <w:name w:val="doc_display"/>
    <w:basedOn w:val="DefaultParagraphFont"/>
    <w:rsid w:val="00A83D3D"/>
  </w:style>
  <w:style w:type="paragraph" w:customStyle="1" w:styleId="AnnexNo">
    <w:name w:val="Annex_No"/>
    <w:basedOn w:val="Normal"/>
    <w:next w:val="Normal"/>
    <w:rsid w:val="00DB2AF8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character" w:customStyle="1" w:styleId="CharChar">
    <w:name w:val="Char Char"/>
    <w:semiHidden/>
    <w:locked/>
    <w:rsid w:val="009D26AE"/>
    <w:rPr>
      <w:sz w:val="24"/>
      <w:lang w:val="en-GB" w:eastAsia="en-US" w:bidi="ar-SA"/>
    </w:rPr>
  </w:style>
  <w:style w:type="character" w:customStyle="1" w:styleId="NormalaftertitleChar">
    <w:name w:val="Normal after title Char"/>
    <w:link w:val="Normalaftertitle0"/>
    <w:locked/>
    <w:rsid w:val="004A58A4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rsid w:val="00EE1126"/>
    <w:pPr>
      <w:spacing w:after="120"/>
      <w:ind w:left="283"/>
    </w:pPr>
  </w:style>
  <w:style w:type="paragraph" w:styleId="List2">
    <w:name w:val="List 2"/>
    <w:basedOn w:val="Normal"/>
    <w:rsid w:val="00EE1126"/>
    <w:pPr>
      <w:spacing w:before="120" w:line="240" w:lineRule="auto"/>
      <w:ind w:left="566" w:hanging="283"/>
    </w:pPr>
  </w:style>
  <w:style w:type="paragraph" w:styleId="BodyTextIndent2">
    <w:name w:val="Body Text Indent 2"/>
    <w:basedOn w:val="Normal"/>
    <w:rsid w:val="008B4CF6"/>
    <w:pPr>
      <w:spacing w:after="120" w:line="480" w:lineRule="auto"/>
      <w:ind w:left="283"/>
    </w:pPr>
  </w:style>
  <w:style w:type="paragraph" w:customStyle="1" w:styleId="Formal">
    <w:name w:val="Formal"/>
    <w:basedOn w:val="ASN1"/>
    <w:rsid w:val="008B4CF6"/>
    <w:pPr>
      <w:overflowPunct w:val="0"/>
      <w:autoSpaceDE w:val="0"/>
      <w:autoSpaceDN w:val="0"/>
      <w:adjustRightInd w:val="0"/>
      <w:textAlignment w:val="baseline"/>
    </w:pPr>
    <w:rPr>
      <w:b w:val="0"/>
      <w:lang w:val="en-US"/>
    </w:rPr>
  </w:style>
  <w:style w:type="paragraph" w:customStyle="1" w:styleId="FigureNo">
    <w:name w:val="Figure_No"/>
    <w:basedOn w:val="Normal"/>
    <w:next w:val="Figuretitle"/>
    <w:uiPriority w:val="99"/>
    <w:rsid w:val="000E4393"/>
    <w:pPr>
      <w:keepNext/>
      <w:keepLines/>
      <w:spacing w:before="480" w:after="120" w:line="240" w:lineRule="auto"/>
      <w:jc w:val="center"/>
    </w:pPr>
    <w:rPr>
      <w:caps/>
      <w:lang w:val="en-GB"/>
    </w:rPr>
  </w:style>
  <w:style w:type="paragraph" w:customStyle="1" w:styleId="Figuretitle">
    <w:name w:val="Figure_title"/>
    <w:basedOn w:val="Normal"/>
    <w:next w:val="Normal"/>
    <w:rsid w:val="000E4393"/>
    <w:pPr>
      <w:keepLines/>
      <w:spacing w:before="0" w:after="480" w:line="240" w:lineRule="auto"/>
      <w:jc w:val="center"/>
    </w:pPr>
    <w:rPr>
      <w:rFonts w:ascii="Times New Roman Bold" w:hAnsi="Times New Roman Bold"/>
      <w:b/>
      <w:lang w:val="en-GB"/>
    </w:rPr>
  </w:style>
  <w:style w:type="paragraph" w:customStyle="1" w:styleId="AppendixNo">
    <w:name w:val="Appendix_No"/>
    <w:basedOn w:val="Normal"/>
    <w:next w:val="Normal"/>
    <w:rsid w:val="000E4393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rsid w:val="000E4393"/>
    <w:pPr>
      <w:keepNext/>
      <w:keepLines/>
      <w:spacing w:before="240" w:after="280" w:line="240" w:lineRule="auto"/>
      <w:jc w:val="center"/>
    </w:pPr>
    <w:rPr>
      <w:rFonts w:ascii="Times New Roman Bold" w:hAnsi="Times New Roman Bold"/>
      <w:b/>
      <w:sz w:val="28"/>
      <w:lang w:val="en-GB"/>
    </w:rPr>
  </w:style>
  <w:style w:type="character" w:customStyle="1" w:styleId="FooterChar">
    <w:name w:val="Footer Char"/>
    <w:basedOn w:val="DefaultParagraphFont"/>
    <w:link w:val="Footer"/>
    <w:rsid w:val="00AA1264"/>
    <w:rPr>
      <w:rFonts w:ascii="Times New Roman" w:hAnsi="Times New Roman"/>
      <w:sz w:val="22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AA1264"/>
    <w:rPr>
      <w:rFonts w:ascii="Times New Roman" w:hAnsi="Times New Roman"/>
      <w:sz w:val="18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A2A26"/>
    <w:rPr>
      <w:rFonts w:ascii="Arial" w:hAnsi="Arial" w:cs="Arial"/>
      <w:b/>
      <w:bCs/>
      <w:sz w:val="36"/>
      <w:lang w:val="fr-FR" w:eastAsia="en-US"/>
    </w:rPr>
  </w:style>
  <w:style w:type="paragraph" w:customStyle="1" w:styleId="Normal2">
    <w:name w:val="Normal2"/>
    <w:basedOn w:val="Normal"/>
    <w:rsid w:val="00141741"/>
    <w:pPr>
      <w:spacing w:before="200" w:line="300" w:lineRule="exact"/>
      <w:ind w:firstLine="510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26CC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C26CC"/>
    <w:rPr>
      <w:rFonts w:ascii="Times New Roman" w:hAnsi="Times New Roman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C26CC"/>
    <w:rPr>
      <w:rFonts w:ascii="Times New Roman" w:hAnsi="Times New Roman"/>
      <w:b/>
      <w:bCs/>
      <w:lang w:val="fr-FR" w:eastAsia="en-US"/>
    </w:rPr>
  </w:style>
  <w:style w:type="paragraph" w:customStyle="1" w:styleId="Normalnoindent">
    <w:name w:val="Normal no indent"/>
    <w:basedOn w:val="Normal"/>
    <w:rsid w:val="00120886"/>
    <w:pPr>
      <w:tabs>
        <w:tab w:val="clear" w:pos="1191"/>
        <w:tab w:val="clear" w:pos="1588"/>
        <w:tab w:val="clear" w:pos="1985"/>
        <w:tab w:val="left" w:pos="1134"/>
        <w:tab w:val="left" w:pos="1701"/>
        <w:tab w:val="left" w:pos="2495"/>
      </w:tabs>
      <w:spacing w:before="120" w:line="240" w:lineRule="auto"/>
    </w:pPr>
    <w:rPr>
      <w:lang w:val="en-GB"/>
    </w:rPr>
  </w:style>
  <w:style w:type="paragraph" w:customStyle="1" w:styleId="Opinionref">
    <w:name w:val="Opinion_ref"/>
    <w:basedOn w:val="Resref"/>
    <w:next w:val="Normalaftertitle0"/>
    <w:qFormat/>
    <w:rsid w:val="00346E91"/>
    <w:pPr>
      <w:tabs>
        <w:tab w:val="left" w:pos="1134"/>
        <w:tab w:val="left" w:pos="1871"/>
        <w:tab w:val="left" w:pos="2268"/>
      </w:tabs>
      <w:spacing w:line="240" w:lineRule="auto"/>
    </w:pPr>
    <w:rPr>
      <w:sz w:val="22"/>
      <w:lang w:val="en-GB"/>
    </w:rPr>
  </w:style>
  <w:style w:type="paragraph" w:customStyle="1" w:styleId="Opiniontitle">
    <w:name w:val="Opinion_title"/>
    <w:basedOn w:val="Restitle"/>
    <w:next w:val="Opinionref"/>
    <w:qFormat/>
    <w:rsid w:val="00346E91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en-GB"/>
    </w:rPr>
  </w:style>
  <w:style w:type="paragraph" w:customStyle="1" w:styleId="OpinionNo">
    <w:name w:val="Opinion_No"/>
    <w:basedOn w:val="ResNo"/>
    <w:next w:val="Opiniontitle"/>
    <w:qFormat/>
    <w:rsid w:val="00346E91"/>
    <w:pPr>
      <w:tabs>
        <w:tab w:val="left" w:pos="1134"/>
        <w:tab w:val="left" w:pos="1871"/>
        <w:tab w:val="left" w:pos="2268"/>
      </w:tabs>
      <w:spacing w:before="480" w:line="240" w:lineRule="auto"/>
    </w:pPr>
    <w:rPr>
      <w:lang w:val="en-GB"/>
    </w:rPr>
  </w:style>
  <w:style w:type="paragraph" w:customStyle="1" w:styleId="Reasons">
    <w:name w:val="Reasons"/>
    <w:basedOn w:val="Normal"/>
    <w:qFormat/>
    <w:rsid w:val="00FD149C"/>
    <w:pPr>
      <w:tabs>
        <w:tab w:val="clear" w:pos="794"/>
        <w:tab w:val="clear" w:pos="1191"/>
        <w:tab w:val="left" w:pos="1134"/>
      </w:tabs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mouni\AppData\Roaming\Microsoft\Templates\Livre_jau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ABDB-BC8C-4664-B117-D51C1938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Livre_jaune.dot</Template>
  <TotalTime>74</TotalTime>
  <Pages>3</Pages>
  <Words>802</Words>
  <Characters>229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意见1 – 网络外部性溢价的实际应用</vt:lpstr>
    </vt:vector>
  </TitlesOfParts>
  <Company>ITU</Company>
  <LinksUpToDate>false</LinksUpToDate>
  <CharactersWithSpaces>1029</CharactersWithSpaces>
  <SharedDoc>false</SharedDoc>
  <HLinks>
    <vt:vector size="6" baseType="variant">
      <vt:variant>
        <vt:i4>5832781</vt:i4>
      </vt:variant>
      <vt:variant>
        <vt:i4>2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意见1 – 网络外部性溢价的实际应用</dc:title>
  <dc:subject>WORLD TELECOMMUNICATION STANDARDIZATION ASSEMBLY - Florianópolis, 5-14 October 2004</dc:subject>
  <dc:creator>ITU-T</dc:creator>
  <cp:keywords>WTSA-24 New Delhi, 15-24 October 2024</cp:keywords>
  <dc:description/>
  <cp:lastModifiedBy>Liu, Sanping</cp:lastModifiedBy>
  <cp:revision>66</cp:revision>
  <cp:lastPrinted>2024-12-02T07:58:00Z</cp:lastPrinted>
  <dcterms:created xsi:type="dcterms:W3CDTF">2024-09-24T12:18:00Z</dcterms:created>
  <dcterms:modified xsi:type="dcterms:W3CDTF">2024-12-02T07:59:00Z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