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Start w:id="3" w:name="_GoBack"/>
            <w:bookmarkEnd w:id="0"/>
            <w:bookmarkEnd w:id="1"/>
            <w:bookmarkEnd w:id="2"/>
            <w:bookmarkEnd w:id="3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4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E5490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5" w:name="ddatee" w:colFirst="1" w:colLast="1"/>
            <w:bookmarkEnd w:id="4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E54907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dsece" w:colFirst="1" w:colLast="1"/>
            <w:bookmarkEnd w:id="5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E54907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7" w:name="c1tite" w:colFirst="1" w:colLast="1"/>
            <w:bookmarkEnd w:id="6"/>
          </w:p>
        </w:tc>
        <w:tc>
          <w:tcPr>
            <w:tcW w:w="8530" w:type="dxa"/>
            <w:gridSpan w:val="4"/>
          </w:tcPr>
          <w:p w:rsidR="008968B6" w:rsidRPr="00C274C7" w:rsidRDefault="00C274C7" w:rsidP="000E4393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C274C7">
              <w:rPr>
                <w:rFonts w:ascii="Arial" w:hAnsi="Arial"/>
                <w:b/>
                <w:bCs/>
                <w:sz w:val="36"/>
                <w:lang w:val="en-GB"/>
              </w:rPr>
              <w:t>OPINION</w:t>
            </w:r>
            <w:r w:rsidR="008968B6"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1 – </w:t>
            </w:r>
            <w:r w:rsidRPr="00C274C7">
              <w:rPr>
                <w:rFonts w:ascii="Arial" w:hAnsi="Arial"/>
                <w:b/>
                <w:bCs/>
                <w:sz w:val="36"/>
                <w:lang w:val="en-GB"/>
              </w:rPr>
              <w:t>Practical application of network externality premium</w:t>
            </w:r>
          </w:p>
        </w:tc>
      </w:tr>
      <w:bookmarkEnd w:id="7"/>
      <w:tr w:rsidR="008968B6" w:rsidRPr="00E54907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8" w:name="dnum2e"/>
            <w:bookmarkEnd w:id="8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9" w:name="c2tope"/>
      <w:bookmarkEnd w:id="9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9"/>
          <w:headerReference w:type="default" r:id="rId10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10" w:name="irecnoe"/>
      <w:bookmarkEnd w:id="10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1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1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2" w:name="iiannee"/>
      <w:bookmarkEnd w:id="12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C274C7" w:rsidP="003374BB">
      <w:pPr>
        <w:pStyle w:val="ResNo"/>
        <w:rPr>
          <w:lang w:val="en-US"/>
        </w:rPr>
      </w:pPr>
      <w:r w:rsidRPr="00C274C7">
        <w:rPr>
          <w:lang w:val="en-US"/>
        </w:rPr>
        <w:lastRenderedPageBreak/>
        <w:t xml:space="preserve">OPINION </w:t>
      </w:r>
      <w:r w:rsidR="003374BB" w:rsidRPr="000E4393">
        <w:rPr>
          <w:rStyle w:val="href"/>
          <w:lang w:val="en-US"/>
        </w:rPr>
        <w:t>1</w:t>
      </w:r>
      <w:r w:rsidR="00E54907">
        <w:rPr>
          <w:rStyle w:val="href"/>
          <w:lang w:val="en-US"/>
        </w:rPr>
        <w:t xml:space="preserve"> </w:t>
      </w:r>
      <w:r w:rsidR="00E54907" w:rsidRPr="00F81B8E">
        <w:t>(</w:t>
      </w:r>
      <w:r w:rsidR="00E54907" w:rsidRPr="00F81B8E">
        <w:rPr>
          <w:caps w:val="0"/>
        </w:rPr>
        <w:t>Dubai, 2012</w:t>
      </w:r>
      <w:r w:rsidR="00E54907" w:rsidRPr="00F81B8E">
        <w:t>)</w:t>
      </w:r>
    </w:p>
    <w:p w:rsidR="00C274C7" w:rsidRPr="00F81B8E" w:rsidRDefault="00C274C7" w:rsidP="00C274C7">
      <w:pPr>
        <w:pStyle w:val="Opiniontitle"/>
      </w:pPr>
      <w:r w:rsidRPr="00F81B8E">
        <w:t>Practical application of network externality premium</w:t>
      </w:r>
    </w:p>
    <w:p w:rsidR="00C274C7" w:rsidRPr="00F81B8E" w:rsidRDefault="00C274C7" w:rsidP="00C274C7">
      <w:pPr>
        <w:pStyle w:val="Opinionref"/>
        <w:spacing w:before="120"/>
        <w:rPr>
          <w:lang w:val="en-GB"/>
        </w:rPr>
      </w:pPr>
      <w:r w:rsidRPr="00F81B8E">
        <w:rPr>
          <w:lang w:val="en-GB"/>
        </w:rPr>
        <w:t>(Dubai, 2012)</w:t>
      </w:r>
    </w:p>
    <w:p w:rsidR="00C274C7" w:rsidRPr="00F81B8E" w:rsidRDefault="00C274C7" w:rsidP="00C274C7">
      <w:pPr>
        <w:pStyle w:val="Normalaftertitle0"/>
      </w:pPr>
      <w:r w:rsidRPr="00F81B8E">
        <w:t>The World Telecommunication Standardization Assembly (Dubai, 2012),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considering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Tunis Agenda for the Information Society (Tunis, 2005);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Resolution 22 (Rev. Antalya, 2006) of the Plenipotentiary Conference, on the distribution of revenues in the provision of international telecommunications services;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the approval by the World Telecommunication Standardization Assembly (Johannesburg, 2008) (WTSA-08) of Recommendation ITU-T D.156, on network externalities,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noting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lang w:val="en-GB"/>
        </w:rPr>
        <w:t>that some Member States have expressed reservations on this Recommendation and requested that clarification be made on some issues and a practical model be developed to calculate the value of the network externality premium,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considering further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approval by Study Group 3 of the ITU Telecommunication Standardization Sector (ITU-T) in May 2010 of Annex A to Recommendation ITU</w:t>
      </w:r>
      <w:r w:rsidRPr="00F81B8E">
        <w:rPr>
          <w:lang w:val="en-GB"/>
        </w:rPr>
        <w:noBreakHyphen/>
        <w:t>T D.156, on the practical implementation of Recommendation ITU-T D.156, which provides answers to questions that had been raised;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the approval by Study Group 3 in September 2012 of Annex B to Recommendation ITU-T D.156, on determination of the value of the network externality premium, which offers a practical method of calculating this premium,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is of the opinion that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lang w:val="en-GB"/>
        </w:rPr>
        <w:t>in view of the progress achieved so far within Study Group 3, the Member States concerned may wish to review the respective positions adopted at WTSA-08 and possibly withdraw the reservations regarding Recommendation ITU-T D.156,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invites Member States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lang w:val="en-GB"/>
        </w:rPr>
        <w:t>to take all measures necessary for the effective implementation of Recommendation ITU-T D.156,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invites the Council</w:t>
      </w:r>
    </w:p>
    <w:p w:rsidR="00C274C7" w:rsidRDefault="00C274C7" w:rsidP="00C274C7">
      <w:pPr>
        <w:rPr>
          <w:lang w:val="en-GB"/>
        </w:rPr>
      </w:pPr>
      <w:r w:rsidRPr="00F81B8E">
        <w:rPr>
          <w:lang w:val="en-GB"/>
        </w:rPr>
        <w:t>at its 2013 session, to report on this subject to the 2014 plenipotentiary conference, in accordance with Resolution 22 (Rev. Antalya, 2006).</w:t>
      </w:r>
    </w:p>
    <w:p w:rsidR="00C274C7" w:rsidRDefault="00C274C7" w:rsidP="00C274C7">
      <w:pPr>
        <w:rPr>
          <w:lang w:val="en-GB"/>
        </w:rPr>
      </w:pPr>
    </w:p>
    <w:p w:rsidR="000E4393" w:rsidRPr="00F81B8E" w:rsidRDefault="000E4393" w:rsidP="000E4393">
      <w:pPr>
        <w:rPr>
          <w:lang w:val="en-GB"/>
        </w:rPr>
      </w:pPr>
    </w:p>
    <w:sectPr w:rsidR="000E4393" w:rsidRPr="00F81B8E" w:rsidSect="00C274C7">
      <w:headerReference w:type="even" r:id="rId13"/>
      <w:headerReference w:type="default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E4" w:rsidRPr="00C274C7" w:rsidRDefault="000D3CE4" w:rsidP="00C2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E4" w:rsidRPr="00C274C7" w:rsidRDefault="00C274C7" w:rsidP="00C274C7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</w:t>
    </w:r>
    <w:r>
      <w:t>Opinion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F4" w:rsidRPr="00B73379" w:rsidRDefault="00C72AF4" w:rsidP="00C274C7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C274C7">
      <w:rPr>
        <w:b w:val="0"/>
        <w:bCs/>
        <w:noProof/>
        <w:lang w:val="en-US"/>
      </w:rPr>
      <w:t>22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</w:t>
    </w:r>
    <w:r w:rsidR="00C274C7">
      <w:t>Opinion</w:t>
    </w:r>
    <w:r w:rsidR="00C274C7"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274C7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C7" w:rsidRPr="00C274C7" w:rsidRDefault="00C274C7" w:rsidP="00C274C7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</w:t>
    </w:r>
    <w:r>
      <w:t>Opinion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1B50EE">
      <w:rPr>
        <w:noProof/>
      </w:rPr>
      <w:t>1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1B50EE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F4" w:rsidRDefault="00C72AF4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04" w:rsidRDefault="00A2770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26"/>
    <w:rsid w:val="00001053"/>
    <w:rsid w:val="00011D78"/>
    <w:rsid w:val="00017B45"/>
    <w:rsid w:val="0003503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309FB"/>
    <w:rsid w:val="001B4A76"/>
    <w:rsid w:val="001B50EE"/>
    <w:rsid w:val="001C5240"/>
    <w:rsid w:val="001C604C"/>
    <w:rsid w:val="002204D5"/>
    <w:rsid w:val="002210D5"/>
    <w:rsid w:val="00227040"/>
    <w:rsid w:val="00246C17"/>
    <w:rsid w:val="002742C3"/>
    <w:rsid w:val="002C182C"/>
    <w:rsid w:val="002D5607"/>
    <w:rsid w:val="00331B2F"/>
    <w:rsid w:val="003374BB"/>
    <w:rsid w:val="0038237B"/>
    <w:rsid w:val="003C3FD9"/>
    <w:rsid w:val="003D116F"/>
    <w:rsid w:val="003D7A8C"/>
    <w:rsid w:val="003F293E"/>
    <w:rsid w:val="004568D2"/>
    <w:rsid w:val="004612A7"/>
    <w:rsid w:val="00462F6A"/>
    <w:rsid w:val="00467305"/>
    <w:rsid w:val="0048772A"/>
    <w:rsid w:val="004F2E56"/>
    <w:rsid w:val="00501F47"/>
    <w:rsid w:val="00504D1F"/>
    <w:rsid w:val="00524FB2"/>
    <w:rsid w:val="005569CA"/>
    <w:rsid w:val="00562EF2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5987"/>
    <w:rsid w:val="006E13C5"/>
    <w:rsid w:val="00707551"/>
    <w:rsid w:val="007116DC"/>
    <w:rsid w:val="0071403C"/>
    <w:rsid w:val="00720F3C"/>
    <w:rsid w:val="0074102F"/>
    <w:rsid w:val="007550BF"/>
    <w:rsid w:val="00780423"/>
    <w:rsid w:val="00783EB8"/>
    <w:rsid w:val="007958DD"/>
    <w:rsid w:val="007E0240"/>
    <w:rsid w:val="008075CD"/>
    <w:rsid w:val="00851E30"/>
    <w:rsid w:val="008968B6"/>
    <w:rsid w:val="008B4CF6"/>
    <w:rsid w:val="008C7FC3"/>
    <w:rsid w:val="008D6D8D"/>
    <w:rsid w:val="009055E3"/>
    <w:rsid w:val="00905B41"/>
    <w:rsid w:val="00916468"/>
    <w:rsid w:val="0092650E"/>
    <w:rsid w:val="00931EE1"/>
    <w:rsid w:val="009330E7"/>
    <w:rsid w:val="00934946"/>
    <w:rsid w:val="0095090C"/>
    <w:rsid w:val="00974C0C"/>
    <w:rsid w:val="009755D7"/>
    <w:rsid w:val="009C2357"/>
    <w:rsid w:val="009D10A5"/>
    <w:rsid w:val="009D26AE"/>
    <w:rsid w:val="009F7009"/>
    <w:rsid w:val="00A01A91"/>
    <w:rsid w:val="00A24E9A"/>
    <w:rsid w:val="00A26B1A"/>
    <w:rsid w:val="00A27704"/>
    <w:rsid w:val="00A83D3D"/>
    <w:rsid w:val="00AA2D89"/>
    <w:rsid w:val="00AE4C26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274C7"/>
    <w:rsid w:val="00C32F69"/>
    <w:rsid w:val="00C42785"/>
    <w:rsid w:val="00C64078"/>
    <w:rsid w:val="00C72AF4"/>
    <w:rsid w:val="00CD10C2"/>
    <w:rsid w:val="00CD3865"/>
    <w:rsid w:val="00CE767E"/>
    <w:rsid w:val="00CF024D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E03ABC"/>
    <w:rsid w:val="00E154E2"/>
    <w:rsid w:val="00E300EC"/>
    <w:rsid w:val="00E51820"/>
    <w:rsid w:val="00E54907"/>
    <w:rsid w:val="00E56BAB"/>
    <w:rsid w:val="00E67297"/>
    <w:rsid w:val="00E758D6"/>
    <w:rsid w:val="00E82452"/>
    <w:rsid w:val="00E83C1C"/>
    <w:rsid w:val="00E96B11"/>
    <w:rsid w:val="00E96C27"/>
    <w:rsid w:val="00EE1126"/>
    <w:rsid w:val="00EE2FE2"/>
    <w:rsid w:val="00F0099E"/>
    <w:rsid w:val="00F12607"/>
    <w:rsid w:val="00F15F98"/>
    <w:rsid w:val="00F34748"/>
    <w:rsid w:val="00F67E96"/>
    <w:rsid w:val="00FA70B7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AD61E3F2-33A1-4C83-92EC-6EA46B38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Opinionref">
    <w:name w:val="Opinion_ref"/>
    <w:basedOn w:val="Normal"/>
    <w:next w:val="Normalaftertitle0"/>
    <w:qFormat/>
    <w:rsid w:val="00C274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C274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3130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Munoz, Carlos</cp:lastModifiedBy>
  <cp:revision>2</cp:revision>
  <cp:lastPrinted>2008-12-10T09:03:00Z</cp:lastPrinted>
  <dcterms:created xsi:type="dcterms:W3CDTF">2017-01-09T13:30:00Z</dcterms:created>
  <dcterms:modified xsi:type="dcterms:W3CDTF">2017-01-09T13:30:00Z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