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2F639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2F639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1262F1D" w14:textId="112CCE1D" w:rsidR="00EA2A26" w:rsidRPr="00251518" w:rsidRDefault="00347EE0" w:rsidP="009F73E5">
            <w:pPr>
              <w:pStyle w:val="BodyText"/>
              <w:spacing w:before="440" w:line="240" w:lineRule="auto"/>
              <w:jc w:val="left"/>
              <w:rPr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391AD6">
              <w:rPr>
                <w:spacing w:val="-6"/>
                <w:sz w:val="44"/>
                <w:szCs w:val="44"/>
                <w:lang w:val="es-ES"/>
              </w:rPr>
              <w:t>10</w:t>
            </w:r>
            <w:r w:rsidR="00496EA5">
              <w:rPr>
                <w:spacing w:val="-6"/>
                <w:sz w:val="44"/>
                <w:szCs w:val="44"/>
                <w:lang w:val="es-ES"/>
              </w:rPr>
              <w:t>0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391AD6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496EA5" w:rsidRPr="00496EA5">
              <w:rPr>
                <w:spacing w:val="-6"/>
                <w:sz w:val="44"/>
                <w:szCs w:val="44"/>
                <w:lang w:val="es-ES"/>
              </w:rPr>
              <w:t>Número de emergencia común para África</w:t>
            </w: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076757D" w14:textId="77777777" w:rsidR="00B5549E" w:rsidRPr="008B7E09" w:rsidRDefault="00B5549E" w:rsidP="000E4393">
      <w:pPr>
        <w:spacing w:line="240" w:lineRule="exact"/>
        <w:jc w:val="center"/>
        <w:rPr>
          <w:sz w:val="20"/>
          <w:lang w:val="es-ES"/>
        </w:rPr>
      </w:pPr>
    </w:p>
    <w:p w14:paraId="7D9C158F" w14:textId="77777777" w:rsidR="00CD2832" w:rsidRPr="008B7E09" w:rsidRDefault="00CD2832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39B07093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391AD6">
        <w:rPr>
          <w:rStyle w:val="href"/>
          <w:lang w:val="es-ES"/>
        </w:rPr>
        <w:t>10</w:t>
      </w:r>
      <w:r w:rsidR="00496EA5">
        <w:rPr>
          <w:rStyle w:val="href"/>
          <w:lang w:val="es-ES"/>
        </w:rPr>
        <w:t>0</w:t>
      </w:r>
      <w:r w:rsidR="00AA1264" w:rsidRPr="00DD5D50">
        <w:rPr>
          <w:lang w:val="es-ES"/>
        </w:rPr>
        <w:t xml:space="preserve"> </w:t>
      </w:r>
      <w:r w:rsidR="00F008B8">
        <w:rPr>
          <w:caps w:val="0"/>
          <w:lang w:val="es-ES"/>
        </w:rPr>
        <w:t>(</w:t>
      </w:r>
      <w:r w:rsidR="00496EA5">
        <w:rPr>
          <w:caps w:val="0"/>
          <w:lang w:val="es-ES"/>
        </w:rPr>
        <w:t>Rev.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7EB949A5" w14:textId="77777777" w:rsidR="00496EA5" w:rsidRPr="00192AEC" w:rsidRDefault="00496EA5" w:rsidP="00C42673">
      <w:pPr>
        <w:pStyle w:val="Restitle"/>
        <w:rPr>
          <w:b w:val="0"/>
          <w:lang w:val="es-ES_tradnl"/>
        </w:rPr>
      </w:pPr>
      <w:bookmarkStart w:id="2" w:name="_Toc111990573"/>
      <w:r w:rsidRPr="00192AEC">
        <w:rPr>
          <w:lang w:val="es-ES_tradnl"/>
        </w:rPr>
        <w:t>Número de emergencia común para África</w:t>
      </w:r>
      <w:bookmarkEnd w:id="2"/>
    </w:p>
    <w:p w14:paraId="254B485D" w14:textId="77777777" w:rsidR="00496EA5" w:rsidRPr="00192AEC" w:rsidRDefault="00496EA5" w:rsidP="00C42673">
      <w:pPr>
        <w:pStyle w:val="Resref"/>
        <w:rPr>
          <w:lang w:val="es-ES_tradnl"/>
        </w:rPr>
      </w:pPr>
      <w:r w:rsidRPr="00192AEC">
        <w:rPr>
          <w:lang w:val="es-ES_tradnl"/>
        </w:rPr>
        <w:t>(Ginebra, 2022; Nueva Delhi, 2024)</w:t>
      </w:r>
    </w:p>
    <w:p w14:paraId="5423DBBF" w14:textId="77777777" w:rsidR="00496EA5" w:rsidRPr="00192AEC" w:rsidRDefault="00496EA5" w:rsidP="00C42673">
      <w:pPr>
        <w:pStyle w:val="Normalaftertitle01"/>
        <w:rPr>
          <w:lang w:val="es-ES_tradnl"/>
        </w:rPr>
      </w:pPr>
      <w:r w:rsidRPr="00192AEC">
        <w:rPr>
          <w:lang w:val="es-ES_tradnl"/>
        </w:rPr>
        <w:t>La Asamblea Mundial de Normalización de las Telecomunicaciones (Nueva Delhi, 2024),</w:t>
      </w:r>
    </w:p>
    <w:p w14:paraId="7EB1FE8E" w14:textId="77777777" w:rsidR="00496EA5" w:rsidRPr="00192AEC" w:rsidRDefault="00496EA5" w:rsidP="00C42673">
      <w:pPr>
        <w:pStyle w:val="Call"/>
        <w:rPr>
          <w:lang w:val="es-ES_tradnl"/>
        </w:rPr>
      </w:pPr>
      <w:r w:rsidRPr="00192AEC">
        <w:rPr>
          <w:lang w:val="es-ES_tradnl"/>
        </w:rPr>
        <w:t>recordando</w:t>
      </w:r>
    </w:p>
    <w:p w14:paraId="0D7F9B6E" w14:textId="77777777" w:rsidR="00496EA5" w:rsidRPr="00192AEC" w:rsidRDefault="00496EA5" w:rsidP="007771C5">
      <w:pPr>
        <w:spacing w:before="80"/>
        <w:rPr>
          <w:i/>
          <w:iCs/>
          <w:lang w:val="es-ES_tradnl"/>
        </w:rPr>
      </w:pPr>
      <w:r w:rsidRPr="00192AEC">
        <w:rPr>
          <w:i/>
          <w:iCs/>
          <w:lang w:val="es-ES_tradnl"/>
        </w:rPr>
        <w:t>a)</w:t>
      </w:r>
      <w:r w:rsidRPr="00192AEC">
        <w:rPr>
          <w:i/>
          <w:iCs/>
          <w:lang w:val="es-ES_tradnl"/>
        </w:rPr>
        <w:tab/>
      </w:r>
      <w:r w:rsidRPr="00192AEC">
        <w:rPr>
          <w:lang w:val="es-ES_tradnl"/>
        </w:rPr>
        <w:t xml:space="preserve">que la Resolución 136 (Rev. Bucarest, 2022) de la Conferencia de Plenipotenciarios alienta a los Estados </w:t>
      </w:r>
      <w:r>
        <w:rPr>
          <w:lang w:val="es-ES_tradnl"/>
        </w:rPr>
        <w:t>Miembros</w:t>
      </w:r>
      <w:r w:rsidRPr="00192AEC">
        <w:rPr>
          <w:i/>
          <w:iCs/>
          <w:lang w:val="es-ES_tradnl"/>
        </w:rPr>
        <w:t> </w:t>
      </w:r>
      <w:r w:rsidRPr="00192AEC">
        <w:rPr>
          <w:lang w:val="es-ES_tradnl"/>
        </w:rPr>
        <w:t>a considerar la posibilidad de introducir, además de sus actuales números de emergencia nacionales existentes, un número armonizado a escala mundial para acceder a los servicios de emergencias, teniendo en cuenta las Recomendaciones del Sector de Normalización de las Telecomunicaciones (UIT-T) pertinentes;</w:t>
      </w:r>
    </w:p>
    <w:p w14:paraId="737A7897" w14:textId="77777777" w:rsidR="00496EA5" w:rsidRPr="00192AEC" w:rsidRDefault="00496EA5" w:rsidP="007771C5">
      <w:pPr>
        <w:spacing w:before="80"/>
        <w:rPr>
          <w:i/>
          <w:iCs/>
          <w:lang w:val="es-ES_tradnl"/>
        </w:rPr>
      </w:pPr>
      <w:r w:rsidRPr="00192AEC">
        <w:rPr>
          <w:i/>
          <w:iCs/>
          <w:lang w:val="es-ES_tradnl"/>
        </w:rPr>
        <w:t>b)</w:t>
      </w:r>
      <w:r w:rsidRPr="00192AEC">
        <w:rPr>
          <w:i/>
          <w:iCs/>
          <w:lang w:val="es-ES_tradnl"/>
        </w:rPr>
        <w:tab/>
      </w:r>
      <w:r w:rsidRPr="00192AEC">
        <w:rPr>
          <w:lang w:val="es-ES_tradnl"/>
        </w:rPr>
        <w:t xml:space="preserve">que la Recomendación UIT-T E.161.1 estipula que todo Estado Miembro que tenga previsto introducir un número de emergencia </w:t>
      </w:r>
      <w:r>
        <w:rPr>
          <w:lang w:val="es-ES_tradnl"/>
        </w:rPr>
        <w:t>podrá</w:t>
      </w:r>
      <w:r w:rsidRPr="00192AEC">
        <w:rPr>
          <w:lang w:val="es-ES_tradnl"/>
        </w:rPr>
        <w:t xml:space="preserve"> utilizar el 112 o el 911, y que todo Estado Miembro que tenga previsto introducir un segundo número de emergencia alternativo </w:t>
      </w:r>
      <w:r>
        <w:rPr>
          <w:lang w:val="es-ES_tradnl"/>
        </w:rPr>
        <w:t xml:space="preserve">podrá </w:t>
      </w:r>
      <w:r w:rsidRPr="00192AEC">
        <w:rPr>
          <w:lang w:val="es-ES_tradnl"/>
        </w:rPr>
        <w:t>utilizar el 112 o el 911, o ambos, el cual debería encaminarse hacia el número de emergencia vigente;</w:t>
      </w:r>
    </w:p>
    <w:p w14:paraId="3C712A73" w14:textId="77777777" w:rsidR="00496EA5" w:rsidRPr="00192AEC" w:rsidRDefault="00496EA5" w:rsidP="007771C5">
      <w:pPr>
        <w:spacing w:before="80"/>
        <w:rPr>
          <w:i/>
          <w:iCs/>
          <w:lang w:val="es-ES_tradnl"/>
        </w:rPr>
      </w:pPr>
      <w:r w:rsidRPr="00192AEC">
        <w:rPr>
          <w:i/>
          <w:iCs/>
          <w:lang w:val="es-ES_tradnl"/>
        </w:rPr>
        <w:t>c)</w:t>
      </w:r>
      <w:r w:rsidRPr="00192AEC">
        <w:rPr>
          <w:i/>
          <w:iCs/>
          <w:lang w:val="es-ES_tradnl"/>
        </w:rPr>
        <w:tab/>
      </w:r>
      <w:r w:rsidRPr="00192AEC">
        <w:rPr>
          <w:lang w:val="es-ES_tradnl"/>
        </w:rPr>
        <w:t xml:space="preserve">que la Resolución 34 (Rev. Kigali, 2022) de la Conferencia Mundial de Desarrollo de las Telecomunicaciones invita a los Estados </w:t>
      </w:r>
      <w:r>
        <w:rPr>
          <w:lang w:val="es-ES_tradnl"/>
        </w:rPr>
        <w:t>Miembros</w:t>
      </w:r>
      <w:r w:rsidRPr="00192AEC">
        <w:rPr>
          <w:lang w:val="es-ES_tradnl"/>
        </w:rPr>
        <w:t xml:space="preserve"> a que consideren la posibilidad de introducir, además de sus actuales números de emergencia nacionales, un número nacional/regional armonizado para acceder a los servicios de emergencia, teniendo en cuenta las Recomendaciones UIT-T pertinentes,</w:t>
      </w:r>
    </w:p>
    <w:p w14:paraId="5C763F57" w14:textId="77777777" w:rsidR="00496EA5" w:rsidRPr="00192AEC" w:rsidRDefault="00496EA5" w:rsidP="007771C5">
      <w:pPr>
        <w:pStyle w:val="Call"/>
        <w:spacing w:before="160"/>
        <w:rPr>
          <w:lang w:val="es-ES_tradnl"/>
        </w:rPr>
      </w:pPr>
      <w:r w:rsidRPr="00192AEC">
        <w:rPr>
          <w:lang w:val="es-ES_tradnl"/>
        </w:rPr>
        <w:t>considerando</w:t>
      </w:r>
    </w:p>
    <w:p w14:paraId="3F68C3F9" w14:textId="77777777" w:rsidR="00496EA5" w:rsidRPr="00192AEC" w:rsidRDefault="00496EA5" w:rsidP="1C7B5B94">
      <w:pPr>
        <w:rPr>
          <w:lang w:val="es-ES"/>
        </w:rPr>
      </w:pPr>
      <w:r w:rsidRPr="1C7B5B94">
        <w:rPr>
          <w:lang w:val="es-ES"/>
        </w:rPr>
        <w:t>los avances realizados en la aplicación de la presente Resolución durante el periodo 2022-2024 y el informe del Director de la Oficina de Normalización de las Telecomunicaciones (TSB) a esta Asamblea que indica lo siguiente:</w:t>
      </w:r>
    </w:p>
    <w:p w14:paraId="3132F95B" w14:textId="77777777" w:rsidR="00496EA5" w:rsidRPr="00192AEC" w:rsidRDefault="00496EA5" w:rsidP="007771C5">
      <w:pPr>
        <w:pStyle w:val="enumlev1"/>
        <w:spacing w:before="60"/>
        <w:rPr>
          <w:i/>
          <w:iCs/>
          <w:lang w:val="es-ES_tradnl"/>
        </w:rPr>
      </w:pPr>
      <w:r w:rsidRPr="00192AEC">
        <w:rPr>
          <w:iCs/>
          <w:lang w:val="es-ES_tradnl"/>
        </w:rPr>
        <w:t>i)</w:t>
      </w:r>
      <w:r w:rsidRPr="00192AEC">
        <w:rPr>
          <w:lang w:val="es-ES_tradnl"/>
        </w:rPr>
        <w:tab/>
        <w:t xml:space="preserve">que no todos los Estados </w:t>
      </w:r>
      <w:r>
        <w:rPr>
          <w:lang w:val="es-ES_tradnl"/>
        </w:rPr>
        <w:t>Miembros</w:t>
      </w:r>
      <w:r w:rsidRPr="00192AEC">
        <w:rPr>
          <w:lang w:val="es-ES_tradnl"/>
        </w:rPr>
        <w:t xml:space="preserve"> de África optan por el 112 al seleccionar un número de emergencia único por primera vez;</w:t>
      </w:r>
    </w:p>
    <w:p w14:paraId="0B94DFFE" w14:textId="77777777" w:rsidR="00496EA5" w:rsidRPr="00192AEC" w:rsidRDefault="00496EA5" w:rsidP="007771C5">
      <w:pPr>
        <w:pStyle w:val="enumlev1"/>
        <w:spacing w:before="60"/>
        <w:rPr>
          <w:i/>
          <w:iCs/>
          <w:lang w:val="es-ES"/>
        </w:rPr>
      </w:pPr>
      <w:r w:rsidRPr="1C7B5B94">
        <w:rPr>
          <w:lang w:val="es-ES"/>
        </w:rPr>
        <w:t>ii)</w:t>
      </w:r>
      <w:r w:rsidRPr="00FC5825">
        <w:rPr>
          <w:lang w:val="es-ES"/>
        </w:rPr>
        <w:tab/>
      </w:r>
      <w:r w:rsidRPr="1C7B5B94">
        <w:rPr>
          <w:lang w:val="es-ES"/>
        </w:rPr>
        <w:t>que no todos los Estados Miembros de África utilizan el 911 como número de emergencia alternativo secundario;</w:t>
      </w:r>
    </w:p>
    <w:p w14:paraId="6961D522" w14:textId="77777777" w:rsidR="00496EA5" w:rsidRPr="00192AEC" w:rsidRDefault="00496EA5" w:rsidP="007771C5">
      <w:pPr>
        <w:pStyle w:val="enumlev1"/>
        <w:spacing w:before="60"/>
        <w:rPr>
          <w:lang w:val="es-ES"/>
        </w:rPr>
      </w:pPr>
      <w:r w:rsidRPr="1C7B5B94">
        <w:rPr>
          <w:lang w:val="es-ES"/>
        </w:rPr>
        <w:t>iii)</w:t>
      </w:r>
      <w:r w:rsidRPr="00FC5825">
        <w:rPr>
          <w:lang w:val="es-ES"/>
        </w:rPr>
        <w:tab/>
      </w:r>
      <w:r w:rsidRPr="1C7B5B94">
        <w:rPr>
          <w:lang w:val="es-ES"/>
        </w:rPr>
        <w:t>que algunos Estados Miembros de África no aplican la Recomendación UIT-T E.161.1;</w:t>
      </w:r>
    </w:p>
    <w:p w14:paraId="693A6C97" w14:textId="77777777" w:rsidR="00496EA5" w:rsidRPr="00192AEC" w:rsidRDefault="00496EA5" w:rsidP="007771C5">
      <w:pPr>
        <w:pStyle w:val="enumlev1"/>
        <w:spacing w:before="60"/>
        <w:rPr>
          <w:i/>
          <w:iCs/>
          <w:lang w:val="es-ES"/>
        </w:rPr>
      </w:pPr>
      <w:r w:rsidRPr="1C7B5B94">
        <w:rPr>
          <w:lang w:val="es-ES"/>
        </w:rPr>
        <w:t>iv)</w:t>
      </w:r>
      <w:r w:rsidRPr="00FC5825">
        <w:rPr>
          <w:lang w:val="es-ES"/>
        </w:rPr>
        <w:tab/>
      </w:r>
      <w:r w:rsidRPr="1C7B5B94">
        <w:rPr>
          <w:lang w:val="es-ES"/>
        </w:rPr>
        <w:t>que se observa una tendencia a utilizar números distintos del 112 y/o del 911 para las comunicaciones de emergencia en los Estados Miembros de África;</w:t>
      </w:r>
    </w:p>
    <w:p w14:paraId="0164C4A3" w14:textId="77777777" w:rsidR="00496EA5" w:rsidRPr="00192AEC" w:rsidRDefault="00496EA5" w:rsidP="007771C5">
      <w:pPr>
        <w:pStyle w:val="enumlev1"/>
        <w:spacing w:before="60"/>
        <w:rPr>
          <w:i/>
          <w:iCs/>
          <w:lang w:val="es-ES_tradnl"/>
        </w:rPr>
      </w:pPr>
      <w:r w:rsidRPr="00192AEC">
        <w:rPr>
          <w:lang w:val="es-ES_tradnl"/>
        </w:rPr>
        <w:t>v)</w:t>
      </w:r>
      <w:r w:rsidRPr="00192AEC">
        <w:rPr>
          <w:i/>
          <w:iCs/>
          <w:lang w:val="es-ES_tradnl"/>
        </w:rPr>
        <w:tab/>
      </w:r>
      <w:r w:rsidRPr="00192AEC">
        <w:rPr>
          <w:lang w:val="es-ES_tradnl"/>
        </w:rPr>
        <w:t>que tales prácticas dificultan el acceso a los servicios de emergencia para los ciudadanos del continente africano que se desplazan de un país a otro;</w:t>
      </w:r>
    </w:p>
    <w:p w14:paraId="11D84449" w14:textId="77777777" w:rsidR="00496EA5" w:rsidRDefault="00496EA5" w:rsidP="007771C5">
      <w:pPr>
        <w:pStyle w:val="enumlev1"/>
        <w:spacing w:before="60"/>
        <w:rPr>
          <w:rFonts w:eastAsia="SimSun"/>
          <w:szCs w:val="24"/>
          <w:lang w:val="es-ES_tradnl" w:eastAsia="ja-JP"/>
        </w:rPr>
      </w:pPr>
      <w:r w:rsidRPr="00192AEC">
        <w:rPr>
          <w:lang w:val="es-ES_tradnl"/>
        </w:rPr>
        <w:t>vi)</w:t>
      </w:r>
      <w:r w:rsidRPr="00192AEC">
        <w:rPr>
          <w:i/>
          <w:iCs/>
          <w:lang w:val="es-ES_tradnl"/>
        </w:rPr>
        <w:tab/>
      </w:r>
      <w:r w:rsidRPr="00192AEC">
        <w:rPr>
          <w:lang w:val="es-ES_tradnl"/>
        </w:rPr>
        <w:t>que tales prácticas dificultan el acceso a los servicios de emergencia para los ciudadanos de otras partes del mundo, por cuanto los números utilizados para acceder a los servicios de emergencia difieren de aquellos a los que están acostumbrados, por ejemplo, el 112 o el 911</w:t>
      </w:r>
      <w:r w:rsidRPr="00192AEC">
        <w:rPr>
          <w:rFonts w:eastAsia="SimSun"/>
          <w:szCs w:val="24"/>
          <w:lang w:val="es-ES_tradnl" w:eastAsia="ja-JP"/>
        </w:rPr>
        <w:t>,</w:t>
      </w:r>
    </w:p>
    <w:p w14:paraId="5E082E4B" w14:textId="77777777" w:rsidR="00496EA5" w:rsidRPr="00192AEC" w:rsidRDefault="00496EA5" w:rsidP="007771C5">
      <w:pPr>
        <w:pStyle w:val="Call"/>
        <w:keepNext w:val="0"/>
        <w:keepLines w:val="0"/>
        <w:spacing w:before="160"/>
        <w:rPr>
          <w:lang w:val="es-ES_tradnl"/>
        </w:rPr>
      </w:pPr>
      <w:r w:rsidRPr="00192AEC">
        <w:rPr>
          <w:lang w:val="es-ES_tradnl"/>
        </w:rPr>
        <w:t>observando</w:t>
      </w:r>
    </w:p>
    <w:p w14:paraId="7AE4CACC" w14:textId="77777777" w:rsidR="00496EA5" w:rsidRPr="00192AEC" w:rsidRDefault="00496EA5" w:rsidP="00C42673">
      <w:pPr>
        <w:rPr>
          <w:lang w:val="es-ES_tradnl"/>
        </w:rPr>
      </w:pPr>
      <w:r w:rsidRPr="00192AEC">
        <w:rPr>
          <w:i/>
          <w:iCs/>
          <w:lang w:val="es-ES_tradnl"/>
        </w:rPr>
        <w:t>a)</w:t>
      </w:r>
      <w:r w:rsidRPr="00192AEC">
        <w:rPr>
          <w:lang w:val="es-ES_tradnl"/>
        </w:rPr>
        <w:tab/>
        <w:t>las Recomendaciones UIT-T pertinentes, en particular:</w:t>
      </w:r>
    </w:p>
    <w:p w14:paraId="3644EAA6" w14:textId="77777777" w:rsidR="00496EA5" w:rsidRPr="00192AEC" w:rsidRDefault="00496EA5" w:rsidP="007771C5">
      <w:pPr>
        <w:pStyle w:val="enumlev1"/>
        <w:spacing w:before="60"/>
        <w:rPr>
          <w:lang w:val="es-ES_tradnl"/>
        </w:rPr>
      </w:pPr>
      <w:r w:rsidRPr="00192AEC">
        <w:rPr>
          <w:lang w:val="es-ES_tradnl"/>
        </w:rPr>
        <w:t>i)</w:t>
      </w:r>
      <w:r w:rsidRPr="00192AEC">
        <w:rPr>
          <w:lang w:val="es-ES_tradnl"/>
        </w:rPr>
        <w:tab/>
        <w:t>Recomendación UIT-T E.161.1: Directrices para seleccionar el número de emergencia en redes públicas de telecomunicaciones;</w:t>
      </w:r>
    </w:p>
    <w:p w14:paraId="0CEAA392" w14:textId="77777777" w:rsidR="00496EA5" w:rsidRPr="00192AEC" w:rsidRDefault="00496EA5" w:rsidP="007771C5">
      <w:pPr>
        <w:pStyle w:val="enumlev1"/>
        <w:spacing w:before="60"/>
        <w:rPr>
          <w:lang w:val="es-ES"/>
        </w:rPr>
      </w:pPr>
      <w:r w:rsidRPr="1C7B5B94">
        <w:rPr>
          <w:lang w:val="es-ES"/>
        </w:rPr>
        <w:t>ii)</w:t>
      </w:r>
      <w:r w:rsidRPr="00FC5825">
        <w:rPr>
          <w:lang w:val="es-ES"/>
        </w:rPr>
        <w:tab/>
      </w:r>
      <w:r w:rsidRPr="1C7B5B94">
        <w:rPr>
          <w:lang w:val="es-ES"/>
        </w:rPr>
        <w:t>Recomendación UIT-T E.161.1, Enmienda 1 (2009): Directrices para seleccionar el número de emergencia en redes públicas de telecomunicaciones;</w:t>
      </w:r>
    </w:p>
    <w:p w14:paraId="2091D389" w14:textId="77777777" w:rsidR="00496EA5" w:rsidRPr="00192AEC" w:rsidRDefault="00496EA5" w:rsidP="007771C5">
      <w:pPr>
        <w:pStyle w:val="enumlev1"/>
        <w:spacing w:before="60"/>
        <w:rPr>
          <w:lang w:val="es-ES"/>
        </w:rPr>
      </w:pPr>
      <w:r w:rsidRPr="1C7B5B94">
        <w:rPr>
          <w:lang w:val="es-ES"/>
        </w:rPr>
        <w:t>iii)</w:t>
      </w:r>
      <w:r w:rsidRPr="00FC5825">
        <w:rPr>
          <w:lang w:val="es-ES"/>
        </w:rPr>
        <w:tab/>
      </w:r>
      <w:r w:rsidRPr="1C7B5B94">
        <w:rPr>
          <w:lang w:val="es-ES"/>
        </w:rPr>
        <w:t>Recomendación UIT-T E.101: Definición de los términos utilizados en las Recomendaciones UIT-T de la serie E para los identificadores (nombres, números, direcciones y otros) en redes y servicios públicos de telecomunicaciones;</w:t>
      </w:r>
    </w:p>
    <w:p w14:paraId="156CEACA" w14:textId="77777777" w:rsidR="00496EA5" w:rsidRPr="00192AEC" w:rsidRDefault="00496EA5" w:rsidP="1C7B5B94">
      <w:pPr>
        <w:pStyle w:val="enumlev1"/>
        <w:rPr>
          <w:lang w:val="es-ES"/>
        </w:rPr>
      </w:pPr>
      <w:r w:rsidRPr="1C7B5B94">
        <w:rPr>
          <w:lang w:val="es-ES"/>
        </w:rPr>
        <w:lastRenderedPageBreak/>
        <w:t>iv)</w:t>
      </w:r>
      <w:r w:rsidRPr="00FC5825">
        <w:rPr>
          <w:lang w:val="es-ES"/>
        </w:rPr>
        <w:tab/>
      </w:r>
      <w:r w:rsidRPr="1C7B5B94">
        <w:rPr>
          <w:lang w:val="es-ES"/>
        </w:rPr>
        <w:t>Recomendaciones UIT-T de la serie Q – Suplemento 47: Servicios de emergencia en las redes de telecomunicaciones móviles internacionales (IMT-2000) – Requisitos de armonización y convergencia;</w:t>
      </w:r>
    </w:p>
    <w:p w14:paraId="0E780DD2" w14:textId="77777777" w:rsidR="00496EA5" w:rsidRPr="00192AEC" w:rsidRDefault="00496EA5" w:rsidP="00C42673">
      <w:pPr>
        <w:pStyle w:val="enumlev1"/>
        <w:rPr>
          <w:lang w:val="es-ES_tradnl"/>
        </w:rPr>
      </w:pPr>
      <w:r w:rsidRPr="00192AEC">
        <w:rPr>
          <w:lang w:val="es-ES_tradnl"/>
        </w:rPr>
        <w:t>v)</w:t>
      </w:r>
      <w:r w:rsidRPr="00192AEC">
        <w:rPr>
          <w:lang w:val="es-ES_tradnl"/>
        </w:rPr>
        <w:tab/>
        <w:t>Recomendación UIT-T E.164 – Suplemento 6</w:t>
      </w:r>
      <w:r w:rsidRPr="00192AEC">
        <w:rPr>
          <w:rFonts w:eastAsiaTheme="minorEastAsia"/>
          <w:lang w:val="es-ES_tradnl"/>
        </w:rPr>
        <w:t>:</w:t>
      </w:r>
      <w:r w:rsidRPr="00192AEC">
        <w:rPr>
          <w:lang w:val="es-ES_tradnl"/>
        </w:rPr>
        <w:t xml:space="preserve"> Directrices para la identificación y selección de números armonizados a escala mundial,</w:t>
      </w:r>
    </w:p>
    <w:p w14:paraId="2EB6DAE0" w14:textId="77777777" w:rsidR="00496EA5" w:rsidRPr="00192AEC" w:rsidRDefault="00496EA5" w:rsidP="00C42673">
      <w:pPr>
        <w:rPr>
          <w:lang w:val="es-ES_tradnl"/>
        </w:rPr>
      </w:pPr>
      <w:r w:rsidRPr="00192AEC">
        <w:rPr>
          <w:i/>
          <w:iCs/>
          <w:lang w:val="es-ES_tradnl"/>
        </w:rPr>
        <w:t>b)</w:t>
      </w:r>
      <w:r w:rsidRPr="00192AEC">
        <w:rPr>
          <w:lang w:val="es-ES_tradnl"/>
        </w:rPr>
        <w:tab/>
        <w:t>las Resoluciones pertinentes:</w:t>
      </w:r>
    </w:p>
    <w:p w14:paraId="37F795F2" w14:textId="77777777" w:rsidR="00496EA5" w:rsidRPr="00192AEC" w:rsidRDefault="00496EA5" w:rsidP="00C42673">
      <w:pPr>
        <w:pStyle w:val="enumlev1"/>
        <w:rPr>
          <w:lang w:val="es-ES_tradnl"/>
        </w:rPr>
      </w:pPr>
      <w:r w:rsidRPr="00192AEC">
        <w:rPr>
          <w:lang w:val="es-ES_tradnl"/>
        </w:rPr>
        <w:t>i)</w:t>
      </w:r>
      <w:r w:rsidRPr="00192AEC">
        <w:rPr>
          <w:lang w:val="es-ES_tradnl"/>
        </w:rPr>
        <w:tab/>
        <w:t>Resolución 136 (Rev.</w:t>
      </w:r>
      <w:r>
        <w:rPr>
          <w:lang w:val="es-ES_tradnl"/>
        </w:rPr>
        <w:t xml:space="preserve"> </w:t>
      </w:r>
      <w:r w:rsidRPr="00192AEC">
        <w:rPr>
          <w:lang w:val="es-ES_tradnl"/>
        </w:rPr>
        <w:t xml:space="preserve">Bucarest, 2022) de la Conferencia de Plenipotenciarios, relativa a la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socorro, en particular el </w:t>
      </w:r>
      <w:r w:rsidRPr="00192AEC">
        <w:rPr>
          <w:i/>
          <w:iCs/>
          <w:lang w:val="es-ES_tradnl"/>
        </w:rPr>
        <w:t xml:space="preserve">insta a los Estados </w:t>
      </w:r>
      <w:r>
        <w:rPr>
          <w:i/>
          <w:iCs/>
          <w:lang w:val="es-ES_tradnl"/>
        </w:rPr>
        <w:t>Miembros</w:t>
      </w:r>
      <w:r w:rsidRPr="00192AEC">
        <w:rPr>
          <w:i/>
          <w:iCs/>
          <w:lang w:val="es-ES_tradnl"/>
        </w:rPr>
        <w:t xml:space="preserve"> </w:t>
      </w:r>
      <w:r w:rsidRPr="00192AEC">
        <w:rPr>
          <w:lang w:val="es-ES_tradnl"/>
        </w:rPr>
        <w:t>9;</w:t>
      </w:r>
    </w:p>
    <w:p w14:paraId="30404533" w14:textId="77777777" w:rsidR="00496EA5" w:rsidRPr="00192AEC" w:rsidRDefault="00496EA5" w:rsidP="1C7B5B94">
      <w:pPr>
        <w:pStyle w:val="enumlev1"/>
        <w:rPr>
          <w:lang w:val="es-ES"/>
        </w:rPr>
      </w:pPr>
      <w:r w:rsidRPr="1C7B5B94">
        <w:rPr>
          <w:lang w:val="es-ES"/>
        </w:rPr>
        <w:t>ii)</w:t>
      </w:r>
      <w:r w:rsidRPr="00FC5825">
        <w:rPr>
          <w:lang w:val="es-ES"/>
        </w:rPr>
        <w:tab/>
      </w:r>
      <w:r w:rsidRPr="1C7B5B94">
        <w:rPr>
          <w:lang w:val="es-ES"/>
        </w:rPr>
        <w:t>Resolución 2 (Dubái, 2012) de la Conferencia Mundial de las Telecomunicaciones Internacionales, relativa al número nacional armonizado a escala mundial para tener acceso a servicios de emergencia,</w:t>
      </w:r>
    </w:p>
    <w:p w14:paraId="2CAB78AA" w14:textId="77777777" w:rsidR="00496EA5" w:rsidRPr="00192AEC" w:rsidRDefault="00496EA5" w:rsidP="1C7B5B94">
      <w:pPr>
        <w:pStyle w:val="Call"/>
        <w:rPr>
          <w:lang w:val="es-ES"/>
        </w:rPr>
      </w:pPr>
      <w:r w:rsidRPr="1C7B5B94">
        <w:rPr>
          <w:lang w:val="es-ES"/>
        </w:rPr>
        <w:t>observando además</w:t>
      </w:r>
    </w:p>
    <w:p w14:paraId="4940E201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i/>
          <w:iCs/>
          <w:lang w:val="es-ES_tradnl"/>
        </w:rPr>
        <w:t>a)</w:t>
      </w:r>
      <w:r w:rsidRPr="00192AEC">
        <w:rPr>
          <w:lang w:val="es-ES_tradnl"/>
        </w:rPr>
        <w:tab/>
        <w:t>que algunos países y regiones han adoptado leyes, directivas y recomendaciones nacionales sobre la utilización de los números de emergencia;</w:t>
      </w:r>
    </w:p>
    <w:p w14:paraId="592B2ECE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i/>
          <w:iCs/>
          <w:lang w:val="es-ES_tradnl"/>
        </w:rPr>
        <w:t>b)</w:t>
      </w:r>
      <w:r w:rsidRPr="00192AEC">
        <w:rPr>
          <w:lang w:val="es-ES_tradnl"/>
        </w:rPr>
        <w:tab/>
        <w:t>que algunos dispositivos móviles han sido codificados con el 112 y/o el 911;</w:t>
      </w:r>
    </w:p>
    <w:p w14:paraId="68AF8AFF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i/>
          <w:iCs/>
          <w:lang w:val="es-ES_tradnl"/>
        </w:rPr>
        <w:t>c)</w:t>
      </w:r>
      <w:r w:rsidRPr="00192AEC">
        <w:rPr>
          <w:lang w:val="es-ES_tradnl"/>
        </w:rPr>
        <w:tab/>
        <w:t>que no está previsto que la TSB preste asistencia a los países que tratan de aplicar la Recomendación UIT-T E.161.1;</w:t>
      </w:r>
    </w:p>
    <w:p w14:paraId="317443A3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i/>
          <w:iCs/>
          <w:lang w:val="es-ES_tradnl"/>
        </w:rPr>
        <w:t>d)</w:t>
      </w:r>
      <w:r w:rsidRPr="00192AEC">
        <w:rPr>
          <w:lang w:val="es-ES_tradnl"/>
        </w:rPr>
        <w:tab/>
        <w:t>que no está previsto que la TSB preste asistencia técnica a los países que tratan de establecer números de emergencia,</w:t>
      </w:r>
    </w:p>
    <w:p w14:paraId="54538660" w14:textId="77777777" w:rsidR="00496EA5" w:rsidRPr="00192AEC" w:rsidRDefault="00496EA5" w:rsidP="00C42673">
      <w:pPr>
        <w:pStyle w:val="Call"/>
        <w:rPr>
          <w:lang w:val="es-ES_tradnl"/>
        </w:rPr>
      </w:pPr>
      <w:r w:rsidRPr="00192AEC">
        <w:rPr>
          <w:lang w:val="es-ES_tradnl"/>
        </w:rPr>
        <w:t>reafirmando</w:t>
      </w:r>
    </w:p>
    <w:p w14:paraId="2356F9A0" w14:textId="77777777" w:rsidR="00496EA5" w:rsidRPr="00192AEC" w:rsidRDefault="00496EA5" w:rsidP="00C42673">
      <w:pPr>
        <w:rPr>
          <w:lang w:val="es-ES_tradnl"/>
        </w:rPr>
      </w:pPr>
      <w:r w:rsidRPr="00192AEC">
        <w:rPr>
          <w:lang w:val="es-ES_tradnl"/>
        </w:rPr>
        <w:t>el derecho soberano de cada país a reglamentar sus comunicaciones y, por ende, la prestación de sus servicios de emergencia,</w:t>
      </w:r>
    </w:p>
    <w:p w14:paraId="5AB3466A" w14:textId="77777777" w:rsidR="00496EA5" w:rsidRPr="00192AEC" w:rsidRDefault="00496EA5" w:rsidP="1C7B5B94">
      <w:pPr>
        <w:pStyle w:val="Call"/>
        <w:rPr>
          <w:lang w:val="es-ES"/>
        </w:rPr>
      </w:pPr>
      <w:r w:rsidRPr="1C7B5B94">
        <w:rPr>
          <w:lang w:val="es-ES"/>
        </w:rPr>
        <w:t>resuelve encargar al Director de la Oficina de Normalización de las Telecomunicaciones, en cooperación con el Director de la Oficina de Desarrollo de las Telecomunicaciones</w:t>
      </w:r>
    </w:p>
    <w:p w14:paraId="2AA141CD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lang w:val="es-ES_tradnl"/>
        </w:rPr>
        <w:t>1</w:t>
      </w:r>
      <w:r w:rsidRPr="00192AEC">
        <w:rPr>
          <w:lang w:val="es-ES_tradnl"/>
        </w:rPr>
        <w:tab/>
        <w:t xml:space="preserve">que continúe prestando asistencia a los Estados </w:t>
      </w:r>
      <w:r>
        <w:rPr>
          <w:lang w:val="es-ES_tradnl"/>
        </w:rPr>
        <w:t>Miembros</w:t>
      </w:r>
      <w:r w:rsidRPr="00192AEC">
        <w:rPr>
          <w:lang w:val="es-ES_tradnl"/>
        </w:rPr>
        <w:t xml:space="preserve"> de África, con sujeción a los recursos disponibles y a los límites presupuestarios existentes, a efectos de la puesta en marcha de un número de emergencia común en consonancia con la Recomendación UIT-T E.161.1;</w:t>
      </w:r>
    </w:p>
    <w:p w14:paraId="7420F987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lang w:val="es-ES_tradnl"/>
        </w:rPr>
        <w:t>2</w:t>
      </w:r>
      <w:r w:rsidRPr="00192AEC">
        <w:rPr>
          <w:lang w:val="es-ES_tradnl"/>
        </w:rPr>
        <w:tab/>
        <w:t>que informe a la Asamblea Mundial de Normalización de las Telecomunicaciones sobre los progresos realizados en la aplicación de la presente Resolución, destinada a mejorar el acceso a los servicios de emergencia,</w:t>
      </w:r>
    </w:p>
    <w:p w14:paraId="3011A6CE" w14:textId="77777777" w:rsidR="00496EA5" w:rsidRPr="00192AEC" w:rsidRDefault="00496EA5" w:rsidP="00C42673">
      <w:pPr>
        <w:pStyle w:val="Call"/>
        <w:rPr>
          <w:lang w:val="es-ES_tradnl"/>
        </w:rPr>
      </w:pPr>
      <w:r w:rsidRPr="00192AEC">
        <w:rPr>
          <w:lang w:val="es-ES_tradnl"/>
        </w:rPr>
        <w:t xml:space="preserve">invita a los Estados </w:t>
      </w:r>
      <w:r>
        <w:rPr>
          <w:lang w:val="es-ES_tradnl"/>
        </w:rPr>
        <w:t>Miembros</w:t>
      </w:r>
      <w:r w:rsidRPr="00192AEC">
        <w:rPr>
          <w:lang w:val="es-ES_tradnl"/>
        </w:rPr>
        <w:t xml:space="preserve">, </w:t>
      </w:r>
      <w:r>
        <w:rPr>
          <w:lang w:val="es-ES_tradnl"/>
        </w:rPr>
        <w:t>en particular</w:t>
      </w:r>
      <w:r w:rsidRPr="00192AEC">
        <w:rPr>
          <w:lang w:val="es-ES_tradnl"/>
        </w:rPr>
        <w:t xml:space="preserve"> a los de la </w:t>
      </w:r>
      <w:r>
        <w:rPr>
          <w:lang w:val="es-ES_tradnl"/>
        </w:rPr>
        <w:t>r</w:t>
      </w:r>
      <w:r w:rsidRPr="00192AEC">
        <w:rPr>
          <w:lang w:val="es-ES_tradnl"/>
        </w:rPr>
        <w:t>egión de África</w:t>
      </w:r>
    </w:p>
    <w:p w14:paraId="303902EE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lang w:val="es-ES_tradnl"/>
        </w:rPr>
        <w:t>1</w:t>
      </w:r>
      <w:r w:rsidRPr="00192AEC">
        <w:rPr>
          <w:lang w:val="es-ES_tradnl"/>
        </w:rPr>
        <w:tab/>
        <w:t>a aplicar lo dispuesto en la Recomendación UIT-T E.161.1 y, en particular, a considerar la posibilidad de utilizar el 112 como número de emergencia primario y el 911 como número de emergencia secundario alternativo</w:t>
      </w:r>
      <w:r>
        <w:rPr>
          <w:lang w:val="es-ES_tradnl"/>
        </w:rPr>
        <w:t>;</w:t>
      </w:r>
    </w:p>
    <w:p w14:paraId="163232FD" w14:textId="77777777" w:rsidR="00496EA5" w:rsidRPr="00192AEC" w:rsidRDefault="00496EA5" w:rsidP="007771C5">
      <w:pPr>
        <w:spacing w:before="120"/>
        <w:rPr>
          <w:lang w:val="es-ES_tradnl"/>
        </w:rPr>
      </w:pPr>
      <w:r w:rsidRPr="00192AEC">
        <w:rPr>
          <w:lang w:val="es-ES_tradnl"/>
        </w:rPr>
        <w:t>2</w:t>
      </w:r>
      <w:r w:rsidRPr="00192AEC">
        <w:rPr>
          <w:lang w:val="es-ES_tradnl"/>
        </w:rPr>
        <w:tab/>
        <w:t>que no hayan implementado el 112 como número de emergencia común de conformidad con la Recomendación UIT-T E.161.1, a solicitar asistencia técnica a la TSB;</w:t>
      </w:r>
    </w:p>
    <w:p w14:paraId="1EDAD52D" w14:textId="77777777" w:rsidR="00496EA5" w:rsidRPr="00192AEC" w:rsidRDefault="00496EA5" w:rsidP="007771C5">
      <w:pPr>
        <w:spacing w:before="120"/>
        <w:rPr>
          <w:lang w:val="es-ES_tradnl"/>
        </w:rPr>
      </w:pPr>
      <w:r>
        <w:rPr>
          <w:lang w:val="es-ES_tradnl"/>
        </w:rPr>
        <w:t>3</w:t>
      </w:r>
      <w:r w:rsidRPr="00192AEC">
        <w:rPr>
          <w:lang w:val="es-ES_tradnl"/>
        </w:rPr>
        <w:tab/>
        <w:t>a considerar la posibilidad de establecer mecanismos o directrices que faciliten la aplicación de la presente Resolución;</w:t>
      </w:r>
    </w:p>
    <w:p w14:paraId="43700583" w14:textId="3B7C173A" w:rsidR="00391AD6" w:rsidRPr="00077A2D" w:rsidRDefault="00496EA5" w:rsidP="007771C5">
      <w:pPr>
        <w:spacing w:before="120"/>
        <w:rPr>
          <w:lang w:val="es-ES"/>
        </w:rPr>
      </w:pPr>
      <w:r>
        <w:rPr>
          <w:lang w:val="es-ES_tradnl"/>
        </w:rPr>
        <w:t>4</w:t>
      </w:r>
      <w:r w:rsidRPr="00192AEC">
        <w:rPr>
          <w:lang w:val="es-ES_tradnl"/>
        </w:rPr>
        <w:tab/>
        <w:t>a divulgar información actualizada sobre sus planes de numeración, incluidos los números de emergencia, de conformidad con la Recomendación UIT-T E.129.</w:t>
      </w:r>
    </w:p>
    <w:sectPr w:rsidR="00391AD6" w:rsidRPr="00077A2D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9923207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Resolución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C94EDF">
      <w:rPr>
        <w:noProof/>
        <w:lang w:val="en-US"/>
      </w:rPr>
      <w:t>100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87A9447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94EDF">
      <w:rPr>
        <w:noProof/>
        <w:lang w:val="en-US"/>
      </w:rPr>
      <w:t>100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C71AD31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r w:rsidR="00347EE0">
      <w:rPr>
        <w:lang w:val="en-US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94EDF">
      <w:rPr>
        <w:noProof/>
        <w:lang w:val="en-US"/>
      </w:rPr>
      <w:t>100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40FA"/>
    <w:rsid w:val="00006C17"/>
    <w:rsid w:val="00011D78"/>
    <w:rsid w:val="00017B45"/>
    <w:rsid w:val="00023463"/>
    <w:rsid w:val="000328F5"/>
    <w:rsid w:val="0003503D"/>
    <w:rsid w:val="0004155C"/>
    <w:rsid w:val="00051442"/>
    <w:rsid w:val="00065F07"/>
    <w:rsid w:val="00077A2D"/>
    <w:rsid w:val="00082DD3"/>
    <w:rsid w:val="00084AD7"/>
    <w:rsid w:val="000A381D"/>
    <w:rsid w:val="000B071B"/>
    <w:rsid w:val="000B47CD"/>
    <w:rsid w:val="000B5A36"/>
    <w:rsid w:val="000C22AE"/>
    <w:rsid w:val="000C7B81"/>
    <w:rsid w:val="000D378F"/>
    <w:rsid w:val="000D3CE4"/>
    <w:rsid w:val="000D5219"/>
    <w:rsid w:val="000D6C83"/>
    <w:rsid w:val="000D6DAE"/>
    <w:rsid w:val="000E4393"/>
    <w:rsid w:val="00117D80"/>
    <w:rsid w:val="001309FB"/>
    <w:rsid w:val="0017525B"/>
    <w:rsid w:val="001762A1"/>
    <w:rsid w:val="001776E1"/>
    <w:rsid w:val="001A21DC"/>
    <w:rsid w:val="001B4A76"/>
    <w:rsid w:val="001C5240"/>
    <w:rsid w:val="001C604C"/>
    <w:rsid w:val="001E064E"/>
    <w:rsid w:val="001F3813"/>
    <w:rsid w:val="00211E22"/>
    <w:rsid w:val="002178BA"/>
    <w:rsid w:val="002204D5"/>
    <w:rsid w:val="002210D5"/>
    <w:rsid w:val="00227040"/>
    <w:rsid w:val="00237B40"/>
    <w:rsid w:val="002462EF"/>
    <w:rsid w:val="00246C17"/>
    <w:rsid w:val="00251518"/>
    <w:rsid w:val="00256336"/>
    <w:rsid w:val="002742C3"/>
    <w:rsid w:val="002A37D9"/>
    <w:rsid w:val="002C182C"/>
    <w:rsid w:val="002D5607"/>
    <w:rsid w:val="002E1B7B"/>
    <w:rsid w:val="002E6A20"/>
    <w:rsid w:val="002F389D"/>
    <w:rsid w:val="002F6393"/>
    <w:rsid w:val="00331B2F"/>
    <w:rsid w:val="003374BB"/>
    <w:rsid w:val="00347EE0"/>
    <w:rsid w:val="0035222D"/>
    <w:rsid w:val="003634BA"/>
    <w:rsid w:val="0038237B"/>
    <w:rsid w:val="00390873"/>
    <w:rsid w:val="00391AD6"/>
    <w:rsid w:val="003C3FD9"/>
    <w:rsid w:val="003D116F"/>
    <w:rsid w:val="003D7A8C"/>
    <w:rsid w:val="003F293E"/>
    <w:rsid w:val="00401308"/>
    <w:rsid w:val="00406157"/>
    <w:rsid w:val="00406B22"/>
    <w:rsid w:val="00423BC5"/>
    <w:rsid w:val="004568D2"/>
    <w:rsid w:val="004612A7"/>
    <w:rsid w:val="00462F6A"/>
    <w:rsid w:val="00467305"/>
    <w:rsid w:val="0048772A"/>
    <w:rsid w:val="00496EA5"/>
    <w:rsid w:val="004A1F7E"/>
    <w:rsid w:val="004A58A4"/>
    <w:rsid w:val="004B7CB1"/>
    <w:rsid w:val="004D7DA4"/>
    <w:rsid w:val="004F2E56"/>
    <w:rsid w:val="00501F47"/>
    <w:rsid w:val="00503942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C3E96"/>
    <w:rsid w:val="005D0420"/>
    <w:rsid w:val="005D1D45"/>
    <w:rsid w:val="00601999"/>
    <w:rsid w:val="00611A53"/>
    <w:rsid w:val="00611CD0"/>
    <w:rsid w:val="006144AB"/>
    <w:rsid w:val="00631549"/>
    <w:rsid w:val="006425B4"/>
    <w:rsid w:val="00653C1B"/>
    <w:rsid w:val="00661781"/>
    <w:rsid w:val="00665F6E"/>
    <w:rsid w:val="006678D7"/>
    <w:rsid w:val="006824D9"/>
    <w:rsid w:val="00684F2B"/>
    <w:rsid w:val="006870A0"/>
    <w:rsid w:val="00693D4F"/>
    <w:rsid w:val="00697D23"/>
    <w:rsid w:val="006B0459"/>
    <w:rsid w:val="006B5987"/>
    <w:rsid w:val="006E13C5"/>
    <w:rsid w:val="00700AE2"/>
    <w:rsid w:val="00706D36"/>
    <w:rsid w:val="00707551"/>
    <w:rsid w:val="007116DC"/>
    <w:rsid w:val="0071403C"/>
    <w:rsid w:val="00717E4B"/>
    <w:rsid w:val="00720F3C"/>
    <w:rsid w:val="00724D33"/>
    <w:rsid w:val="00726747"/>
    <w:rsid w:val="0074102F"/>
    <w:rsid w:val="007550BF"/>
    <w:rsid w:val="00756678"/>
    <w:rsid w:val="007636F9"/>
    <w:rsid w:val="007771C5"/>
    <w:rsid w:val="00780423"/>
    <w:rsid w:val="00781E25"/>
    <w:rsid w:val="00783EB8"/>
    <w:rsid w:val="007958DD"/>
    <w:rsid w:val="007E0240"/>
    <w:rsid w:val="007F32A3"/>
    <w:rsid w:val="008075CD"/>
    <w:rsid w:val="00837339"/>
    <w:rsid w:val="00845E8E"/>
    <w:rsid w:val="00851E30"/>
    <w:rsid w:val="0088751E"/>
    <w:rsid w:val="00891F50"/>
    <w:rsid w:val="008968B6"/>
    <w:rsid w:val="008972C5"/>
    <w:rsid w:val="008B4CF6"/>
    <w:rsid w:val="008B7E09"/>
    <w:rsid w:val="008C7FC3"/>
    <w:rsid w:val="008D6D8D"/>
    <w:rsid w:val="008D7D48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1280"/>
    <w:rsid w:val="00952426"/>
    <w:rsid w:val="0096323D"/>
    <w:rsid w:val="009732A2"/>
    <w:rsid w:val="00974C0C"/>
    <w:rsid w:val="009755D7"/>
    <w:rsid w:val="009C2357"/>
    <w:rsid w:val="009D10A5"/>
    <w:rsid w:val="009D26AE"/>
    <w:rsid w:val="009E1DCF"/>
    <w:rsid w:val="009F7009"/>
    <w:rsid w:val="009F73E5"/>
    <w:rsid w:val="00A01A91"/>
    <w:rsid w:val="00A07A58"/>
    <w:rsid w:val="00A24E9A"/>
    <w:rsid w:val="00A26B1A"/>
    <w:rsid w:val="00A3085D"/>
    <w:rsid w:val="00A4766C"/>
    <w:rsid w:val="00A5746D"/>
    <w:rsid w:val="00A65D98"/>
    <w:rsid w:val="00A71BCC"/>
    <w:rsid w:val="00A75601"/>
    <w:rsid w:val="00A83D3D"/>
    <w:rsid w:val="00AA1264"/>
    <w:rsid w:val="00AA2D89"/>
    <w:rsid w:val="00AA6DF9"/>
    <w:rsid w:val="00AC4AF1"/>
    <w:rsid w:val="00AC4BB8"/>
    <w:rsid w:val="00AE4C26"/>
    <w:rsid w:val="00B150A9"/>
    <w:rsid w:val="00B17501"/>
    <w:rsid w:val="00B2011C"/>
    <w:rsid w:val="00B23929"/>
    <w:rsid w:val="00B241C9"/>
    <w:rsid w:val="00B3059C"/>
    <w:rsid w:val="00B33CAA"/>
    <w:rsid w:val="00B50CB4"/>
    <w:rsid w:val="00B50D4E"/>
    <w:rsid w:val="00B50F17"/>
    <w:rsid w:val="00B5549E"/>
    <w:rsid w:val="00B56BC0"/>
    <w:rsid w:val="00B67290"/>
    <w:rsid w:val="00B73379"/>
    <w:rsid w:val="00B73B62"/>
    <w:rsid w:val="00B7553A"/>
    <w:rsid w:val="00B92804"/>
    <w:rsid w:val="00BB34EA"/>
    <w:rsid w:val="00BC13B0"/>
    <w:rsid w:val="00BE53DB"/>
    <w:rsid w:val="00BE564D"/>
    <w:rsid w:val="00BE58E6"/>
    <w:rsid w:val="00BF610E"/>
    <w:rsid w:val="00C12E70"/>
    <w:rsid w:val="00C30E1E"/>
    <w:rsid w:val="00C32F69"/>
    <w:rsid w:val="00C42785"/>
    <w:rsid w:val="00C64078"/>
    <w:rsid w:val="00C706FC"/>
    <w:rsid w:val="00C72AF4"/>
    <w:rsid w:val="00C815EB"/>
    <w:rsid w:val="00C94EDF"/>
    <w:rsid w:val="00CD10C2"/>
    <w:rsid w:val="00CD283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5D50"/>
    <w:rsid w:val="00DE48B4"/>
    <w:rsid w:val="00E03ABC"/>
    <w:rsid w:val="00E154E2"/>
    <w:rsid w:val="00E20918"/>
    <w:rsid w:val="00E300EC"/>
    <w:rsid w:val="00E47B1E"/>
    <w:rsid w:val="00E51820"/>
    <w:rsid w:val="00E56BAB"/>
    <w:rsid w:val="00E67297"/>
    <w:rsid w:val="00E758D6"/>
    <w:rsid w:val="00E75929"/>
    <w:rsid w:val="00E82452"/>
    <w:rsid w:val="00E83C1C"/>
    <w:rsid w:val="00E87FF6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8B8"/>
    <w:rsid w:val="00F0099E"/>
    <w:rsid w:val="00F12607"/>
    <w:rsid w:val="00F14CC8"/>
    <w:rsid w:val="00F15F98"/>
    <w:rsid w:val="00F34748"/>
    <w:rsid w:val="00F4281C"/>
    <w:rsid w:val="00F42B66"/>
    <w:rsid w:val="00F557F4"/>
    <w:rsid w:val="00F576B9"/>
    <w:rsid w:val="00F67E96"/>
    <w:rsid w:val="00F84A96"/>
    <w:rsid w:val="00FA2510"/>
    <w:rsid w:val="00FA70B7"/>
    <w:rsid w:val="00FC2788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1">
    <w:name w:val="Normal after title0"/>
    <w:basedOn w:val="Normal"/>
    <w:next w:val="Normal"/>
    <w:rsid w:val="00391A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51</TotalTime>
  <Pages>4</Pages>
  <Words>1151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100 – Número de emergencia común para África</vt:lpstr>
    </vt:vector>
  </TitlesOfParts>
  <Company>ITU</Company>
  <LinksUpToDate>false</LinksUpToDate>
  <CharactersWithSpaces>7654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100 – Número de emergencia común para África</dc:title>
  <dc:subject>ASAMBLEA MUNDIAL DE NORMALIZACIÓN DE LAS TELECOMUNICACIONES</dc:subject>
  <dc:creator>ITU-T</dc:creator>
  <cp:keywords/>
  <dc:description/>
  <cp:lastModifiedBy>Saez Grau, Ricardo</cp:lastModifiedBy>
  <cp:revision>46</cp:revision>
  <cp:lastPrinted>2024-11-27T11:14:00Z</cp:lastPrinted>
  <dcterms:created xsi:type="dcterms:W3CDTF">2024-11-26T13:57:00Z</dcterms:created>
  <dcterms:modified xsi:type="dcterms:W3CDTF">2024-11-27T11:15:00Z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