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48" w:type="dxa"/>
        <w:tblLayout w:type="fixed"/>
        <w:tblLook w:val="0000" w:firstRow="0" w:lastRow="0" w:firstColumn="0" w:lastColumn="0" w:noHBand="0" w:noVBand="0"/>
      </w:tblPr>
      <w:tblGrid>
        <w:gridCol w:w="1418"/>
        <w:gridCol w:w="10"/>
        <w:gridCol w:w="2508"/>
        <w:gridCol w:w="2041"/>
        <w:gridCol w:w="3971"/>
      </w:tblGrid>
      <w:tr w:rsidR="00FB6D55" w:rsidRPr="003518D5" w14:paraId="6D5FF25C" w14:textId="77777777">
        <w:trPr>
          <w:trHeight w:hRule="exact" w:val="1418"/>
        </w:trPr>
        <w:tc>
          <w:tcPr>
            <w:tcW w:w="1428" w:type="dxa"/>
            <w:gridSpan w:val="2"/>
          </w:tcPr>
          <w:p w14:paraId="31646A51" w14:textId="77777777" w:rsidR="00FB6D55" w:rsidRPr="003518D5" w:rsidRDefault="00E5178C" w:rsidP="00223031">
            <w:pPr>
              <w:pStyle w:val="Note"/>
            </w:pPr>
            <w:r>
              <w:rPr>
                <w:noProof/>
                <w:lang w:val="en-GB" w:eastAsia="zh-CN"/>
              </w:rPr>
              <w:drawing>
                <wp:anchor distT="0" distB="0" distL="114300" distR="114300" simplePos="0" relativeHeight="251656704" behindDoc="0" locked="0" layoutInCell="0" allowOverlap="1" wp14:anchorId="5C59629E" wp14:editId="6C291C5D">
                  <wp:simplePos x="0" y="0"/>
                  <wp:positionH relativeFrom="column">
                    <wp:posOffset>-1009650</wp:posOffset>
                  </wp:positionH>
                  <wp:positionV relativeFrom="paragraph">
                    <wp:posOffset>-681355</wp:posOffset>
                  </wp:positionV>
                  <wp:extent cx="1612900" cy="10828655"/>
                  <wp:effectExtent l="0" t="0" r="635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0" cy="108286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44F717A" w14:textId="77777777" w:rsidR="00FB6D55" w:rsidRPr="003518D5" w:rsidRDefault="00FB6D55">
            <w:pPr>
              <w:spacing w:before="0"/>
              <w:rPr>
                <w:b/>
                <w:sz w:val="16"/>
              </w:rPr>
            </w:pPr>
          </w:p>
        </w:tc>
        <w:tc>
          <w:tcPr>
            <w:tcW w:w="8520" w:type="dxa"/>
            <w:gridSpan w:val="3"/>
          </w:tcPr>
          <w:p w14:paraId="26C13D2C" w14:textId="77777777" w:rsidR="00FB6D55" w:rsidRPr="003518D5" w:rsidRDefault="00FB6D55">
            <w:pPr>
              <w:spacing w:before="0"/>
            </w:pPr>
          </w:p>
          <w:p w14:paraId="5E549188" w14:textId="77777777" w:rsidR="00FB6D55" w:rsidRPr="003518D5" w:rsidRDefault="00FB6D55">
            <w:pPr>
              <w:spacing w:before="284"/>
              <w:rPr>
                <w:rFonts w:ascii="Arial" w:hAnsi="Arial" w:cs="Arial"/>
                <w:b/>
                <w:bCs/>
                <w:spacing w:val="80"/>
                <w:sz w:val="18"/>
              </w:rPr>
            </w:pPr>
            <w:r w:rsidRPr="003518D5">
              <w:rPr>
                <w:rFonts w:ascii="Arial" w:hAnsi="Arial" w:cs="Arial"/>
                <w:b/>
                <w:bCs/>
                <w:color w:val="808080"/>
                <w:spacing w:val="80"/>
              </w:rPr>
              <w:t>Unión Internacional de Telecomunicaciones</w:t>
            </w:r>
          </w:p>
        </w:tc>
      </w:tr>
      <w:tr w:rsidR="00FB6D55" w:rsidRPr="003518D5" w14:paraId="03AC2814" w14:textId="77777777">
        <w:trPr>
          <w:trHeight w:hRule="exact" w:val="992"/>
        </w:trPr>
        <w:tc>
          <w:tcPr>
            <w:tcW w:w="1428" w:type="dxa"/>
            <w:gridSpan w:val="2"/>
          </w:tcPr>
          <w:p w14:paraId="14E1991A" w14:textId="77777777" w:rsidR="00FB6D55" w:rsidRPr="003518D5" w:rsidRDefault="00FB6D55">
            <w:pPr>
              <w:spacing w:before="0"/>
            </w:pPr>
          </w:p>
        </w:tc>
        <w:tc>
          <w:tcPr>
            <w:tcW w:w="8520" w:type="dxa"/>
            <w:gridSpan w:val="3"/>
          </w:tcPr>
          <w:p w14:paraId="2DBB40A8" w14:textId="77777777" w:rsidR="00FB6D55" w:rsidRPr="003518D5" w:rsidRDefault="00FB6D55"/>
        </w:tc>
      </w:tr>
      <w:tr w:rsidR="00FB6D55" w:rsidRPr="003518D5" w14:paraId="123112C6" w14:textId="77777777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</w:trPr>
        <w:tc>
          <w:tcPr>
            <w:tcW w:w="2508" w:type="dxa"/>
          </w:tcPr>
          <w:p w14:paraId="7E8A3FD5" w14:textId="77777777" w:rsidR="00FB6D55" w:rsidRPr="003518D5" w:rsidRDefault="00FB6D55">
            <w:pPr>
              <w:rPr>
                <w:b/>
                <w:sz w:val="18"/>
              </w:rPr>
            </w:pPr>
            <w:bookmarkStart w:id="0" w:name="dnums" w:colFirst="1" w:colLast="1"/>
            <w:r w:rsidRPr="003518D5">
              <w:rPr>
                <w:rFonts w:ascii="Arial" w:hAnsi="Arial"/>
                <w:b/>
                <w:spacing w:val="40"/>
                <w:sz w:val="72"/>
              </w:rPr>
              <w:t>UIT-T</w:t>
            </w:r>
          </w:p>
        </w:tc>
        <w:tc>
          <w:tcPr>
            <w:tcW w:w="6012" w:type="dxa"/>
            <w:gridSpan w:val="2"/>
          </w:tcPr>
          <w:p w14:paraId="18BFD3E7" w14:textId="77777777" w:rsidR="00FB6D55" w:rsidRPr="003518D5" w:rsidRDefault="00FB6D55">
            <w:pPr>
              <w:spacing w:before="240"/>
              <w:jc w:val="right"/>
              <w:rPr>
                <w:rFonts w:ascii="Arial" w:hAnsi="Arial" w:cs="Arial"/>
                <w:b/>
                <w:sz w:val="60"/>
              </w:rPr>
            </w:pPr>
          </w:p>
        </w:tc>
      </w:tr>
      <w:tr w:rsidR="00FB6D55" w:rsidRPr="003518D5" w14:paraId="735E4505" w14:textId="77777777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  <w:trHeight w:val="974"/>
        </w:trPr>
        <w:tc>
          <w:tcPr>
            <w:tcW w:w="4549" w:type="dxa"/>
            <w:gridSpan w:val="2"/>
          </w:tcPr>
          <w:p w14:paraId="7FA9DED6" w14:textId="77777777" w:rsidR="00FB6D55" w:rsidRPr="003518D5" w:rsidRDefault="00FB6D55">
            <w:pPr>
              <w:jc w:val="left"/>
              <w:rPr>
                <w:b/>
                <w:sz w:val="18"/>
              </w:rPr>
            </w:pPr>
            <w:bookmarkStart w:id="1" w:name="ddates" w:colFirst="1" w:colLast="1"/>
            <w:bookmarkEnd w:id="0"/>
            <w:r w:rsidRPr="003518D5">
              <w:rPr>
                <w:rFonts w:ascii="Arial" w:hAnsi="Arial"/>
                <w:sz w:val="20"/>
              </w:rPr>
              <w:t>SECTOR  DE  NORMALIZACIÓN</w:t>
            </w:r>
            <w:r w:rsidRPr="003518D5">
              <w:rPr>
                <w:rFonts w:ascii="Arial" w:hAnsi="Arial" w:cs="Arial"/>
                <w:sz w:val="20"/>
              </w:rPr>
              <w:br/>
            </w:r>
            <w:r w:rsidRPr="003518D5">
              <w:rPr>
                <w:rFonts w:ascii="Arial" w:hAnsi="Arial"/>
                <w:sz w:val="20"/>
              </w:rPr>
              <w:t>DE  LAS  TELECOMUNICACIONES</w:t>
            </w:r>
            <w:r w:rsidRPr="003518D5">
              <w:rPr>
                <w:rFonts w:ascii="Arial" w:hAnsi="Arial"/>
                <w:sz w:val="20"/>
              </w:rPr>
              <w:br/>
              <w:t>DE  LA  UIT</w:t>
            </w:r>
          </w:p>
        </w:tc>
        <w:tc>
          <w:tcPr>
            <w:tcW w:w="3971" w:type="dxa"/>
          </w:tcPr>
          <w:p w14:paraId="32D6BEB0" w14:textId="77777777" w:rsidR="00FB6D55" w:rsidRPr="003518D5" w:rsidRDefault="00FB6D55" w:rsidP="00FB6D55">
            <w:pPr>
              <w:spacing w:before="0"/>
              <w:jc w:val="right"/>
              <w:rPr>
                <w:rFonts w:ascii="Arial" w:hAnsi="Arial" w:cs="Arial"/>
                <w:sz w:val="28"/>
              </w:rPr>
            </w:pPr>
            <w:r w:rsidRPr="003518D5">
              <w:rPr>
                <w:rFonts w:ascii="Arial" w:hAnsi="Arial" w:cs="Arial"/>
                <w:sz w:val="28"/>
              </w:rPr>
              <w:t xml:space="preserve">   </w:t>
            </w:r>
          </w:p>
        </w:tc>
      </w:tr>
      <w:tr w:rsidR="00FB6D55" w:rsidRPr="003518D5" w14:paraId="121DE7FC" w14:textId="77777777">
        <w:trPr>
          <w:cantSplit/>
          <w:trHeight w:hRule="exact" w:val="3402"/>
        </w:trPr>
        <w:tc>
          <w:tcPr>
            <w:tcW w:w="1418" w:type="dxa"/>
          </w:tcPr>
          <w:p w14:paraId="028ABDEB" w14:textId="77777777" w:rsidR="00FB6D55" w:rsidRPr="003518D5" w:rsidRDefault="00FB6D55">
            <w:pPr>
              <w:tabs>
                <w:tab w:val="right" w:pos="9639"/>
              </w:tabs>
              <w:rPr>
                <w:rFonts w:ascii="Arial" w:hAnsi="Arial"/>
                <w:sz w:val="18"/>
              </w:rPr>
            </w:pPr>
            <w:bookmarkStart w:id="2" w:name="dsecs" w:colFirst="1" w:colLast="1"/>
            <w:bookmarkEnd w:id="1"/>
          </w:p>
        </w:tc>
        <w:tc>
          <w:tcPr>
            <w:tcW w:w="8530" w:type="dxa"/>
            <w:gridSpan w:val="4"/>
            <w:tcBorders>
              <w:bottom w:val="single" w:sz="12" w:space="0" w:color="auto"/>
            </w:tcBorders>
            <w:vAlign w:val="bottom"/>
          </w:tcPr>
          <w:p w14:paraId="1FA47F78" w14:textId="77777777" w:rsidR="00FB6D55" w:rsidRPr="003518D5" w:rsidRDefault="004F1EA7" w:rsidP="004F1EA7">
            <w:pPr>
              <w:tabs>
                <w:tab w:val="right" w:pos="9639"/>
              </w:tabs>
              <w:jc w:val="left"/>
              <w:rPr>
                <w:rFonts w:ascii="Arial" w:hAnsi="Arial" w:cs="Arial"/>
                <w:sz w:val="32"/>
              </w:rPr>
            </w:pPr>
            <w:r w:rsidRPr="004F1EA7">
              <w:rPr>
                <w:rFonts w:ascii="Arial" w:hAnsi="Arial" w:cs="Arial"/>
                <w:sz w:val="32"/>
              </w:rPr>
              <w:t>ASAMBLEA MUNDIAL DE NORMALIZACIÓN DE LAS TELECOMUNICACIONES</w:t>
            </w:r>
          </w:p>
          <w:p w14:paraId="04BAE0B0" w14:textId="021939E7" w:rsidR="00FB6D55" w:rsidRPr="003518D5" w:rsidRDefault="00100C95" w:rsidP="00D5161F">
            <w:pPr>
              <w:tabs>
                <w:tab w:val="right" w:pos="9639"/>
              </w:tabs>
              <w:jc w:val="left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  <w:lang w:val="es-ES"/>
              </w:rPr>
              <w:t>Ginebra</w:t>
            </w:r>
            <w:r w:rsidR="004F1EA7" w:rsidRPr="006C62D4">
              <w:rPr>
                <w:rFonts w:ascii="Arial" w:hAnsi="Arial" w:cs="Arial"/>
                <w:sz w:val="32"/>
                <w:lang w:val="es-ES"/>
              </w:rPr>
              <w:t xml:space="preserve">, </w:t>
            </w:r>
            <w:r w:rsidRPr="00100C95">
              <w:rPr>
                <w:rFonts w:ascii="Arial" w:hAnsi="Arial" w:cs="Arial"/>
                <w:sz w:val="32"/>
                <w:lang w:val="es-ES"/>
              </w:rPr>
              <w:t>1-9 de marzo de 2022</w:t>
            </w:r>
          </w:p>
          <w:p w14:paraId="104A6C00" w14:textId="77777777" w:rsidR="00FB6D55" w:rsidRPr="003518D5" w:rsidRDefault="00FB6D55" w:rsidP="00FB6D55">
            <w:pPr>
              <w:tabs>
                <w:tab w:val="right" w:pos="9639"/>
              </w:tabs>
              <w:jc w:val="left"/>
              <w:rPr>
                <w:rFonts w:ascii="Arial" w:hAnsi="Arial" w:cs="Arial"/>
                <w:sz w:val="32"/>
              </w:rPr>
            </w:pPr>
          </w:p>
        </w:tc>
      </w:tr>
      <w:tr w:rsidR="00FB6D55" w:rsidRPr="003518D5" w14:paraId="6398E4B4" w14:textId="77777777">
        <w:trPr>
          <w:cantSplit/>
          <w:trHeight w:hRule="exact" w:val="4536"/>
        </w:trPr>
        <w:tc>
          <w:tcPr>
            <w:tcW w:w="1418" w:type="dxa"/>
          </w:tcPr>
          <w:p w14:paraId="205979ED" w14:textId="77777777" w:rsidR="00FB6D55" w:rsidRPr="003518D5" w:rsidRDefault="00FB6D55">
            <w:pPr>
              <w:tabs>
                <w:tab w:val="right" w:pos="9639"/>
              </w:tabs>
              <w:rPr>
                <w:rFonts w:ascii="Arial" w:hAnsi="Arial"/>
                <w:sz w:val="18"/>
              </w:rPr>
            </w:pPr>
            <w:bookmarkStart w:id="3" w:name="c1tits" w:colFirst="1" w:colLast="1"/>
            <w:bookmarkEnd w:id="2"/>
          </w:p>
        </w:tc>
        <w:tc>
          <w:tcPr>
            <w:tcW w:w="8530" w:type="dxa"/>
            <w:gridSpan w:val="4"/>
          </w:tcPr>
          <w:p w14:paraId="23A74899" w14:textId="7D62DFA0" w:rsidR="00FB6D55" w:rsidRPr="003518D5" w:rsidRDefault="004F1EA7" w:rsidP="0028582D">
            <w:pPr>
              <w:tabs>
                <w:tab w:val="right" w:pos="9639"/>
              </w:tabs>
              <w:jc w:val="left"/>
              <w:rPr>
                <w:rFonts w:ascii="Arial" w:hAnsi="Arial" w:cs="Arial"/>
                <w:b/>
                <w:bCs/>
                <w:sz w:val="36"/>
                <w:szCs w:val="36"/>
              </w:rPr>
            </w:pPr>
            <w:bookmarkStart w:id="4" w:name="_Hlk100838794"/>
            <w:r w:rsidRPr="004F1EA7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Resolución </w:t>
            </w:r>
            <w:r w:rsidR="00DA1685">
              <w:rPr>
                <w:rFonts w:ascii="Arial" w:hAnsi="Arial" w:cs="Arial"/>
                <w:b/>
                <w:bCs/>
                <w:sz w:val="36"/>
                <w:szCs w:val="36"/>
              </w:rPr>
              <w:t>100</w:t>
            </w:r>
            <w:r w:rsidR="0028582D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– </w:t>
            </w:r>
            <w:r w:rsidR="00DA1685" w:rsidRPr="00DA1685">
              <w:rPr>
                <w:rFonts w:ascii="Arial" w:hAnsi="Arial" w:cs="Arial"/>
                <w:b/>
                <w:bCs/>
                <w:sz w:val="36"/>
                <w:szCs w:val="36"/>
              </w:rPr>
              <w:t>Número de emergencia común para África</w:t>
            </w:r>
            <w:bookmarkEnd w:id="4"/>
          </w:p>
        </w:tc>
      </w:tr>
      <w:bookmarkEnd w:id="3"/>
      <w:tr w:rsidR="008028AE" w:rsidRPr="00F4281C" w14:paraId="51997BDD" w14:textId="77777777" w:rsidTr="00F431E4">
        <w:trPr>
          <w:cantSplit/>
          <w:trHeight w:hRule="exact" w:val="1418"/>
        </w:trPr>
        <w:tc>
          <w:tcPr>
            <w:tcW w:w="1418" w:type="dxa"/>
          </w:tcPr>
          <w:p w14:paraId="7B8AC666" w14:textId="77777777" w:rsidR="008028AE" w:rsidRPr="0028582D" w:rsidRDefault="008028AE" w:rsidP="00F431E4">
            <w:pPr>
              <w:tabs>
                <w:tab w:val="right" w:pos="9639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8530" w:type="dxa"/>
            <w:gridSpan w:val="4"/>
            <w:vAlign w:val="bottom"/>
          </w:tcPr>
          <w:p w14:paraId="15EA1E4F" w14:textId="77777777" w:rsidR="00FD6CCF" w:rsidRPr="0028582D" w:rsidRDefault="00FD6CCF" w:rsidP="00F431E4">
            <w:pPr>
              <w:tabs>
                <w:tab w:val="right" w:pos="9639"/>
              </w:tabs>
              <w:jc w:val="left"/>
              <w:rPr>
                <w:rFonts w:ascii="Arial" w:hAnsi="Arial"/>
                <w:sz w:val="18"/>
              </w:rPr>
            </w:pPr>
            <w:bookmarkStart w:id="5" w:name="dnum2e"/>
            <w:bookmarkEnd w:id="5"/>
          </w:p>
        </w:tc>
      </w:tr>
    </w:tbl>
    <w:p w14:paraId="749A6025" w14:textId="07EFCB99" w:rsidR="008028AE" w:rsidRPr="0028582D" w:rsidRDefault="00100C95" w:rsidP="008028AE">
      <w:pPr>
        <w:tabs>
          <w:tab w:val="right" w:pos="9639"/>
        </w:tabs>
        <w:spacing w:before="240"/>
        <w:jc w:val="right"/>
        <w:rPr>
          <w:sz w:val="20"/>
        </w:rPr>
      </w:pPr>
      <w:bookmarkStart w:id="6" w:name="c2tope"/>
      <w:bookmarkEnd w:id="6"/>
      <w:r>
        <w:rPr>
          <w:noProof/>
        </w:rPr>
        <w:drawing>
          <wp:inline distT="0" distB="0" distL="0" distR="0" wp14:anchorId="0F884233" wp14:editId="79606315">
            <wp:extent cx="769620" cy="780415"/>
            <wp:effectExtent l="0" t="0" r="0" b="0"/>
            <wp:docPr id="25" name="Picture 2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78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67741C" w14:textId="77777777" w:rsidR="008028AE" w:rsidRDefault="008028AE" w:rsidP="006C62D4">
      <w:pPr>
        <w:spacing w:before="480" w:line="240" w:lineRule="exact"/>
        <w:jc w:val="center"/>
        <w:rPr>
          <w:szCs w:val="22"/>
        </w:rPr>
        <w:sectPr w:rsidR="008028AE" w:rsidSect="00A1158B">
          <w:pgSz w:w="11907" w:h="16840" w:code="9"/>
          <w:pgMar w:top="1089" w:right="1089" w:bottom="284" w:left="1089" w:header="284" w:footer="567" w:gutter="0"/>
          <w:paperSrc w:first="15" w:other="15"/>
          <w:pgNumType w:start="1"/>
          <w:cols w:space="720"/>
        </w:sectPr>
      </w:pPr>
      <w:bookmarkStart w:id="7" w:name="c2tops"/>
      <w:bookmarkEnd w:id="7"/>
    </w:p>
    <w:p w14:paraId="58DE3C00" w14:textId="77777777" w:rsidR="006C62D4" w:rsidRPr="00AC4414" w:rsidRDefault="006C62D4" w:rsidP="00812CE2">
      <w:pPr>
        <w:spacing w:before="0" w:line="240" w:lineRule="exact"/>
        <w:jc w:val="center"/>
        <w:rPr>
          <w:szCs w:val="22"/>
        </w:rPr>
      </w:pPr>
      <w:r w:rsidRPr="00AC4414">
        <w:rPr>
          <w:szCs w:val="22"/>
        </w:rPr>
        <w:lastRenderedPageBreak/>
        <w:t>PREFACIO</w:t>
      </w:r>
    </w:p>
    <w:p w14:paraId="60B0A011" w14:textId="77777777" w:rsidR="00D976F2" w:rsidRPr="00D976F2" w:rsidRDefault="00D976F2" w:rsidP="00D976F2">
      <w:pPr>
        <w:spacing w:line="240" w:lineRule="exact"/>
        <w:rPr>
          <w:sz w:val="20"/>
        </w:rPr>
      </w:pPr>
      <w:r w:rsidRPr="00D976F2">
        <w:rPr>
          <w:sz w:val="20"/>
        </w:rPr>
        <w:t>La Unión Internacional de Telecomunicaciones (UIT) es el organismo especializado de las Naciones Unidas en el campo de las telecomunicaciones y de las tecnologías de la información y la comunicación. El Sector de Normalización de las Telecomunicaciones de la UIT (UIT-T) es un órgano permanente de la UIT. Este órgano estudia los aspectos técnicos, de explotación y tarifarios y publica Recomendaciones sobre los mismos, con miras a la normalización de las telecomunicaciones en el plano mundial.</w:t>
      </w:r>
    </w:p>
    <w:p w14:paraId="72F9A4BC" w14:textId="77777777" w:rsidR="00D976F2" w:rsidRPr="00D976F2" w:rsidRDefault="00D976F2" w:rsidP="00D976F2">
      <w:pPr>
        <w:spacing w:line="240" w:lineRule="exact"/>
        <w:rPr>
          <w:sz w:val="20"/>
        </w:rPr>
      </w:pPr>
      <w:bookmarkStart w:id="8" w:name="iitexts"/>
      <w:r w:rsidRPr="00D976F2">
        <w:rPr>
          <w:sz w:val="20"/>
        </w:rPr>
        <w:t>La Asamblea Mundial de Normalización de las Telecomunicaciones (AMNT), que se celebra cada cuatro años, establece los temas que han de estudiar las Comisiones de Estudio del UIT</w:t>
      </w:r>
      <w:r w:rsidRPr="00D976F2">
        <w:rPr>
          <w:sz w:val="20"/>
        </w:rPr>
        <w:noBreakHyphen/>
        <w:t>T, que a su vez producen Recomendaciones sobre dichos temas.</w:t>
      </w:r>
    </w:p>
    <w:p w14:paraId="6E31A419" w14:textId="77777777" w:rsidR="00D976F2" w:rsidRPr="00D976F2" w:rsidRDefault="00D976F2" w:rsidP="00D976F2">
      <w:pPr>
        <w:spacing w:line="240" w:lineRule="exact"/>
        <w:rPr>
          <w:sz w:val="20"/>
        </w:rPr>
      </w:pPr>
      <w:r w:rsidRPr="00D976F2">
        <w:rPr>
          <w:sz w:val="20"/>
        </w:rPr>
        <w:t>La aprobación de Recomendaciones por los Miembros del UIT</w:t>
      </w:r>
      <w:r w:rsidRPr="00D976F2">
        <w:rPr>
          <w:sz w:val="20"/>
        </w:rPr>
        <w:noBreakHyphen/>
        <w:t>T es el objeto del procedimiento establecido en la Resolución 1 de la AMNT</w:t>
      </w:r>
      <w:bookmarkEnd w:id="8"/>
      <w:r w:rsidRPr="00D976F2">
        <w:rPr>
          <w:sz w:val="20"/>
        </w:rPr>
        <w:t>.</w:t>
      </w:r>
    </w:p>
    <w:p w14:paraId="01715131" w14:textId="77777777" w:rsidR="006C62D4" w:rsidRPr="00143DCC" w:rsidRDefault="00D976F2" w:rsidP="00D976F2">
      <w:pPr>
        <w:spacing w:line="240" w:lineRule="exact"/>
        <w:rPr>
          <w:sz w:val="20"/>
        </w:rPr>
      </w:pPr>
      <w:r w:rsidRPr="00D976F2">
        <w:rPr>
          <w:sz w:val="20"/>
        </w:rPr>
        <w:t>En ciertos sectores de la tecnología de la información que corresponden a la esfera de competencia del UIT</w:t>
      </w:r>
      <w:r w:rsidRPr="00D976F2">
        <w:rPr>
          <w:sz w:val="20"/>
        </w:rPr>
        <w:noBreakHyphen/>
        <w:t>T, se preparan las normas necesarias en colaboración con la ISO y la CEI.</w:t>
      </w:r>
    </w:p>
    <w:p w14:paraId="73446CE2" w14:textId="77777777" w:rsidR="006C62D4" w:rsidRPr="00143DCC" w:rsidRDefault="006C62D4" w:rsidP="006C62D4">
      <w:pPr>
        <w:spacing w:line="240" w:lineRule="exact"/>
        <w:jc w:val="center"/>
        <w:rPr>
          <w:sz w:val="20"/>
        </w:rPr>
      </w:pPr>
    </w:p>
    <w:p w14:paraId="23122120" w14:textId="77777777" w:rsidR="00A5430F" w:rsidRDefault="00A5430F" w:rsidP="006C62D4">
      <w:pPr>
        <w:spacing w:before="480"/>
        <w:jc w:val="center"/>
        <w:rPr>
          <w:sz w:val="18"/>
        </w:rPr>
      </w:pPr>
    </w:p>
    <w:p w14:paraId="098D93C8" w14:textId="77777777" w:rsidR="00A5430F" w:rsidRDefault="00A5430F" w:rsidP="00FB6D55">
      <w:pPr>
        <w:spacing w:before="80" w:after="80"/>
        <w:jc w:val="left"/>
        <w:rPr>
          <w:sz w:val="18"/>
        </w:rPr>
      </w:pPr>
    </w:p>
    <w:p w14:paraId="176B1A41" w14:textId="77777777" w:rsidR="00A5430F" w:rsidRDefault="00A5430F" w:rsidP="00FB6D55">
      <w:pPr>
        <w:spacing w:before="80" w:after="80"/>
        <w:jc w:val="left"/>
        <w:rPr>
          <w:sz w:val="18"/>
        </w:rPr>
      </w:pPr>
    </w:p>
    <w:p w14:paraId="02DAE4BE" w14:textId="77777777" w:rsidR="00C2286E" w:rsidRDefault="00C2286E" w:rsidP="00FB6D55">
      <w:pPr>
        <w:spacing w:before="80" w:after="80"/>
        <w:jc w:val="left"/>
        <w:rPr>
          <w:sz w:val="18"/>
        </w:rPr>
      </w:pPr>
    </w:p>
    <w:p w14:paraId="2285F82F" w14:textId="77777777" w:rsidR="00C2286E" w:rsidRDefault="00C2286E" w:rsidP="00FB6D55">
      <w:pPr>
        <w:spacing w:before="80" w:after="80"/>
        <w:jc w:val="left"/>
        <w:rPr>
          <w:sz w:val="18"/>
        </w:rPr>
      </w:pPr>
    </w:p>
    <w:p w14:paraId="088EEE88" w14:textId="77777777" w:rsidR="00C2286E" w:rsidRDefault="00C2286E" w:rsidP="00FB6D55">
      <w:pPr>
        <w:spacing w:before="80" w:after="80"/>
        <w:jc w:val="left"/>
        <w:rPr>
          <w:sz w:val="18"/>
        </w:rPr>
      </w:pPr>
    </w:p>
    <w:p w14:paraId="6E619E83" w14:textId="77777777" w:rsidR="00C2286E" w:rsidRDefault="00C2286E" w:rsidP="00FB6D55">
      <w:pPr>
        <w:spacing w:before="80" w:after="80"/>
        <w:jc w:val="left"/>
        <w:rPr>
          <w:sz w:val="18"/>
        </w:rPr>
      </w:pPr>
    </w:p>
    <w:p w14:paraId="320AEFE4" w14:textId="77777777" w:rsidR="00C2286E" w:rsidRDefault="00C2286E" w:rsidP="00FB6D55">
      <w:pPr>
        <w:spacing w:before="80" w:after="80"/>
        <w:jc w:val="left"/>
        <w:rPr>
          <w:sz w:val="18"/>
        </w:rPr>
      </w:pPr>
    </w:p>
    <w:p w14:paraId="68A1D1AC" w14:textId="77777777" w:rsidR="00C2286E" w:rsidRDefault="00C2286E" w:rsidP="00FB6D55">
      <w:pPr>
        <w:spacing w:before="80" w:after="80"/>
        <w:jc w:val="left"/>
        <w:rPr>
          <w:sz w:val="18"/>
        </w:rPr>
      </w:pPr>
    </w:p>
    <w:p w14:paraId="22F59724" w14:textId="77777777" w:rsidR="00C2286E" w:rsidRDefault="00C2286E" w:rsidP="00FB6D55">
      <w:pPr>
        <w:spacing w:before="80" w:after="80"/>
        <w:jc w:val="left"/>
        <w:rPr>
          <w:sz w:val="18"/>
        </w:rPr>
      </w:pPr>
    </w:p>
    <w:p w14:paraId="42B409E2" w14:textId="77777777" w:rsidR="00C2286E" w:rsidRDefault="00C2286E" w:rsidP="00FB6D55">
      <w:pPr>
        <w:spacing w:before="80" w:after="80"/>
        <w:jc w:val="left"/>
        <w:rPr>
          <w:sz w:val="18"/>
        </w:rPr>
      </w:pPr>
    </w:p>
    <w:p w14:paraId="0FEBF9B9" w14:textId="77777777" w:rsidR="00C2286E" w:rsidRDefault="00C2286E" w:rsidP="00FB6D55">
      <w:pPr>
        <w:spacing w:before="80" w:after="80"/>
        <w:jc w:val="left"/>
        <w:rPr>
          <w:sz w:val="18"/>
        </w:rPr>
      </w:pPr>
    </w:p>
    <w:p w14:paraId="6AD7E0C8" w14:textId="77777777" w:rsidR="00C2286E" w:rsidRDefault="00C2286E" w:rsidP="00FB6D55">
      <w:pPr>
        <w:spacing w:before="80" w:after="80"/>
        <w:jc w:val="left"/>
        <w:rPr>
          <w:sz w:val="18"/>
        </w:rPr>
      </w:pPr>
    </w:p>
    <w:p w14:paraId="76D749CC" w14:textId="77777777" w:rsidR="00C2286E" w:rsidRDefault="00C2286E" w:rsidP="00FB6D55">
      <w:pPr>
        <w:spacing w:before="80" w:after="80"/>
        <w:jc w:val="left"/>
        <w:rPr>
          <w:sz w:val="18"/>
        </w:rPr>
      </w:pPr>
    </w:p>
    <w:p w14:paraId="3C36FBBD" w14:textId="77777777" w:rsidR="00C2286E" w:rsidRDefault="00C2286E" w:rsidP="00FB6D55">
      <w:pPr>
        <w:spacing w:before="80" w:after="80"/>
        <w:jc w:val="left"/>
        <w:rPr>
          <w:sz w:val="18"/>
        </w:rPr>
      </w:pPr>
    </w:p>
    <w:p w14:paraId="24645967" w14:textId="77777777" w:rsidR="00C2286E" w:rsidRDefault="00C2286E" w:rsidP="00FB6D55">
      <w:pPr>
        <w:spacing w:before="80" w:after="80"/>
        <w:jc w:val="left"/>
        <w:rPr>
          <w:sz w:val="18"/>
        </w:rPr>
      </w:pPr>
    </w:p>
    <w:p w14:paraId="38C692CB" w14:textId="77777777" w:rsidR="00C2286E" w:rsidRDefault="00C2286E" w:rsidP="00FB6D55">
      <w:pPr>
        <w:spacing w:before="80" w:after="80"/>
        <w:jc w:val="left"/>
        <w:rPr>
          <w:sz w:val="18"/>
        </w:rPr>
      </w:pPr>
    </w:p>
    <w:p w14:paraId="34FA4F70" w14:textId="77777777" w:rsidR="00812CE2" w:rsidRDefault="00812CE2" w:rsidP="00FB6D55">
      <w:pPr>
        <w:spacing w:before="80" w:after="80"/>
        <w:jc w:val="left"/>
        <w:rPr>
          <w:sz w:val="18"/>
        </w:rPr>
      </w:pPr>
    </w:p>
    <w:p w14:paraId="01C63F6D" w14:textId="77777777" w:rsidR="00812CE2" w:rsidRDefault="00812CE2" w:rsidP="00FB6D55">
      <w:pPr>
        <w:spacing w:before="80" w:after="80"/>
        <w:jc w:val="left"/>
        <w:rPr>
          <w:sz w:val="18"/>
        </w:rPr>
      </w:pPr>
    </w:p>
    <w:p w14:paraId="2D7BF3DE" w14:textId="77777777" w:rsidR="00C2286E" w:rsidRDefault="00C2286E" w:rsidP="00FB6D55">
      <w:pPr>
        <w:spacing w:before="80" w:after="80"/>
        <w:jc w:val="left"/>
        <w:rPr>
          <w:sz w:val="18"/>
        </w:rPr>
      </w:pPr>
    </w:p>
    <w:p w14:paraId="07475921" w14:textId="77777777" w:rsidR="00C2286E" w:rsidRDefault="00C2286E" w:rsidP="00FB6D55">
      <w:pPr>
        <w:spacing w:before="80" w:after="80"/>
        <w:jc w:val="left"/>
        <w:rPr>
          <w:sz w:val="18"/>
        </w:rPr>
      </w:pPr>
    </w:p>
    <w:p w14:paraId="57330A6C" w14:textId="77777777" w:rsidR="00885482" w:rsidRDefault="00885482" w:rsidP="00FB6D55">
      <w:pPr>
        <w:spacing w:before="80" w:after="80"/>
        <w:jc w:val="left"/>
        <w:rPr>
          <w:sz w:val="18"/>
        </w:rPr>
      </w:pPr>
    </w:p>
    <w:p w14:paraId="5C23BD5B" w14:textId="77777777" w:rsidR="00C2286E" w:rsidRDefault="00C2286E" w:rsidP="00FB6D55">
      <w:pPr>
        <w:spacing w:before="80" w:after="80"/>
        <w:jc w:val="left"/>
        <w:rPr>
          <w:sz w:val="18"/>
        </w:rPr>
      </w:pPr>
    </w:p>
    <w:p w14:paraId="62242A04" w14:textId="77777777" w:rsidR="00C2286E" w:rsidRDefault="00C2286E" w:rsidP="00FB6D55">
      <w:pPr>
        <w:spacing w:before="80" w:after="80"/>
        <w:jc w:val="left"/>
        <w:rPr>
          <w:sz w:val="18"/>
        </w:rPr>
      </w:pPr>
    </w:p>
    <w:p w14:paraId="206CD31E" w14:textId="198EA8BC" w:rsidR="00C2286E" w:rsidRPr="008028AE" w:rsidRDefault="00C2286E" w:rsidP="00A922AD">
      <w:pPr>
        <w:jc w:val="center"/>
        <w:rPr>
          <w:sz w:val="20"/>
        </w:rPr>
      </w:pPr>
      <w:r w:rsidRPr="008028AE">
        <w:rPr>
          <w:rFonts w:ascii="Symbol" w:hAnsi="Symbol"/>
          <w:sz w:val="20"/>
        </w:rPr>
        <w:t></w:t>
      </w:r>
      <w:r w:rsidRPr="008028AE">
        <w:rPr>
          <w:sz w:val="20"/>
        </w:rPr>
        <w:t>  UIT  </w:t>
      </w:r>
      <w:bookmarkStart w:id="9" w:name="iiannes"/>
      <w:bookmarkEnd w:id="9"/>
      <w:r w:rsidR="006C62D4" w:rsidRPr="008028AE">
        <w:rPr>
          <w:sz w:val="20"/>
        </w:rPr>
        <w:t>20</w:t>
      </w:r>
      <w:r w:rsidR="00100C95">
        <w:rPr>
          <w:sz w:val="20"/>
        </w:rPr>
        <w:t>22</w:t>
      </w:r>
    </w:p>
    <w:p w14:paraId="09EBDC73" w14:textId="77777777" w:rsidR="00C2286E" w:rsidRPr="008028AE" w:rsidRDefault="00C2286E" w:rsidP="00C2286E">
      <w:pPr>
        <w:tabs>
          <w:tab w:val="clear" w:pos="794"/>
          <w:tab w:val="clear" w:pos="1191"/>
          <w:tab w:val="clear" w:pos="1588"/>
          <w:tab w:val="clear" w:pos="1985"/>
        </w:tabs>
        <w:overflowPunct/>
        <w:textAlignment w:val="auto"/>
        <w:rPr>
          <w:sz w:val="20"/>
        </w:rPr>
      </w:pPr>
      <w:r w:rsidRPr="008028AE">
        <w:rPr>
          <w:sz w:val="20"/>
        </w:rPr>
        <w:t>Reservados todos los derechos. Ninguna parte de esta publicación puede reproducirse por ningún procedimiento sin previa autorización escrita por parte de la UIT.</w:t>
      </w:r>
    </w:p>
    <w:p w14:paraId="3874E43F" w14:textId="77777777" w:rsidR="00FB6D55" w:rsidRPr="003518D5" w:rsidRDefault="00FB6D55">
      <w:pPr>
        <w:spacing w:before="80"/>
        <w:jc w:val="left"/>
        <w:rPr>
          <w:i/>
          <w:sz w:val="20"/>
        </w:rPr>
      </w:pPr>
    </w:p>
    <w:p w14:paraId="77650EC3" w14:textId="77777777" w:rsidR="00FB6D55" w:rsidRPr="003518D5" w:rsidRDefault="00FB6D55">
      <w:pPr>
        <w:sectPr w:rsidR="00FB6D55" w:rsidRPr="003518D5" w:rsidSect="008028AE">
          <w:type w:val="evenPage"/>
          <w:pgSz w:w="11907" w:h="16840" w:code="9"/>
          <w:pgMar w:top="1134" w:right="1134" w:bottom="1134" w:left="1134" w:header="567" w:footer="567" w:gutter="0"/>
          <w:paperSrc w:first="15" w:other="15"/>
          <w:pgNumType w:start="1"/>
          <w:cols w:space="720"/>
        </w:sectPr>
      </w:pPr>
    </w:p>
    <w:p w14:paraId="7AF452C9" w14:textId="6F2F61DE" w:rsidR="006F5455" w:rsidRPr="00100C95" w:rsidRDefault="006F5455" w:rsidP="00100C95">
      <w:pPr>
        <w:pStyle w:val="ResNo"/>
      </w:pPr>
      <w:bookmarkStart w:id="10" w:name="irecnos"/>
      <w:bookmarkEnd w:id="10"/>
      <w:r w:rsidRPr="00A922AD">
        <w:lastRenderedPageBreak/>
        <w:t xml:space="preserve">RESOLUCIÓN </w:t>
      </w:r>
      <w:r w:rsidR="00DA1685">
        <w:rPr>
          <w:rStyle w:val="href"/>
        </w:rPr>
        <w:t>100</w:t>
      </w:r>
      <w:r w:rsidR="0028582D" w:rsidRPr="00100C95">
        <w:t xml:space="preserve"> </w:t>
      </w:r>
      <w:r w:rsidR="00DA1685" w:rsidRPr="00DA1685">
        <w:t>(Ginebra, 2022)</w:t>
      </w:r>
    </w:p>
    <w:p w14:paraId="0A18E448" w14:textId="439295A8" w:rsidR="0028582D" w:rsidRPr="002126A0" w:rsidRDefault="00DA1685" w:rsidP="0028582D">
      <w:pPr>
        <w:pStyle w:val="Restitle"/>
      </w:pPr>
      <w:bookmarkStart w:id="11" w:name="_GoBack"/>
      <w:bookmarkEnd w:id="11"/>
      <w:r w:rsidRPr="00DA1685">
        <w:rPr>
          <w:bCs/>
        </w:rPr>
        <w:t>Número de emergencia común para África</w:t>
      </w:r>
    </w:p>
    <w:p w14:paraId="30AB3D76" w14:textId="77777777" w:rsidR="00DA1685" w:rsidRPr="00A9398A" w:rsidRDefault="00DA1685" w:rsidP="00DA1685">
      <w:pPr>
        <w:pStyle w:val="Resref"/>
      </w:pPr>
      <w:r w:rsidRPr="00A9398A">
        <w:t>(Ginebra, 2022)</w:t>
      </w:r>
    </w:p>
    <w:p w14:paraId="34619C34" w14:textId="77777777" w:rsidR="00DA1685" w:rsidRPr="00DA1685" w:rsidRDefault="00DA1685" w:rsidP="00DA1685">
      <w:pPr>
        <w:pStyle w:val="Normalaftertitle0"/>
        <w:rPr>
          <w:lang w:val="es-ES_tradnl"/>
        </w:rPr>
      </w:pPr>
      <w:r w:rsidRPr="00DA1685">
        <w:rPr>
          <w:lang w:val="es-ES_tradnl"/>
        </w:rPr>
        <w:t>La Asamblea Mundial de Normalización de las Telecomunicaciones (Ginebra, 2022),</w:t>
      </w:r>
    </w:p>
    <w:p w14:paraId="1FB2438B" w14:textId="77777777" w:rsidR="00DA1685" w:rsidRPr="00A9398A" w:rsidRDefault="00DA1685" w:rsidP="00DA1685">
      <w:pPr>
        <w:pStyle w:val="Call"/>
      </w:pPr>
      <w:r w:rsidRPr="00A9398A">
        <w:t>recordando</w:t>
      </w:r>
    </w:p>
    <w:p w14:paraId="14D5FE5F" w14:textId="77777777" w:rsidR="00DA1685" w:rsidRPr="00A9398A" w:rsidRDefault="00DA1685" w:rsidP="00DA1685">
      <w:pPr>
        <w:rPr>
          <w:i/>
          <w:iCs/>
        </w:rPr>
      </w:pPr>
      <w:r w:rsidRPr="00A9398A">
        <w:rPr>
          <w:i/>
          <w:iCs/>
        </w:rPr>
        <w:t>a)</w:t>
      </w:r>
      <w:r w:rsidRPr="00A9398A">
        <w:rPr>
          <w:i/>
          <w:iCs/>
        </w:rPr>
        <w:tab/>
      </w:r>
      <w:r w:rsidRPr="00A9398A">
        <w:t xml:space="preserve">que la Resolución 136 (Rev. Dubái, 2018) de la Conferencia de Plenipotenciarios </w:t>
      </w:r>
      <w:r w:rsidRPr="00C81C22">
        <w:t>alienta a los Estados Miembros</w:t>
      </w:r>
      <w:r w:rsidRPr="00A9398A">
        <w:rPr>
          <w:i/>
          <w:iCs/>
        </w:rPr>
        <w:t> </w:t>
      </w:r>
      <w:r w:rsidRPr="00A9398A">
        <w:t>a considerar la posibilidad de introducir, además de sus actuales números de emergencia nacionales existentes, un número armonizado a escala mundial para acceder a los servicios de emergencias, teniendo en cuenta las Recomendaciones del Sector de Normalización de las Telecomunicaciones (UIT-T) pertinentes;</w:t>
      </w:r>
    </w:p>
    <w:p w14:paraId="708C31F0" w14:textId="77777777" w:rsidR="00DA1685" w:rsidRPr="00A9398A" w:rsidRDefault="00DA1685" w:rsidP="00DA1685">
      <w:pPr>
        <w:rPr>
          <w:i/>
          <w:iCs/>
        </w:rPr>
      </w:pPr>
      <w:r w:rsidRPr="00A9398A">
        <w:rPr>
          <w:i/>
          <w:iCs/>
        </w:rPr>
        <w:t>b)</w:t>
      </w:r>
      <w:r w:rsidRPr="00A9398A">
        <w:rPr>
          <w:i/>
          <w:iCs/>
        </w:rPr>
        <w:tab/>
      </w:r>
      <w:r w:rsidRPr="00A9398A">
        <w:t>que la Recomendación UIT-T E.161.1 estipula que todo Estado Miembro que tenga previsto introducir un número de emergencia podría utilizar el 112 o el 911, y que todo Estado Miembro que tenga previsto introducir un segundo número de emergencia alternativo podría utilizar el 112 o el 911, o ambos, el cual debería encaminarse hacia el número de emergencia vigente;</w:t>
      </w:r>
    </w:p>
    <w:p w14:paraId="4D64C391" w14:textId="77777777" w:rsidR="00DA1685" w:rsidRPr="00A9398A" w:rsidRDefault="00DA1685" w:rsidP="00DA1685">
      <w:pPr>
        <w:rPr>
          <w:i/>
          <w:iCs/>
        </w:rPr>
      </w:pPr>
      <w:r w:rsidRPr="00A9398A">
        <w:rPr>
          <w:i/>
          <w:iCs/>
        </w:rPr>
        <w:t>c)</w:t>
      </w:r>
      <w:r w:rsidRPr="00A9398A">
        <w:rPr>
          <w:i/>
          <w:iCs/>
        </w:rPr>
        <w:tab/>
      </w:r>
      <w:r w:rsidRPr="00A9398A">
        <w:t>que la Resolución 34 (Rev. Buenos Aires, 2017) de la Conferencia Mundial de Desarrollo de las Telecomunicaciones invita a los Estados Miembros a que consideren la posibilidad de introducir, además de sus actuales números de emergencia nacionales, un número nacional/regional armonizado para acceder a los servicios de emergencia, teniendo en cuenta las Recomendaciones</w:t>
      </w:r>
      <w:r>
        <w:t> </w:t>
      </w:r>
      <w:r w:rsidRPr="00A9398A">
        <w:t>UIT-T pertinentes,</w:t>
      </w:r>
    </w:p>
    <w:p w14:paraId="2DAF636D" w14:textId="77777777" w:rsidR="00DA1685" w:rsidRPr="00A9398A" w:rsidRDefault="00DA1685" w:rsidP="00DA1685">
      <w:pPr>
        <w:pStyle w:val="Call"/>
      </w:pPr>
      <w:r w:rsidRPr="00A9398A">
        <w:t>considerando</w:t>
      </w:r>
    </w:p>
    <w:p w14:paraId="3C860698" w14:textId="77777777" w:rsidR="00DA1685" w:rsidRPr="00A9398A" w:rsidRDefault="00DA1685" w:rsidP="00DA1685">
      <w:pPr>
        <w:rPr>
          <w:i/>
          <w:iCs/>
        </w:rPr>
      </w:pPr>
      <w:r w:rsidRPr="00A9398A">
        <w:rPr>
          <w:i/>
          <w:iCs/>
        </w:rPr>
        <w:t>a)</w:t>
      </w:r>
      <w:r w:rsidRPr="00A9398A">
        <w:rPr>
          <w:i/>
          <w:iCs/>
        </w:rPr>
        <w:tab/>
      </w:r>
      <w:r w:rsidRPr="00A9398A">
        <w:t>que no todos los Estados Miembros de África optan por el 112 al seleccionar un número de emergencia único por primera vez;</w:t>
      </w:r>
    </w:p>
    <w:p w14:paraId="7CB7BF52" w14:textId="77777777" w:rsidR="00DA1685" w:rsidRPr="00A9398A" w:rsidRDefault="00DA1685" w:rsidP="00DA1685">
      <w:pPr>
        <w:rPr>
          <w:i/>
          <w:iCs/>
        </w:rPr>
      </w:pPr>
      <w:r w:rsidRPr="00A9398A">
        <w:rPr>
          <w:i/>
          <w:iCs/>
        </w:rPr>
        <w:t>b)</w:t>
      </w:r>
      <w:r w:rsidRPr="00A9398A">
        <w:rPr>
          <w:i/>
          <w:iCs/>
        </w:rPr>
        <w:tab/>
      </w:r>
      <w:r w:rsidRPr="00A9398A">
        <w:t>que no todos los Estados Miembros de África utilizan el 911 como número de emergencia alternativo secundario;</w:t>
      </w:r>
    </w:p>
    <w:p w14:paraId="30339F48" w14:textId="77777777" w:rsidR="00DA1685" w:rsidRPr="00A9398A" w:rsidRDefault="00DA1685" w:rsidP="00DA1685">
      <w:pPr>
        <w:rPr>
          <w:i/>
          <w:iCs/>
        </w:rPr>
      </w:pPr>
      <w:r w:rsidRPr="00A9398A">
        <w:rPr>
          <w:i/>
          <w:iCs/>
        </w:rPr>
        <w:t>c)</w:t>
      </w:r>
      <w:r w:rsidRPr="00A9398A">
        <w:rPr>
          <w:i/>
          <w:iCs/>
        </w:rPr>
        <w:tab/>
      </w:r>
      <w:r w:rsidRPr="00A9398A">
        <w:t>que se observa una tendencia a utilizar números distintos del 112 y/o del 911para las comunicaciones de emergencia en los Estados Miembros de África;</w:t>
      </w:r>
    </w:p>
    <w:p w14:paraId="4772559D" w14:textId="77777777" w:rsidR="00DA1685" w:rsidRPr="00A9398A" w:rsidRDefault="00DA1685" w:rsidP="00DA1685">
      <w:pPr>
        <w:rPr>
          <w:i/>
          <w:iCs/>
        </w:rPr>
      </w:pPr>
      <w:r w:rsidRPr="00A9398A">
        <w:rPr>
          <w:i/>
          <w:iCs/>
        </w:rPr>
        <w:t>d)</w:t>
      </w:r>
      <w:r w:rsidRPr="00A9398A">
        <w:rPr>
          <w:i/>
          <w:iCs/>
        </w:rPr>
        <w:tab/>
      </w:r>
      <w:r w:rsidRPr="00A9398A">
        <w:t>que tales prácticas dificultan el acceso a los servicios de emergencia para los ciudadanos del continente africano que se desplazan de un país a otro;</w:t>
      </w:r>
    </w:p>
    <w:p w14:paraId="084B3451" w14:textId="77777777" w:rsidR="00DA1685" w:rsidRPr="00A9398A" w:rsidRDefault="00DA1685" w:rsidP="00DA1685">
      <w:pPr>
        <w:rPr>
          <w:i/>
          <w:iCs/>
        </w:rPr>
      </w:pPr>
      <w:r w:rsidRPr="00A9398A">
        <w:rPr>
          <w:i/>
          <w:iCs/>
        </w:rPr>
        <w:t>e)</w:t>
      </w:r>
      <w:r w:rsidRPr="00A9398A">
        <w:rPr>
          <w:i/>
          <w:iCs/>
        </w:rPr>
        <w:tab/>
      </w:r>
      <w:r w:rsidRPr="00A9398A">
        <w:t>que tales prácticas dificultan el acceso a los servicios de emergencia para los ciudadanos de otras partes del mundo, por cuanto los números utilizados para acceder a los servicios de emergencia difieren de aquellos a los que están acostumbrados, por ejemplo, el 112 o el 911</w:t>
      </w:r>
      <w:r w:rsidRPr="00A9398A">
        <w:rPr>
          <w:rFonts w:eastAsia="SimSun"/>
          <w:szCs w:val="24"/>
          <w:lang w:eastAsia="ja-JP"/>
        </w:rPr>
        <w:t>;</w:t>
      </w:r>
    </w:p>
    <w:p w14:paraId="4822B774" w14:textId="77777777" w:rsidR="00DA1685" w:rsidRPr="00A9398A" w:rsidRDefault="00DA1685" w:rsidP="00DA1685">
      <w:r w:rsidRPr="00A9398A">
        <w:rPr>
          <w:i/>
          <w:iCs/>
        </w:rPr>
        <w:t>f)</w:t>
      </w:r>
      <w:r w:rsidRPr="00A9398A">
        <w:tab/>
        <w:t>que algunos Estados Miembros de África no aplican la Recomendación UIT-T E.161.1,</w:t>
      </w:r>
    </w:p>
    <w:p w14:paraId="76E4C789" w14:textId="77777777" w:rsidR="00DA1685" w:rsidRPr="00A9398A" w:rsidRDefault="00DA1685" w:rsidP="00DA1685">
      <w:pPr>
        <w:pStyle w:val="Call"/>
      </w:pPr>
      <w:r w:rsidRPr="00A9398A">
        <w:t>observando</w:t>
      </w:r>
    </w:p>
    <w:p w14:paraId="41C7D046" w14:textId="77777777" w:rsidR="00DA1685" w:rsidRPr="009E7AB7" w:rsidRDefault="00DA1685" w:rsidP="00DA1685">
      <w:r w:rsidRPr="009E7AB7">
        <w:rPr>
          <w:i/>
          <w:iCs/>
        </w:rPr>
        <w:t>a)</w:t>
      </w:r>
      <w:r w:rsidRPr="009E7AB7">
        <w:tab/>
        <w:t>las Recomendaciones UIT-T pertinentes, en particular:</w:t>
      </w:r>
    </w:p>
    <w:p w14:paraId="298DF0DC" w14:textId="77777777" w:rsidR="00DA1685" w:rsidRPr="00A9398A" w:rsidRDefault="00DA1685" w:rsidP="00DA1685">
      <w:pPr>
        <w:pStyle w:val="enumlev1"/>
      </w:pPr>
      <w:r w:rsidRPr="00A9398A">
        <w:t>i)</w:t>
      </w:r>
      <w:r w:rsidRPr="00A9398A">
        <w:tab/>
        <w:t>Recomendación UIT-T E.161.1: Directrices para seleccionar el número de emergencia en redes públicas de telecomunicaciones;</w:t>
      </w:r>
    </w:p>
    <w:p w14:paraId="455E032F" w14:textId="77777777" w:rsidR="00DA1685" w:rsidRPr="00A9398A" w:rsidRDefault="00DA1685" w:rsidP="00DA1685">
      <w:pPr>
        <w:pStyle w:val="enumlev1"/>
      </w:pPr>
      <w:r w:rsidRPr="00A9398A">
        <w:t>ii)</w:t>
      </w:r>
      <w:r w:rsidRPr="00A9398A">
        <w:tab/>
        <w:t>Recomendación UIT-T E.161.1, Enmienda 1: Directrices para seleccionar el número de emergencia en redes públicas de telecomunicaciones;</w:t>
      </w:r>
    </w:p>
    <w:p w14:paraId="42AD050E" w14:textId="77777777" w:rsidR="00DA1685" w:rsidRPr="00A9398A" w:rsidRDefault="00DA1685" w:rsidP="00DA1685">
      <w:pPr>
        <w:pStyle w:val="enumlev1"/>
      </w:pPr>
      <w:r w:rsidRPr="00A9398A">
        <w:t>iii)</w:t>
      </w:r>
      <w:r w:rsidRPr="00A9398A">
        <w:tab/>
        <w:t>Recomendación UIT-T E.101: Definición de los términos utilizados en las Recomendaciones UIT-T de la serie E para los identificadores (nombres, números, direcciones y otros) en redes y servicios públicos de telecomunicaciones;</w:t>
      </w:r>
    </w:p>
    <w:p w14:paraId="02A7C1E8" w14:textId="77777777" w:rsidR="00DA1685" w:rsidRPr="00A9398A" w:rsidRDefault="00DA1685" w:rsidP="00DA1685">
      <w:pPr>
        <w:pStyle w:val="enumlev1"/>
      </w:pPr>
      <w:r w:rsidRPr="00A9398A">
        <w:t>iv)</w:t>
      </w:r>
      <w:r w:rsidRPr="00A9398A">
        <w:tab/>
        <w:t>Recomendaciones UIT-T de la serie Q – Suplemento 47: Servicios de emergencia en las redes de telecomunicaciones móviles internacionales (IMT-2000) – Requisitos de armonización y convergencia;</w:t>
      </w:r>
    </w:p>
    <w:p w14:paraId="029E40A0" w14:textId="77777777" w:rsidR="00DA1685" w:rsidRDefault="00DA1685" w:rsidP="00DA1685">
      <w:pPr>
        <w:pStyle w:val="enumlev1"/>
      </w:pPr>
      <w:r>
        <w:br w:type="page"/>
      </w:r>
    </w:p>
    <w:p w14:paraId="78C69042" w14:textId="55BB043B" w:rsidR="00DA1685" w:rsidRPr="00A9398A" w:rsidRDefault="00DA1685" w:rsidP="00DA1685">
      <w:pPr>
        <w:pStyle w:val="enumlev1"/>
      </w:pPr>
      <w:r w:rsidRPr="00A9398A">
        <w:t>v)</w:t>
      </w:r>
      <w:r w:rsidRPr="00A9398A">
        <w:tab/>
        <w:t>Recomendación UIT-T E.164 – Suplemento 6</w:t>
      </w:r>
      <w:r w:rsidRPr="00A9398A">
        <w:rPr>
          <w:rFonts w:eastAsiaTheme="minorEastAsia"/>
        </w:rPr>
        <w:t>:</w:t>
      </w:r>
      <w:r w:rsidRPr="00A9398A">
        <w:t xml:space="preserve"> Directrices para la identificación y selección de números armonizados a escala mundial,</w:t>
      </w:r>
    </w:p>
    <w:p w14:paraId="74992FE8" w14:textId="77777777" w:rsidR="00DA1685" w:rsidRPr="009E7AB7" w:rsidRDefault="00DA1685" w:rsidP="00DA1685">
      <w:r w:rsidRPr="009E7AB7">
        <w:rPr>
          <w:i/>
          <w:iCs/>
        </w:rPr>
        <w:t>b)</w:t>
      </w:r>
      <w:r w:rsidRPr="009E7AB7">
        <w:tab/>
        <w:t>las Resoluciones pertinentes:</w:t>
      </w:r>
    </w:p>
    <w:p w14:paraId="33CFD8D5" w14:textId="77777777" w:rsidR="00DA1685" w:rsidRPr="00A9398A" w:rsidRDefault="00DA1685" w:rsidP="00DA1685">
      <w:pPr>
        <w:pStyle w:val="enumlev1"/>
      </w:pPr>
      <w:r w:rsidRPr="00A9398A">
        <w:t>i)</w:t>
      </w:r>
      <w:r w:rsidRPr="00A9398A">
        <w:tab/>
        <w:t xml:space="preserve">Resolución 136 (Rev. Dubái, 2018) de la Conferencia de Plenipotenciarios, relativa a la utilización de las telecomunicaciones/tecnologías de la información y la comunicación para la asistencia humanitaria y en el control y la gestión de situaciones de emergencia y catástrofes, incluidas las situaciones de emergencia sanitaria, la alerta temprana, la prevención, la mitigación y las operaciones de socorro, en particular el </w:t>
      </w:r>
      <w:r w:rsidRPr="00A9398A">
        <w:rPr>
          <w:i/>
          <w:iCs/>
        </w:rPr>
        <w:t xml:space="preserve">insta a los Estados Miembros </w:t>
      </w:r>
      <w:r w:rsidRPr="00A9398A">
        <w:t>7;</w:t>
      </w:r>
    </w:p>
    <w:p w14:paraId="47BE3F77" w14:textId="77777777" w:rsidR="00DA1685" w:rsidRPr="00A9398A" w:rsidRDefault="00DA1685" w:rsidP="00DA1685">
      <w:pPr>
        <w:pStyle w:val="enumlev1"/>
      </w:pPr>
      <w:r w:rsidRPr="00A9398A">
        <w:t>ii)</w:t>
      </w:r>
      <w:r w:rsidRPr="00A9398A">
        <w:tab/>
        <w:t>Resolución 2 (Dubái, 2012) de la Conferencia Mundial de las Telecomunicaciones Internacionales, relativa al número nacional armonizado a escala mundial para tener acceso a servicios de emergencia,</w:t>
      </w:r>
    </w:p>
    <w:p w14:paraId="68959B22" w14:textId="77777777" w:rsidR="00DA1685" w:rsidRPr="00A9398A" w:rsidRDefault="00DA1685" w:rsidP="00DA1685">
      <w:pPr>
        <w:pStyle w:val="Call"/>
      </w:pPr>
      <w:r w:rsidRPr="00A9398A">
        <w:t xml:space="preserve">observando además </w:t>
      </w:r>
    </w:p>
    <w:p w14:paraId="4E6D5E90" w14:textId="77777777" w:rsidR="00DA1685" w:rsidRPr="009E7AB7" w:rsidRDefault="00DA1685" w:rsidP="00DA1685">
      <w:r w:rsidRPr="009E7AB7">
        <w:rPr>
          <w:i/>
          <w:iCs/>
        </w:rPr>
        <w:t>a)</w:t>
      </w:r>
      <w:r w:rsidRPr="009E7AB7">
        <w:tab/>
        <w:t>que algunos países y regiones han adoptado leyes, directivas y recomendaciones nacionales sobre la utilización de los números de emergencia;</w:t>
      </w:r>
    </w:p>
    <w:p w14:paraId="54D193C7" w14:textId="77777777" w:rsidR="00DA1685" w:rsidRPr="009E7AB7" w:rsidRDefault="00DA1685" w:rsidP="00DA1685">
      <w:r w:rsidRPr="009E7AB7">
        <w:rPr>
          <w:i/>
          <w:iCs/>
        </w:rPr>
        <w:t>b)</w:t>
      </w:r>
      <w:r w:rsidRPr="009E7AB7">
        <w:tab/>
        <w:t>que algunos dispositivos móviles han sido codificados con el 112 y/o el 911;</w:t>
      </w:r>
    </w:p>
    <w:p w14:paraId="071F0E7E" w14:textId="77777777" w:rsidR="00DA1685" w:rsidRPr="009E7AB7" w:rsidRDefault="00DA1685" w:rsidP="00DA1685">
      <w:r w:rsidRPr="009E7AB7">
        <w:rPr>
          <w:i/>
          <w:iCs/>
        </w:rPr>
        <w:t>c)</w:t>
      </w:r>
      <w:r w:rsidRPr="009E7AB7">
        <w:tab/>
        <w:t>que no está previsto que la Oficina de Normalización de las Telecomunicaciones (TSB) preste asistencia a los países que tratan de aplicar la Recomendación UIT-T E.161.1;</w:t>
      </w:r>
    </w:p>
    <w:p w14:paraId="4D7B990B" w14:textId="77777777" w:rsidR="00DA1685" w:rsidRPr="009E7AB7" w:rsidRDefault="00DA1685" w:rsidP="00DA1685">
      <w:r w:rsidRPr="009E7AB7">
        <w:rPr>
          <w:i/>
          <w:iCs/>
        </w:rPr>
        <w:t>d)</w:t>
      </w:r>
      <w:r w:rsidRPr="009E7AB7">
        <w:tab/>
        <w:t>que no está previsto que la TSB preste asistencia técnica a los países que tratan de establecer números de emergencia,</w:t>
      </w:r>
    </w:p>
    <w:p w14:paraId="19AB075A" w14:textId="77777777" w:rsidR="00DA1685" w:rsidRPr="00A9398A" w:rsidRDefault="00DA1685" w:rsidP="00DA1685">
      <w:pPr>
        <w:pStyle w:val="Call"/>
      </w:pPr>
      <w:r w:rsidRPr="00A9398A">
        <w:t>reafirmando</w:t>
      </w:r>
    </w:p>
    <w:p w14:paraId="5145BEB1" w14:textId="77777777" w:rsidR="00DA1685" w:rsidRPr="00A9398A" w:rsidRDefault="00DA1685" w:rsidP="00DA1685">
      <w:r w:rsidRPr="00A9398A">
        <w:t>el derecho soberano de cada país a reglamentar sus comunicaciones y, por ende, la prestación de sus servicios de emergencia,</w:t>
      </w:r>
    </w:p>
    <w:p w14:paraId="7BB17293" w14:textId="77777777" w:rsidR="00DA1685" w:rsidRPr="00A9398A" w:rsidRDefault="00DA1685" w:rsidP="00DA1685">
      <w:pPr>
        <w:pStyle w:val="Call"/>
      </w:pPr>
      <w:r w:rsidRPr="00A9398A">
        <w:t>resuelve encargar al Director de la Oficina de Normalización de las Telecomunicaciones, en cooperación con la Directora de la Oficina de Desarrollo de las Telecomunicaciones</w:t>
      </w:r>
    </w:p>
    <w:p w14:paraId="61856F48" w14:textId="77777777" w:rsidR="00DA1685" w:rsidRPr="00A9398A" w:rsidRDefault="00DA1685" w:rsidP="00DA1685">
      <w:r w:rsidRPr="00A9398A">
        <w:t>1</w:t>
      </w:r>
      <w:r w:rsidRPr="00A9398A">
        <w:tab/>
        <w:t>que preste asistencia a los Estados Miembros de África en la puesta en marcha de un número de emergencia común en consonancia con la Recomendación UIT-T E.161.1;</w:t>
      </w:r>
    </w:p>
    <w:p w14:paraId="570AFCFD" w14:textId="77777777" w:rsidR="00DA1685" w:rsidRPr="00A9398A" w:rsidRDefault="00DA1685" w:rsidP="00DA1685">
      <w:r w:rsidRPr="00A9398A">
        <w:t>2</w:t>
      </w:r>
      <w:r w:rsidRPr="00A9398A">
        <w:tab/>
        <w:t>que informe a la Asamblea Mundial de Normalización de las Telecomunicaciones sobre los progresos realizados en la aplicación de la presente Resolución, destinada a mejorar el acceso a los servicios de emergencia,</w:t>
      </w:r>
    </w:p>
    <w:p w14:paraId="5B985BF6" w14:textId="77777777" w:rsidR="00DA1685" w:rsidRPr="00A9398A" w:rsidRDefault="00DA1685" w:rsidP="00DA1685">
      <w:pPr>
        <w:pStyle w:val="Call"/>
      </w:pPr>
      <w:r w:rsidRPr="00A9398A">
        <w:t>invita a los Estados Miembros, especialmente a los de la Región de África</w:t>
      </w:r>
    </w:p>
    <w:p w14:paraId="7F0CD557" w14:textId="77777777" w:rsidR="00DA1685" w:rsidRPr="00A9398A" w:rsidRDefault="00DA1685" w:rsidP="00DA1685">
      <w:r w:rsidRPr="00A9398A">
        <w:t>a aplicar lo dispuesto en la Recomendación UIT-T E.161.1 y, en particular, a considerar la posibilidad de utilizar el 112 o el 911 como número de emergencia primario único, o el 112 y el 911 como números de emergencia secundarios alternativos.</w:t>
      </w:r>
    </w:p>
    <w:p w14:paraId="576F1A86" w14:textId="18E1F499" w:rsidR="00664F8D" w:rsidRDefault="00664F8D" w:rsidP="00664F8D"/>
    <w:p w14:paraId="2F71602F" w14:textId="0A9DB64C" w:rsidR="00DA1685" w:rsidRDefault="00DA1685" w:rsidP="00664F8D"/>
    <w:p w14:paraId="5F6744AB" w14:textId="4BCD9F34" w:rsidR="00DA1685" w:rsidRDefault="00DA1685" w:rsidP="00664F8D"/>
    <w:p w14:paraId="2A617C69" w14:textId="1485D24B" w:rsidR="00DA1685" w:rsidRDefault="00DA1685" w:rsidP="00664F8D"/>
    <w:p w14:paraId="6CE14D27" w14:textId="2A43FB18" w:rsidR="00DA1685" w:rsidRDefault="00DA1685" w:rsidP="00664F8D"/>
    <w:p w14:paraId="0D04A3A9" w14:textId="77777777" w:rsidR="00DA1685" w:rsidRPr="006F5DC8" w:rsidRDefault="00DA1685" w:rsidP="00664F8D"/>
    <w:sectPr w:rsidR="00DA1685" w:rsidRPr="006F5DC8" w:rsidSect="00A922AD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footnotePr>
        <w:pos w:val="beneathText"/>
      </w:footnotePr>
      <w:pgSz w:w="11907" w:h="16834" w:code="9"/>
      <w:pgMar w:top="1134" w:right="1134" w:bottom="1134" w:left="1134" w:header="567" w:footer="567" w:gutter="0"/>
      <w:pgNumType w:start="1"/>
      <w:cols w:space="720"/>
      <w:vAlign w:val="both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FFA649" w14:textId="77777777" w:rsidR="0052251F" w:rsidRDefault="0052251F">
      <w:r>
        <w:separator/>
      </w:r>
    </w:p>
  </w:endnote>
  <w:endnote w:type="continuationSeparator" w:id="0">
    <w:p w14:paraId="3A6F79BF" w14:textId="77777777" w:rsidR="0052251F" w:rsidRDefault="00522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EB9542" w14:textId="2B2B3FA7" w:rsidR="00877E7D" w:rsidRPr="00DA1685" w:rsidRDefault="00DA1685" w:rsidP="00DA1685">
    <w:pPr>
      <w:pStyle w:val="FooterQP"/>
      <w:tabs>
        <w:tab w:val="clear" w:pos="907"/>
        <w:tab w:val="left" w:pos="851"/>
      </w:tabs>
      <w:rPr>
        <w:lang w:val="en-US"/>
      </w:rPr>
    </w:pPr>
    <w:r>
      <w:rPr>
        <w:b w:val="0"/>
      </w:rPr>
      <w:fldChar w:fldCharType="begin"/>
    </w:r>
    <w:r>
      <w:rPr>
        <w:b w:val="0"/>
        <w:lang w:val="en-US"/>
      </w:rPr>
      <w:instrText xml:space="preserve"> PAGE  \* MERGEFORMAT </w:instrText>
    </w:r>
    <w:r>
      <w:rPr>
        <w:b w:val="0"/>
      </w:rPr>
      <w:fldChar w:fldCharType="separate"/>
    </w:r>
    <w:r>
      <w:rPr>
        <w:b w:val="0"/>
      </w:rPr>
      <w:t>2</w:t>
    </w:r>
    <w:r>
      <w:rPr>
        <w:b w:val="0"/>
      </w:rPr>
      <w:fldChar w:fldCharType="end"/>
    </w:r>
    <w:r>
      <w:rPr>
        <w:lang w:val="en-US"/>
      </w:rPr>
      <w:tab/>
      <w:t xml:space="preserve">AMNT-20 – Resolución </w:t>
    </w:r>
    <w:r>
      <w:fldChar w:fldCharType="begin"/>
    </w:r>
    <w:r>
      <w:rPr>
        <w:lang w:val="en-US"/>
      </w:rPr>
      <w:instrText>styleref href</w:instrText>
    </w:r>
    <w:r>
      <w:fldChar w:fldCharType="separate"/>
    </w:r>
    <w:r w:rsidR="00FA5C58">
      <w:rPr>
        <w:noProof/>
        <w:lang w:val="en-US"/>
      </w:rPr>
      <w:t>100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A398F" w14:textId="77777777" w:rsidR="00877E7D" w:rsidRPr="00877E7D" w:rsidRDefault="00877E7D" w:rsidP="0028582D">
    <w:pPr>
      <w:pStyle w:val="FooterQP"/>
      <w:rPr>
        <w:b w:val="0"/>
        <w:lang w:val="en-US"/>
      </w:rPr>
    </w:pPr>
    <w:r>
      <w:tab/>
    </w:r>
    <w:r>
      <w:tab/>
      <w:t>AMNT</w:t>
    </w:r>
    <w:r w:rsidR="0028582D">
      <w:rPr>
        <w:lang w:val="en-US"/>
      </w:rPr>
      <w:t>-16 – Resolución 76</w:t>
    </w:r>
    <w:r>
      <w:rPr>
        <w:lang w:val="en-US"/>
      </w:rPr>
      <w:tab/>
    </w:r>
    <w:r>
      <w:rPr>
        <w:b w:val="0"/>
      </w:rPr>
      <w:fldChar w:fldCharType="begin"/>
    </w:r>
    <w:r>
      <w:rPr>
        <w:b w:val="0"/>
        <w:lang w:val="en-US"/>
      </w:rPr>
      <w:instrText xml:space="preserve"> PAGE  \* MERGEFORMAT </w:instrText>
    </w:r>
    <w:r>
      <w:rPr>
        <w:b w:val="0"/>
      </w:rPr>
      <w:fldChar w:fldCharType="separate"/>
    </w:r>
    <w:r w:rsidR="004533B9">
      <w:rPr>
        <w:b w:val="0"/>
        <w:noProof/>
        <w:lang w:val="en-US"/>
      </w:rPr>
      <w:t>7</w:t>
    </w:r>
    <w:r>
      <w:rPr>
        <w:b w:val="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38D90E" w14:textId="6B5B4B1A" w:rsidR="00100C95" w:rsidRPr="00A4766C" w:rsidRDefault="00100C95" w:rsidP="00100C95">
    <w:pPr>
      <w:pStyle w:val="FooterQP"/>
      <w:rPr>
        <w:lang w:val="en-US"/>
      </w:rPr>
    </w:pPr>
    <w:r>
      <w:rPr>
        <w:lang w:val="en-US"/>
      </w:rPr>
      <w:tab/>
    </w:r>
    <w:r>
      <w:rPr>
        <w:lang w:val="en-US"/>
      </w:rPr>
      <w:tab/>
      <w:t xml:space="preserve">AMNT-20 – Resolución </w:t>
    </w:r>
    <w:r>
      <w:fldChar w:fldCharType="begin"/>
    </w:r>
    <w:r>
      <w:rPr>
        <w:lang w:val="en-US"/>
      </w:rPr>
      <w:instrText>styleref href</w:instrText>
    </w:r>
    <w:r>
      <w:fldChar w:fldCharType="separate"/>
    </w:r>
    <w:r w:rsidR="00FA5C58">
      <w:rPr>
        <w:noProof/>
        <w:lang w:val="en-US"/>
      </w:rPr>
      <w:t>100</w:t>
    </w:r>
    <w:r>
      <w:fldChar w:fldCharType="end"/>
    </w:r>
    <w:r>
      <w:tab/>
    </w:r>
    <w:r w:rsidRPr="00B73379">
      <w:rPr>
        <w:b w:val="0"/>
        <w:bCs/>
      </w:rPr>
      <w:fldChar w:fldCharType="begin"/>
    </w:r>
    <w:r w:rsidRPr="00B73379">
      <w:rPr>
        <w:b w:val="0"/>
        <w:bCs/>
        <w:lang w:val="en-US"/>
      </w:rPr>
      <w:instrText xml:space="preserve"> PAGE  \* MERGEFORMAT </w:instrText>
    </w:r>
    <w:r w:rsidRPr="00B73379">
      <w:rPr>
        <w:b w:val="0"/>
        <w:bCs/>
      </w:rPr>
      <w:fldChar w:fldCharType="separate"/>
    </w:r>
    <w:r>
      <w:rPr>
        <w:b w:val="0"/>
        <w:bCs/>
      </w:rPr>
      <w:t>1</w:t>
    </w:r>
    <w:r w:rsidRPr="00B73379">
      <w:rPr>
        <w:b w:val="0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DC0C7B" w14:textId="77777777" w:rsidR="0052251F" w:rsidRDefault="0052251F">
      <w:r>
        <w:t>____________________</w:t>
      </w:r>
    </w:p>
  </w:footnote>
  <w:footnote w:type="continuationSeparator" w:id="0">
    <w:p w14:paraId="6BCBC101" w14:textId="77777777" w:rsidR="0052251F" w:rsidRDefault="005225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3C57A" w14:textId="77777777" w:rsidR="006D0F26" w:rsidRPr="00D075E1" w:rsidRDefault="006D0F26" w:rsidP="00D075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B60F3" w14:textId="77777777" w:rsidR="006D0F26" w:rsidRPr="00D075E1" w:rsidRDefault="006D0F26" w:rsidP="00D075E1">
    <w:pPr>
      <w:pStyle w:val="Header"/>
      <w:rPr>
        <w:rStyle w:val="PageNumber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F7CFB4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202F9A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CE067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1262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7F92A2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4A62B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128D86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31A8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EBEDA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0D7489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evenAndOddHeader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D55"/>
    <w:rsid w:val="00011D16"/>
    <w:rsid w:val="00021556"/>
    <w:rsid w:val="00044B4D"/>
    <w:rsid w:val="00065BE4"/>
    <w:rsid w:val="00082EA6"/>
    <w:rsid w:val="00096419"/>
    <w:rsid w:val="000B08A1"/>
    <w:rsid w:val="000B3B7D"/>
    <w:rsid w:val="000E0592"/>
    <w:rsid w:val="000E0C3D"/>
    <w:rsid w:val="000E6A10"/>
    <w:rsid w:val="00100C95"/>
    <w:rsid w:val="00104176"/>
    <w:rsid w:val="00104723"/>
    <w:rsid w:val="00115F55"/>
    <w:rsid w:val="001166BD"/>
    <w:rsid w:val="00153A2F"/>
    <w:rsid w:val="00160F88"/>
    <w:rsid w:val="00164FB0"/>
    <w:rsid w:val="001958EC"/>
    <w:rsid w:val="001C4D78"/>
    <w:rsid w:val="001E3C05"/>
    <w:rsid w:val="001E47B2"/>
    <w:rsid w:val="001F5708"/>
    <w:rsid w:val="001F7101"/>
    <w:rsid w:val="0021547F"/>
    <w:rsid w:val="00217CDB"/>
    <w:rsid w:val="00223031"/>
    <w:rsid w:val="00241D6F"/>
    <w:rsid w:val="00245661"/>
    <w:rsid w:val="00256525"/>
    <w:rsid w:val="00256F54"/>
    <w:rsid w:val="0028582D"/>
    <w:rsid w:val="0029052C"/>
    <w:rsid w:val="00295585"/>
    <w:rsid w:val="00315C1E"/>
    <w:rsid w:val="003518D5"/>
    <w:rsid w:val="00372B66"/>
    <w:rsid w:val="00377687"/>
    <w:rsid w:val="003C2D00"/>
    <w:rsid w:val="003E33A8"/>
    <w:rsid w:val="003F0680"/>
    <w:rsid w:val="00400600"/>
    <w:rsid w:val="004442F6"/>
    <w:rsid w:val="004533B9"/>
    <w:rsid w:val="00466E41"/>
    <w:rsid w:val="004F1EA7"/>
    <w:rsid w:val="0052251F"/>
    <w:rsid w:val="005330B1"/>
    <w:rsid w:val="005428C5"/>
    <w:rsid w:val="005435AA"/>
    <w:rsid w:val="0055021E"/>
    <w:rsid w:val="00585ED1"/>
    <w:rsid w:val="005A4F08"/>
    <w:rsid w:val="00614B4C"/>
    <w:rsid w:val="006349BE"/>
    <w:rsid w:val="00642735"/>
    <w:rsid w:val="00643BC7"/>
    <w:rsid w:val="00664F8D"/>
    <w:rsid w:val="00671751"/>
    <w:rsid w:val="006A2304"/>
    <w:rsid w:val="006C1E98"/>
    <w:rsid w:val="006C5ED6"/>
    <w:rsid w:val="006C62D4"/>
    <w:rsid w:val="006D0F26"/>
    <w:rsid w:val="006F5455"/>
    <w:rsid w:val="007057EE"/>
    <w:rsid w:val="00712378"/>
    <w:rsid w:val="00743611"/>
    <w:rsid w:val="0079215F"/>
    <w:rsid w:val="007A0BE3"/>
    <w:rsid w:val="007B0D90"/>
    <w:rsid w:val="007C64E7"/>
    <w:rsid w:val="007C7F35"/>
    <w:rsid w:val="008028AE"/>
    <w:rsid w:val="00812CE2"/>
    <w:rsid w:val="008222EF"/>
    <w:rsid w:val="00831A21"/>
    <w:rsid w:val="00841271"/>
    <w:rsid w:val="00862C3A"/>
    <w:rsid w:val="00877E7D"/>
    <w:rsid w:val="00885482"/>
    <w:rsid w:val="00892A35"/>
    <w:rsid w:val="008B2002"/>
    <w:rsid w:val="008C357D"/>
    <w:rsid w:val="008C6F85"/>
    <w:rsid w:val="008D5D1B"/>
    <w:rsid w:val="008D6B1E"/>
    <w:rsid w:val="008E70B2"/>
    <w:rsid w:val="008F6F22"/>
    <w:rsid w:val="008F7079"/>
    <w:rsid w:val="00906FCA"/>
    <w:rsid w:val="00917AD8"/>
    <w:rsid w:val="009215A0"/>
    <w:rsid w:val="009242C6"/>
    <w:rsid w:val="00946DF2"/>
    <w:rsid w:val="009560C3"/>
    <w:rsid w:val="009B4B48"/>
    <w:rsid w:val="009C06D6"/>
    <w:rsid w:val="009E0CE3"/>
    <w:rsid w:val="009E4ACC"/>
    <w:rsid w:val="00A048CE"/>
    <w:rsid w:val="00A054FD"/>
    <w:rsid w:val="00A1158B"/>
    <w:rsid w:val="00A16E12"/>
    <w:rsid w:val="00A23640"/>
    <w:rsid w:val="00A300F8"/>
    <w:rsid w:val="00A31A3C"/>
    <w:rsid w:val="00A428C4"/>
    <w:rsid w:val="00A5029E"/>
    <w:rsid w:val="00A5430F"/>
    <w:rsid w:val="00A64176"/>
    <w:rsid w:val="00A762C1"/>
    <w:rsid w:val="00A7749A"/>
    <w:rsid w:val="00A922AD"/>
    <w:rsid w:val="00AD62D4"/>
    <w:rsid w:val="00B122C8"/>
    <w:rsid w:val="00B24C2D"/>
    <w:rsid w:val="00B31246"/>
    <w:rsid w:val="00B450BE"/>
    <w:rsid w:val="00B57627"/>
    <w:rsid w:val="00B96F52"/>
    <w:rsid w:val="00BD5BF5"/>
    <w:rsid w:val="00BE0A5C"/>
    <w:rsid w:val="00BE14B0"/>
    <w:rsid w:val="00C028FA"/>
    <w:rsid w:val="00C10AF4"/>
    <w:rsid w:val="00C2286E"/>
    <w:rsid w:val="00C307BC"/>
    <w:rsid w:val="00C3111E"/>
    <w:rsid w:val="00C37FA4"/>
    <w:rsid w:val="00C87C51"/>
    <w:rsid w:val="00C92632"/>
    <w:rsid w:val="00C97C18"/>
    <w:rsid w:val="00CC2761"/>
    <w:rsid w:val="00CD1B1B"/>
    <w:rsid w:val="00CF15EA"/>
    <w:rsid w:val="00D075E1"/>
    <w:rsid w:val="00D13CDA"/>
    <w:rsid w:val="00D23B4C"/>
    <w:rsid w:val="00D460E6"/>
    <w:rsid w:val="00D5161F"/>
    <w:rsid w:val="00D74EFE"/>
    <w:rsid w:val="00D9465C"/>
    <w:rsid w:val="00D962F2"/>
    <w:rsid w:val="00D976F2"/>
    <w:rsid w:val="00DA1685"/>
    <w:rsid w:val="00DC4B81"/>
    <w:rsid w:val="00DD71D5"/>
    <w:rsid w:val="00DE4D43"/>
    <w:rsid w:val="00E16169"/>
    <w:rsid w:val="00E26A91"/>
    <w:rsid w:val="00E461D8"/>
    <w:rsid w:val="00E5178C"/>
    <w:rsid w:val="00E654F0"/>
    <w:rsid w:val="00E72AD0"/>
    <w:rsid w:val="00ED48FA"/>
    <w:rsid w:val="00EE233D"/>
    <w:rsid w:val="00F40D91"/>
    <w:rsid w:val="00F46759"/>
    <w:rsid w:val="00F517A1"/>
    <w:rsid w:val="00F56432"/>
    <w:rsid w:val="00F64291"/>
    <w:rsid w:val="00F72501"/>
    <w:rsid w:val="00F816C3"/>
    <w:rsid w:val="00F968E6"/>
    <w:rsid w:val="00FA5C58"/>
    <w:rsid w:val="00FB6D55"/>
    <w:rsid w:val="00FD0876"/>
    <w:rsid w:val="00FD4011"/>
    <w:rsid w:val="00FD6CCF"/>
    <w:rsid w:val="00FF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588F5409"/>
  <w15:chartTrackingRefBased/>
  <w15:docId w15:val="{84553B84-8405-4C30-BD3A-4BFE1A0A9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F15E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s-ES_tradnl" w:eastAsia="en-US"/>
    </w:rPr>
  </w:style>
  <w:style w:type="paragraph" w:styleId="Heading1">
    <w:name w:val="heading 1"/>
    <w:basedOn w:val="Normal"/>
    <w:next w:val="Normal"/>
    <w:qFormat/>
    <w:rsid w:val="008E70B2"/>
    <w:pPr>
      <w:keepNext/>
      <w:keepLines/>
      <w:spacing w:before="360"/>
      <w:ind w:left="794" w:hanging="794"/>
      <w:jc w:val="left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qFormat/>
    <w:rsid w:val="00082EA6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082EA6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082EA6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082EA6"/>
    <w:pPr>
      <w:outlineLvl w:val="4"/>
    </w:pPr>
  </w:style>
  <w:style w:type="paragraph" w:styleId="Heading6">
    <w:name w:val="heading 6"/>
    <w:basedOn w:val="Heading4"/>
    <w:next w:val="Normal"/>
    <w:qFormat/>
    <w:rsid w:val="00082EA6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082EA6"/>
    <w:pPr>
      <w:outlineLvl w:val="6"/>
    </w:pPr>
  </w:style>
  <w:style w:type="paragraph" w:styleId="Heading8">
    <w:name w:val="heading 8"/>
    <w:basedOn w:val="Heading6"/>
    <w:next w:val="Normal"/>
    <w:qFormat/>
    <w:rsid w:val="00082EA6"/>
    <w:pPr>
      <w:outlineLvl w:val="7"/>
    </w:pPr>
  </w:style>
  <w:style w:type="paragraph" w:styleId="Heading9">
    <w:name w:val="heading 9"/>
    <w:basedOn w:val="Heading6"/>
    <w:next w:val="Normal"/>
    <w:qFormat/>
    <w:rsid w:val="00082EA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082EA6"/>
  </w:style>
  <w:style w:type="paragraph" w:styleId="TOC4">
    <w:name w:val="toc 4"/>
    <w:basedOn w:val="TOC3"/>
    <w:semiHidden/>
    <w:rsid w:val="00082EA6"/>
  </w:style>
  <w:style w:type="paragraph" w:styleId="TOC3">
    <w:name w:val="toc 3"/>
    <w:basedOn w:val="TOC2"/>
    <w:semiHidden/>
    <w:rsid w:val="00082EA6"/>
  </w:style>
  <w:style w:type="paragraph" w:styleId="TOC2">
    <w:name w:val="toc 2"/>
    <w:basedOn w:val="TOC1"/>
    <w:semiHidden/>
    <w:rsid w:val="00082EA6"/>
    <w:pPr>
      <w:spacing w:before="80"/>
      <w:ind w:left="1531" w:hanging="851"/>
    </w:pPr>
  </w:style>
  <w:style w:type="paragraph" w:styleId="TOC1">
    <w:name w:val="toc 1"/>
    <w:basedOn w:val="Normal"/>
    <w:semiHidden/>
    <w:rsid w:val="00082EA6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082EA6"/>
  </w:style>
  <w:style w:type="paragraph" w:styleId="TOC6">
    <w:name w:val="toc 6"/>
    <w:basedOn w:val="TOC4"/>
    <w:semiHidden/>
    <w:rsid w:val="00082EA6"/>
  </w:style>
  <w:style w:type="paragraph" w:styleId="TOC5">
    <w:name w:val="toc 5"/>
    <w:basedOn w:val="TOC4"/>
    <w:semiHidden/>
    <w:rsid w:val="00082EA6"/>
  </w:style>
  <w:style w:type="paragraph" w:styleId="Footer">
    <w:name w:val="footer"/>
    <w:basedOn w:val="Normal"/>
    <w:link w:val="FooterChar"/>
    <w:uiPriority w:val="99"/>
    <w:rsid w:val="00082EA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aliases w:val="h,Header/Footer"/>
    <w:basedOn w:val="Normal"/>
    <w:link w:val="HeaderChar"/>
    <w:uiPriority w:val="99"/>
    <w:rsid w:val="00082EA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"/>
    <w:rsid w:val="00082EA6"/>
    <w:rPr>
      <w:rFonts w:cs="Times New Roman"/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C3111E"/>
    <w:pPr>
      <w:keepLines/>
      <w:tabs>
        <w:tab w:val="left" w:pos="255"/>
      </w:tabs>
      <w:spacing w:before="80"/>
      <w:ind w:left="255" w:hanging="255"/>
    </w:pPr>
    <w:rPr>
      <w:sz w:val="20"/>
    </w:rPr>
  </w:style>
  <w:style w:type="paragraph" w:customStyle="1" w:styleId="Note">
    <w:name w:val="Note"/>
    <w:basedOn w:val="Normal"/>
    <w:rsid w:val="00223031"/>
    <w:pPr>
      <w:spacing w:before="80"/>
    </w:pPr>
    <w:rPr>
      <w:sz w:val="20"/>
    </w:rPr>
  </w:style>
  <w:style w:type="paragraph" w:customStyle="1" w:styleId="Section1">
    <w:name w:val="Section_1"/>
    <w:basedOn w:val="Normal"/>
    <w:next w:val="Normal"/>
    <w:rsid w:val="00082EA6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enumlev1">
    <w:name w:val="enumlev1"/>
    <w:basedOn w:val="Normal"/>
    <w:link w:val="enumlev1Char"/>
    <w:qFormat/>
    <w:rsid w:val="00082EA6"/>
    <w:pPr>
      <w:spacing w:before="80"/>
      <w:ind w:left="794" w:hanging="794"/>
    </w:pPr>
  </w:style>
  <w:style w:type="paragraph" w:customStyle="1" w:styleId="enumlev2">
    <w:name w:val="enumlev2"/>
    <w:basedOn w:val="enumlev1"/>
    <w:rsid w:val="00082EA6"/>
    <w:pPr>
      <w:ind w:left="1191" w:hanging="397"/>
    </w:pPr>
  </w:style>
  <w:style w:type="paragraph" w:customStyle="1" w:styleId="enumlev3">
    <w:name w:val="enumlev3"/>
    <w:basedOn w:val="enumlev2"/>
    <w:rsid w:val="00082EA6"/>
    <w:pPr>
      <w:ind w:left="1588"/>
    </w:pPr>
  </w:style>
  <w:style w:type="paragraph" w:customStyle="1" w:styleId="Section2">
    <w:name w:val="Section_2"/>
    <w:basedOn w:val="Normal"/>
    <w:next w:val="Normal"/>
    <w:rsid w:val="00082EA6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Equation">
    <w:name w:val="Equation"/>
    <w:basedOn w:val="Normal"/>
    <w:rsid w:val="00082EA6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082EA6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082EA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es-ES_tradnl" w:eastAsia="en-US"/>
    </w:rPr>
  </w:style>
  <w:style w:type="paragraph" w:styleId="TOC9">
    <w:name w:val="toc 9"/>
    <w:basedOn w:val="TOC3"/>
    <w:semiHidden/>
    <w:rsid w:val="00082EA6"/>
  </w:style>
  <w:style w:type="paragraph" w:customStyle="1" w:styleId="Chaptitle">
    <w:name w:val="Chap_title"/>
    <w:basedOn w:val="Normal"/>
    <w:next w:val="Normalaftertitle"/>
    <w:rsid w:val="00082EA6"/>
    <w:pPr>
      <w:keepNext/>
      <w:keepLines/>
      <w:spacing w:before="240"/>
      <w:jc w:val="center"/>
    </w:pPr>
    <w:rPr>
      <w:b/>
      <w:sz w:val="28"/>
    </w:rPr>
  </w:style>
  <w:style w:type="paragraph" w:styleId="Index1">
    <w:name w:val="index 1"/>
    <w:basedOn w:val="Normal"/>
    <w:next w:val="Normal"/>
    <w:semiHidden/>
    <w:rsid w:val="00082EA6"/>
    <w:pPr>
      <w:jc w:val="left"/>
    </w:pPr>
  </w:style>
  <w:style w:type="paragraph" w:customStyle="1" w:styleId="Formal">
    <w:name w:val="Formal"/>
    <w:basedOn w:val="ASN1"/>
    <w:rsid w:val="00082EA6"/>
    <w:rPr>
      <w:b w:val="0"/>
    </w:rPr>
  </w:style>
  <w:style w:type="paragraph" w:customStyle="1" w:styleId="AnnexNoTitle">
    <w:name w:val="Annex_NoTitle"/>
    <w:basedOn w:val="Normal"/>
    <w:next w:val="Normalaftertitle"/>
    <w:rsid w:val="00082EA6"/>
    <w:pPr>
      <w:keepNext/>
      <w:keepLines/>
      <w:spacing w:before="720"/>
      <w:jc w:val="center"/>
    </w:pPr>
    <w:rPr>
      <w:b/>
      <w:sz w:val="28"/>
    </w:rPr>
  </w:style>
  <w:style w:type="character" w:customStyle="1" w:styleId="Appdef">
    <w:name w:val="App_def"/>
    <w:rsid w:val="00082EA6"/>
    <w:rPr>
      <w:rFonts w:ascii="Times New Roman" w:hAnsi="Times New Roman" w:cs="Times New Roman"/>
      <w:b/>
    </w:rPr>
  </w:style>
  <w:style w:type="character" w:customStyle="1" w:styleId="Appref">
    <w:name w:val="App_ref"/>
    <w:rsid w:val="00082EA6"/>
    <w:rPr>
      <w:rFonts w:cs="Times New Roman"/>
    </w:rPr>
  </w:style>
  <w:style w:type="paragraph" w:customStyle="1" w:styleId="AppendixNoTitle">
    <w:name w:val="Appendix_NoTitle"/>
    <w:basedOn w:val="AnnexNoTitle"/>
    <w:next w:val="Normalaftertitle"/>
    <w:rsid w:val="00082EA6"/>
  </w:style>
  <w:style w:type="character" w:customStyle="1" w:styleId="Artdef">
    <w:name w:val="Art_def"/>
    <w:rsid w:val="00082EA6"/>
    <w:rPr>
      <w:rFonts w:ascii="Times New Roman" w:hAnsi="Times New Roman" w:cs="Times New Roman"/>
      <w:b/>
    </w:rPr>
  </w:style>
  <w:style w:type="paragraph" w:customStyle="1" w:styleId="Artheading">
    <w:name w:val="Art_heading"/>
    <w:basedOn w:val="Normal"/>
    <w:next w:val="Normalaftertitle"/>
    <w:rsid w:val="00082EA6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082EA6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rsid w:val="00082EA6"/>
    <w:rPr>
      <w:rFonts w:cs="Times New Roman"/>
    </w:rPr>
  </w:style>
  <w:style w:type="paragraph" w:customStyle="1" w:styleId="Arttitle">
    <w:name w:val="Art_title"/>
    <w:basedOn w:val="Normal"/>
    <w:next w:val="Normalaftertitle"/>
    <w:rsid w:val="00082EA6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082EA6"/>
    <w:pPr>
      <w:keepNext/>
      <w:keepLines/>
      <w:spacing w:before="16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082EA6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Equationlegend">
    <w:name w:val="Equation_legend"/>
    <w:basedOn w:val="Normal"/>
    <w:rsid w:val="00082EA6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uiPriority w:val="99"/>
    <w:rsid w:val="00082EA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link w:val="FigureChar"/>
    <w:rsid w:val="00082EA6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082EA6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082EA6"/>
    <w:pPr>
      <w:keepLines/>
      <w:spacing w:before="240" w:after="120"/>
      <w:jc w:val="center"/>
    </w:pPr>
  </w:style>
  <w:style w:type="paragraph" w:customStyle="1" w:styleId="FirstFooter">
    <w:name w:val="FirstFooter"/>
    <w:basedOn w:val="Footer"/>
    <w:rsid w:val="00082EA6"/>
    <w:pPr>
      <w:tabs>
        <w:tab w:val="clear" w:pos="5954"/>
        <w:tab w:val="clear" w:pos="9639"/>
      </w:tabs>
      <w:overflowPunct/>
      <w:autoSpaceDE/>
      <w:autoSpaceDN/>
      <w:adjustRightInd/>
      <w:spacing w:before="40"/>
      <w:jc w:val="left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link w:val="FooterQPChar"/>
    <w:rsid w:val="00082EA6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082EA6"/>
    <w:pPr>
      <w:keepNext/>
      <w:spacing w:before="160"/>
      <w:jc w:val="left"/>
    </w:pPr>
    <w:rPr>
      <w:b/>
    </w:rPr>
  </w:style>
  <w:style w:type="paragraph" w:customStyle="1" w:styleId="Headingi">
    <w:name w:val="Heading_i"/>
    <w:basedOn w:val="Normal"/>
    <w:next w:val="Normal"/>
    <w:rsid w:val="00082EA6"/>
    <w:pPr>
      <w:keepNext/>
      <w:spacing w:before="160"/>
      <w:jc w:val="left"/>
    </w:pPr>
    <w:rPr>
      <w:i/>
    </w:rPr>
  </w:style>
  <w:style w:type="paragraph" w:styleId="Index2">
    <w:name w:val="index 2"/>
    <w:basedOn w:val="Normal"/>
    <w:next w:val="Normal"/>
    <w:semiHidden/>
    <w:rsid w:val="00082EA6"/>
    <w:pPr>
      <w:ind w:left="284"/>
      <w:jc w:val="left"/>
    </w:pPr>
  </w:style>
  <w:style w:type="paragraph" w:styleId="Index3">
    <w:name w:val="index 3"/>
    <w:basedOn w:val="Normal"/>
    <w:next w:val="Normal"/>
    <w:semiHidden/>
    <w:rsid w:val="00082EA6"/>
    <w:pPr>
      <w:ind w:left="567"/>
      <w:jc w:val="left"/>
    </w:pPr>
  </w:style>
  <w:style w:type="paragraph" w:customStyle="1" w:styleId="Normalaftertitle">
    <w:name w:val="Normal_after_title"/>
    <w:basedOn w:val="Normal"/>
    <w:next w:val="Normal"/>
    <w:rsid w:val="00082EA6"/>
    <w:pPr>
      <w:spacing w:before="360"/>
    </w:pPr>
  </w:style>
  <w:style w:type="paragraph" w:customStyle="1" w:styleId="PartNo">
    <w:name w:val="Part_No"/>
    <w:basedOn w:val="Normal"/>
    <w:next w:val="Partref"/>
    <w:rsid w:val="00082EA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082EA6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082EA6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082EA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082EA6"/>
  </w:style>
  <w:style w:type="paragraph" w:customStyle="1" w:styleId="RecNo">
    <w:name w:val="Rec_No"/>
    <w:basedOn w:val="Normal"/>
    <w:next w:val="Rectitle"/>
    <w:rsid w:val="00082EA6"/>
    <w:pPr>
      <w:keepNext/>
      <w:keepLines/>
      <w:spacing w:before="0"/>
      <w:jc w:val="left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082EA6"/>
  </w:style>
  <w:style w:type="paragraph" w:customStyle="1" w:styleId="Recref">
    <w:name w:val="Rec_ref"/>
    <w:basedOn w:val="Normal"/>
    <w:next w:val="Recdate"/>
    <w:rsid w:val="00082EA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082EA6"/>
  </w:style>
  <w:style w:type="paragraph" w:customStyle="1" w:styleId="Rectitle">
    <w:name w:val="Rec_title"/>
    <w:basedOn w:val="Normal"/>
    <w:next w:val="Normalaftertitle"/>
    <w:rsid w:val="00082EA6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082EA6"/>
  </w:style>
  <w:style w:type="paragraph" w:customStyle="1" w:styleId="Reftext">
    <w:name w:val="Ref_text"/>
    <w:basedOn w:val="Normal"/>
    <w:rsid w:val="00082EA6"/>
    <w:pPr>
      <w:ind w:left="794" w:hanging="794"/>
      <w:jc w:val="left"/>
    </w:pPr>
  </w:style>
  <w:style w:type="character" w:styleId="PageNumber">
    <w:name w:val="page number"/>
    <w:rsid w:val="00082EA6"/>
    <w:rPr>
      <w:rFonts w:cs="Times New Roman"/>
    </w:rPr>
  </w:style>
  <w:style w:type="paragraph" w:customStyle="1" w:styleId="Repdate">
    <w:name w:val="Rep_date"/>
    <w:basedOn w:val="Recdate"/>
    <w:next w:val="Normalaftertitle"/>
    <w:rsid w:val="00082EA6"/>
  </w:style>
  <w:style w:type="paragraph" w:customStyle="1" w:styleId="RepNo">
    <w:name w:val="Rep_No"/>
    <w:basedOn w:val="RecNo"/>
    <w:next w:val="Reptitle"/>
    <w:rsid w:val="00082EA6"/>
  </w:style>
  <w:style w:type="paragraph" w:customStyle="1" w:styleId="Repref">
    <w:name w:val="Rep_ref"/>
    <w:basedOn w:val="Recref"/>
    <w:next w:val="Repdate"/>
    <w:rsid w:val="00082EA6"/>
  </w:style>
  <w:style w:type="paragraph" w:customStyle="1" w:styleId="Reptitle">
    <w:name w:val="Rep_title"/>
    <w:basedOn w:val="Rectitle"/>
    <w:next w:val="Repref"/>
    <w:rsid w:val="00082EA6"/>
  </w:style>
  <w:style w:type="paragraph" w:customStyle="1" w:styleId="Resdate">
    <w:name w:val="Res_date"/>
    <w:basedOn w:val="Recdate"/>
    <w:next w:val="Normalaftertitle"/>
    <w:rsid w:val="00082EA6"/>
  </w:style>
  <w:style w:type="character" w:customStyle="1" w:styleId="Resdef">
    <w:name w:val="Res_def"/>
    <w:rsid w:val="00082EA6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Restitle"/>
    <w:link w:val="ResNoChar"/>
    <w:rsid w:val="00100C95"/>
    <w:pPr>
      <w:jc w:val="center"/>
      <w:outlineLvl w:val="0"/>
    </w:pPr>
    <w:rPr>
      <w:b w:val="0"/>
    </w:rPr>
  </w:style>
  <w:style w:type="paragraph" w:customStyle="1" w:styleId="Resref">
    <w:name w:val="Res_ref"/>
    <w:basedOn w:val="Recref"/>
    <w:next w:val="Resdate"/>
    <w:qFormat/>
    <w:rsid w:val="00082EA6"/>
  </w:style>
  <w:style w:type="paragraph" w:customStyle="1" w:styleId="Restitle">
    <w:name w:val="Res_title"/>
    <w:basedOn w:val="Rectitle"/>
    <w:next w:val="Resref"/>
    <w:link w:val="RestitleChar"/>
    <w:rsid w:val="00082EA6"/>
  </w:style>
  <w:style w:type="paragraph" w:customStyle="1" w:styleId="SectionNo">
    <w:name w:val="Section_No"/>
    <w:basedOn w:val="Normal"/>
    <w:next w:val="Sectiontitle"/>
    <w:rsid w:val="00082EA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082EA6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082EA6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082EA6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character" w:customStyle="1" w:styleId="Tablefreq">
    <w:name w:val="Table_freq"/>
    <w:rsid w:val="00082EA6"/>
    <w:rPr>
      <w:rFonts w:cs="Times New Roman"/>
      <w:b/>
      <w:color w:val="auto"/>
    </w:rPr>
  </w:style>
  <w:style w:type="paragraph" w:customStyle="1" w:styleId="Tablehead">
    <w:name w:val="Table_head"/>
    <w:basedOn w:val="Normal"/>
    <w:next w:val="Tabletext"/>
    <w:link w:val="TableheadChar"/>
    <w:rsid w:val="00082EA6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082EA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character" w:styleId="Hyperlink">
    <w:name w:val="Hyperlink"/>
    <w:rsid w:val="00082EA6"/>
    <w:rPr>
      <w:rFonts w:cs="Times New Roman"/>
      <w:color w:val="0000FF"/>
      <w:u w:val="single"/>
    </w:rPr>
  </w:style>
  <w:style w:type="paragraph" w:customStyle="1" w:styleId="Tabletext">
    <w:name w:val="Table_text"/>
    <w:basedOn w:val="Normal"/>
    <w:rsid w:val="00082EA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</w:style>
  <w:style w:type="paragraph" w:customStyle="1" w:styleId="TableNoTitle">
    <w:name w:val="Table_NoTitle"/>
    <w:basedOn w:val="Normal"/>
    <w:next w:val="Tablehead"/>
    <w:rsid w:val="00082EA6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082EA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082EA6"/>
  </w:style>
  <w:style w:type="paragraph" w:customStyle="1" w:styleId="Title3">
    <w:name w:val="Title 3"/>
    <w:basedOn w:val="Title2"/>
    <w:next w:val="Title4"/>
    <w:rsid w:val="00082EA6"/>
    <w:rPr>
      <w:caps w:val="0"/>
    </w:rPr>
  </w:style>
  <w:style w:type="paragraph" w:customStyle="1" w:styleId="Title4">
    <w:name w:val="Title 4"/>
    <w:basedOn w:val="Title3"/>
    <w:next w:val="Heading1"/>
    <w:rsid w:val="00082EA6"/>
    <w:rPr>
      <w:b/>
    </w:rPr>
  </w:style>
  <w:style w:type="table" w:styleId="TableGrid">
    <w:name w:val="Table Grid"/>
    <w:basedOn w:val="TableNormal"/>
    <w:rsid w:val="00FB6D5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title">
    <w:name w:val="Ref_title"/>
    <w:basedOn w:val="Normal"/>
    <w:next w:val="Reftext"/>
    <w:rsid w:val="00082EA6"/>
    <w:pPr>
      <w:spacing w:before="480"/>
      <w:jc w:val="center"/>
    </w:pPr>
    <w:rPr>
      <w:b/>
    </w:rPr>
  </w:style>
  <w:style w:type="character" w:customStyle="1" w:styleId="TableheadChar">
    <w:name w:val="Table_head Char"/>
    <w:link w:val="Tablehead"/>
    <w:locked/>
    <w:rsid w:val="00BD5BF5"/>
    <w:rPr>
      <w:rFonts w:cs="Times New Roman"/>
      <w:b/>
      <w:sz w:val="22"/>
      <w:lang w:val="es-ES_tradnl" w:eastAsia="en-US" w:bidi="ar-SA"/>
    </w:rPr>
  </w:style>
  <w:style w:type="character" w:customStyle="1" w:styleId="FigureChar">
    <w:name w:val="Figure Char"/>
    <w:link w:val="Figure"/>
    <w:locked/>
    <w:rsid w:val="00065BE4"/>
    <w:rPr>
      <w:rFonts w:cs="Times New Roman"/>
      <w:sz w:val="24"/>
      <w:lang w:val="es-ES_tradnl" w:eastAsia="en-US" w:bidi="ar-SA"/>
    </w:rPr>
  </w:style>
  <w:style w:type="paragraph" w:customStyle="1" w:styleId="TableNotitle0">
    <w:name w:val="Table_No &amp; title"/>
    <w:basedOn w:val="Normal"/>
    <w:next w:val="Tablehead"/>
    <w:rsid w:val="00FB6D55"/>
    <w:pPr>
      <w:keepNext/>
      <w:keepLines/>
      <w:spacing w:before="360" w:after="120"/>
      <w:jc w:val="center"/>
    </w:pPr>
    <w:rPr>
      <w:b/>
    </w:rPr>
  </w:style>
  <w:style w:type="character" w:customStyle="1" w:styleId="Heading2Char">
    <w:name w:val="Heading 2 Char"/>
    <w:link w:val="Heading2"/>
    <w:locked/>
    <w:rsid w:val="00FB6D55"/>
    <w:rPr>
      <w:rFonts w:cs="Times New Roman"/>
      <w:b/>
      <w:sz w:val="24"/>
      <w:lang w:val="es-ES_tradnl" w:eastAsia="en-US" w:bidi="ar-SA"/>
    </w:rPr>
  </w:style>
  <w:style w:type="character" w:customStyle="1" w:styleId="enumlev1Char">
    <w:name w:val="enumlev1 Char"/>
    <w:link w:val="enumlev1"/>
    <w:locked/>
    <w:rsid w:val="00C87C51"/>
    <w:rPr>
      <w:rFonts w:cs="Times New Roman"/>
      <w:sz w:val="24"/>
      <w:lang w:val="es-ES_tradnl" w:eastAsia="en-US" w:bidi="ar-SA"/>
    </w:rPr>
  </w:style>
  <w:style w:type="paragraph" w:customStyle="1" w:styleId="TableText0">
    <w:name w:val="Table_Text"/>
    <w:basedOn w:val="Normal"/>
    <w:rsid w:val="00FB6D5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</w:style>
  <w:style w:type="paragraph" w:customStyle="1" w:styleId="TableHead0">
    <w:name w:val="Table_Head"/>
    <w:basedOn w:val="TableText0"/>
    <w:rsid w:val="00FB6D55"/>
    <w:pPr>
      <w:spacing w:before="80" w:after="80"/>
      <w:jc w:val="center"/>
    </w:pPr>
    <w:rPr>
      <w:b/>
    </w:rPr>
  </w:style>
  <w:style w:type="character" w:customStyle="1" w:styleId="FooterQPChar">
    <w:name w:val="Footer_QP Char"/>
    <w:link w:val="FooterQP"/>
    <w:locked/>
    <w:rsid w:val="00C87C51"/>
    <w:rPr>
      <w:rFonts w:cs="Times New Roman"/>
      <w:b/>
      <w:sz w:val="22"/>
      <w:lang w:val="es-ES_tradnl" w:eastAsia="en-US" w:bidi="ar-SA"/>
    </w:rPr>
  </w:style>
  <w:style w:type="character" w:customStyle="1" w:styleId="FooterChar">
    <w:name w:val="Footer Char"/>
    <w:link w:val="Footer"/>
    <w:uiPriority w:val="99"/>
    <w:rsid w:val="006F5455"/>
    <w:rPr>
      <w:rFonts w:ascii="Times New Roman" w:hAnsi="Times New Roman"/>
      <w:caps/>
      <w:noProof/>
      <w:sz w:val="16"/>
      <w:lang w:val="es-ES_tradnl" w:eastAsia="en-US"/>
    </w:rPr>
  </w:style>
  <w:style w:type="character" w:customStyle="1" w:styleId="HeaderChar">
    <w:name w:val="Header Char"/>
    <w:aliases w:val="h Char,Header/Footer Char"/>
    <w:link w:val="Header"/>
    <w:uiPriority w:val="99"/>
    <w:rsid w:val="006F5455"/>
    <w:rPr>
      <w:rFonts w:ascii="Times New Roman" w:hAnsi="Times New Roman"/>
      <w:sz w:val="18"/>
      <w:lang w:val="es-ES_tradnl"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link w:val="FootnoteText"/>
    <w:uiPriority w:val="99"/>
    <w:rsid w:val="00C3111E"/>
    <w:rPr>
      <w:rFonts w:ascii="Times New Roman" w:hAnsi="Times New Roman"/>
      <w:lang w:val="es-ES_tradnl" w:eastAsia="en-US"/>
    </w:rPr>
  </w:style>
  <w:style w:type="character" w:customStyle="1" w:styleId="CallChar">
    <w:name w:val="Call Char"/>
    <w:link w:val="Call"/>
    <w:rsid w:val="006F5455"/>
    <w:rPr>
      <w:rFonts w:ascii="Times New Roman" w:hAnsi="Times New Roman"/>
      <w:i/>
      <w:sz w:val="24"/>
      <w:lang w:val="es-ES_tradnl" w:eastAsia="en-US"/>
    </w:rPr>
  </w:style>
  <w:style w:type="character" w:customStyle="1" w:styleId="RestitleChar">
    <w:name w:val="Res_title Char"/>
    <w:link w:val="Restitle"/>
    <w:rsid w:val="006F5455"/>
    <w:rPr>
      <w:rFonts w:ascii="Times New Roman" w:hAnsi="Times New Roman"/>
      <w:b/>
      <w:sz w:val="28"/>
      <w:lang w:val="es-ES_tradnl" w:eastAsia="en-US"/>
    </w:rPr>
  </w:style>
  <w:style w:type="character" w:customStyle="1" w:styleId="ResNoChar">
    <w:name w:val="Res_No Char"/>
    <w:link w:val="ResNo"/>
    <w:rsid w:val="00100C95"/>
    <w:rPr>
      <w:rFonts w:ascii="Times New Roman" w:hAnsi="Times New Roman"/>
      <w:sz w:val="28"/>
      <w:lang w:val="es-ES_tradnl" w:eastAsia="en-US"/>
    </w:rPr>
  </w:style>
  <w:style w:type="character" w:customStyle="1" w:styleId="href">
    <w:name w:val="href"/>
    <w:uiPriority w:val="99"/>
    <w:rsid w:val="006F5455"/>
  </w:style>
  <w:style w:type="paragraph" w:customStyle="1" w:styleId="AppendixNo">
    <w:name w:val="Appendix_No"/>
    <w:basedOn w:val="Normal"/>
    <w:next w:val="Normal"/>
    <w:rsid w:val="006F5455"/>
    <w:pPr>
      <w:keepNext/>
      <w:keepLines/>
      <w:spacing w:before="480" w:after="80"/>
      <w:jc w:val="center"/>
    </w:pPr>
    <w:rPr>
      <w:caps/>
      <w:sz w:val="28"/>
      <w:lang w:val="en-GB"/>
    </w:rPr>
  </w:style>
  <w:style w:type="paragraph" w:customStyle="1" w:styleId="Appendixtitle">
    <w:name w:val="Appendix_title"/>
    <w:basedOn w:val="Normal"/>
    <w:next w:val="Normal"/>
    <w:uiPriority w:val="99"/>
    <w:rsid w:val="006F5455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  <w:lang w:val="en-GB"/>
    </w:rPr>
  </w:style>
  <w:style w:type="paragraph" w:customStyle="1" w:styleId="FigureNo">
    <w:name w:val="Figure_No"/>
    <w:basedOn w:val="Normal"/>
    <w:next w:val="Figuretitle"/>
    <w:rsid w:val="006F5455"/>
    <w:pPr>
      <w:keepNext/>
      <w:keepLines/>
      <w:spacing w:before="480" w:after="120"/>
      <w:jc w:val="center"/>
    </w:pPr>
    <w:rPr>
      <w:caps/>
      <w:lang w:val="en-GB"/>
    </w:rPr>
  </w:style>
  <w:style w:type="paragraph" w:customStyle="1" w:styleId="Figuretitle">
    <w:name w:val="Figure_title"/>
    <w:basedOn w:val="Normal"/>
    <w:next w:val="Normal"/>
    <w:uiPriority w:val="99"/>
    <w:rsid w:val="006F5455"/>
    <w:pPr>
      <w:keepLines/>
      <w:spacing w:before="0" w:after="480"/>
      <w:jc w:val="center"/>
    </w:pPr>
    <w:rPr>
      <w:rFonts w:ascii="Times New Roman Bold" w:hAnsi="Times New Roman Bold"/>
      <w:b/>
      <w:lang w:val="en-GB"/>
    </w:rPr>
  </w:style>
  <w:style w:type="paragraph" w:styleId="NormalWeb">
    <w:name w:val="Normal (Web)"/>
    <w:basedOn w:val="Normal"/>
    <w:uiPriority w:val="99"/>
    <w:unhideWhenUsed/>
    <w:rsid w:val="006F545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Normalaftertitle0">
    <w:name w:val="Normal after title"/>
    <w:basedOn w:val="Normal"/>
    <w:next w:val="Normal"/>
    <w:link w:val="NormalaftertitleChar"/>
    <w:rsid w:val="006F545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lang w:val="en-GB"/>
    </w:rPr>
  </w:style>
  <w:style w:type="character" w:customStyle="1" w:styleId="NormalaftertitleChar">
    <w:name w:val="Normal after title Char"/>
    <w:link w:val="Normalaftertitle0"/>
    <w:locked/>
    <w:rsid w:val="006F5455"/>
    <w:rPr>
      <w:rFonts w:ascii="Times New Roman" w:hAnsi="Times New Roman"/>
      <w:sz w:val="22"/>
      <w:lang w:val="en-GB" w:eastAsia="en-US"/>
    </w:rPr>
  </w:style>
  <w:style w:type="paragraph" w:customStyle="1" w:styleId="StyleResNoNotBoldAllcaps">
    <w:name w:val="Style Res_No + Not Bold All caps"/>
    <w:basedOn w:val="ResNo"/>
    <w:rsid w:val="00100C95"/>
    <w:rPr>
      <w:b/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tiner\Application%20Data\Microsoft\Templates\QuickPub%20-%20ITU\QP-Piano\QPUB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QPUBS.dot</Template>
  <TotalTime>5</TotalTime>
  <Pages>4</Pages>
  <Words>1043</Words>
  <Characters>5927</Characters>
  <Application>Microsoft Office Word</Application>
  <DocSecurity>0</DocSecurity>
  <Lines>87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Resolución 100 – Número de emergencia común para África</vt:lpstr>
    </vt:vector>
  </TitlesOfParts>
  <Company>ITU</Company>
  <LinksUpToDate>false</LinksUpToDate>
  <CharactersWithSpaces>6953</CharactersWithSpaces>
  <SharedDoc>false</SharedDoc>
  <HLinks>
    <vt:vector size="6" baseType="variant">
      <vt:variant>
        <vt:i4>5832768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 T/ipr/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Resolución 100 – Número de emergencia común para África</dc:title>
  <dc:subject>SERIE E: EXPLOTACIÓN GENERAL DE LA RED, SERVICIO TELEFÓNICO, EXPLOTACIÓN DEL SERVICIO Y FACTORES HUMANOS - Calidad de los servicios de telecomunicación: conceptos, modelos, objetivos, planificación de la seguridad de funcionamiento – Términos y definicion</dc:subject>
  <dc:creator>ITU-T</dc:creator>
  <cp:keywords/>
  <dc:description/>
  <cp:lastModifiedBy>Gachet, Christelle</cp:lastModifiedBy>
  <cp:revision>4</cp:revision>
  <cp:lastPrinted>2016-12-13T15:23:00Z</cp:lastPrinted>
  <dcterms:created xsi:type="dcterms:W3CDTF">2022-04-14T12:25:00Z</dcterms:created>
  <dcterms:modified xsi:type="dcterms:W3CDTF">2022-04-14T12:35:00Z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E.802</vt:lpwstr>
  </property>
  <property fmtid="{D5CDD505-2E9C-101B-9397-08002B2CF9AE}" pid="3" name="docdate">
    <vt:lpwstr>8 de febrero de 2007</vt:lpwstr>
  </property>
  <property fmtid="{D5CDD505-2E9C-101B-9397-08002B2CF9AE}" pid="4" name="doctitle">
    <vt:lpwstr>Marco y metodología para la determinación y la aplicación de parámetros de calidad de servicio</vt:lpwstr>
  </property>
  <property fmtid="{D5CDD505-2E9C-101B-9397-08002B2CF9AE}" pid="5" name="doctitle2">
    <vt:lpwstr>SERIE E: EXPLOTACIÓN GENERAL DE LA RED, SERVICIO TELEFÓNICO, EXPLOTACIÓN DEL SERVICIO Y FACTORES HUMANOS Calidad de los servicios de telecomunicación: conceptos, modelos, objetivos, planificación de la seguridad de funcionamiento – Términos y definiciones</vt:lpwstr>
  </property>
</Properties>
</file>