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00" w:firstRow="0" w:lastRow="0" w:firstColumn="0" w:lastColumn="0" w:noHBand="0" w:noVBand="0"/>
      </w:tblPr>
      <w:tblGrid>
        <w:gridCol w:w="817"/>
        <w:gridCol w:w="4253"/>
        <w:gridCol w:w="5670"/>
      </w:tblGrid>
      <w:tr w:rsidR="00831046" w:rsidRPr="006F3E3B" w14:paraId="6B4731D9" w14:textId="77777777" w:rsidTr="00E01DB0">
        <w:trPr>
          <w:trHeight w:hRule="exact" w:val="992"/>
        </w:trPr>
        <w:tc>
          <w:tcPr>
            <w:tcW w:w="5070" w:type="dxa"/>
            <w:gridSpan w:val="2"/>
          </w:tcPr>
          <w:p w14:paraId="0039B9BF" w14:textId="77777777" w:rsidR="00831046" w:rsidRPr="00957911" w:rsidRDefault="00831046" w:rsidP="00E01DB0">
            <w:pPr>
              <w:spacing w:before="0"/>
              <w:rPr>
                <w:rFonts w:ascii="Arial" w:eastAsia="Avenir Next W1G Medium" w:hAnsi="Arial" w:cs="Arial"/>
                <w:szCs w:val="24"/>
              </w:rPr>
            </w:pPr>
            <w:r w:rsidRPr="00934B4E">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2D35224D" wp14:editId="15DAC21B">
                      <wp:simplePos x="0" y="0"/>
                      <wp:positionH relativeFrom="page">
                        <wp:posOffset>-381000</wp:posOffset>
                      </wp:positionH>
                      <wp:positionV relativeFrom="page">
                        <wp:posOffset>317500</wp:posOffset>
                      </wp:positionV>
                      <wp:extent cx="7772400" cy="229870"/>
                      <wp:effectExtent l="0" t="5080" r="0" b="3175"/>
                      <wp:wrapNone/>
                      <wp:docPr id="2"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6BF63" id="docshapegroup7"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p>
        </w:tc>
        <w:tc>
          <w:tcPr>
            <w:tcW w:w="5670" w:type="dxa"/>
          </w:tcPr>
          <w:p w14:paraId="41977A9A" w14:textId="77777777" w:rsidR="00831046" w:rsidRPr="00957911" w:rsidRDefault="00831046" w:rsidP="00E01DB0">
            <w:pPr>
              <w:spacing w:before="0"/>
              <w:jc w:val="right"/>
              <w:rPr>
                <w:rFonts w:ascii="Arial" w:eastAsia="Avenir Next W1G Medium" w:hAnsi="Arial" w:cs="Arial"/>
                <w:szCs w:val="24"/>
              </w:rPr>
            </w:pPr>
            <w:r w:rsidRPr="00957911">
              <w:rPr>
                <w:rFonts w:ascii="Arial" w:eastAsia="Avenir Next W1G Medium" w:hAnsi="Arial" w:cs="Arial"/>
                <w:szCs w:val="24"/>
              </w:rPr>
              <w:t>Standardization Sector</w:t>
            </w:r>
          </w:p>
        </w:tc>
      </w:tr>
      <w:tr w:rsidR="00831046" w:rsidRPr="007F170D" w14:paraId="11D2FE33" w14:textId="77777777" w:rsidTr="00E01DB0">
        <w:tblPrEx>
          <w:tblCellMar>
            <w:left w:w="85" w:type="dxa"/>
            <w:right w:w="85" w:type="dxa"/>
          </w:tblCellMar>
        </w:tblPrEx>
        <w:trPr>
          <w:gridBefore w:val="1"/>
          <w:wBefore w:w="817" w:type="dxa"/>
          <w:trHeight w:val="709"/>
        </w:trPr>
        <w:tc>
          <w:tcPr>
            <w:tcW w:w="9923" w:type="dxa"/>
            <w:gridSpan w:val="2"/>
          </w:tcPr>
          <w:p w14:paraId="25503A22" w14:textId="231A250A" w:rsidR="00831046" w:rsidRPr="00934B4E" w:rsidRDefault="00444D84" w:rsidP="00E01DB0">
            <w:pPr>
              <w:pStyle w:val="BodyText"/>
              <w:spacing w:before="440"/>
              <w:rPr>
                <w:rFonts w:ascii="Arial" w:hAnsi="Arial" w:cs="Arial"/>
                <w:spacing w:val="-6"/>
                <w:sz w:val="44"/>
                <w:szCs w:val="44"/>
                <w:lang w:val="en-GB"/>
              </w:rPr>
            </w:pPr>
            <w:bookmarkStart w:id="0" w:name="dnume"/>
            <w:r w:rsidRPr="00E041C2">
              <w:rPr>
                <w:rFonts w:ascii="Arial" w:hAnsi="Arial" w:cs="Arial"/>
                <w:spacing w:val="-6"/>
                <w:sz w:val="44"/>
                <w:szCs w:val="44"/>
                <w:lang w:val="en-GB"/>
              </w:rPr>
              <w:t xml:space="preserve">ITU-T </w:t>
            </w:r>
            <w:r w:rsidR="00831046" w:rsidRPr="00934B4E">
              <w:rPr>
                <w:rFonts w:ascii="Arial" w:hAnsi="Arial" w:cs="Arial"/>
                <w:spacing w:val="-6"/>
                <w:sz w:val="44"/>
                <w:szCs w:val="44"/>
                <w:lang w:val="en-GB"/>
              </w:rPr>
              <w:t xml:space="preserve">Technical </w:t>
            </w:r>
            <w:r w:rsidR="007F170D" w:rsidRPr="007F170D">
              <w:rPr>
                <w:rFonts w:ascii="Arial" w:hAnsi="Arial" w:cs="Arial"/>
                <w:spacing w:val="-6"/>
                <w:sz w:val="44"/>
                <w:szCs w:val="44"/>
                <w:lang w:val="en-GB"/>
              </w:rPr>
              <w:t>Specification</w:t>
            </w:r>
          </w:p>
        </w:tc>
      </w:tr>
      <w:tr w:rsidR="00831046" w:rsidRPr="00934B4E" w14:paraId="3E28ED18" w14:textId="77777777" w:rsidTr="00E01DB0">
        <w:tblPrEx>
          <w:tblCellMar>
            <w:left w:w="85" w:type="dxa"/>
            <w:right w:w="85" w:type="dxa"/>
          </w:tblCellMar>
        </w:tblPrEx>
        <w:trPr>
          <w:gridBefore w:val="1"/>
          <w:wBefore w:w="817" w:type="dxa"/>
          <w:trHeight w:val="129"/>
        </w:trPr>
        <w:tc>
          <w:tcPr>
            <w:tcW w:w="9923" w:type="dxa"/>
            <w:gridSpan w:val="2"/>
          </w:tcPr>
          <w:p w14:paraId="666EA7D1" w14:textId="205F82D2" w:rsidR="00831046" w:rsidRPr="00934B4E" w:rsidRDefault="00831046" w:rsidP="00E01DB0">
            <w:pPr>
              <w:pStyle w:val="BodyText"/>
              <w:spacing w:before="120" w:after="240"/>
              <w:jc w:val="right"/>
              <w:rPr>
                <w:rFonts w:ascii="Arial" w:hAnsi="Arial" w:cs="Arial"/>
                <w:spacing w:val="-6"/>
                <w:sz w:val="28"/>
                <w:szCs w:val="28"/>
                <w:lang w:val="en-GB"/>
              </w:rPr>
            </w:pPr>
            <w:bookmarkStart w:id="1" w:name="dnume2"/>
            <w:bookmarkEnd w:id="0"/>
            <w:r>
              <w:rPr>
                <w:rFonts w:ascii="Arial" w:hAnsi="Arial" w:cs="Arial"/>
                <w:spacing w:val="-6"/>
                <w:sz w:val="28"/>
                <w:szCs w:val="28"/>
                <w:lang w:val="en-GB"/>
              </w:rPr>
              <w:t>(</w:t>
            </w:r>
            <w:r w:rsidR="00792E90">
              <w:rPr>
                <w:rFonts w:ascii="Arial" w:hAnsi="Arial" w:cs="Arial"/>
                <w:spacing w:val="-6"/>
                <w:sz w:val="28"/>
                <w:szCs w:val="28"/>
                <w:lang w:val="en-GB"/>
              </w:rPr>
              <w:t>10</w:t>
            </w:r>
            <w:r>
              <w:rPr>
                <w:rFonts w:ascii="Arial" w:hAnsi="Arial" w:cs="Arial"/>
                <w:spacing w:val="-6"/>
                <w:sz w:val="28"/>
                <w:szCs w:val="28"/>
                <w:lang w:val="en-GB"/>
              </w:rPr>
              <w:t>/2026)</w:t>
            </w:r>
          </w:p>
        </w:tc>
      </w:tr>
      <w:tr w:rsidR="00831046" w:rsidRPr="006F3E3B" w14:paraId="7F23E9D9" w14:textId="77777777" w:rsidTr="00E01DB0">
        <w:trPr>
          <w:trHeight w:val="80"/>
        </w:trPr>
        <w:tc>
          <w:tcPr>
            <w:tcW w:w="817" w:type="dxa"/>
          </w:tcPr>
          <w:p w14:paraId="431C8856" w14:textId="77777777" w:rsidR="00831046" w:rsidRPr="006F3E3B" w:rsidRDefault="00831046" w:rsidP="00E01DB0">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38A7242F" w14:textId="3EE5B582" w:rsidR="00831046" w:rsidRPr="00934B4E" w:rsidRDefault="009B5846" w:rsidP="00DF069F">
            <w:pPr>
              <w:widowControl w:val="0"/>
              <w:tabs>
                <w:tab w:val="clear" w:pos="794"/>
                <w:tab w:val="clear" w:pos="1191"/>
                <w:tab w:val="clear" w:pos="1588"/>
                <w:tab w:val="clear" w:pos="1985"/>
              </w:tabs>
              <w:overflowPunct/>
              <w:adjustRightInd/>
              <w:spacing w:before="276"/>
              <w:jc w:val="left"/>
              <w:textAlignment w:val="auto"/>
              <w:rPr>
                <w:rFonts w:ascii="Arial" w:hAnsi="Arial" w:cs="Arial"/>
                <w:b/>
                <w:bCs/>
                <w:sz w:val="48"/>
                <w:szCs w:val="48"/>
              </w:rPr>
            </w:pPr>
            <w:r>
              <w:rPr>
                <w:rFonts w:ascii="Arial" w:hAnsi="Arial" w:cs="Arial"/>
                <w:b/>
                <w:bCs/>
                <w:sz w:val="48"/>
                <w:szCs w:val="48"/>
              </w:rPr>
              <w:t>FG-EAI D2.</w:t>
            </w:r>
            <w:r w:rsidR="00DE0B05">
              <w:rPr>
                <w:rFonts w:ascii="Arial" w:hAnsi="Arial" w:cs="Arial"/>
                <w:b/>
                <w:bCs/>
                <w:sz w:val="48"/>
                <w:szCs w:val="48"/>
              </w:rPr>
              <w:t>2</w:t>
            </w:r>
          </w:p>
        </w:tc>
      </w:tr>
      <w:tr w:rsidR="00831046" w:rsidRPr="006F3E3B" w14:paraId="764DCF48" w14:textId="77777777" w:rsidTr="00E01DB0">
        <w:trPr>
          <w:trHeight w:val="743"/>
        </w:trPr>
        <w:tc>
          <w:tcPr>
            <w:tcW w:w="817" w:type="dxa"/>
          </w:tcPr>
          <w:p w14:paraId="1FCF34AD" w14:textId="77777777" w:rsidR="00831046" w:rsidRPr="006F3E3B" w:rsidRDefault="00831046" w:rsidP="00E01DB0">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6B249AA6" w14:textId="165B8ADF" w:rsidR="00831046" w:rsidRPr="00934B4E" w:rsidRDefault="00FE14EC" w:rsidP="00FE14EC">
            <w:pPr>
              <w:pStyle w:val="BodyText"/>
              <w:spacing w:before="440"/>
              <w:rPr>
                <w:rFonts w:ascii="Arial" w:hAnsi="Arial" w:cs="Arial"/>
                <w:spacing w:val="-6"/>
                <w:sz w:val="44"/>
                <w:szCs w:val="44"/>
                <w:lang w:val="en-GB"/>
              </w:rPr>
            </w:pPr>
            <w:r w:rsidRPr="00FE14EC">
              <w:rPr>
                <w:rFonts w:ascii="Arial" w:hAnsi="Arial" w:cs="Arial"/>
                <w:spacing w:val="-6"/>
                <w:sz w:val="44"/>
                <w:szCs w:val="44"/>
              </w:rPr>
              <w:t>Physical-semantic and affordance-aware organization of 3D assets and scenes for embodied artificial intelligence</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831046" w:rsidRPr="006F3E3B" w14:paraId="7D7F4F4A" w14:textId="77777777" w:rsidTr="00E01DB0">
        <w:tc>
          <w:tcPr>
            <w:tcW w:w="5070" w:type="dxa"/>
            <w:vAlign w:val="center"/>
          </w:tcPr>
          <w:bookmarkEnd w:id="3"/>
          <w:p w14:paraId="2215FC76" w14:textId="77777777" w:rsidR="00831046" w:rsidRPr="00957911" w:rsidRDefault="00831046" w:rsidP="00E01DB0">
            <w:pPr>
              <w:jc w:val="left"/>
              <w:rPr>
                <w:rFonts w:ascii="Arial" w:hAnsi="Arial" w:cs="Arial"/>
                <w:sz w:val="32"/>
                <w:szCs w:val="32"/>
              </w:rPr>
            </w:pPr>
            <w:r w:rsidRPr="00957911">
              <w:rPr>
                <w:rFonts w:ascii="Arial" w:hAnsi="Arial" w:cs="Arial"/>
                <w:b/>
                <w:color w:val="009CD6"/>
                <w:spacing w:val="-4"/>
                <w:sz w:val="32"/>
                <w:szCs w:val="32"/>
              </w:rPr>
              <w:t>ITU</w:t>
            </w:r>
            <w:r w:rsidRPr="00957911">
              <w:rPr>
                <w:rFonts w:ascii="Arial" w:hAnsi="Arial" w:cs="Arial"/>
                <w:b/>
                <w:color w:val="292829"/>
                <w:spacing w:val="-4"/>
                <w:sz w:val="32"/>
                <w:szCs w:val="32"/>
              </w:rPr>
              <w:t>Publications</w:t>
            </w:r>
          </w:p>
        </w:tc>
        <w:tc>
          <w:tcPr>
            <w:tcW w:w="5669" w:type="dxa"/>
            <w:vAlign w:val="center"/>
          </w:tcPr>
          <w:p w14:paraId="408305B9" w14:textId="77777777" w:rsidR="00831046" w:rsidRPr="00957911" w:rsidRDefault="00831046" w:rsidP="00E01DB0">
            <w:pPr>
              <w:jc w:val="right"/>
              <w:rPr>
                <w:rFonts w:ascii="Arial" w:hAnsi="Arial" w:cs="Arial"/>
                <w:szCs w:val="24"/>
              </w:rPr>
            </w:pPr>
            <w:r w:rsidRPr="00957911">
              <w:rPr>
                <w:rFonts w:ascii="Arial" w:eastAsia="Avenir Next W1G Medium" w:hAnsi="Arial" w:cs="Arial"/>
                <w:b/>
                <w:spacing w:val="-4"/>
                <w:szCs w:val="24"/>
                <w:lang w:val="en-US"/>
              </w:rPr>
              <w:t>International Telecommunication Union</w:t>
            </w:r>
          </w:p>
        </w:tc>
      </w:tr>
    </w:tbl>
    <w:p w14:paraId="1811B5DB" w14:textId="77777777" w:rsidR="00831046" w:rsidRDefault="00831046" w:rsidP="00831046">
      <w:pPr>
        <w:pStyle w:val="Default"/>
      </w:pPr>
      <w:r>
        <w:rPr>
          <w:noProof/>
        </w:rPr>
        <w:drawing>
          <wp:anchor distT="0" distB="0" distL="0" distR="0" simplePos="0" relativeHeight="251659264" behindDoc="1" locked="0" layoutInCell="1" allowOverlap="1" wp14:anchorId="2749B4B8" wp14:editId="2520850A">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r w:rsidRPr="002B534E">
        <w:t xml:space="preserve"> </w:t>
      </w:r>
    </w:p>
    <w:tbl>
      <w:tblPr>
        <w:tblpPr w:leftFromText="181" w:rightFromText="181" w:horzAnchor="margin" w:tblpXSpec="center" w:tblpYSpec="bottom"/>
        <w:tblW w:w="10740" w:type="dxa"/>
        <w:tblLayout w:type="fixed"/>
        <w:tblLook w:val="0000" w:firstRow="0" w:lastRow="0" w:firstColumn="0" w:lastColumn="0" w:noHBand="0" w:noVBand="0"/>
      </w:tblPr>
      <w:tblGrid>
        <w:gridCol w:w="817"/>
        <w:gridCol w:w="9923"/>
      </w:tblGrid>
      <w:tr w:rsidR="009B5846" w:rsidRPr="00C40809" w14:paraId="53821705" w14:textId="77777777" w:rsidTr="007B28E9">
        <w:trPr>
          <w:trHeight w:val="743"/>
        </w:trPr>
        <w:tc>
          <w:tcPr>
            <w:tcW w:w="817" w:type="dxa"/>
            <w:tcBorders>
              <w:right w:val="single" w:sz="12" w:space="0" w:color="auto"/>
            </w:tcBorders>
          </w:tcPr>
          <w:p w14:paraId="7E804E68" w14:textId="77777777" w:rsidR="009B5846" w:rsidRPr="00C40809" w:rsidRDefault="009B5846" w:rsidP="007B28E9">
            <w:pPr>
              <w:tabs>
                <w:tab w:val="right" w:pos="9639"/>
              </w:tabs>
              <w:rPr>
                <w:rFonts w:ascii="Arial" w:hAnsi="Arial" w:cs="Arial"/>
                <w:sz w:val="48"/>
                <w:szCs w:val="48"/>
              </w:rPr>
            </w:pPr>
          </w:p>
        </w:tc>
        <w:tc>
          <w:tcPr>
            <w:tcW w:w="9923" w:type="dxa"/>
            <w:tcBorders>
              <w:top w:val="single" w:sz="12" w:space="0" w:color="auto"/>
              <w:left w:val="single" w:sz="12" w:space="0" w:color="auto"/>
              <w:bottom w:val="single" w:sz="12" w:space="0" w:color="auto"/>
              <w:right w:val="single" w:sz="12" w:space="0" w:color="auto"/>
            </w:tcBorders>
            <w:tcMar>
              <w:top w:w="227" w:type="dxa"/>
              <w:left w:w="227" w:type="dxa"/>
              <w:bottom w:w="227" w:type="dxa"/>
              <w:right w:w="227" w:type="dxa"/>
            </w:tcMar>
            <w:vAlign w:val="center"/>
          </w:tcPr>
          <w:p w14:paraId="1B4CE6D1" w14:textId="77777777" w:rsidR="009B5846" w:rsidRPr="007907B3" w:rsidRDefault="009B5846" w:rsidP="007B28E9">
            <w:pPr>
              <w:pStyle w:val="BodyText"/>
              <w:jc w:val="center"/>
              <w:rPr>
                <w:rFonts w:ascii="Arial" w:hAnsi="Arial" w:cs="Arial"/>
                <w:b w:val="0"/>
                <w:bCs w:val="0"/>
                <w:spacing w:val="-6"/>
                <w:sz w:val="32"/>
                <w:szCs w:val="32"/>
              </w:rPr>
            </w:pPr>
            <w:r w:rsidRPr="007907B3">
              <w:rPr>
                <w:rFonts w:ascii="Arial" w:hAnsi="Arial" w:cs="Arial"/>
                <w:spacing w:val="-6"/>
                <w:sz w:val="32"/>
                <w:szCs w:val="32"/>
              </w:rPr>
              <w:t>CAUTION!</w:t>
            </w:r>
            <w:r w:rsidRPr="007907B3">
              <w:rPr>
                <w:rFonts w:ascii="Arial" w:hAnsi="Arial" w:cs="Arial"/>
                <w:spacing w:val="-6"/>
                <w:sz w:val="32"/>
                <w:szCs w:val="32"/>
              </w:rPr>
              <w:br/>
              <w:t xml:space="preserve">PREPUBLISHED </w:t>
            </w:r>
            <w:r w:rsidRPr="00CA6E23">
              <w:rPr>
                <w:rFonts w:ascii="Arial" w:hAnsi="Arial" w:cs="Arial"/>
                <w:spacing w:val="-6"/>
                <w:sz w:val="32"/>
                <w:szCs w:val="32"/>
                <w:lang w:val="en-GB"/>
              </w:rPr>
              <w:t>TECHNICAL SPECIFICATION</w:t>
            </w:r>
          </w:p>
          <w:p w14:paraId="703F9D4A" w14:textId="77777777" w:rsidR="009B5846" w:rsidRPr="00C40809" w:rsidRDefault="009B5846" w:rsidP="007B28E9">
            <w:pPr>
              <w:rPr>
                <w:rFonts w:ascii="Arial" w:hAnsi="Arial" w:cs="Arial"/>
                <w:spacing w:val="-6"/>
              </w:rPr>
            </w:pPr>
            <w:r w:rsidRPr="00C40809">
              <w:rPr>
                <w:rFonts w:ascii="Arial" w:hAnsi="Arial" w:cs="Arial"/>
                <w:sz w:val="22"/>
                <w:szCs w:val="18"/>
              </w:rPr>
              <w:t xml:space="preserve">This prepublication is an unedited version of a recently approved </w:t>
            </w:r>
            <w:r>
              <w:rPr>
                <w:rFonts w:ascii="Arial" w:hAnsi="Arial" w:cs="Arial"/>
                <w:sz w:val="22"/>
                <w:szCs w:val="18"/>
              </w:rPr>
              <w:t>Technical Specification</w:t>
            </w:r>
            <w:r w:rsidRPr="00C40809">
              <w:rPr>
                <w:rFonts w:ascii="Arial" w:hAnsi="Arial" w:cs="Arial"/>
                <w:sz w:val="22"/>
                <w:szCs w:val="18"/>
              </w:rPr>
              <w:t>. It will be replaced by the published version after editing. Therefore, there will be differences between this prepublication and the published version.</w:t>
            </w:r>
          </w:p>
        </w:tc>
      </w:tr>
    </w:tbl>
    <w:p w14:paraId="22003F12" w14:textId="77777777" w:rsidR="009B5846" w:rsidRPr="002B534E" w:rsidRDefault="009B5846" w:rsidP="00831046">
      <w:pPr>
        <w:pStyle w:val="Default"/>
      </w:pPr>
    </w:p>
    <w:p w14:paraId="7A7A62A7" w14:textId="77777777" w:rsidR="00831046" w:rsidRPr="002B534E" w:rsidRDefault="00831046" w:rsidP="00831046">
      <w:pPr>
        <w:spacing w:before="80"/>
        <w:jc w:val="left"/>
        <w:rPr>
          <w:i/>
          <w:sz w:val="20"/>
        </w:rPr>
      </w:pPr>
    </w:p>
    <w:p w14:paraId="4427A78A" w14:textId="77777777" w:rsidR="00831046" w:rsidRPr="002B534E" w:rsidRDefault="00831046" w:rsidP="00831046">
      <w:pPr>
        <w:jc w:val="left"/>
        <w:sectPr w:rsidR="00831046" w:rsidRPr="002B534E" w:rsidSect="00831046">
          <w:headerReference w:type="even" r:id="rId12"/>
          <w:headerReference w:type="default" r:id="rId13"/>
          <w:footerReference w:type="even" r:id="rId14"/>
          <w:footerReference w:type="default" r:id="rId15"/>
          <w:headerReference w:type="first" r:id="rId16"/>
          <w:footerReference w:type="first" r:id="rId17"/>
          <w:pgSz w:w="11907" w:h="16840" w:code="9"/>
          <w:pgMar w:top="1038" w:right="601" w:bottom="1860" w:left="618" w:header="567" w:footer="284" w:gutter="0"/>
          <w:pgNumType w:start="1"/>
          <w:cols w:space="720"/>
          <w:docGrid w:linePitch="326"/>
        </w:sectPr>
      </w:pPr>
    </w:p>
    <w:tbl>
      <w:tblPr>
        <w:tblW w:w="0" w:type="auto"/>
        <w:tblLayout w:type="fixed"/>
        <w:tblLook w:val="0000" w:firstRow="0" w:lastRow="0" w:firstColumn="0" w:lastColumn="0" w:noHBand="0" w:noVBand="0"/>
      </w:tblPr>
      <w:tblGrid>
        <w:gridCol w:w="9945"/>
      </w:tblGrid>
      <w:tr w:rsidR="00831046" w:rsidRPr="002B534E" w14:paraId="51F67A00" w14:textId="77777777" w:rsidTr="00E01DB0">
        <w:tc>
          <w:tcPr>
            <w:tcW w:w="9945" w:type="dxa"/>
          </w:tcPr>
          <w:p w14:paraId="4053312D" w14:textId="2FDF984D" w:rsidR="00831046" w:rsidRPr="009B5846" w:rsidRDefault="00831046" w:rsidP="00E01DB0">
            <w:pPr>
              <w:pStyle w:val="RecNo"/>
            </w:pPr>
            <w:bookmarkStart w:id="5" w:name="irecnoe"/>
            <w:bookmarkEnd w:id="5"/>
            <w:r w:rsidRPr="009B5846">
              <w:lastRenderedPageBreak/>
              <w:t xml:space="preserve">Technical </w:t>
            </w:r>
            <w:r w:rsidR="007F170D">
              <w:t>Specification</w:t>
            </w:r>
            <w:r w:rsidRPr="009B5846">
              <w:t xml:space="preserve"> ITU-T </w:t>
            </w:r>
            <w:r w:rsidR="00FE14EC" w:rsidRPr="009B5846">
              <w:t>FG-EAI</w:t>
            </w:r>
            <w:r w:rsidR="00FF69D2" w:rsidRPr="009B5846">
              <w:t xml:space="preserve"> </w:t>
            </w:r>
            <w:r w:rsidR="00FE14EC" w:rsidRPr="009B5846">
              <w:t>D2.2</w:t>
            </w:r>
          </w:p>
          <w:p w14:paraId="52924F3B" w14:textId="1351B5B6" w:rsidR="00831046" w:rsidRPr="002B534E" w:rsidRDefault="00FE14EC" w:rsidP="00FE14EC">
            <w:pPr>
              <w:pStyle w:val="Rectitle"/>
            </w:pPr>
            <w:r>
              <w:t>Physical-semantic and affordance-aware organization of 3D assets and scenes for</w:t>
            </w:r>
            <w:r w:rsidR="002D0ED3">
              <w:t> </w:t>
            </w:r>
            <w:r>
              <w:t>embodied artificial intelligence</w:t>
            </w:r>
          </w:p>
        </w:tc>
      </w:tr>
    </w:tbl>
    <w:p w14:paraId="77B33D98" w14:textId="77777777" w:rsidR="00831046" w:rsidRPr="002B534E" w:rsidRDefault="00831046" w:rsidP="00831046"/>
    <w:p w14:paraId="324EEA21" w14:textId="77777777" w:rsidR="00831046" w:rsidRPr="002B534E" w:rsidRDefault="00831046" w:rsidP="00831046"/>
    <w:tbl>
      <w:tblPr>
        <w:tblW w:w="0" w:type="auto"/>
        <w:tblLayout w:type="fixed"/>
        <w:tblLook w:val="0020" w:firstRow="1" w:lastRow="0" w:firstColumn="0" w:lastColumn="0" w:noHBand="0" w:noVBand="0"/>
      </w:tblPr>
      <w:tblGrid>
        <w:gridCol w:w="9945"/>
      </w:tblGrid>
      <w:tr w:rsidR="00831046" w:rsidRPr="002B534E" w14:paraId="04D9E29E" w14:textId="77777777" w:rsidTr="009B5846">
        <w:tc>
          <w:tcPr>
            <w:tcW w:w="9945" w:type="dxa"/>
          </w:tcPr>
          <w:p w14:paraId="1878BBD9" w14:textId="77777777" w:rsidR="00831046" w:rsidRPr="002B534E" w:rsidRDefault="00831046" w:rsidP="00E01DB0">
            <w:pPr>
              <w:pStyle w:val="Headingb"/>
            </w:pPr>
            <w:bookmarkStart w:id="6" w:name="isume"/>
            <w:r w:rsidRPr="002B534E">
              <w:t>Summary</w:t>
            </w:r>
          </w:p>
          <w:p w14:paraId="6ACB2EB9" w14:textId="2024D2E8" w:rsidR="00831046" w:rsidRDefault="00C715B9" w:rsidP="00E01DB0">
            <w:r w:rsidRPr="009B5846">
              <w:t xml:space="preserve">Technical </w:t>
            </w:r>
            <w:r w:rsidR="007F170D">
              <w:t>Specification</w:t>
            </w:r>
            <w:r w:rsidRPr="009B5846">
              <w:t xml:space="preserve"> ITU-T FG-EAI</w:t>
            </w:r>
            <w:r w:rsidR="00FF69D2" w:rsidRPr="009B5846">
              <w:t xml:space="preserve"> </w:t>
            </w:r>
            <w:r w:rsidRPr="009B5846">
              <w:t xml:space="preserve">D2.2 </w:t>
            </w:r>
            <w:r w:rsidR="00831046">
              <w:t>defines how 3D assets and scenes are organized, declared and checked so that they can be consumed by embodied artificial intelligence (EAI) systems without per-supplier reprocessing.</w:t>
            </w:r>
          </w:p>
          <w:p w14:paraId="0FCC6692" w14:textId="77777777" w:rsidR="00831046" w:rsidRDefault="00831046" w:rsidP="00E01DB0">
            <w:r>
              <w:t>Existing 3D asset repositories are geometry-centric. When such assets are loaded into a physics simulator and acted upon by an embodied agent, four classes of failure recur: required information is absent without being declared absent; independently authored layers of the same asset disagree with one another; conventions such as unit, up-axis and reference frame are assumed rather than stated; and an asset that is adequate for rendering is inadequate for manipulation. Each failure is discovered only after download and manual inspection, and each consumer repairs the same defects independently.</w:t>
            </w:r>
          </w:p>
          <w:p w14:paraId="2F87B027" w14:textId="34D15A92" w:rsidR="00831046" w:rsidRDefault="00831046" w:rsidP="00E01DB0">
            <w:r>
              <w:t xml:space="preserve">This </w:t>
            </w:r>
            <w:r w:rsidR="00ED685E" w:rsidRPr="009B5846">
              <w:t xml:space="preserve">Technical </w:t>
            </w:r>
            <w:r w:rsidR="00ED685E">
              <w:t>Specification</w:t>
            </w:r>
            <w:r>
              <w:t xml:space="preserve"> defines a declaration and checking layer that exposes these defects before payload retrieval. It specifies a layered organization model for assets, scenes, datasets and registries; a descriptor and header separated from payload; a three-state declaration discipline in which silent omission is non-conformant; machine-checkable consistency predicates between layers of an asset; affordance contracts that bind a declared interaction capability to a required field set; and conformance profiles with a machine-readable conformance report.</w:t>
            </w:r>
          </w:p>
          <w:p w14:paraId="037D9C17" w14:textId="6D14F4E4" w:rsidR="00831046" w:rsidRPr="002B534E" w:rsidRDefault="00831046" w:rsidP="00E01DB0">
            <w:r>
              <w:t xml:space="preserve">This </w:t>
            </w:r>
            <w:r w:rsidR="00ED685E" w:rsidRPr="009B5846">
              <w:t xml:space="preserve">Technical </w:t>
            </w:r>
            <w:r w:rsidR="00ED685E">
              <w:t>Specification</w:t>
            </w:r>
            <w:r>
              <w:t xml:space="preserve"> does not repair assets, does not define trajectory or demonstration data formats, and does not define planning, control or learning methods.</w:t>
            </w:r>
            <w:bookmarkEnd w:id="6"/>
          </w:p>
        </w:tc>
      </w:tr>
    </w:tbl>
    <w:p w14:paraId="35D78D15" w14:textId="77777777" w:rsidR="00831046" w:rsidRPr="002B534E" w:rsidRDefault="00831046" w:rsidP="00831046"/>
    <w:p w14:paraId="294C359F" w14:textId="77777777" w:rsidR="00831046" w:rsidRPr="002B534E" w:rsidRDefault="00831046" w:rsidP="00831046"/>
    <w:tbl>
      <w:tblPr>
        <w:tblW w:w="9945" w:type="dxa"/>
        <w:tblLayout w:type="fixed"/>
        <w:tblLook w:val="0020" w:firstRow="1" w:lastRow="0" w:firstColumn="0" w:lastColumn="0" w:noHBand="0" w:noVBand="0"/>
      </w:tblPr>
      <w:tblGrid>
        <w:gridCol w:w="9945"/>
      </w:tblGrid>
      <w:tr w:rsidR="00831046" w:rsidRPr="002B534E" w14:paraId="5E5C2E50" w14:textId="77777777" w:rsidTr="009B5846">
        <w:tc>
          <w:tcPr>
            <w:tcW w:w="9945" w:type="dxa"/>
          </w:tcPr>
          <w:p w14:paraId="6BB1EA2D" w14:textId="77777777" w:rsidR="00831046" w:rsidRPr="002B534E" w:rsidRDefault="00831046" w:rsidP="00E01DB0">
            <w:pPr>
              <w:pStyle w:val="Headingb"/>
            </w:pPr>
            <w:bookmarkStart w:id="7" w:name="ikeye"/>
            <w:r w:rsidRPr="002B534E">
              <w:t>Keywords</w:t>
            </w:r>
          </w:p>
          <w:p w14:paraId="2371C340" w14:textId="77777777" w:rsidR="00831046" w:rsidRPr="0001757D" w:rsidRDefault="00831046" w:rsidP="00ED685E">
            <w:r>
              <w:t>Affordance, conformance, consistency, embodied AI, physical grounding, simulation-ready, 3D asset.</w:t>
            </w:r>
            <w:bookmarkEnd w:id="7"/>
          </w:p>
        </w:tc>
      </w:tr>
    </w:tbl>
    <w:p w14:paraId="11699885" w14:textId="77777777" w:rsidR="00831046" w:rsidRDefault="00831046" w:rsidP="00831046">
      <w:pPr>
        <w:pStyle w:val="Headingb"/>
      </w:pPr>
    </w:p>
    <w:p w14:paraId="1B0CD78C" w14:textId="77777777" w:rsidR="00831046" w:rsidRPr="0076675B" w:rsidRDefault="00831046" w:rsidP="009B5846">
      <w:pPr>
        <w:pStyle w:val="Headingb"/>
        <w:ind w:left="113"/>
        <w:rPr>
          <w:bCs/>
          <w:sz w:val="22"/>
          <w:lang w:val="en-US"/>
        </w:rPr>
      </w:pPr>
      <w:r w:rsidRPr="0076675B">
        <w:t>Note</w:t>
      </w:r>
      <w:r w:rsidRPr="0016115F">
        <w:rPr>
          <w:b w:val="0"/>
          <w:bCs/>
          <w:sz w:val="22"/>
          <w:lang w:val="en-US"/>
        </w:rPr>
        <w:t xml:space="preserve"> </w:t>
      </w:r>
    </w:p>
    <w:p w14:paraId="56B5D64C" w14:textId="77777777" w:rsidR="00831046" w:rsidRDefault="00831046" w:rsidP="009B5846">
      <w:pPr>
        <w:ind w:left="113"/>
      </w:pPr>
      <w:r w:rsidRPr="00075625">
        <w:rPr>
          <w:sz w:val="22"/>
          <w:lang w:val="en-US"/>
        </w:rPr>
        <w:t>This is an informative ITU-T publication. Mandatory provisions, such as those found in ITU-T Recommendations, are outside the scope of this publication. This publication should only be referenced bibliographically in ITU-T Recommendations</w:t>
      </w:r>
      <w:r>
        <w:rPr>
          <w:sz w:val="22"/>
          <w:lang w:val="en-US"/>
        </w:rPr>
        <w:t>.</w:t>
      </w:r>
    </w:p>
    <w:p w14:paraId="18EB038B" w14:textId="77777777" w:rsidR="00831046" w:rsidRDefault="00831046" w:rsidP="009B5846">
      <w:pPr>
        <w:ind w:left="113"/>
      </w:pPr>
    </w:p>
    <w:p w14:paraId="0AF3AE7C" w14:textId="77777777" w:rsidR="00831046" w:rsidRPr="002B534E" w:rsidRDefault="00831046" w:rsidP="009B5846">
      <w:pPr>
        <w:pStyle w:val="Headingb"/>
        <w:ind w:left="113"/>
        <w:jc w:val="both"/>
      </w:pPr>
      <w:r>
        <w:t>Change Log</w:t>
      </w:r>
    </w:p>
    <w:p w14:paraId="41798D5C" w14:textId="77777777" w:rsidR="00831046" w:rsidRPr="001C5DF3" w:rsidRDefault="00831046" w:rsidP="009B5846">
      <w:pPr>
        <w:ind w:left="113"/>
        <w:rPr>
          <w:rFonts w:eastAsiaTheme="minorEastAsia"/>
          <w:lang w:eastAsia="zh-CN"/>
        </w:rPr>
      </w:pPr>
      <w:r w:rsidRPr="007718D1">
        <w:t xml:space="preserve">This document contains Version 1.0 </w:t>
      </w:r>
      <w:r>
        <w:t xml:space="preserve">of the ITU-T FG-EAI Technical Specification on </w:t>
      </w:r>
      <w:r w:rsidRPr="00FF5D07">
        <w:rPr>
          <w:i/>
          <w:iCs/>
        </w:rPr>
        <w:t>Physical-semantic and affordance-aware organization of 3D assets and scenes for embodied AI</w:t>
      </w:r>
      <w:r>
        <w:t xml:space="preserve"> </w:t>
      </w:r>
      <w:r>
        <w:rPr>
          <w:rFonts w:hint="eastAsia"/>
        </w:rPr>
        <w:t xml:space="preserve">approved </w:t>
      </w:r>
      <w:r>
        <w:t xml:space="preserve">at the </w:t>
      </w:r>
      <w:r>
        <w:rPr>
          <w:rFonts w:eastAsiaTheme="minorEastAsia"/>
          <w:lang w:eastAsia="zh-CN"/>
        </w:rPr>
        <w:t>3</w:t>
      </w:r>
      <w:r>
        <w:rPr>
          <w:rFonts w:eastAsiaTheme="minorEastAsia"/>
          <w:vertAlign w:val="superscript"/>
          <w:lang w:eastAsia="zh-CN"/>
        </w:rPr>
        <w:t>rd</w:t>
      </w:r>
      <w:r>
        <w:t xml:space="preserve"> </w:t>
      </w:r>
      <w:r w:rsidRPr="0085658B">
        <w:t xml:space="preserve">meeting </w:t>
      </w:r>
      <w:r>
        <w:rPr>
          <w:rFonts w:hint="eastAsia"/>
        </w:rPr>
        <w:t xml:space="preserve">of the ITU-T Focus Group of Embodied AI for Multimedia Technologies (FG-EAI) </w:t>
      </w:r>
      <w:r w:rsidRPr="0085658B">
        <w:t xml:space="preserve">held </w:t>
      </w:r>
      <w:r>
        <w:rPr>
          <w:rFonts w:eastAsia="Yu Mincho" w:hint="eastAsia"/>
        </w:rPr>
        <w:t>on</w:t>
      </w:r>
      <w:r w:rsidRPr="0085658B">
        <w:t xml:space="preserve"> </w:t>
      </w:r>
      <w:r w:rsidRPr="0085658B">
        <w:rPr>
          <w:rFonts w:eastAsiaTheme="minorEastAsia"/>
          <w:lang w:eastAsia="zh-CN"/>
        </w:rPr>
        <w:t>13-16</w:t>
      </w:r>
      <w:r w:rsidRPr="0085658B">
        <w:t xml:space="preserve"> </w:t>
      </w:r>
      <w:r w:rsidRPr="0085658B">
        <w:rPr>
          <w:rFonts w:eastAsiaTheme="minorEastAsia"/>
          <w:lang w:eastAsia="zh-CN"/>
        </w:rPr>
        <w:t>October</w:t>
      </w:r>
      <w:r w:rsidRPr="0085658B">
        <w:t xml:space="preserve"> 2026</w:t>
      </w:r>
      <w:r>
        <w:rPr>
          <w:rFonts w:hint="eastAsia"/>
        </w:rPr>
        <w:t>.</w:t>
      </w:r>
    </w:p>
    <w:p w14:paraId="6F30D2BE" w14:textId="77777777" w:rsidR="00831046" w:rsidRDefault="00831046" w:rsidP="00831046"/>
    <w:p w14:paraId="3F11B870" w14:textId="77777777" w:rsidR="00831046" w:rsidRDefault="00831046" w:rsidP="00831046">
      <w:pPr>
        <w:rPr>
          <w:lang w:val="ru-RU"/>
        </w:rPr>
      </w:pPr>
    </w:p>
    <w:p w14:paraId="05F5C4E2" w14:textId="77777777" w:rsidR="00497A85" w:rsidRPr="00497A85" w:rsidRDefault="00497A85" w:rsidP="00831046">
      <w:pPr>
        <w:rPr>
          <w:lang w:val="ru-RU"/>
        </w:rPr>
      </w:pPr>
    </w:p>
    <w:p w14:paraId="25DD6C71" w14:textId="77777777" w:rsidR="00831046" w:rsidRDefault="00831046" w:rsidP="00831046">
      <w:pPr>
        <w:rPr>
          <w:b/>
          <w:bCs/>
          <w:lang w:bidi="ar-DZ"/>
        </w:rPr>
      </w:pPr>
      <w:r>
        <w:rPr>
          <w:b/>
          <w:bCs/>
        </w:rPr>
        <w:lastRenderedPageBreak/>
        <w:t xml:space="preserve">Acknowledgements </w:t>
      </w:r>
    </w:p>
    <w:p w14:paraId="3A95F707" w14:textId="77777777" w:rsidR="00831046" w:rsidRPr="007718D1" w:rsidRDefault="00831046" w:rsidP="00831046">
      <w:pPr>
        <w:rPr>
          <w:rFonts w:eastAsia="Yu Mincho"/>
          <w:lang w:val="en-US"/>
        </w:rPr>
      </w:pPr>
      <w:r w:rsidRPr="008A1010">
        <w:rPr>
          <w:rFonts w:eastAsiaTheme="minorEastAsia"/>
          <w:lang w:eastAsia="zh-CN"/>
        </w:rPr>
        <w:t xml:space="preserve">This Technical </w:t>
      </w:r>
      <w:r>
        <w:rPr>
          <w:rFonts w:eastAsia="Yu Mincho" w:hint="eastAsia"/>
        </w:rPr>
        <w:t>Specification</w:t>
      </w:r>
      <w:r w:rsidRPr="008A1010">
        <w:rPr>
          <w:rFonts w:eastAsiaTheme="minorEastAsia"/>
          <w:lang w:eastAsia="zh-CN"/>
        </w:rPr>
        <w:t xml:space="preserve"> was developed in WG</w:t>
      </w:r>
      <w:r>
        <w:rPr>
          <w:rFonts w:eastAsia="Yu Mincho" w:hint="eastAsia"/>
        </w:rPr>
        <w:t>2</w:t>
      </w:r>
      <w:r w:rsidRPr="008A1010">
        <w:rPr>
          <w:rFonts w:eastAsiaTheme="minorEastAsia"/>
          <w:lang w:eastAsia="zh-CN"/>
        </w:rPr>
        <w:t xml:space="preserve"> of FG-</w:t>
      </w:r>
      <w:r>
        <w:rPr>
          <w:rFonts w:eastAsia="Yu Mincho" w:hint="eastAsia"/>
        </w:rPr>
        <w:t>EAI</w:t>
      </w:r>
      <w:r w:rsidRPr="008A1010">
        <w:rPr>
          <w:rFonts w:eastAsiaTheme="minorEastAsia"/>
          <w:lang w:eastAsia="zh-CN"/>
        </w:rPr>
        <w:t xml:space="preserve">, with inputs from </w:t>
      </w:r>
      <w:r>
        <w:rPr>
          <w:rFonts w:eastAsiaTheme="minorEastAsia"/>
        </w:rPr>
        <w:t>Peng Cheng Laboratory</w:t>
      </w:r>
      <w:r w:rsidRPr="008A1010">
        <w:rPr>
          <w:rFonts w:eastAsiaTheme="minorEastAsia"/>
          <w:lang w:eastAsia="zh-CN"/>
        </w:rPr>
        <w:t xml:space="preserve"> </w:t>
      </w:r>
      <w:r>
        <w:rPr>
          <w:rFonts w:eastAsia="Yu Mincho" w:hint="eastAsia"/>
        </w:rPr>
        <w:t xml:space="preserve">and </w:t>
      </w:r>
      <w:r w:rsidRPr="00CE5FFB">
        <w:rPr>
          <w:rFonts w:eastAsia="Yu Mincho"/>
          <w:lang w:val="en-US"/>
        </w:rPr>
        <w:t>Harbin Institute of Technology</w:t>
      </w:r>
      <w:r>
        <w:rPr>
          <w:rFonts w:eastAsia="Yu Mincho" w:hint="eastAsia"/>
          <w:lang w:val="en-US"/>
        </w:rPr>
        <w:t xml:space="preserve"> </w:t>
      </w:r>
      <w:r w:rsidRPr="008A1010">
        <w:rPr>
          <w:rFonts w:eastAsiaTheme="minorEastAsia"/>
          <w:lang w:eastAsia="zh-CN"/>
        </w:rPr>
        <w:t xml:space="preserve">as contribution to the ITU Focus Group on </w:t>
      </w:r>
      <w:r>
        <w:rPr>
          <w:rFonts w:eastAsia="Yu Mincho" w:hint="eastAsia"/>
        </w:rPr>
        <w:t>Embodied AI for Multimedia Technologies</w:t>
      </w:r>
      <w:r w:rsidRPr="008A1010">
        <w:rPr>
          <w:rFonts w:eastAsiaTheme="minorEastAsia"/>
          <w:lang w:eastAsia="zh-CN"/>
        </w:rPr>
        <w:t xml:space="preserve"> (FG-</w:t>
      </w:r>
      <w:r>
        <w:rPr>
          <w:rFonts w:eastAsia="Yu Mincho" w:hint="eastAsia"/>
        </w:rPr>
        <w:t>EAI</w:t>
      </w:r>
      <w:r w:rsidRPr="008A1010">
        <w:rPr>
          <w:rFonts w:eastAsiaTheme="minorEastAsia"/>
          <w:lang w:eastAsia="zh-CN"/>
        </w:rPr>
        <w:t xml:space="preserve">). The development of this document was coordinated by </w:t>
      </w:r>
      <w:r>
        <w:rPr>
          <w:rFonts w:eastAsia="Yu Mincho" w:hint="eastAsia"/>
        </w:rPr>
        <w:t>Kei Kawamura</w:t>
      </w:r>
      <w:r w:rsidRPr="008A1010">
        <w:rPr>
          <w:rFonts w:eastAsiaTheme="minorEastAsia"/>
          <w:lang w:eastAsia="zh-CN"/>
        </w:rPr>
        <w:t xml:space="preserve"> (</w:t>
      </w:r>
      <w:r>
        <w:rPr>
          <w:rFonts w:eastAsia="Yu Mincho" w:hint="eastAsia"/>
        </w:rPr>
        <w:t>KDDI</w:t>
      </w:r>
      <w:r w:rsidRPr="008A1010">
        <w:rPr>
          <w:rFonts w:eastAsiaTheme="minorEastAsia"/>
          <w:lang w:eastAsia="zh-CN"/>
        </w:rPr>
        <w:t>) as FG-</w:t>
      </w:r>
      <w:r>
        <w:rPr>
          <w:rFonts w:eastAsia="Yu Mincho" w:hint="eastAsia"/>
        </w:rPr>
        <w:t>EAI</w:t>
      </w:r>
      <w:r w:rsidRPr="008A1010">
        <w:rPr>
          <w:rFonts w:eastAsiaTheme="minorEastAsia"/>
          <w:lang w:eastAsia="zh-CN"/>
        </w:rPr>
        <w:t xml:space="preserve"> Working Group </w:t>
      </w:r>
      <w:r>
        <w:rPr>
          <w:rFonts w:eastAsia="Yu Mincho" w:hint="eastAsia"/>
        </w:rPr>
        <w:t>2</w:t>
      </w:r>
      <w:r w:rsidRPr="008A1010">
        <w:rPr>
          <w:rFonts w:eastAsiaTheme="minorEastAsia"/>
          <w:lang w:eastAsia="zh-CN"/>
        </w:rPr>
        <w:t xml:space="preserve"> (WG</w:t>
      </w:r>
      <w:r>
        <w:rPr>
          <w:rFonts w:eastAsia="Yu Mincho" w:hint="eastAsia"/>
        </w:rPr>
        <w:t>2</w:t>
      </w:r>
      <w:r w:rsidRPr="008A1010">
        <w:rPr>
          <w:rFonts w:eastAsiaTheme="minorEastAsia"/>
          <w:lang w:eastAsia="zh-CN"/>
        </w:rPr>
        <w:t>) Chair</w:t>
      </w:r>
      <w:r>
        <w:rPr>
          <w:rFonts w:eastAsia="Yu Mincho" w:hint="eastAsia"/>
        </w:rPr>
        <w:t>,</w:t>
      </w:r>
      <w:r w:rsidRPr="008A1010">
        <w:rPr>
          <w:rFonts w:eastAsiaTheme="minorEastAsia"/>
          <w:lang w:eastAsia="zh-CN"/>
        </w:rPr>
        <w:t xml:space="preserve"> </w:t>
      </w:r>
      <w:r w:rsidRPr="00F47C3C">
        <w:rPr>
          <w:rFonts w:eastAsiaTheme="minorEastAsia"/>
          <w:lang w:eastAsia="zh-CN"/>
        </w:rPr>
        <w:t>Qiongqian Yang</w:t>
      </w:r>
      <w:r>
        <w:rPr>
          <w:rFonts w:eastAsia="Yu Mincho" w:hint="eastAsia"/>
        </w:rPr>
        <w:t xml:space="preserve"> (</w:t>
      </w:r>
      <w:r w:rsidRPr="00F47C3C">
        <w:rPr>
          <w:rFonts w:eastAsiaTheme="minorEastAsia"/>
          <w:lang w:eastAsia="zh-CN"/>
        </w:rPr>
        <w:t>Hangzhou Embodied Intelligence Pilot Base Technology</w:t>
      </w:r>
      <w:r>
        <w:rPr>
          <w:rFonts w:eastAsia="Yu Mincho" w:hint="eastAsia"/>
        </w:rPr>
        <w:t>)</w:t>
      </w:r>
      <w:r w:rsidRPr="008A1010">
        <w:rPr>
          <w:rFonts w:eastAsiaTheme="minorEastAsia"/>
          <w:lang w:eastAsia="zh-CN"/>
        </w:rPr>
        <w:t xml:space="preserve"> as WG</w:t>
      </w:r>
      <w:r>
        <w:rPr>
          <w:rFonts w:eastAsia="Yu Mincho" w:hint="eastAsia"/>
        </w:rPr>
        <w:t>2</w:t>
      </w:r>
      <w:r w:rsidRPr="008A1010">
        <w:rPr>
          <w:rFonts w:eastAsiaTheme="minorEastAsia"/>
          <w:lang w:eastAsia="zh-CN"/>
        </w:rPr>
        <w:t xml:space="preserve"> Vice-Chair and Editor</w:t>
      </w:r>
      <w:r>
        <w:rPr>
          <w:rFonts w:eastAsia="Yu Mincho" w:hint="eastAsia"/>
        </w:rPr>
        <w:t>s</w:t>
      </w:r>
      <w:r w:rsidRPr="008A1010">
        <w:rPr>
          <w:rFonts w:eastAsiaTheme="minorEastAsia"/>
          <w:lang w:eastAsia="zh-CN"/>
        </w:rPr>
        <w:t xml:space="preserve">. In addition, special thanks to </w:t>
      </w:r>
      <w:r>
        <w:rPr>
          <w:rFonts w:eastAsia="Yu Mincho" w:hint="eastAsia"/>
        </w:rPr>
        <w:t>Yuntao Wang</w:t>
      </w:r>
      <w:r w:rsidRPr="008A1010">
        <w:rPr>
          <w:rFonts w:eastAsiaTheme="minorEastAsia"/>
          <w:lang w:eastAsia="zh-CN"/>
        </w:rPr>
        <w:t xml:space="preserve"> (FG-</w:t>
      </w:r>
      <w:r>
        <w:rPr>
          <w:rFonts w:eastAsia="Yu Mincho" w:hint="eastAsia"/>
        </w:rPr>
        <w:t>EAI</w:t>
      </w:r>
      <w:r w:rsidRPr="008A1010">
        <w:rPr>
          <w:rFonts w:eastAsiaTheme="minorEastAsia"/>
          <w:lang w:eastAsia="zh-CN"/>
        </w:rPr>
        <w:t xml:space="preserve"> Chair), the FG-</w:t>
      </w:r>
      <w:r>
        <w:rPr>
          <w:rFonts w:eastAsia="Yu Mincho" w:hint="eastAsia"/>
        </w:rPr>
        <w:t>EAI</w:t>
      </w:r>
      <w:r w:rsidRPr="008A1010">
        <w:rPr>
          <w:rFonts w:eastAsiaTheme="minorEastAsia"/>
          <w:lang w:eastAsia="zh-CN"/>
        </w:rPr>
        <w:t xml:space="preserve"> management team, and the FG-</w:t>
      </w:r>
      <w:r>
        <w:rPr>
          <w:rFonts w:eastAsia="Yu Mincho" w:hint="eastAsia"/>
        </w:rPr>
        <w:t>EAI</w:t>
      </w:r>
      <w:r w:rsidRPr="008A1010">
        <w:rPr>
          <w:rFonts w:eastAsiaTheme="minorEastAsia"/>
          <w:lang w:eastAsia="zh-CN"/>
        </w:rPr>
        <w:t xml:space="preserve"> Secretariat.</w:t>
      </w:r>
    </w:p>
    <w:p w14:paraId="2632A86D" w14:textId="77777777" w:rsidR="00831046" w:rsidRDefault="00831046" w:rsidP="008310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548"/>
        <w:gridCol w:w="3959"/>
      </w:tblGrid>
      <w:tr w:rsidR="00831046" w:rsidRPr="00DE0B05" w14:paraId="3EF2F94D" w14:textId="77777777" w:rsidTr="00E01DB0">
        <w:tc>
          <w:tcPr>
            <w:tcW w:w="2122" w:type="dxa"/>
          </w:tcPr>
          <w:p w14:paraId="716FE44F" w14:textId="77777777" w:rsidR="00831046" w:rsidRPr="00F61A99" w:rsidRDefault="00831046" w:rsidP="00E01DB0">
            <w:pPr>
              <w:rPr>
                <w:rFonts w:eastAsiaTheme="minorEastAsia"/>
                <w:b/>
                <w:bCs/>
                <w:sz w:val="22"/>
                <w:szCs w:val="22"/>
              </w:rPr>
            </w:pPr>
            <w:r w:rsidRPr="00F61A99">
              <w:rPr>
                <w:rFonts w:eastAsiaTheme="minorEastAsia"/>
                <w:b/>
                <w:bCs/>
                <w:sz w:val="22"/>
                <w:szCs w:val="22"/>
              </w:rPr>
              <w:t>Editor:</w:t>
            </w:r>
          </w:p>
        </w:tc>
        <w:tc>
          <w:tcPr>
            <w:tcW w:w="3548" w:type="dxa"/>
          </w:tcPr>
          <w:p w14:paraId="6C9692FF" w14:textId="0CB351F1" w:rsidR="00831046" w:rsidRPr="00F61A99" w:rsidRDefault="00831046" w:rsidP="00F61A99">
            <w:pPr>
              <w:jc w:val="left"/>
              <w:rPr>
                <w:rFonts w:eastAsiaTheme="minorEastAsia"/>
                <w:b/>
                <w:bCs/>
                <w:sz w:val="22"/>
                <w:szCs w:val="22"/>
              </w:rPr>
            </w:pPr>
            <w:r w:rsidRPr="00F61A99">
              <w:rPr>
                <w:rFonts w:eastAsiaTheme="minorEastAsia"/>
                <w:sz w:val="22"/>
                <w:szCs w:val="22"/>
              </w:rPr>
              <w:t>Ruotong Li</w:t>
            </w:r>
            <w:r w:rsidRPr="00F61A99">
              <w:rPr>
                <w:sz w:val="22"/>
                <w:szCs w:val="22"/>
              </w:rPr>
              <w:br/>
            </w:r>
            <w:r w:rsidRPr="00F61A99">
              <w:rPr>
                <w:rFonts w:eastAsiaTheme="minorEastAsia"/>
                <w:sz w:val="22"/>
                <w:szCs w:val="22"/>
              </w:rPr>
              <w:t>Peng Cheng Laboratory</w:t>
            </w:r>
            <w:r w:rsidRPr="00F61A99">
              <w:rPr>
                <w:sz w:val="22"/>
                <w:szCs w:val="22"/>
              </w:rPr>
              <w:br/>
            </w:r>
            <w:r w:rsidRPr="00F61A99">
              <w:rPr>
                <w:rFonts w:eastAsiaTheme="minorEastAsia"/>
                <w:sz w:val="22"/>
                <w:szCs w:val="22"/>
              </w:rPr>
              <w:t>P.R.</w:t>
            </w:r>
            <w:r w:rsidR="00863ABC">
              <w:rPr>
                <w:rFonts w:eastAsiaTheme="minorEastAsia"/>
                <w:sz w:val="22"/>
                <w:szCs w:val="22"/>
              </w:rPr>
              <w:t xml:space="preserve"> </w:t>
            </w:r>
            <w:r w:rsidRPr="00F61A99">
              <w:rPr>
                <w:rFonts w:eastAsiaTheme="minorEastAsia"/>
                <w:sz w:val="22"/>
                <w:szCs w:val="22"/>
              </w:rPr>
              <w:t>China</w:t>
            </w:r>
          </w:p>
        </w:tc>
        <w:tc>
          <w:tcPr>
            <w:tcW w:w="3959" w:type="dxa"/>
          </w:tcPr>
          <w:p w14:paraId="67923AD8" w14:textId="16B7AE63" w:rsidR="00831046" w:rsidRPr="00DE0B05" w:rsidRDefault="00831046" w:rsidP="00E01DB0">
            <w:pPr>
              <w:rPr>
                <w:rFonts w:eastAsiaTheme="minorEastAsia"/>
                <w:sz w:val="22"/>
                <w:szCs w:val="22"/>
                <w:lang w:val="de-AT"/>
              </w:rPr>
            </w:pPr>
            <w:r w:rsidRPr="00DE0B05">
              <w:rPr>
                <w:rFonts w:eastAsiaTheme="minorEastAsia"/>
                <w:sz w:val="22"/>
                <w:szCs w:val="22"/>
                <w:lang w:val="de-AT"/>
              </w:rPr>
              <w:t>Tel</w:t>
            </w:r>
            <w:r w:rsidR="00F61A99" w:rsidRPr="00DE0B05">
              <w:rPr>
                <w:rFonts w:eastAsiaTheme="minorEastAsia"/>
                <w:sz w:val="22"/>
                <w:szCs w:val="22"/>
                <w:lang w:val="de-AT"/>
              </w:rPr>
              <w:t>.</w:t>
            </w:r>
            <w:r w:rsidRPr="00DE0B05">
              <w:rPr>
                <w:rFonts w:eastAsiaTheme="minorEastAsia"/>
                <w:sz w:val="22"/>
                <w:szCs w:val="22"/>
                <w:lang w:val="de-AT"/>
              </w:rPr>
              <w:t>:</w:t>
            </w:r>
            <w:r w:rsidR="00ED685E" w:rsidRPr="00DE0B05">
              <w:rPr>
                <w:rFonts w:eastAsiaTheme="minorEastAsia"/>
                <w:sz w:val="22"/>
                <w:szCs w:val="22"/>
                <w:lang w:val="de-AT"/>
              </w:rPr>
              <w:tab/>
            </w:r>
            <w:r w:rsidRPr="00DE0B05">
              <w:rPr>
                <w:rFonts w:eastAsiaTheme="minorEastAsia"/>
                <w:sz w:val="22"/>
                <w:szCs w:val="22"/>
                <w:lang w:val="de-AT"/>
              </w:rPr>
              <w:t>+86 13691691716</w:t>
            </w:r>
          </w:p>
          <w:p w14:paraId="6FE85432" w14:textId="506F6936" w:rsidR="00831046" w:rsidRPr="00DE0B05" w:rsidRDefault="00831046" w:rsidP="00ED685E">
            <w:pPr>
              <w:spacing w:before="0"/>
              <w:rPr>
                <w:rFonts w:eastAsiaTheme="minorEastAsia"/>
                <w:sz w:val="22"/>
                <w:szCs w:val="22"/>
                <w:lang w:val="de-AT"/>
              </w:rPr>
            </w:pPr>
            <w:r w:rsidRPr="00DE0B05">
              <w:rPr>
                <w:rFonts w:eastAsiaTheme="minorEastAsia"/>
                <w:sz w:val="22"/>
                <w:szCs w:val="22"/>
                <w:lang w:val="de-AT"/>
              </w:rPr>
              <w:t>E</w:t>
            </w:r>
            <w:r w:rsidR="00F61A99" w:rsidRPr="00DE0B05">
              <w:rPr>
                <w:rFonts w:eastAsiaTheme="minorEastAsia"/>
                <w:sz w:val="22"/>
                <w:szCs w:val="22"/>
                <w:lang w:val="de-AT"/>
              </w:rPr>
              <w:t>-</w:t>
            </w:r>
            <w:r w:rsidRPr="00DE0B05">
              <w:rPr>
                <w:rFonts w:eastAsiaTheme="minorEastAsia"/>
                <w:sz w:val="22"/>
                <w:szCs w:val="22"/>
                <w:lang w:val="de-AT"/>
              </w:rPr>
              <w:t>mail:</w:t>
            </w:r>
            <w:r w:rsidR="00ED685E" w:rsidRPr="00DE0B05">
              <w:rPr>
                <w:rFonts w:eastAsiaTheme="minorEastAsia"/>
                <w:sz w:val="22"/>
                <w:szCs w:val="22"/>
                <w:lang w:val="de-AT"/>
              </w:rPr>
              <w:tab/>
            </w:r>
            <w:hyperlink r:id="rId18">
              <w:r w:rsidRPr="00F61A99">
                <w:rPr>
                  <w:rStyle w:val="Hyperlink"/>
                  <w:sz w:val="22"/>
                  <w:szCs w:val="22"/>
                  <w:lang w:val="de-AT"/>
                </w:rPr>
                <w:t>lirt@pcl.ac.cn</w:t>
              </w:r>
            </w:hyperlink>
          </w:p>
        </w:tc>
      </w:tr>
      <w:tr w:rsidR="00831046" w:rsidRPr="00DE0B05" w14:paraId="79FFE432" w14:textId="77777777" w:rsidTr="00E01DB0">
        <w:tc>
          <w:tcPr>
            <w:tcW w:w="2122" w:type="dxa"/>
          </w:tcPr>
          <w:p w14:paraId="0A52D19F" w14:textId="77777777" w:rsidR="00831046" w:rsidRPr="00F61A99" w:rsidRDefault="00831046" w:rsidP="00E01DB0">
            <w:pPr>
              <w:rPr>
                <w:rFonts w:eastAsiaTheme="minorEastAsia"/>
                <w:b/>
                <w:bCs/>
                <w:sz w:val="22"/>
                <w:szCs w:val="22"/>
              </w:rPr>
            </w:pPr>
            <w:r w:rsidRPr="00F61A99">
              <w:rPr>
                <w:rFonts w:eastAsiaTheme="minorEastAsia"/>
                <w:b/>
                <w:bCs/>
                <w:sz w:val="22"/>
                <w:szCs w:val="22"/>
              </w:rPr>
              <w:t>Editor:</w:t>
            </w:r>
          </w:p>
        </w:tc>
        <w:tc>
          <w:tcPr>
            <w:tcW w:w="3548" w:type="dxa"/>
          </w:tcPr>
          <w:p w14:paraId="264081A7" w14:textId="77777777" w:rsidR="00831046" w:rsidRPr="00F61A99" w:rsidRDefault="00831046" w:rsidP="00F61A99">
            <w:pPr>
              <w:jc w:val="left"/>
              <w:rPr>
                <w:rFonts w:eastAsiaTheme="minorEastAsia"/>
                <w:sz w:val="22"/>
                <w:szCs w:val="22"/>
              </w:rPr>
            </w:pPr>
            <w:r w:rsidRPr="00F61A99">
              <w:rPr>
                <w:rFonts w:eastAsiaTheme="minorEastAsia"/>
                <w:sz w:val="22"/>
                <w:szCs w:val="22"/>
              </w:rPr>
              <w:t>Xiang Tang</w:t>
            </w:r>
            <w:r w:rsidRPr="00F61A99">
              <w:rPr>
                <w:rFonts w:eastAsiaTheme="minorEastAsia"/>
                <w:sz w:val="22"/>
                <w:szCs w:val="22"/>
              </w:rPr>
              <w:br/>
              <w:t>Harbin Institute of Technology</w:t>
            </w:r>
            <w:r w:rsidRPr="00F61A99">
              <w:rPr>
                <w:rFonts w:eastAsia="Yu Mincho"/>
                <w:sz w:val="22"/>
                <w:szCs w:val="22"/>
              </w:rPr>
              <w:br/>
            </w:r>
            <w:r w:rsidRPr="00F61A99">
              <w:rPr>
                <w:rFonts w:eastAsiaTheme="minorEastAsia"/>
                <w:sz w:val="22"/>
                <w:szCs w:val="22"/>
              </w:rPr>
              <w:t>P.R. China</w:t>
            </w:r>
          </w:p>
        </w:tc>
        <w:tc>
          <w:tcPr>
            <w:tcW w:w="3959" w:type="dxa"/>
          </w:tcPr>
          <w:p w14:paraId="13BAA2B0" w14:textId="4F719CB7" w:rsidR="00831046" w:rsidRPr="00DE0B05" w:rsidRDefault="00831046" w:rsidP="00E01DB0">
            <w:pPr>
              <w:rPr>
                <w:rFonts w:eastAsiaTheme="minorEastAsia"/>
                <w:sz w:val="22"/>
                <w:szCs w:val="22"/>
                <w:lang w:val="de-AT"/>
              </w:rPr>
            </w:pPr>
            <w:r w:rsidRPr="00DE0B05">
              <w:rPr>
                <w:rFonts w:eastAsiaTheme="minorEastAsia"/>
                <w:sz w:val="22"/>
                <w:szCs w:val="22"/>
                <w:lang w:val="de-AT"/>
              </w:rPr>
              <w:t>Tel</w:t>
            </w:r>
            <w:r w:rsidR="00F61A99" w:rsidRPr="00DE0B05">
              <w:rPr>
                <w:rFonts w:eastAsiaTheme="minorEastAsia"/>
                <w:sz w:val="22"/>
                <w:szCs w:val="22"/>
                <w:lang w:val="de-AT"/>
              </w:rPr>
              <w:t>.</w:t>
            </w:r>
            <w:r w:rsidRPr="00DE0B05">
              <w:rPr>
                <w:rFonts w:eastAsiaTheme="minorEastAsia"/>
                <w:sz w:val="22"/>
                <w:szCs w:val="22"/>
                <w:lang w:val="de-AT"/>
              </w:rPr>
              <w:t>:</w:t>
            </w:r>
            <w:r w:rsidR="00ED685E" w:rsidRPr="00DE0B05">
              <w:rPr>
                <w:rFonts w:eastAsiaTheme="minorEastAsia"/>
                <w:sz w:val="22"/>
                <w:szCs w:val="22"/>
                <w:lang w:val="de-AT"/>
              </w:rPr>
              <w:tab/>
            </w:r>
            <w:r w:rsidRPr="00DE0B05">
              <w:rPr>
                <w:rFonts w:eastAsiaTheme="minorEastAsia"/>
                <w:sz w:val="22"/>
                <w:szCs w:val="22"/>
                <w:lang w:val="de-AT"/>
              </w:rPr>
              <w:t>+86 18655530970</w:t>
            </w:r>
            <w:r w:rsidRPr="00DE0B05">
              <w:rPr>
                <w:rFonts w:eastAsia="Yu Mincho"/>
                <w:sz w:val="22"/>
                <w:szCs w:val="22"/>
                <w:lang w:val="de-AT"/>
              </w:rPr>
              <w:br/>
            </w:r>
            <w:r w:rsidRPr="00DE0B05">
              <w:rPr>
                <w:rFonts w:eastAsiaTheme="minorEastAsia"/>
                <w:sz w:val="22"/>
                <w:szCs w:val="22"/>
                <w:lang w:val="de-AT"/>
              </w:rPr>
              <w:t>E</w:t>
            </w:r>
            <w:r w:rsidR="00F61A99" w:rsidRPr="00DE0B05">
              <w:rPr>
                <w:rFonts w:eastAsiaTheme="minorEastAsia"/>
                <w:sz w:val="22"/>
                <w:szCs w:val="22"/>
                <w:lang w:val="de-AT"/>
              </w:rPr>
              <w:t>-</w:t>
            </w:r>
            <w:r w:rsidRPr="00DE0B05">
              <w:rPr>
                <w:rFonts w:eastAsiaTheme="minorEastAsia"/>
                <w:sz w:val="22"/>
                <w:szCs w:val="22"/>
                <w:lang w:val="de-AT"/>
              </w:rPr>
              <w:t>mail:</w:t>
            </w:r>
            <w:r w:rsidR="00ED685E" w:rsidRPr="00DE0B05">
              <w:rPr>
                <w:rFonts w:eastAsiaTheme="minorEastAsia"/>
                <w:sz w:val="22"/>
                <w:szCs w:val="22"/>
                <w:lang w:val="de-AT"/>
              </w:rPr>
              <w:tab/>
            </w:r>
            <w:hyperlink r:id="rId19" w:history="1">
              <w:r w:rsidR="00F61A99" w:rsidRPr="00DE0B05">
                <w:rPr>
                  <w:rStyle w:val="Hyperlink"/>
                  <w:rFonts w:eastAsiaTheme="minorEastAsia"/>
                  <w:sz w:val="22"/>
                  <w:szCs w:val="22"/>
                  <w:lang w:val="de-AT"/>
                </w:rPr>
                <w:t>24B951063@stu.hit.edu.cn</w:t>
              </w:r>
            </w:hyperlink>
            <w:r w:rsidR="00F61A99" w:rsidRPr="00DE0B05">
              <w:rPr>
                <w:rFonts w:eastAsiaTheme="minorEastAsia"/>
                <w:sz w:val="22"/>
                <w:szCs w:val="22"/>
                <w:lang w:val="de-AT"/>
              </w:rPr>
              <w:t xml:space="preserve"> </w:t>
            </w:r>
          </w:p>
        </w:tc>
      </w:tr>
      <w:tr w:rsidR="00831046" w:rsidRPr="00DE0B05" w14:paraId="43DAC2D9" w14:textId="77777777" w:rsidTr="00E01DB0">
        <w:tc>
          <w:tcPr>
            <w:tcW w:w="2122" w:type="dxa"/>
          </w:tcPr>
          <w:p w14:paraId="68E23D16" w14:textId="77777777" w:rsidR="00831046" w:rsidRPr="00F61A99" w:rsidRDefault="00831046" w:rsidP="00E01DB0">
            <w:pPr>
              <w:rPr>
                <w:rFonts w:eastAsiaTheme="minorEastAsia"/>
                <w:b/>
                <w:bCs/>
                <w:sz w:val="22"/>
                <w:szCs w:val="22"/>
              </w:rPr>
            </w:pPr>
            <w:r w:rsidRPr="00F61A99">
              <w:rPr>
                <w:rFonts w:eastAsiaTheme="minorEastAsia"/>
                <w:b/>
                <w:bCs/>
                <w:sz w:val="22"/>
                <w:szCs w:val="22"/>
              </w:rPr>
              <w:t>Editor:</w:t>
            </w:r>
          </w:p>
        </w:tc>
        <w:tc>
          <w:tcPr>
            <w:tcW w:w="3548" w:type="dxa"/>
          </w:tcPr>
          <w:p w14:paraId="4A4E56A0" w14:textId="565B4046" w:rsidR="00831046" w:rsidRPr="00F61A99" w:rsidRDefault="00831046" w:rsidP="00F61A99">
            <w:pPr>
              <w:jc w:val="left"/>
              <w:rPr>
                <w:rFonts w:eastAsiaTheme="minorEastAsia"/>
                <w:b/>
                <w:bCs/>
                <w:sz w:val="22"/>
                <w:szCs w:val="22"/>
              </w:rPr>
            </w:pPr>
            <w:r w:rsidRPr="00F61A99">
              <w:rPr>
                <w:rFonts w:eastAsiaTheme="minorEastAsia"/>
                <w:sz w:val="22"/>
                <w:szCs w:val="22"/>
              </w:rPr>
              <w:t>Fan Xu</w:t>
            </w:r>
            <w:r w:rsidRPr="00F61A99">
              <w:rPr>
                <w:sz w:val="22"/>
                <w:szCs w:val="22"/>
              </w:rPr>
              <w:br/>
            </w:r>
            <w:r w:rsidRPr="00F61A99">
              <w:rPr>
                <w:rFonts w:eastAsiaTheme="minorEastAsia"/>
                <w:sz w:val="22"/>
                <w:szCs w:val="22"/>
              </w:rPr>
              <w:t>Peng Cheng Laboratory</w:t>
            </w:r>
            <w:r w:rsidRPr="00F61A99">
              <w:rPr>
                <w:sz w:val="22"/>
                <w:szCs w:val="22"/>
              </w:rPr>
              <w:br/>
            </w:r>
            <w:r w:rsidRPr="00F61A99">
              <w:rPr>
                <w:rFonts w:eastAsiaTheme="minorEastAsia"/>
                <w:sz w:val="22"/>
                <w:szCs w:val="22"/>
              </w:rPr>
              <w:t>P.R.</w:t>
            </w:r>
            <w:r w:rsidR="00863ABC">
              <w:rPr>
                <w:rFonts w:eastAsiaTheme="minorEastAsia"/>
                <w:sz w:val="22"/>
                <w:szCs w:val="22"/>
              </w:rPr>
              <w:t xml:space="preserve"> </w:t>
            </w:r>
            <w:r w:rsidRPr="00F61A99">
              <w:rPr>
                <w:rFonts w:eastAsiaTheme="minorEastAsia"/>
                <w:sz w:val="22"/>
                <w:szCs w:val="22"/>
              </w:rPr>
              <w:t>China</w:t>
            </w:r>
          </w:p>
        </w:tc>
        <w:tc>
          <w:tcPr>
            <w:tcW w:w="3959" w:type="dxa"/>
          </w:tcPr>
          <w:p w14:paraId="3A5E059A" w14:textId="752CDAD4" w:rsidR="00831046" w:rsidRPr="00DE0B05" w:rsidRDefault="00831046" w:rsidP="00E01DB0">
            <w:pPr>
              <w:rPr>
                <w:rFonts w:eastAsiaTheme="minorEastAsia"/>
                <w:sz w:val="22"/>
                <w:szCs w:val="22"/>
                <w:lang w:val="de-AT"/>
              </w:rPr>
            </w:pPr>
            <w:r w:rsidRPr="00DE0B05">
              <w:rPr>
                <w:rFonts w:eastAsiaTheme="minorEastAsia"/>
                <w:sz w:val="22"/>
                <w:szCs w:val="22"/>
                <w:lang w:val="de-AT"/>
              </w:rPr>
              <w:t>Tel</w:t>
            </w:r>
            <w:r w:rsidR="00F61A99" w:rsidRPr="00DE0B05">
              <w:rPr>
                <w:rFonts w:eastAsiaTheme="minorEastAsia"/>
                <w:sz w:val="22"/>
                <w:szCs w:val="22"/>
                <w:lang w:val="de-AT"/>
              </w:rPr>
              <w:t>.</w:t>
            </w:r>
            <w:r w:rsidRPr="00DE0B05">
              <w:rPr>
                <w:rFonts w:eastAsiaTheme="minorEastAsia"/>
                <w:sz w:val="22"/>
                <w:szCs w:val="22"/>
                <w:lang w:val="de-AT"/>
              </w:rPr>
              <w:t>:</w:t>
            </w:r>
            <w:r w:rsidR="00ED685E" w:rsidRPr="00DE0B05">
              <w:rPr>
                <w:rFonts w:eastAsiaTheme="minorEastAsia"/>
                <w:sz w:val="22"/>
                <w:szCs w:val="22"/>
                <w:lang w:val="de-AT"/>
              </w:rPr>
              <w:tab/>
            </w:r>
            <w:r w:rsidRPr="00DE0B05">
              <w:rPr>
                <w:rFonts w:eastAsiaTheme="minorEastAsia"/>
                <w:sz w:val="22"/>
                <w:szCs w:val="22"/>
                <w:lang w:val="de-AT"/>
              </w:rPr>
              <w:t>+86 15207146562</w:t>
            </w:r>
          </w:p>
          <w:p w14:paraId="4409B7BE" w14:textId="30929345" w:rsidR="00831046" w:rsidRPr="00DE0B05" w:rsidRDefault="00831046" w:rsidP="00E01DB0">
            <w:pPr>
              <w:spacing w:before="0"/>
              <w:rPr>
                <w:rFonts w:eastAsiaTheme="minorEastAsia"/>
                <w:sz w:val="22"/>
                <w:szCs w:val="22"/>
                <w:lang w:val="de-AT"/>
              </w:rPr>
            </w:pPr>
            <w:r w:rsidRPr="00DE0B05">
              <w:rPr>
                <w:rFonts w:eastAsiaTheme="minorEastAsia"/>
                <w:sz w:val="22"/>
                <w:szCs w:val="22"/>
                <w:lang w:val="de-AT"/>
              </w:rPr>
              <w:t>E</w:t>
            </w:r>
            <w:r w:rsidR="00785DD3" w:rsidRPr="00DE0B05">
              <w:rPr>
                <w:rFonts w:eastAsiaTheme="minorEastAsia"/>
                <w:sz w:val="22"/>
                <w:szCs w:val="22"/>
                <w:lang w:val="de-AT"/>
              </w:rPr>
              <w:t>-</w:t>
            </w:r>
            <w:r w:rsidRPr="00DE0B05">
              <w:rPr>
                <w:rFonts w:eastAsiaTheme="minorEastAsia"/>
                <w:sz w:val="22"/>
                <w:szCs w:val="22"/>
                <w:lang w:val="de-AT"/>
              </w:rPr>
              <w:t>mail:</w:t>
            </w:r>
            <w:r w:rsidR="00ED685E" w:rsidRPr="00DE0B05">
              <w:rPr>
                <w:rFonts w:eastAsiaTheme="minorEastAsia"/>
                <w:sz w:val="22"/>
                <w:szCs w:val="22"/>
                <w:lang w:val="de-AT"/>
              </w:rPr>
              <w:tab/>
            </w:r>
            <w:hyperlink r:id="rId20" w:history="1">
              <w:r w:rsidR="00BE3466" w:rsidRPr="00DE0B05">
                <w:rPr>
                  <w:rStyle w:val="Hyperlink"/>
                  <w:rFonts w:eastAsiaTheme="minorEastAsia"/>
                  <w:sz w:val="22"/>
                  <w:szCs w:val="22"/>
                  <w:lang w:val="de-AT"/>
                </w:rPr>
                <w:t>xuf05@pcl.ac.cn</w:t>
              </w:r>
            </w:hyperlink>
          </w:p>
        </w:tc>
      </w:tr>
      <w:tr w:rsidR="00831046" w:rsidRPr="00DE0B05" w14:paraId="228E9FE2" w14:textId="77777777" w:rsidTr="00E01DB0">
        <w:tc>
          <w:tcPr>
            <w:tcW w:w="2122" w:type="dxa"/>
          </w:tcPr>
          <w:p w14:paraId="3A71DBF8" w14:textId="77777777" w:rsidR="00831046" w:rsidRPr="00F61A99" w:rsidRDefault="00831046" w:rsidP="00E01DB0">
            <w:pPr>
              <w:rPr>
                <w:rFonts w:eastAsiaTheme="minorEastAsia"/>
                <w:b/>
                <w:bCs/>
                <w:sz w:val="22"/>
                <w:szCs w:val="22"/>
              </w:rPr>
            </w:pPr>
            <w:r w:rsidRPr="00F61A99">
              <w:rPr>
                <w:rFonts w:eastAsia="Yu Mincho" w:hint="eastAsia"/>
                <w:b/>
                <w:bCs/>
                <w:sz w:val="22"/>
                <w:szCs w:val="22"/>
              </w:rPr>
              <w:t>WG2 Chair:</w:t>
            </w:r>
          </w:p>
        </w:tc>
        <w:tc>
          <w:tcPr>
            <w:tcW w:w="3548" w:type="dxa"/>
          </w:tcPr>
          <w:p w14:paraId="3D108A77" w14:textId="77777777" w:rsidR="00831046" w:rsidRPr="00F61A99" w:rsidRDefault="00831046" w:rsidP="00F61A99">
            <w:pPr>
              <w:jc w:val="left"/>
              <w:rPr>
                <w:rFonts w:eastAsiaTheme="minorEastAsia"/>
                <w:sz w:val="22"/>
                <w:szCs w:val="22"/>
              </w:rPr>
            </w:pPr>
            <w:r w:rsidRPr="00F61A99">
              <w:rPr>
                <w:sz w:val="22"/>
                <w:szCs w:val="22"/>
              </w:rPr>
              <w:t>Kei Kawamura</w:t>
            </w:r>
            <w:r w:rsidRPr="00F61A99">
              <w:rPr>
                <w:sz w:val="22"/>
                <w:szCs w:val="22"/>
              </w:rPr>
              <w:br/>
              <w:t>KDDI Corporation</w:t>
            </w:r>
            <w:r w:rsidRPr="00F61A99">
              <w:rPr>
                <w:sz w:val="22"/>
                <w:szCs w:val="22"/>
              </w:rPr>
              <w:br/>
              <w:t>Japan</w:t>
            </w:r>
          </w:p>
        </w:tc>
        <w:tc>
          <w:tcPr>
            <w:tcW w:w="3959" w:type="dxa"/>
          </w:tcPr>
          <w:p w14:paraId="3E9CDB1C" w14:textId="02287BA9" w:rsidR="00831046" w:rsidRPr="00F61A99" w:rsidRDefault="00831046" w:rsidP="00E01DB0">
            <w:pPr>
              <w:rPr>
                <w:rFonts w:eastAsiaTheme="minorEastAsia"/>
                <w:sz w:val="22"/>
                <w:szCs w:val="22"/>
                <w:lang w:val="de-AT"/>
              </w:rPr>
            </w:pPr>
            <w:r w:rsidRPr="00F61A99">
              <w:rPr>
                <w:sz w:val="22"/>
                <w:szCs w:val="22"/>
                <w:lang w:val="de-AT"/>
              </w:rPr>
              <w:t>Tel</w:t>
            </w:r>
            <w:r w:rsidR="00F61A99">
              <w:rPr>
                <w:sz w:val="22"/>
                <w:szCs w:val="22"/>
                <w:lang w:val="de-AT"/>
              </w:rPr>
              <w:t>.</w:t>
            </w:r>
            <w:r w:rsidRPr="00F61A99">
              <w:rPr>
                <w:sz w:val="22"/>
                <w:szCs w:val="22"/>
                <w:lang w:val="de-AT"/>
              </w:rPr>
              <w:t xml:space="preserve">: </w:t>
            </w:r>
            <w:r w:rsidRPr="00F61A99">
              <w:rPr>
                <w:sz w:val="22"/>
                <w:szCs w:val="22"/>
                <w:lang w:val="de-AT"/>
              </w:rPr>
              <w:tab/>
              <w:t>+81-80-5066-9075</w:t>
            </w:r>
            <w:r w:rsidRPr="00F61A99">
              <w:rPr>
                <w:sz w:val="22"/>
                <w:szCs w:val="22"/>
                <w:lang w:val="de-AT"/>
              </w:rPr>
              <w:br/>
              <w:t>E</w:t>
            </w:r>
            <w:r w:rsidR="00785DD3">
              <w:rPr>
                <w:sz w:val="22"/>
                <w:szCs w:val="22"/>
                <w:lang w:val="de-AT"/>
              </w:rPr>
              <w:t>-</w:t>
            </w:r>
            <w:r w:rsidRPr="00F61A99">
              <w:rPr>
                <w:sz w:val="22"/>
                <w:szCs w:val="22"/>
                <w:lang w:val="de-AT"/>
              </w:rPr>
              <w:t>mail:</w:t>
            </w:r>
            <w:r w:rsidRPr="00F61A99">
              <w:rPr>
                <w:sz w:val="22"/>
                <w:szCs w:val="22"/>
                <w:lang w:val="de-AT"/>
              </w:rPr>
              <w:tab/>
            </w:r>
            <w:hyperlink r:id="rId21" w:history="1">
              <w:r w:rsidRPr="00F61A99">
                <w:rPr>
                  <w:rStyle w:val="Hyperlink"/>
                  <w:sz w:val="22"/>
                  <w:szCs w:val="22"/>
                  <w:lang w:val="de-AT"/>
                </w:rPr>
                <w:t>ki-kawamura@kddi.com</w:t>
              </w:r>
            </w:hyperlink>
          </w:p>
        </w:tc>
      </w:tr>
      <w:tr w:rsidR="00831046" w:rsidRPr="00DE0B05" w14:paraId="0FD5C036" w14:textId="77777777" w:rsidTr="00E01DB0">
        <w:tc>
          <w:tcPr>
            <w:tcW w:w="2122" w:type="dxa"/>
          </w:tcPr>
          <w:p w14:paraId="54986B5B" w14:textId="77777777" w:rsidR="00831046" w:rsidRPr="00F61A99" w:rsidRDefault="00831046" w:rsidP="00E01DB0">
            <w:pPr>
              <w:rPr>
                <w:rFonts w:eastAsiaTheme="minorEastAsia"/>
                <w:b/>
                <w:bCs/>
                <w:sz w:val="22"/>
                <w:szCs w:val="22"/>
              </w:rPr>
            </w:pPr>
            <w:r w:rsidRPr="00F61A99">
              <w:rPr>
                <w:rFonts w:eastAsia="Yu Mincho" w:hint="eastAsia"/>
                <w:b/>
                <w:bCs/>
                <w:sz w:val="22"/>
                <w:szCs w:val="22"/>
              </w:rPr>
              <w:t>WG2 Vice-chair:</w:t>
            </w:r>
          </w:p>
        </w:tc>
        <w:tc>
          <w:tcPr>
            <w:tcW w:w="3548" w:type="dxa"/>
          </w:tcPr>
          <w:p w14:paraId="765B5C1F" w14:textId="77777777" w:rsidR="00831046" w:rsidRPr="00F61A99" w:rsidRDefault="00831046" w:rsidP="00F61A99">
            <w:pPr>
              <w:jc w:val="left"/>
              <w:rPr>
                <w:rFonts w:eastAsiaTheme="minorEastAsia"/>
                <w:sz w:val="22"/>
                <w:szCs w:val="22"/>
              </w:rPr>
            </w:pPr>
            <w:r w:rsidRPr="00F61A99">
              <w:rPr>
                <w:sz w:val="22"/>
                <w:szCs w:val="22"/>
              </w:rPr>
              <w:t>Qiongqian Yang</w:t>
            </w:r>
            <w:r w:rsidRPr="00F61A99">
              <w:rPr>
                <w:sz w:val="22"/>
                <w:szCs w:val="22"/>
              </w:rPr>
              <w:br/>
              <w:t>Hangzhou Embodied Intelligence Pilot Base Technology Co., Ltd.</w:t>
            </w:r>
            <w:r w:rsidRPr="00F61A99">
              <w:rPr>
                <w:sz w:val="22"/>
                <w:szCs w:val="22"/>
              </w:rPr>
              <w:br/>
              <w:t>China</w:t>
            </w:r>
          </w:p>
        </w:tc>
        <w:tc>
          <w:tcPr>
            <w:tcW w:w="3959" w:type="dxa"/>
          </w:tcPr>
          <w:p w14:paraId="29E9F7D7" w14:textId="661CC1B5" w:rsidR="00831046" w:rsidRPr="00F61A99" w:rsidRDefault="00831046" w:rsidP="00E01DB0">
            <w:pPr>
              <w:rPr>
                <w:rFonts w:eastAsiaTheme="minorEastAsia"/>
                <w:sz w:val="22"/>
                <w:szCs w:val="22"/>
                <w:lang w:val="de-AT"/>
              </w:rPr>
            </w:pPr>
            <w:r w:rsidRPr="00F61A99">
              <w:rPr>
                <w:sz w:val="22"/>
                <w:szCs w:val="22"/>
                <w:lang w:val="de-AT"/>
              </w:rPr>
              <w:t>Tel</w:t>
            </w:r>
            <w:r w:rsidR="00F61A99">
              <w:rPr>
                <w:sz w:val="22"/>
                <w:szCs w:val="22"/>
                <w:lang w:val="de-AT"/>
              </w:rPr>
              <w:t>.</w:t>
            </w:r>
            <w:r w:rsidRPr="00F61A99">
              <w:rPr>
                <w:sz w:val="22"/>
                <w:szCs w:val="22"/>
                <w:lang w:val="de-AT"/>
              </w:rPr>
              <w:t xml:space="preserve">: </w:t>
            </w:r>
            <w:r w:rsidRPr="00F61A99">
              <w:rPr>
                <w:sz w:val="22"/>
                <w:szCs w:val="22"/>
                <w:lang w:val="de-AT"/>
              </w:rPr>
              <w:tab/>
              <w:t>+86 15116306264</w:t>
            </w:r>
            <w:r w:rsidRPr="00F61A99">
              <w:rPr>
                <w:sz w:val="22"/>
                <w:szCs w:val="22"/>
                <w:lang w:val="de-AT"/>
              </w:rPr>
              <w:br/>
              <w:t>E</w:t>
            </w:r>
            <w:r w:rsidR="00785DD3">
              <w:rPr>
                <w:sz w:val="22"/>
                <w:szCs w:val="22"/>
                <w:lang w:val="de-AT"/>
              </w:rPr>
              <w:t>-</w:t>
            </w:r>
            <w:r w:rsidRPr="00F61A99">
              <w:rPr>
                <w:sz w:val="22"/>
                <w:szCs w:val="22"/>
                <w:lang w:val="de-AT"/>
              </w:rPr>
              <w:t>mail:</w:t>
            </w:r>
            <w:r w:rsidRPr="00F61A99">
              <w:rPr>
                <w:sz w:val="22"/>
                <w:szCs w:val="22"/>
                <w:lang w:val="de-AT"/>
              </w:rPr>
              <w:tab/>
            </w:r>
            <w:hyperlink r:id="rId22" w:history="1">
              <w:r w:rsidRPr="00F61A99">
                <w:rPr>
                  <w:rStyle w:val="Hyperlink"/>
                  <w:sz w:val="22"/>
                  <w:szCs w:val="22"/>
                  <w:lang w:val="de-AT" w:eastAsia="zh-CN"/>
                </w:rPr>
                <w:t>yangqiongqian@jszn.cn</w:t>
              </w:r>
            </w:hyperlink>
          </w:p>
        </w:tc>
      </w:tr>
    </w:tbl>
    <w:p w14:paraId="163B8793" w14:textId="77777777" w:rsidR="00831046" w:rsidRPr="00DE0B05" w:rsidRDefault="00831046" w:rsidP="00831046">
      <w:pPr>
        <w:jc w:val="center"/>
        <w:rPr>
          <w:sz w:val="22"/>
          <w:lang w:val="de-AT"/>
        </w:rPr>
      </w:pPr>
    </w:p>
    <w:p w14:paraId="04CCCF79" w14:textId="77777777" w:rsidR="00831046" w:rsidRPr="00DE0B05" w:rsidRDefault="00831046" w:rsidP="00831046">
      <w:pPr>
        <w:jc w:val="center"/>
        <w:rPr>
          <w:sz w:val="22"/>
          <w:lang w:val="de-AT"/>
        </w:rPr>
      </w:pPr>
    </w:p>
    <w:p w14:paraId="404009DB" w14:textId="77777777" w:rsidR="00831046" w:rsidRPr="00DE0B05" w:rsidRDefault="00831046" w:rsidP="00831046">
      <w:pPr>
        <w:jc w:val="center"/>
        <w:rPr>
          <w:sz w:val="22"/>
          <w:lang w:val="de-AT"/>
        </w:rPr>
      </w:pPr>
    </w:p>
    <w:p w14:paraId="73C6F989" w14:textId="77777777" w:rsidR="00831046" w:rsidRPr="00DE0B05" w:rsidRDefault="00831046" w:rsidP="00831046">
      <w:pPr>
        <w:jc w:val="center"/>
        <w:rPr>
          <w:sz w:val="22"/>
          <w:lang w:val="de-AT"/>
        </w:rPr>
      </w:pPr>
    </w:p>
    <w:p w14:paraId="335FFAF3" w14:textId="77777777" w:rsidR="00831046" w:rsidRPr="00DE0B05" w:rsidRDefault="00831046" w:rsidP="00831046">
      <w:pPr>
        <w:jc w:val="center"/>
        <w:rPr>
          <w:sz w:val="22"/>
          <w:lang w:val="de-AT"/>
        </w:rPr>
      </w:pPr>
    </w:p>
    <w:p w14:paraId="042B11A0" w14:textId="77777777" w:rsidR="00831046" w:rsidRPr="00DE0B05" w:rsidRDefault="00831046" w:rsidP="00831046">
      <w:pPr>
        <w:jc w:val="center"/>
        <w:rPr>
          <w:sz w:val="22"/>
          <w:lang w:val="de-AT"/>
        </w:rPr>
      </w:pPr>
    </w:p>
    <w:p w14:paraId="034FD655" w14:textId="77777777" w:rsidR="00831046" w:rsidRPr="00DE0B05" w:rsidRDefault="00831046" w:rsidP="00831046">
      <w:pPr>
        <w:jc w:val="center"/>
        <w:rPr>
          <w:sz w:val="22"/>
          <w:lang w:val="de-AT"/>
        </w:rPr>
      </w:pPr>
    </w:p>
    <w:p w14:paraId="28DE3EFE" w14:textId="77777777" w:rsidR="00831046" w:rsidRPr="00DE0B05" w:rsidRDefault="00831046" w:rsidP="00831046">
      <w:pPr>
        <w:jc w:val="center"/>
        <w:rPr>
          <w:sz w:val="22"/>
          <w:lang w:val="de-AT"/>
        </w:rPr>
      </w:pPr>
    </w:p>
    <w:p w14:paraId="71234E05" w14:textId="77777777" w:rsidR="00831046" w:rsidRPr="00DE0B05" w:rsidRDefault="00831046" w:rsidP="00831046">
      <w:pPr>
        <w:jc w:val="center"/>
        <w:rPr>
          <w:sz w:val="22"/>
          <w:lang w:val="de-AT"/>
        </w:rPr>
      </w:pPr>
    </w:p>
    <w:p w14:paraId="72750C0D" w14:textId="77777777" w:rsidR="00831046" w:rsidRPr="00DE0B05" w:rsidRDefault="00831046" w:rsidP="00831046">
      <w:pPr>
        <w:jc w:val="center"/>
        <w:rPr>
          <w:sz w:val="22"/>
          <w:lang w:val="de-AT"/>
        </w:rPr>
      </w:pPr>
    </w:p>
    <w:p w14:paraId="5D8885C3" w14:textId="77777777" w:rsidR="00C610D5" w:rsidRPr="00DE0B05" w:rsidRDefault="00C610D5" w:rsidP="00831046">
      <w:pPr>
        <w:jc w:val="center"/>
        <w:rPr>
          <w:sz w:val="22"/>
          <w:lang w:val="de-AT"/>
        </w:rPr>
      </w:pPr>
    </w:p>
    <w:p w14:paraId="0F5C40D7" w14:textId="77777777" w:rsidR="00831046" w:rsidRPr="00DE0B05" w:rsidRDefault="00831046" w:rsidP="00831046">
      <w:pPr>
        <w:jc w:val="center"/>
        <w:rPr>
          <w:sz w:val="22"/>
          <w:lang w:val="de-AT"/>
        </w:rPr>
      </w:pPr>
    </w:p>
    <w:p w14:paraId="61304428" w14:textId="77777777" w:rsidR="00831046" w:rsidRDefault="00831046" w:rsidP="00831046">
      <w:pPr>
        <w:jc w:val="center"/>
        <w:rPr>
          <w:sz w:val="22"/>
        </w:rPr>
      </w:pPr>
      <w:r>
        <w:rPr>
          <w:sz w:val="22"/>
        </w:rPr>
        <w:sym w:font="Symbol" w:char="F0E3"/>
      </w:r>
      <w:r>
        <w:rPr>
          <w:sz w:val="22"/>
        </w:rPr>
        <w:t> ITU </w:t>
      </w:r>
      <w:bookmarkStart w:id="8" w:name="iiannee"/>
      <w:bookmarkEnd w:id="8"/>
      <w:r>
        <w:rPr>
          <w:sz w:val="22"/>
        </w:rPr>
        <w:t>2026</w:t>
      </w:r>
    </w:p>
    <w:p w14:paraId="1AAE05AA" w14:textId="77777777" w:rsidR="00400EF7" w:rsidRPr="00DD78C0" w:rsidRDefault="00400EF7" w:rsidP="00400EF7">
      <w:pPr>
        <w:rPr>
          <w:sz w:val="22"/>
        </w:rPr>
      </w:pPr>
      <w:r w:rsidRPr="00DD78C0">
        <w:rPr>
          <w:sz w:val="22"/>
        </w:rPr>
        <w:t>Some rights reserved.</w:t>
      </w:r>
      <w:r w:rsidRPr="00DD78C0">
        <w:rPr>
          <w:i/>
          <w:iCs/>
          <w:sz w:val="22"/>
        </w:rPr>
        <w:t xml:space="preserve"> </w:t>
      </w:r>
      <w:r w:rsidRPr="00DD78C0">
        <w:rPr>
          <w:sz w:val="22"/>
        </w:rPr>
        <w:t xml:space="preserve">This publication is available under the Creative Commons Attribution-Non Commercial-Share Alike 3.0 IGO licence (CC BY-NC-SA 3.0 IGO; </w:t>
      </w:r>
      <w:hyperlink r:id="rId23" w:history="1">
        <w:r w:rsidRPr="00DD78C0">
          <w:rPr>
            <w:rStyle w:val="Hyperlink"/>
            <w:sz w:val="22"/>
          </w:rPr>
          <w:t>https://creativecommons.org/licenses/by-nc-sa/3.0/igo</w:t>
        </w:r>
      </w:hyperlink>
      <w:r w:rsidRPr="00DD78C0">
        <w:rPr>
          <w:sz w:val="22"/>
        </w:rPr>
        <w:t xml:space="preserve">). </w:t>
      </w:r>
    </w:p>
    <w:p w14:paraId="211C05BB" w14:textId="77777777" w:rsidR="00400EF7" w:rsidRDefault="00400EF7" w:rsidP="00400EF7">
      <w:pPr>
        <w:rPr>
          <w:sz w:val="22"/>
        </w:rPr>
      </w:pPr>
      <w:r w:rsidRPr="00DD78C0">
        <w:rPr>
          <w:sz w:val="22"/>
        </w:rPr>
        <w:t xml:space="preserve">For any uses of this publication that are not included in this licence, please seek permission from ITU by contacting </w:t>
      </w:r>
      <w:hyperlink r:id="rId24" w:history="1">
        <w:r w:rsidRPr="00DD78C0">
          <w:rPr>
            <w:rStyle w:val="Hyperlink"/>
            <w:sz w:val="22"/>
          </w:rPr>
          <w:t>TSBmail@itu.int</w:t>
        </w:r>
      </w:hyperlink>
      <w:r w:rsidRPr="00DD78C0">
        <w:rPr>
          <w:sz w:val="22"/>
        </w:rPr>
        <w:t>.</w:t>
      </w:r>
    </w:p>
    <w:p w14:paraId="7FC04004" w14:textId="77777777" w:rsidR="00831046" w:rsidRPr="002B534E" w:rsidRDefault="00831046" w:rsidP="00831046">
      <w:pPr>
        <w:jc w:val="center"/>
        <w:rPr>
          <w:b/>
        </w:rPr>
      </w:pPr>
      <w:r w:rsidRPr="002B534E">
        <w:rPr>
          <w:b/>
        </w:rPr>
        <w:br w:type="page"/>
      </w:r>
      <w:r w:rsidRPr="002B534E">
        <w:rPr>
          <w:b/>
        </w:rPr>
        <w:lastRenderedPageBreak/>
        <w:t>Table of Contents</w:t>
      </w:r>
    </w:p>
    <w:p w14:paraId="03031AB9" w14:textId="1B7C6D9A" w:rsidR="00CB38D9" w:rsidRDefault="00CB38D9" w:rsidP="00CB38D9">
      <w:pPr>
        <w:pStyle w:val="toc0"/>
        <w:ind w:right="992"/>
        <w:rPr>
          <w:noProof/>
        </w:rPr>
      </w:pPr>
      <w:r>
        <w:tab/>
        <w:t>Page</w:t>
      </w:r>
    </w:p>
    <w:p w14:paraId="2924E67A" w14:textId="241E996D"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1</w:t>
      </w:r>
      <w:r>
        <w:rPr>
          <w:rFonts w:asciiTheme="minorHAnsi" w:eastAsiaTheme="minorEastAsia" w:hAnsiTheme="minorHAnsi" w:cstheme="minorBidi"/>
          <w:noProof/>
          <w:kern w:val="2"/>
          <w:szCs w:val="24"/>
          <w:lang w:eastAsia="en-GB"/>
          <w14:ligatures w14:val="standardContextual"/>
        </w:rPr>
        <w:tab/>
      </w:r>
      <w:r w:rsidRPr="00CB38D9">
        <w:rPr>
          <w:noProof/>
        </w:rPr>
        <w:t>Scope</w:t>
      </w:r>
      <w:r>
        <w:rPr>
          <w:noProof/>
        </w:rPr>
        <w:tab/>
      </w:r>
      <w:r>
        <w:rPr>
          <w:noProof/>
        </w:rPr>
        <w:tab/>
      </w:r>
      <w:r w:rsidRPr="00CB38D9">
        <w:rPr>
          <w:noProof/>
        </w:rPr>
        <w:t>1</w:t>
      </w:r>
    </w:p>
    <w:p w14:paraId="07AAA3CD" w14:textId="3D39C2C3" w:rsidR="00CB38D9" w:rsidRDefault="00CB38D9" w:rsidP="00CB38D9">
      <w:pPr>
        <w:pStyle w:val="TOC2"/>
        <w:ind w:right="992"/>
        <w:rPr>
          <w:rFonts w:asciiTheme="minorHAnsi" w:eastAsiaTheme="minorEastAsia" w:hAnsiTheme="minorHAnsi" w:cstheme="minorBidi"/>
          <w:noProof/>
          <w:kern w:val="2"/>
          <w:szCs w:val="24"/>
          <w:lang w:eastAsia="en-GB"/>
          <w14:ligatures w14:val="standardContextual"/>
        </w:rPr>
      </w:pPr>
      <w:r>
        <w:rPr>
          <w:noProof/>
        </w:rPr>
        <w:t>1.1</w:t>
      </w:r>
      <w:r>
        <w:rPr>
          <w:rFonts w:asciiTheme="minorHAnsi" w:eastAsiaTheme="minorEastAsia" w:hAnsiTheme="minorHAnsi" w:cstheme="minorBidi"/>
          <w:noProof/>
          <w:kern w:val="2"/>
          <w:szCs w:val="24"/>
          <w:lang w:eastAsia="en-GB"/>
          <w14:ligatures w14:val="standardContextual"/>
        </w:rPr>
        <w:tab/>
      </w:r>
      <w:r>
        <w:rPr>
          <w:noProof/>
        </w:rPr>
        <w:t xml:space="preserve">In </w:t>
      </w:r>
      <w:r w:rsidRPr="00CB38D9">
        <w:rPr>
          <w:noProof/>
        </w:rPr>
        <w:t>scope</w:t>
      </w:r>
      <w:r>
        <w:rPr>
          <w:noProof/>
        </w:rPr>
        <w:tab/>
      </w:r>
      <w:r>
        <w:rPr>
          <w:noProof/>
        </w:rPr>
        <w:tab/>
      </w:r>
      <w:r w:rsidRPr="00CB38D9">
        <w:rPr>
          <w:noProof/>
        </w:rPr>
        <w:t>1</w:t>
      </w:r>
    </w:p>
    <w:p w14:paraId="385AB2E9" w14:textId="12FA6AE4" w:rsidR="00CB38D9" w:rsidRDefault="00CB38D9" w:rsidP="00CB38D9">
      <w:pPr>
        <w:pStyle w:val="TOC2"/>
        <w:ind w:right="992"/>
        <w:rPr>
          <w:rFonts w:asciiTheme="minorHAnsi" w:eastAsiaTheme="minorEastAsia" w:hAnsiTheme="minorHAnsi" w:cstheme="minorBidi"/>
          <w:noProof/>
          <w:kern w:val="2"/>
          <w:szCs w:val="24"/>
          <w:lang w:eastAsia="en-GB"/>
          <w14:ligatures w14:val="standardContextual"/>
        </w:rPr>
      </w:pPr>
      <w:r>
        <w:rPr>
          <w:noProof/>
        </w:rPr>
        <w:t>1.2</w:t>
      </w:r>
      <w:r>
        <w:rPr>
          <w:rFonts w:asciiTheme="minorHAnsi" w:eastAsiaTheme="minorEastAsia" w:hAnsiTheme="minorHAnsi" w:cstheme="minorBidi"/>
          <w:noProof/>
          <w:kern w:val="2"/>
          <w:szCs w:val="24"/>
          <w:lang w:eastAsia="en-GB"/>
          <w14:ligatures w14:val="standardContextual"/>
        </w:rPr>
        <w:tab/>
      </w:r>
      <w:r>
        <w:rPr>
          <w:noProof/>
        </w:rPr>
        <w:t xml:space="preserve">Out of </w:t>
      </w:r>
      <w:r w:rsidRPr="00CB38D9">
        <w:rPr>
          <w:noProof/>
        </w:rPr>
        <w:t>scope</w:t>
      </w:r>
      <w:r>
        <w:rPr>
          <w:noProof/>
        </w:rPr>
        <w:tab/>
      </w:r>
      <w:r>
        <w:rPr>
          <w:noProof/>
        </w:rPr>
        <w:tab/>
      </w:r>
      <w:r w:rsidRPr="00CB38D9">
        <w:rPr>
          <w:noProof/>
        </w:rPr>
        <w:t>1</w:t>
      </w:r>
    </w:p>
    <w:p w14:paraId="0A8E5A68" w14:textId="12842011" w:rsidR="00CB38D9" w:rsidRDefault="00CB38D9" w:rsidP="00CB38D9">
      <w:pPr>
        <w:pStyle w:val="TOC2"/>
        <w:ind w:right="992"/>
        <w:rPr>
          <w:rFonts w:asciiTheme="minorHAnsi" w:eastAsiaTheme="minorEastAsia" w:hAnsiTheme="minorHAnsi" w:cstheme="minorBidi"/>
          <w:noProof/>
          <w:kern w:val="2"/>
          <w:szCs w:val="24"/>
          <w:lang w:eastAsia="en-GB"/>
          <w14:ligatures w14:val="standardContextual"/>
        </w:rPr>
      </w:pPr>
      <w:r>
        <w:rPr>
          <w:noProof/>
        </w:rPr>
        <w:t>1.3</w:t>
      </w:r>
      <w:r>
        <w:rPr>
          <w:rFonts w:asciiTheme="minorHAnsi" w:eastAsiaTheme="minorEastAsia" w:hAnsiTheme="minorHAnsi" w:cstheme="minorBidi"/>
          <w:noProof/>
          <w:kern w:val="2"/>
          <w:szCs w:val="24"/>
          <w:lang w:eastAsia="en-GB"/>
          <w14:ligatures w14:val="standardContextual"/>
        </w:rPr>
        <w:tab/>
      </w:r>
      <w:r w:rsidRPr="00CB38D9">
        <w:rPr>
          <w:noProof/>
        </w:rPr>
        <w:t>Applicability</w:t>
      </w:r>
      <w:r>
        <w:rPr>
          <w:noProof/>
        </w:rPr>
        <w:tab/>
      </w:r>
      <w:r>
        <w:rPr>
          <w:noProof/>
        </w:rPr>
        <w:tab/>
      </w:r>
      <w:r w:rsidRPr="00CB38D9">
        <w:rPr>
          <w:noProof/>
        </w:rPr>
        <w:t>2</w:t>
      </w:r>
    </w:p>
    <w:p w14:paraId="122EFF62" w14:textId="49203D51"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2</w:t>
      </w:r>
      <w:r>
        <w:rPr>
          <w:rFonts w:asciiTheme="minorHAnsi" w:eastAsiaTheme="minorEastAsia" w:hAnsiTheme="minorHAnsi" w:cstheme="minorBidi"/>
          <w:noProof/>
          <w:kern w:val="2"/>
          <w:szCs w:val="24"/>
          <w:lang w:eastAsia="en-GB"/>
          <w14:ligatures w14:val="standardContextual"/>
        </w:rPr>
        <w:tab/>
      </w:r>
      <w:r w:rsidRPr="00CB38D9">
        <w:rPr>
          <w:noProof/>
        </w:rPr>
        <w:t>References</w:t>
      </w:r>
      <w:r>
        <w:rPr>
          <w:noProof/>
        </w:rPr>
        <w:tab/>
      </w:r>
      <w:r>
        <w:rPr>
          <w:noProof/>
        </w:rPr>
        <w:tab/>
      </w:r>
      <w:r w:rsidRPr="00CB38D9">
        <w:rPr>
          <w:noProof/>
        </w:rPr>
        <w:t>2</w:t>
      </w:r>
    </w:p>
    <w:p w14:paraId="3007FD89" w14:textId="5FEF9C0C"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3</w:t>
      </w:r>
      <w:r>
        <w:rPr>
          <w:rFonts w:asciiTheme="minorHAnsi" w:eastAsiaTheme="minorEastAsia" w:hAnsiTheme="minorHAnsi" w:cstheme="minorBidi"/>
          <w:noProof/>
          <w:kern w:val="2"/>
          <w:szCs w:val="24"/>
          <w:lang w:eastAsia="en-GB"/>
          <w14:ligatures w14:val="standardContextual"/>
        </w:rPr>
        <w:tab/>
      </w:r>
      <w:r w:rsidRPr="00CB38D9">
        <w:rPr>
          <w:noProof/>
        </w:rPr>
        <w:t>Definitions</w:t>
      </w:r>
      <w:r>
        <w:rPr>
          <w:noProof/>
        </w:rPr>
        <w:tab/>
      </w:r>
      <w:r>
        <w:rPr>
          <w:noProof/>
        </w:rPr>
        <w:tab/>
      </w:r>
      <w:r w:rsidRPr="00CB38D9">
        <w:rPr>
          <w:noProof/>
        </w:rPr>
        <w:t>2</w:t>
      </w:r>
    </w:p>
    <w:p w14:paraId="3D964DAE" w14:textId="31D6E015" w:rsidR="00CB38D9" w:rsidRDefault="00CB38D9" w:rsidP="00CB38D9">
      <w:pPr>
        <w:pStyle w:val="TOC2"/>
        <w:ind w:right="992"/>
        <w:rPr>
          <w:rFonts w:asciiTheme="minorHAnsi" w:eastAsiaTheme="minorEastAsia" w:hAnsiTheme="minorHAnsi" w:cstheme="minorBidi"/>
          <w:noProof/>
          <w:kern w:val="2"/>
          <w:szCs w:val="24"/>
          <w:lang w:eastAsia="en-GB"/>
          <w14:ligatures w14:val="standardContextual"/>
        </w:rPr>
      </w:pPr>
      <w:r>
        <w:rPr>
          <w:noProof/>
        </w:rPr>
        <w:t>3.1</w:t>
      </w:r>
      <w:r>
        <w:rPr>
          <w:rFonts w:asciiTheme="minorHAnsi" w:eastAsiaTheme="minorEastAsia" w:hAnsiTheme="minorHAnsi" w:cstheme="minorBidi"/>
          <w:noProof/>
          <w:kern w:val="2"/>
          <w:szCs w:val="24"/>
          <w:lang w:eastAsia="en-GB"/>
          <w14:ligatures w14:val="standardContextual"/>
        </w:rPr>
        <w:tab/>
      </w:r>
      <w:r>
        <w:rPr>
          <w:noProof/>
        </w:rPr>
        <w:t xml:space="preserve">Terms defined </w:t>
      </w:r>
      <w:r w:rsidRPr="00CB38D9">
        <w:rPr>
          <w:noProof/>
        </w:rPr>
        <w:t>elsewhere</w:t>
      </w:r>
      <w:r>
        <w:rPr>
          <w:noProof/>
        </w:rPr>
        <w:tab/>
      </w:r>
      <w:r>
        <w:rPr>
          <w:noProof/>
        </w:rPr>
        <w:tab/>
      </w:r>
      <w:r w:rsidRPr="00CB38D9">
        <w:rPr>
          <w:noProof/>
        </w:rPr>
        <w:t>2</w:t>
      </w:r>
    </w:p>
    <w:p w14:paraId="4A2EEF0B" w14:textId="6D1F4C44" w:rsidR="00CB38D9" w:rsidRDefault="00CB38D9" w:rsidP="00CB38D9">
      <w:pPr>
        <w:pStyle w:val="TOC2"/>
        <w:ind w:right="992"/>
        <w:rPr>
          <w:rFonts w:asciiTheme="minorHAnsi" w:eastAsiaTheme="minorEastAsia" w:hAnsiTheme="minorHAnsi" w:cstheme="minorBidi"/>
          <w:noProof/>
          <w:kern w:val="2"/>
          <w:szCs w:val="24"/>
          <w:lang w:eastAsia="en-GB"/>
          <w14:ligatures w14:val="standardContextual"/>
        </w:rPr>
      </w:pPr>
      <w:r>
        <w:rPr>
          <w:noProof/>
        </w:rPr>
        <w:t>3.2</w:t>
      </w:r>
      <w:r>
        <w:rPr>
          <w:rFonts w:asciiTheme="minorHAnsi" w:eastAsiaTheme="minorEastAsia" w:hAnsiTheme="minorHAnsi" w:cstheme="minorBidi"/>
          <w:noProof/>
          <w:kern w:val="2"/>
          <w:szCs w:val="24"/>
          <w:lang w:eastAsia="en-GB"/>
          <w14:ligatures w14:val="standardContextual"/>
        </w:rPr>
        <w:tab/>
      </w:r>
      <w:r>
        <w:rPr>
          <w:noProof/>
        </w:rPr>
        <w:t xml:space="preserve">Terms defined in this Technical </w:t>
      </w:r>
      <w:r w:rsidRPr="00CB38D9">
        <w:rPr>
          <w:noProof/>
        </w:rPr>
        <w:t>Specification</w:t>
      </w:r>
      <w:r>
        <w:rPr>
          <w:noProof/>
        </w:rPr>
        <w:tab/>
      </w:r>
      <w:r>
        <w:rPr>
          <w:noProof/>
        </w:rPr>
        <w:tab/>
      </w:r>
      <w:r w:rsidRPr="00CB38D9">
        <w:rPr>
          <w:noProof/>
        </w:rPr>
        <w:t>2</w:t>
      </w:r>
    </w:p>
    <w:p w14:paraId="059542E1" w14:textId="091D2974"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4</w:t>
      </w:r>
      <w:r>
        <w:rPr>
          <w:rFonts w:asciiTheme="minorHAnsi" w:eastAsiaTheme="minorEastAsia" w:hAnsiTheme="minorHAnsi" w:cstheme="minorBidi"/>
          <w:noProof/>
          <w:kern w:val="2"/>
          <w:szCs w:val="24"/>
          <w:lang w:eastAsia="en-GB"/>
          <w14:ligatures w14:val="standardContextual"/>
        </w:rPr>
        <w:tab/>
      </w:r>
      <w:r>
        <w:rPr>
          <w:noProof/>
        </w:rPr>
        <w:t xml:space="preserve">Abbreviations and </w:t>
      </w:r>
      <w:r w:rsidRPr="00CB38D9">
        <w:rPr>
          <w:noProof/>
        </w:rPr>
        <w:t>acronyms</w:t>
      </w:r>
      <w:r>
        <w:rPr>
          <w:noProof/>
        </w:rPr>
        <w:tab/>
      </w:r>
      <w:r>
        <w:rPr>
          <w:noProof/>
        </w:rPr>
        <w:tab/>
      </w:r>
      <w:r w:rsidRPr="00CB38D9">
        <w:rPr>
          <w:noProof/>
        </w:rPr>
        <w:t>2</w:t>
      </w:r>
    </w:p>
    <w:p w14:paraId="4A3368F6" w14:textId="768C0BD7"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5</w:t>
      </w:r>
      <w:r>
        <w:rPr>
          <w:rFonts w:asciiTheme="minorHAnsi" w:eastAsiaTheme="minorEastAsia" w:hAnsiTheme="minorHAnsi" w:cstheme="minorBidi"/>
          <w:noProof/>
          <w:kern w:val="2"/>
          <w:szCs w:val="24"/>
          <w:lang w:eastAsia="en-GB"/>
          <w14:ligatures w14:val="standardContextual"/>
        </w:rPr>
        <w:tab/>
      </w:r>
      <w:r w:rsidRPr="00CB38D9">
        <w:rPr>
          <w:noProof/>
        </w:rPr>
        <w:t>Conventions</w:t>
      </w:r>
      <w:r>
        <w:rPr>
          <w:noProof/>
        </w:rPr>
        <w:tab/>
      </w:r>
      <w:r>
        <w:rPr>
          <w:noProof/>
        </w:rPr>
        <w:tab/>
      </w:r>
      <w:r w:rsidRPr="00CB38D9">
        <w:rPr>
          <w:noProof/>
        </w:rPr>
        <w:t>2</w:t>
      </w:r>
    </w:p>
    <w:p w14:paraId="314E7A30" w14:textId="24ADD076"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6</w:t>
      </w:r>
      <w:r>
        <w:rPr>
          <w:rFonts w:asciiTheme="minorHAnsi" w:eastAsiaTheme="minorEastAsia" w:hAnsiTheme="minorHAnsi" w:cstheme="minorBidi"/>
          <w:noProof/>
          <w:kern w:val="2"/>
          <w:szCs w:val="24"/>
          <w:lang w:eastAsia="en-GB"/>
          <w14:ligatures w14:val="standardContextual"/>
        </w:rPr>
        <w:tab/>
      </w:r>
      <w:r>
        <w:rPr>
          <w:noProof/>
        </w:rPr>
        <w:t xml:space="preserve">Overview and </w:t>
      </w:r>
      <w:r w:rsidRPr="00CB38D9">
        <w:rPr>
          <w:noProof/>
        </w:rPr>
        <w:t>principles</w:t>
      </w:r>
      <w:r>
        <w:rPr>
          <w:noProof/>
        </w:rPr>
        <w:tab/>
      </w:r>
      <w:r>
        <w:rPr>
          <w:noProof/>
        </w:rPr>
        <w:tab/>
      </w:r>
      <w:r w:rsidRPr="00CB38D9">
        <w:rPr>
          <w:noProof/>
        </w:rPr>
        <w:t>3</w:t>
      </w:r>
    </w:p>
    <w:p w14:paraId="2AB24E98" w14:textId="08C2E9DF" w:rsidR="00CB38D9" w:rsidRDefault="00CB38D9" w:rsidP="00CB38D9">
      <w:pPr>
        <w:pStyle w:val="TOC2"/>
        <w:ind w:right="992"/>
        <w:rPr>
          <w:rFonts w:asciiTheme="minorHAnsi" w:eastAsiaTheme="minorEastAsia" w:hAnsiTheme="minorHAnsi" w:cstheme="minorBidi"/>
          <w:noProof/>
          <w:kern w:val="2"/>
          <w:szCs w:val="24"/>
          <w:lang w:eastAsia="en-GB"/>
          <w14:ligatures w14:val="standardContextual"/>
        </w:rPr>
      </w:pPr>
      <w:r>
        <w:rPr>
          <w:noProof/>
        </w:rPr>
        <w:t>6.1</w:t>
      </w:r>
      <w:r>
        <w:rPr>
          <w:rFonts w:asciiTheme="minorHAnsi" w:eastAsiaTheme="minorEastAsia" w:hAnsiTheme="minorHAnsi" w:cstheme="minorBidi"/>
          <w:noProof/>
          <w:kern w:val="2"/>
          <w:szCs w:val="24"/>
          <w:lang w:eastAsia="en-GB"/>
          <w14:ligatures w14:val="standardContextual"/>
        </w:rPr>
        <w:tab/>
      </w:r>
      <w:r>
        <w:rPr>
          <w:noProof/>
        </w:rPr>
        <w:t xml:space="preserve">Classes of failure </w:t>
      </w:r>
      <w:r w:rsidRPr="00CB38D9">
        <w:rPr>
          <w:noProof/>
        </w:rPr>
        <w:t>addressed</w:t>
      </w:r>
      <w:r>
        <w:rPr>
          <w:noProof/>
        </w:rPr>
        <w:tab/>
      </w:r>
      <w:r>
        <w:rPr>
          <w:noProof/>
        </w:rPr>
        <w:tab/>
      </w:r>
      <w:r w:rsidRPr="00CB38D9">
        <w:rPr>
          <w:noProof/>
        </w:rPr>
        <w:t>3</w:t>
      </w:r>
    </w:p>
    <w:p w14:paraId="157DD7D1" w14:textId="6B016A5B" w:rsidR="00CB38D9" w:rsidRDefault="00CB38D9" w:rsidP="00CB38D9">
      <w:pPr>
        <w:pStyle w:val="TOC2"/>
        <w:ind w:right="992"/>
        <w:rPr>
          <w:rFonts w:asciiTheme="minorHAnsi" w:eastAsiaTheme="minorEastAsia" w:hAnsiTheme="minorHAnsi" w:cstheme="minorBidi"/>
          <w:noProof/>
          <w:kern w:val="2"/>
          <w:szCs w:val="24"/>
          <w:lang w:eastAsia="en-GB"/>
          <w14:ligatures w14:val="standardContextual"/>
        </w:rPr>
      </w:pPr>
      <w:r>
        <w:rPr>
          <w:noProof/>
        </w:rPr>
        <w:t>6.2</w:t>
      </w:r>
      <w:r>
        <w:rPr>
          <w:rFonts w:asciiTheme="minorHAnsi" w:eastAsiaTheme="minorEastAsia" w:hAnsiTheme="minorHAnsi" w:cstheme="minorBidi"/>
          <w:noProof/>
          <w:kern w:val="2"/>
          <w:szCs w:val="24"/>
          <w:lang w:eastAsia="en-GB"/>
          <w14:ligatures w14:val="standardContextual"/>
        </w:rPr>
        <w:tab/>
      </w:r>
      <w:r>
        <w:rPr>
          <w:noProof/>
        </w:rPr>
        <w:t xml:space="preserve">Design </w:t>
      </w:r>
      <w:r w:rsidRPr="00CB38D9">
        <w:rPr>
          <w:noProof/>
        </w:rPr>
        <w:t>principles</w:t>
      </w:r>
      <w:r>
        <w:rPr>
          <w:noProof/>
        </w:rPr>
        <w:tab/>
      </w:r>
      <w:r>
        <w:rPr>
          <w:noProof/>
        </w:rPr>
        <w:tab/>
      </w:r>
      <w:r w:rsidRPr="00CB38D9">
        <w:rPr>
          <w:noProof/>
        </w:rPr>
        <w:t>3</w:t>
      </w:r>
    </w:p>
    <w:p w14:paraId="17CD220D" w14:textId="7763FDBF"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7</w:t>
      </w:r>
      <w:r>
        <w:rPr>
          <w:rFonts w:asciiTheme="minorHAnsi" w:eastAsiaTheme="minorEastAsia" w:hAnsiTheme="minorHAnsi" w:cstheme="minorBidi"/>
          <w:noProof/>
          <w:kern w:val="2"/>
          <w:szCs w:val="24"/>
          <w:lang w:eastAsia="en-GB"/>
          <w14:ligatures w14:val="standardContextual"/>
        </w:rPr>
        <w:tab/>
      </w:r>
      <w:r>
        <w:rPr>
          <w:noProof/>
        </w:rPr>
        <w:t xml:space="preserve">Layered organization </w:t>
      </w:r>
      <w:r w:rsidRPr="00CB38D9">
        <w:rPr>
          <w:noProof/>
        </w:rPr>
        <w:t>model</w:t>
      </w:r>
      <w:r>
        <w:rPr>
          <w:noProof/>
        </w:rPr>
        <w:tab/>
      </w:r>
      <w:r>
        <w:rPr>
          <w:noProof/>
        </w:rPr>
        <w:tab/>
      </w:r>
      <w:r w:rsidRPr="00CB38D9">
        <w:rPr>
          <w:noProof/>
        </w:rPr>
        <w:t>4</w:t>
      </w:r>
    </w:p>
    <w:p w14:paraId="33A01E3F" w14:textId="2F7D51B8"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8</w:t>
      </w:r>
      <w:r>
        <w:rPr>
          <w:rFonts w:asciiTheme="minorHAnsi" w:eastAsiaTheme="minorEastAsia" w:hAnsiTheme="minorHAnsi" w:cstheme="minorBidi"/>
          <w:noProof/>
          <w:kern w:val="2"/>
          <w:szCs w:val="24"/>
          <w:lang w:eastAsia="en-GB"/>
          <w14:ligatures w14:val="standardContextual"/>
        </w:rPr>
        <w:tab/>
      </w:r>
      <w:r>
        <w:rPr>
          <w:noProof/>
        </w:rPr>
        <w:t xml:space="preserve">Descriptor and </w:t>
      </w:r>
      <w:r w:rsidRPr="00CB38D9">
        <w:rPr>
          <w:noProof/>
        </w:rPr>
        <w:t>header</w:t>
      </w:r>
      <w:r>
        <w:rPr>
          <w:noProof/>
        </w:rPr>
        <w:tab/>
      </w:r>
      <w:r>
        <w:rPr>
          <w:noProof/>
        </w:rPr>
        <w:tab/>
      </w:r>
      <w:r w:rsidRPr="00CB38D9">
        <w:rPr>
          <w:noProof/>
        </w:rPr>
        <w:t>5</w:t>
      </w:r>
    </w:p>
    <w:p w14:paraId="20B52257" w14:textId="36A2CD9D"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9</w:t>
      </w:r>
      <w:r>
        <w:rPr>
          <w:rFonts w:asciiTheme="minorHAnsi" w:eastAsiaTheme="minorEastAsia" w:hAnsiTheme="minorHAnsi" w:cstheme="minorBidi"/>
          <w:noProof/>
          <w:kern w:val="2"/>
          <w:szCs w:val="24"/>
          <w:lang w:eastAsia="en-GB"/>
          <w14:ligatures w14:val="standardContextual"/>
        </w:rPr>
        <w:tab/>
      </w:r>
      <w:r>
        <w:rPr>
          <w:noProof/>
        </w:rPr>
        <w:t xml:space="preserve">Physical </w:t>
      </w:r>
      <w:r w:rsidRPr="00CB38D9">
        <w:rPr>
          <w:noProof/>
        </w:rPr>
        <w:t>grounding</w:t>
      </w:r>
      <w:r>
        <w:rPr>
          <w:noProof/>
        </w:rPr>
        <w:tab/>
      </w:r>
      <w:r>
        <w:rPr>
          <w:noProof/>
        </w:rPr>
        <w:tab/>
      </w:r>
      <w:r w:rsidRPr="00CB38D9">
        <w:rPr>
          <w:noProof/>
        </w:rPr>
        <w:t>5</w:t>
      </w:r>
    </w:p>
    <w:p w14:paraId="5FF33A12" w14:textId="698C09E0"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10</w:t>
      </w:r>
      <w:r>
        <w:rPr>
          <w:rFonts w:asciiTheme="minorHAnsi" w:eastAsiaTheme="minorEastAsia" w:hAnsiTheme="minorHAnsi" w:cstheme="minorBidi"/>
          <w:noProof/>
          <w:kern w:val="2"/>
          <w:szCs w:val="24"/>
          <w:lang w:eastAsia="en-GB"/>
          <w14:ligatures w14:val="standardContextual"/>
        </w:rPr>
        <w:tab/>
      </w:r>
      <w:r>
        <w:rPr>
          <w:noProof/>
        </w:rPr>
        <w:t xml:space="preserve">Affordance and interaction </w:t>
      </w:r>
      <w:r w:rsidRPr="00CB38D9">
        <w:rPr>
          <w:noProof/>
        </w:rPr>
        <w:t>representation</w:t>
      </w:r>
      <w:r>
        <w:rPr>
          <w:noProof/>
        </w:rPr>
        <w:tab/>
      </w:r>
      <w:r>
        <w:rPr>
          <w:noProof/>
        </w:rPr>
        <w:tab/>
      </w:r>
      <w:r w:rsidRPr="00CB38D9">
        <w:rPr>
          <w:noProof/>
        </w:rPr>
        <w:t>6</w:t>
      </w:r>
    </w:p>
    <w:p w14:paraId="1107B5E9" w14:textId="29C73188"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11</w:t>
      </w:r>
      <w:r>
        <w:rPr>
          <w:rFonts w:asciiTheme="minorHAnsi" w:eastAsiaTheme="minorEastAsia" w:hAnsiTheme="minorHAnsi" w:cstheme="minorBidi"/>
          <w:noProof/>
          <w:kern w:val="2"/>
          <w:szCs w:val="24"/>
          <w:lang w:eastAsia="en-GB"/>
          <w14:ligatures w14:val="standardContextual"/>
        </w:rPr>
        <w:tab/>
      </w:r>
      <w:r>
        <w:rPr>
          <w:noProof/>
        </w:rPr>
        <w:t xml:space="preserve">Consistency </w:t>
      </w:r>
      <w:r w:rsidRPr="00CB38D9">
        <w:rPr>
          <w:noProof/>
        </w:rPr>
        <w:t>constraints</w:t>
      </w:r>
      <w:r>
        <w:rPr>
          <w:noProof/>
        </w:rPr>
        <w:tab/>
      </w:r>
      <w:r>
        <w:rPr>
          <w:noProof/>
        </w:rPr>
        <w:tab/>
      </w:r>
      <w:r w:rsidRPr="00CB38D9">
        <w:rPr>
          <w:noProof/>
        </w:rPr>
        <w:t>7</w:t>
      </w:r>
    </w:p>
    <w:p w14:paraId="6FDA584D" w14:textId="15C74170"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12</w:t>
      </w:r>
      <w:r>
        <w:rPr>
          <w:rFonts w:asciiTheme="minorHAnsi" w:eastAsiaTheme="minorEastAsia" w:hAnsiTheme="minorHAnsi" w:cstheme="minorBidi"/>
          <w:noProof/>
          <w:kern w:val="2"/>
          <w:szCs w:val="24"/>
          <w:lang w:eastAsia="en-GB"/>
          <w14:ligatures w14:val="standardContextual"/>
        </w:rPr>
        <w:tab/>
      </w:r>
      <w:r>
        <w:rPr>
          <w:noProof/>
        </w:rPr>
        <w:t xml:space="preserve">Conformance profiles and </w:t>
      </w:r>
      <w:r w:rsidRPr="00CB38D9">
        <w:rPr>
          <w:noProof/>
        </w:rPr>
        <w:t>reporting</w:t>
      </w:r>
      <w:r>
        <w:rPr>
          <w:noProof/>
        </w:rPr>
        <w:tab/>
      </w:r>
      <w:r>
        <w:rPr>
          <w:noProof/>
        </w:rPr>
        <w:tab/>
      </w:r>
      <w:r w:rsidRPr="00CB38D9">
        <w:rPr>
          <w:noProof/>
        </w:rPr>
        <w:t>7</w:t>
      </w:r>
    </w:p>
    <w:p w14:paraId="267A65B4" w14:textId="6D782BD0"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13</w:t>
      </w:r>
      <w:r>
        <w:rPr>
          <w:rFonts w:asciiTheme="minorHAnsi" w:eastAsiaTheme="minorEastAsia" w:hAnsiTheme="minorHAnsi" w:cstheme="minorBidi"/>
          <w:noProof/>
          <w:kern w:val="2"/>
          <w:szCs w:val="24"/>
          <w:lang w:eastAsia="en-GB"/>
          <w14:ligatures w14:val="standardContextual"/>
        </w:rPr>
        <w:tab/>
      </w:r>
      <w:r>
        <w:rPr>
          <w:noProof/>
        </w:rPr>
        <w:t xml:space="preserve">Derived </w:t>
      </w:r>
      <w:r w:rsidRPr="00CB38D9">
        <w:rPr>
          <w:noProof/>
        </w:rPr>
        <w:t>state</w:t>
      </w:r>
      <w:r>
        <w:rPr>
          <w:noProof/>
        </w:rPr>
        <w:tab/>
      </w:r>
      <w:r>
        <w:rPr>
          <w:noProof/>
        </w:rPr>
        <w:tab/>
      </w:r>
      <w:r w:rsidRPr="00CB38D9">
        <w:rPr>
          <w:noProof/>
        </w:rPr>
        <w:t>8</w:t>
      </w:r>
    </w:p>
    <w:p w14:paraId="409C7B3D" w14:textId="3045BE72" w:rsidR="00CB38D9" w:rsidRDefault="00CB38D9" w:rsidP="00CB38D9">
      <w:pPr>
        <w:pStyle w:val="TOC1"/>
        <w:ind w:right="992"/>
        <w:rPr>
          <w:rFonts w:asciiTheme="minorHAnsi" w:eastAsiaTheme="minorEastAsia" w:hAnsiTheme="minorHAnsi" w:cstheme="minorBidi"/>
          <w:noProof/>
          <w:kern w:val="2"/>
          <w:szCs w:val="24"/>
          <w:lang w:eastAsia="en-GB"/>
          <w14:ligatures w14:val="standardContextual"/>
        </w:rPr>
      </w:pPr>
      <w:r>
        <w:rPr>
          <w:noProof/>
        </w:rPr>
        <w:t>Appendix I</w:t>
      </w:r>
      <w:r w:rsidRPr="007057A7">
        <w:rPr>
          <w:noProof/>
          <w:lang w:val="ru-RU"/>
        </w:rPr>
        <w:t xml:space="preserve"> </w:t>
      </w:r>
      <w:r w:rsidRPr="00CB38D9">
        <w:rPr>
          <w:noProof/>
          <w:lang w:val="ru-RU"/>
        </w:rPr>
        <w:t>–</w:t>
      </w:r>
      <w:r>
        <w:rPr>
          <w:noProof/>
        </w:rPr>
        <w:t xml:space="preserve"> Illustrative consistency </w:t>
      </w:r>
      <w:r w:rsidRPr="00CB38D9">
        <w:rPr>
          <w:noProof/>
        </w:rPr>
        <w:t>predicates</w:t>
      </w:r>
      <w:r>
        <w:rPr>
          <w:noProof/>
        </w:rPr>
        <w:tab/>
      </w:r>
      <w:r>
        <w:rPr>
          <w:noProof/>
        </w:rPr>
        <w:tab/>
      </w:r>
      <w:r w:rsidRPr="00CB38D9">
        <w:rPr>
          <w:noProof/>
        </w:rPr>
        <w:t>9</w:t>
      </w:r>
    </w:p>
    <w:p w14:paraId="4E30ACA0" w14:textId="7EA7F074" w:rsidR="00CB38D9" w:rsidRPr="00DE0B05" w:rsidRDefault="00CB38D9" w:rsidP="00CB38D9">
      <w:pPr>
        <w:pStyle w:val="TOC1"/>
        <w:ind w:right="992"/>
        <w:rPr>
          <w:rFonts w:asciiTheme="minorHAnsi" w:eastAsiaTheme="minorEastAsia" w:hAnsiTheme="minorHAnsi" w:cstheme="minorBidi"/>
          <w:noProof/>
          <w:kern w:val="2"/>
          <w:szCs w:val="24"/>
          <w:lang w:val="fr-CH" w:eastAsia="en-GB"/>
          <w14:ligatures w14:val="standardContextual"/>
        </w:rPr>
      </w:pPr>
      <w:r w:rsidRPr="00DE0B05">
        <w:rPr>
          <w:noProof/>
          <w:lang w:val="fr-CH"/>
        </w:rPr>
        <w:t>Appendix II</w:t>
      </w:r>
      <w:r w:rsidRPr="007057A7">
        <w:rPr>
          <w:noProof/>
          <w:lang w:val="ru-RU"/>
        </w:rPr>
        <w:t xml:space="preserve"> </w:t>
      </w:r>
      <w:r w:rsidRPr="00CB38D9">
        <w:rPr>
          <w:noProof/>
          <w:lang w:val="ru-RU"/>
        </w:rPr>
        <w:t>–</w:t>
      </w:r>
      <w:r w:rsidRPr="00DE0B05">
        <w:rPr>
          <w:noProof/>
          <w:lang w:val="fr-CH"/>
        </w:rPr>
        <w:t xml:space="preserve"> Illustrative interaction contracts</w:t>
      </w:r>
      <w:r w:rsidRPr="00DE0B05">
        <w:rPr>
          <w:noProof/>
          <w:lang w:val="fr-CH"/>
        </w:rPr>
        <w:tab/>
      </w:r>
      <w:r w:rsidRPr="00DE0B05">
        <w:rPr>
          <w:noProof/>
          <w:lang w:val="fr-CH"/>
        </w:rPr>
        <w:tab/>
        <w:t>10</w:t>
      </w:r>
    </w:p>
    <w:p w14:paraId="5FF26C54" w14:textId="4866F159" w:rsidR="00831046" w:rsidRPr="00DE0B05" w:rsidRDefault="00831046" w:rsidP="00CB38D9">
      <w:pPr>
        <w:rPr>
          <w:lang w:val="fr-CH"/>
        </w:rPr>
      </w:pPr>
    </w:p>
    <w:p w14:paraId="1AD9672F" w14:textId="77777777" w:rsidR="00CB38D9" w:rsidRPr="00DE0B05" w:rsidRDefault="00CB38D9" w:rsidP="00831046">
      <w:pPr>
        <w:rPr>
          <w:lang w:val="fr-CH"/>
        </w:rPr>
      </w:pPr>
    </w:p>
    <w:p w14:paraId="7232B472" w14:textId="77777777" w:rsidR="00831046" w:rsidRPr="00DE0B05" w:rsidRDefault="00831046" w:rsidP="00831046">
      <w:pPr>
        <w:rPr>
          <w:b/>
          <w:bCs/>
          <w:lang w:val="fr-CH"/>
        </w:rPr>
        <w:sectPr w:rsidR="00831046" w:rsidRPr="00DE0B05" w:rsidSect="00831046">
          <w:headerReference w:type="default" r:id="rId25"/>
          <w:footerReference w:type="even" r:id="rId26"/>
          <w:footerReference w:type="default" r:id="rId27"/>
          <w:type w:val="oddPage"/>
          <w:pgSz w:w="11907" w:h="16834"/>
          <w:pgMar w:top="1134" w:right="1134" w:bottom="1134" w:left="1134" w:header="567" w:footer="567" w:gutter="0"/>
          <w:paperSrc w:first="15" w:other="15"/>
          <w:pgNumType w:fmt="lowerRoman" w:start="1"/>
          <w:cols w:space="720"/>
          <w:docGrid w:linePitch="326"/>
        </w:sectPr>
      </w:pPr>
    </w:p>
    <w:p w14:paraId="7E052DFA" w14:textId="36B7153E" w:rsidR="001A1F0C" w:rsidRPr="00DE0B05" w:rsidRDefault="00831046" w:rsidP="00831046">
      <w:pPr>
        <w:pStyle w:val="RecNo"/>
        <w:rPr>
          <w:szCs w:val="28"/>
          <w:lang w:val="fr-CH"/>
        </w:rPr>
      </w:pPr>
      <w:bookmarkStart w:id="9" w:name="p1rectexte"/>
      <w:bookmarkEnd w:id="9"/>
      <w:r w:rsidRPr="00DE0B05">
        <w:rPr>
          <w:lang w:val="fr-CH"/>
        </w:rPr>
        <w:lastRenderedPageBreak/>
        <w:t xml:space="preserve">Technical Report </w:t>
      </w:r>
      <w:r w:rsidR="00FF5D07" w:rsidRPr="00DE0B05">
        <w:rPr>
          <w:lang w:val="fr-CH"/>
        </w:rPr>
        <w:t xml:space="preserve">ITU-T </w:t>
      </w:r>
      <w:r w:rsidR="00482248" w:rsidRPr="00DE0B05">
        <w:rPr>
          <w:lang w:val="fr-CH"/>
        </w:rPr>
        <w:t>FG-EAI D2.2</w:t>
      </w:r>
    </w:p>
    <w:p w14:paraId="508D10FB" w14:textId="77AEE3BD" w:rsidR="001A1F0C" w:rsidRPr="001C14DA" w:rsidRDefault="00FF5D07" w:rsidP="00831046">
      <w:pPr>
        <w:pStyle w:val="Rectitle"/>
        <w:rPr>
          <w:rFonts w:eastAsia="Yu Mincho"/>
        </w:rPr>
      </w:pPr>
      <w:r>
        <w:t>Physical-semantic and affordance-aware organization of 3D assets and scenes for embodied artificial intelligence</w:t>
      </w:r>
    </w:p>
    <w:p w14:paraId="5752F9F8" w14:textId="77777777" w:rsidR="001A1F0C" w:rsidRDefault="00FF5D07">
      <w:pPr>
        <w:pStyle w:val="Heading1"/>
      </w:pPr>
      <w:bookmarkStart w:id="10" w:name="_Toc19838"/>
      <w:bookmarkStart w:id="11" w:name="_Toc243469491"/>
      <w:bookmarkStart w:id="12" w:name="_Toc244165432"/>
      <w:r>
        <w:t>1</w:t>
      </w:r>
      <w:r>
        <w:tab/>
        <w:t>Scope</w:t>
      </w:r>
      <w:bookmarkEnd w:id="10"/>
      <w:bookmarkEnd w:id="11"/>
      <w:bookmarkEnd w:id="12"/>
    </w:p>
    <w:p w14:paraId="254C7E7B" w14:textId="77777777" w:rsidR="001A1F0C" w:rsidRDefault="00FF5D07" w:rsidP="00BE3466">
      <w:r>
        <w:t>This Technical Specification describes the organization, declaration and checking of 3D assets and scenes intended for use by embodied artificial intelligence (EAI) systems within multimedia environments for embodied AI.</w:t>
      </w:r>
    </w:p>
    <w:p w14:paraId="029CF0EE" w14:textId="77777777" w:rsidR="001A1F0C" w:rsidRDefault="00FF5D07">
      <w:pPr>
        <w:pStyle w:val="Heading2"/>
      </w:pPr>
      <w:bookmarkStart w:id="13" w:name="_Toc244165433"/>
      <w:r>
        <w:t>1.1</w:t>
      </w:r>
      <w:r>
        <w:tab/>
        <w:t>In scope</w:t>
      </w:r>
      <w:bookmarkEnd w:id="13"/>
    </w:p>
    <w:p w14:paraId="59D38F6F" w14:textId="77777777" w:rsidR="001A1F0C" w:rsidRDefault="00FF5D07" w:rsidP="00BE3466">
      <w:r>
        <w:t>This Technical Specification specifies:</w:t>
      </w:r>
    </w:p>
    <w:p w14:paraId="24327F47" w14:textId="3BA346AF" w:rsidR="001A1F0C" w:rsidRDefault="00BE3466" w:rsidP="00BE3466">
      <w:pPr>
        <w:pStyle w:val="enumlev1"/>
      </w:pPr>
      <w:r>
        <w:t>–</w:t>
      </w:r>
      <w:r>
        <w:tab/>
      </w:r>
      <w:r w:rsidR="00FF5D07">
        <w:t>a layered organization model covering assets (L0), scenes (L1), datasets (L2) and registries (L3), and the referencing rules between layers;</w:t>
      </w:r>
    </w:p>
    <w:p w14:paraId="40498B21" w14:textId="31FF3DDC" w:rsidR="001A1F0C" w:rsidRDefault="00BE3466" w:rsidP="00BE3466">
      <w:pPr>
        <w:pStyle w:val="enumlev1"/>
      </w:pPr>
      <w:r>
        <w:t>–</w:t>
      </w:r>
      <w:r>
        <w:tab/>
      </w:r>
      <w:r w:rsidR="00FF5D07">
        <w:t>the separation of descriptor from payload, and the content of the self-describing header;</w:t>
      </w:r>
    </w:p>
    <w:p w14:paraId="606B3DA3" w14:textId="79427F2B" w:rsidR="001A1F0C" w:rsidRDefault="00BE3466" w:rsidP="00BE3466">
      <w:pPr>
        <w:pStyle w:val="enumlev1"/>
      </w:pPr>
      <w:r>
        <w:t>–</w:t>
      </w:r>
      <w:r>
        <w:tab/>
      </w:r>
      <w:r w:rsidR="00FF5D07">
        <w:t>a three-state declaration discipline distinguishing a declared value, a declared absence and an undeclared field;</w:t>
      </w:r>
    </w:p>
    <w:p w14:paraId="0D288F74" w14:textId="60B38324" w:rsidR="001A1F0C" w:rsidRDefault="00BE3466" w:rsidP="00BE3466">
      <w:pPr>
        <w:pStyle w:val="enumlev1"/>
      </w:pPr>
      <w:r>
        <w:t>–</w:t>
      </w:r>
      <w:r>
        <w:tab/>
      </w:r>
      <w:r w:rsidR="00FF5D07">
        <w:t>the physical-semantic metadata required to ensure spatio-temporal consistency, including absolute scale, mass properties, surface properties and collision representation, etc.;</w:t>
      </w:r>
    </w:p>
    <w:p w14:paraId="68140491" w14:textId="5A11AE7F" w:rsidR="001A1F0C" w:rsidRDefault="00BE3466" w:rsidP="00BE3466">
      <w:pPr>
        <w:pStyle w:val="enumlev1"/>
      </w:pPr>
      <w:r>
        <w:t>–</w:t>
      </w:r>
      <w:r>
        <w:tab/>
      </w:r>
      <w:r w:rsidR="00FF5D07">
        <w:t>the explicit declaration of conventions, including unit of length, up-axis, forward-axis and reference frame;</w:t>
      </w:r>
    </w:p>
    <w:p w14:paraId="63002E0D" w14:textId="4922BC61" w:rsidR="001A1F0C" w:rsidRDefault="00BE3466" w:rsidP="00BE3466">
      <w:pPr>
        <w:pStyle w:val="enumlev1"/>
      </w:pPr>
      <w:r>
        <w:t>–</w:t>
      </w:r>
      <w:r>
        <w:tab/>
      </w:r>
      <w:r w:rsidR="00FF5D07">
        <w:t>the representation of an interaction capability as a contract, associating a declared capability with the information a consumer needs in order to attempt the interaction;</w:t>
      </w:r>
    </w:p>
    <w:p w14:paraId="18F3A0D6" w14:textId="5A3F1E81" w:rsidR="001A1F0C" w:rsidRDefault="00BE3466" w:rsidP="00BE3466">
      <w:pPr>
        <w:pStyle w:val="enumlev1"/>
      </w:pPr>
      <w:r>
        <w:t>–</w:t>
      </w:r>
      <w:r>
        <w:tab/>
      </w:r>
      <w:r w:rsidR="00FF5D07">
        <w:t>consistency conditions between independently authored layers of the same asset or scene;</w:t>
      </w:r>
    </w:p>
    <w:p w14:paraId="556DEBBC" w14:textId="161E6F83" w:rsidR="001A1F0C" w:rsidRDefault="00BE3466" w:rsidP="00BE3466">
      <w:pPr>
        <w:pStyle w:val="enumlev1"/>
      </w:pPr>
      <w:r>
        <w:t>–</w:t>
      </w:r>
      <w:r>
        <w:tab/>
      </w:r>
      <w:r w:rsidR="00FF5D07">
        <w:t>conformance profiles and the reporting of an evaluation.</w:t>
      </w:r>
    </w:p>
    <w:p w14:paraId="74F97BC3" w14:textId="77777777" w:rsidR="001A1F0C" w:rsidRDefault="00FF5D07" w:rsidP="00BE3466">
      <w:r>
        <w:t>This Technical Specification describes the organization model and the declaration discipline. The</w:t>
      </w:r>
      <w:r>
        <w:rPr>
          <w:rFonts w:eastAsia="SimSun"/>
          <w:lang w:val="en-US" w:eastAsia="zh-CN"/>
        </w:rPr>
        <w:t xml:space="preserve"> </w:t>
      </w:r>
      <w:r>
        <w:t>illustrative material in Appendices I and II is provided to show that the declarations described here can be made concrete and machine-checkable. It is not intended to be exhaustive, and the field-level detail of a future specification is not fixed by this document.</w:t>
      </w:r>
    </w:p>
    <w:p w14:paraId="087DB757" w14:textId="77777777" w:rsidR="001A1F0C" w:rsidRDefault="00FF5D07">
      <w:pPr>
        <w:pStyle w:val="Heading2"/>
      </w:pPr>
      <w:bookmarkStart w:id="14" w:name="_Toc244165434"/>
      <w:r>
        <w:t>1.2</w:t>
      </w:r>
      <w:r>
        <w:tab/>
        <w:t>Out of scope</w:t>
      </w:r>
      <w:bookmarkEnd w:id="14"/>
    </w:p>
    <w:p w14:paraId="59EF2A85" w14:textId="705FB72C" w:rsidR="001A1F0C" w:rsidRDefault="00C610D5" w:rsidP="00BE3466">
      <w:r>
        <w:t>This Technical Specification</w:t>
      </w:r>
      <w:r w:rsidR="00FF5D07">
        <w:t xml:space="preserve"> does not specify:</w:t>
      </w:r>
    </w:p>
    <w:p w14:paraId="473F06B5" w14:textId="4DC83E98" w:rsidR="001A1F0C" w:rsidRDefault="00BE3466" w:rsidP="00BE3466">
      <w:pPr>
        <w:pStyle w:val="enumlev1"/>
      </w:pPr>
      <w:r>
        <w:t>–</w:t>
      </w:r>
      <w:r>
        <w:tab/>
      </w:r>
      <w:r w:rsidR="00FF5D07">
        <w:t>the internal structure of trajectory, demonstration or episode data;</w:t>
      </w:r>
    </w:p>
    <w:p w14:paraId="57F13827" w14:textId="0313B7D5" w:rsidR="001A1F0C" w:rsidRDefault="00BE3466" w:rsidP="00BE3466">
      <w:pPr>
        <w:pStyle w:val="enumlev1"/>
      </w:pPr>
      <w:r>
        <w:t>–</w:t>
      </w:r>
      <w:r>
        <w:tab/>
      </w:r>
      <w:r w:rsidR="00FF5D07">
        <w:t>planning, control, policy or learning methods, or any method of training an embodied agent;</w:t>
      </w:r>
    </w:p>
    <w:p w14:paraId="5C04074F" w14:textId="6102AAFD" w:rsidR="001A1F0C" w:rsidRPr="00BE3466" w:rsidRDefault="00BE3466" w:rsidP="00BE3466">
      <w:pPr>
        <w:pStyle w:val="enumlev1"/>
      </w:pPr>
      <w:r>
        <w:t>–</w:t>
      </w:r>
      <w:r>
        <w:tab/>
      </w:r>
      <w:r w:rsidR="00FF5D07">
        <w:t>the numerical methods by which a physics engine solves contact, articulation or dynamics;</w:t>
      </w:r>
    </w:p>
    <w:p w14:paraId="2199450E" w14:textId="596B5E15" w:rsidR="001A1F0C" w:rsidRDefault="00BE3466" w:rsidP="00BE3466">
      <w:pPr>
        <w:pStyle w:val="enumlev1"/>
      </w:pPr>
      <w:r>
        <w:t>–</w:t>
      </w:r>
      <w:r>
        <w:tab/>
      </w:r>
      <w:r w:rsidR="00FF5D07">
        <w:t>the repair, regeneration or re-authoring of non-conformant assets;</w:t>
      </w:r>
    </w:p>
    <w:p w14:paraId="0FFAFE62" w14:textId="46B21B51" w:rsidR="001A1F0C" w:rsidRDefault="00BE3466" w:rsidP="00BE3466">
      <w:pPr>
        <w:pStyle w:val="enumlev1"/>
      </w:pPr>
      <w:r>
        <w:t>–</w:t>
      </w:r>
      <w:r>
        <w:tab/>
      </w:r>
      <w:r w:rsidR="00FF5D07">
        <w:t xml:space="preserve">any guarantee that a runtime implementation will keep visual and physical behaviour synchronized; this </w:t>
      </w:r>
      <w:r w:rsidR="00E519A0">
        <w:t>Technical Specification</w:t>
      </w:r>
      <w:r w:rsidR="00FF5D07">
        <w:t xml:space="preserve"> describes how the relationship is declared and checked, not how it is enforced at runtime;</w:t>
      </w:r>
    </w:p>
    <w:p w14:paraId="2AFDB657" w14:textId="074616AD" w:rsidR="001A1F0C" w:rsidRDefault="00BE3466" w:rsidP="00BE3466">
      <w:pPr>
        <w:pStyle w:val="enumlev1"/>
      </w:pPr>
      <w:r>
        <w:t>–</w:t>
      </w:r>
      <w:r>
        <w:tab/>
      </w:r>
      <w:r w:rsidR="00FF5D07">
        <w:t>the semantic plausibility of a declared value; whether a stated friction coefficient is realistic for the material it claims to represent is outside the scope of the checks described here;</w:t>
      </w:r>
    </w:p>
    <w:p w14:paraId="6248FF0C" w14:textId="43E8B046" w:rsidR="001A1F0C" w:rsidRDefault="00BE3466" w:rsidP="00BE3466">
      <w:pPr>
        <w:pStyle w:val="enumlev1"/>
      </w:pPr>
      <w:r>
        <w:t>–</w:t>
      </w:r>
      <w:r>
        <w:tab/>
      </w:r>
      <w:r w:rsidR="00FF5D07">
        <w:t xml:space="preserve">a new geometry, material or scene interchange format; this </w:t>
      </w:r>
      <w:r w:rsidR="00E519A0">
        <w:t>Technical Specification</w:t>
      </w:r>
      <w:r w:rsidR="00FF5D07">
        <w:t xml:space="preserve"> is format-neutral and is intended to be carried by existing host formats;</w:t>
      </w:r>
    </w:p>
    <w:p w14:paraId="256D483A" w14:textId="6D7AB2FC" w:rsidR="001A1F0C" w:rsidRDefault="00BE3466" w:rsidP="00BE3466">
      <w:pPr>
        <w:pStyle w:val="enumlev1"/>
      </w:pPr>
      <w:r>
        <w:t>–</w:t>
      </w:r>
      <w:r>
        <w:tab/>
      </w:r>
      <w:r w:rsidR="00FF5D07">
        <w:t>the declaration of levels of detail; this is for further study.</w:t>
      </w:r>
    </w:p>
    <w:p w14:paraId="6C789CE1" w14:textId="77777777" w:rsidR="001A1F0C" w:rsidRDefault="00FF5D07">
      <w:pPr>
        <w:pStyle w:val="Heading2"/>
      </w:pPr>
      <w:bookmarkStart w:id="15" w:name="_Toc244165435"/>
      <w:r>
        <w:lastRenderedPageBreak/>
        <w:t>1.3</w:t>
      </w:r>
      <w:r>
        <w:tab/>
        <w:t>Applicability</w:t>
      </w:r>
      <w:bookmarkEnd w:id="15"/>
    </w:p>
    <w:p w14:paraId="6A274C56" w14:textId="77777777" w:rsidR="001A1F0C" w:rsidRDefault="00FF5D07" w:rsidP="00BE3466">
      <w:r>
        <w:t>This Technical Specification applies to assets and scenes that are intended to be consumed within a simulation environment for embodied artificial intelligence.</w:t>
      </w:r>
    </w:p>
    <w:p w14:paraId="00A86EF7" w14:textId="77777777" w:rsidR="001A1F0C" w:rsidRDefault="00FF5D07">
      <w:pPr>
        <w:pStyle w:val="Heading1"/>
      </w:pPr>
      <w:bookmarkStart w:id="16" w:name="_Toc30948"/>
      <w:bookmarkStart w:id="17" w:name="_Toc243469492"/>
      <w:bookmarkStart w:id="18" w:name="_Toc244165436"/>
      <w:r>
        <w:t>2</w:t>
      </w:r>
      <w:r>
        <w:tab/>
        <w:t>References</w:t>
      </w:r>
      <w:bookmarkEnd w:id="16"/>
      <w:bookmarkEnd w:id="17"/>
      <w:bookmarkEnd w:id="18"/>
    </w:p>
    <w:p w14:paraId="4BC2C770" w14:textId="7B30ECDE" w:rsidR="001A1F0C" w:rsidRDefault="00FF5D07" w:rsidP="00BE3466">
      <w:pPr>
        <w:pStyle w:val="Reftext"/>
        <w:tabs>
          <w:tab w:val="clear" w:pos="794"/>
          <w:tab w:val="clear" w:pos="1191"/>
          <w:tab w:val="clear" w:pos="1588"/>
          <w:tab w:val="clear" w:pos="1985"/>
        </w:tabs>
        <w:ind w:left="2268" w:hanging="2268"/>
      </w:pPr>
      <w:r>
        <w:t>[ITU-T F.748.66]</w:t>
      </w:r>
      <w:r>
        <w:tab/>
        <w:t xml:space="preserve">Recommendation ITU-T F.748.66 (2025), </w:t>
      </w:r>
      <w:r w:rsidRPr="00BE3466">
        <w:rPr>
          <w:i/>
          <w:iCs/>
        </w:rPr>
        <w:t>Requirements and framework for embodied artificial intelligence systems</w:t>
      </w:r>
      <w:r>
        <w:t>.</w:t>
      </w:r>
    </w:p>
    <w:p w14:paraId="0A69E7B0" w14:textId="2D310E51" w:rsidR="001A1F0C" w:rsidRDefault="00FF5D07" w:rsidP="00BE3466">
      <w:pPr>
        <w:pStyle w:val="Reftext"/>
        <w:tabs>
          <w:tab w:val="clear" w:pos="794"/>
          <w:tab w:val="clear" w:pos="1191"/>
          <w:tab w:val="clear" w:pos="1588"/>
          <w:tab w:val="clear" w:pos="1985"/>
        </w:tabs>
        <w:ind w:left="2268" w:hanging="2268"/>
      </w:pPr>
      <w:r>
        <w:t>[ISO/IEC 12113]</w:t>
      </w:r>
      <w:r>
        <w:rPr>
          <w:rFonts w:eastAsia="SimSun" w:hint="eastAsia"/>
          <w:lang w:val="en-US" w:eastAsia="zh-CN"/>
        </w:rPr>
        <w:tab/>
      </w:r>
      <w:r>
        <w:t xml:space="preserve">ISO/IEC 12113, </w:t>
      </w:r>
      <w:r w:rsidRPr="00BE3466">
        <w:rPr>
          <w:i/>
          <w:iCs/>
        </w:rPr>
        <w:t>Information technology – Runtime 3D asset delivery format</w:t>
      </w:r>
      <w:r w:rsidR="00BE3466">
        <w:rPr>
          <w:i/>
          <w:iCs/>
        </w:rPr>
        <w:t> </w:t>
      </w:r>
      <w:r w:rsidRPr="00BE3466">
        <w:rPr>
          <w:i/>
          <w:iCs/>
        </w:rPr>
        <w:t>– Khronos glTF 2.0</w:t>
      </w:r>
      <w:r>
        <w:t>.</w:t>
      </w:r>
    </w:p>
    <w:p w14:paraId="1BE9EFCE" w14:textId="77777777" w:rsidR="001A1F0C" w:rsidRDefault="00FF5D07" w:rsidP="00BE3466">
      <w:pPr>
        <w:pStyle w:val="Reftext"/>
        <w:tabs>
          <w:tab w:val="clear" w:pos="794"/>
          <w:tab w:val="clear" w:pos="1191"/>
          <w:tab w:val="clear" w:pos="1588"/>
          <w:tab w:val="clear" w:pos="1985"/>
        </w:tabs>
        <w:ind w:left="2268" w:hanging="2268"/>
      </w:pPr>
      <w:r>
        <w:t>[ISO/IEC 23090-14]</w:t>
      </w:r>
      <w:r>
        <w:rPr>
          <w:rFonts w:eastAsia="SimSun" w:hint="eastAsia"/>
          <w:lang w:val="en-US" w:eastAsia="zh-CN"/>
        </w:rPr>
        <w:tab/>
      </w:r>
      <w:r>
        <w:t xml:space="preserve">ISO/IEC 23090-14, </w:t>
      </w:r>
      <w:r w:rsidRPr="00BE3466">
        <w:rPr>
          <w:i/>
          <w:iCs/>
        </w:rPr>
        <w:t>Information technology – Coded representation of immersive media – Part 14: Scene description</w:t>
      </w:r>
      <w:r>
        <w:t>.</w:t>
      </w:r>
    </w:p>
    <w:p w14:paraId="6F3F42F5" w14:textId="77777777" w:rsidR="001A1F0C" w:rsidRDefault="00FF5D07">
      <w:pPr>
        <w:pStyle w:val="Heading1"/>
      </w:pPr>
      <w:bookmarkStart w:id="19" w:name="_Toc15381"/>
      <w:bookmarkStart w:id="20" w:name="_Toc243469493"/>
      <w:bookmarkStart w:id="21" w:name="_Toc244165437"/>
      <w:r>
        <w:t>3</w:t>
      </w:r>
      <w:r>
        <w:tab/>
        <w:t>Definitions</w:t>
      </w:r>
      <w:bookmarkEnd w:id="19"/>
      <w:bookmarkEnd w:id="20"/>
      <w:bookmarkEnd w:id="21"/>
    </w:p>
    <w:p w14:paraId="68F898B4" w14:textId="77777777" w:rsidR="001A1F0C" w:rsidRDefault="00FF5D07">
      <w:pPr>
        <w:pStyle w:val="Heading2"/>
      </w:pPr>
      <w:bookmarkStart w:id="22" w:name="_Toc244165438"/>
      <w:r>
        <w:t>3.1</w:t>
      </w:r>
      <w:r>
        <w:tab/>
        <w:t>Terms defined elsewhere</w:t>
      </w:r>
      <w:bookmarkEnd w:id="22"/>
    </w:p>
    <w:p w14:paraId="24071A38" w14:textId="5B4F142A" w:rsidR="001A1F0C" w:rsidRDefault="00FF5D07" w:rsidP="00094993">
      <w:r>
        <w:t>This Technical Specification uses the following term defined elsewhere:</w:t>
      </w:r>
    </w:p>
    <w:p w14:paraId="3F858E3E" w14:textId="77777777" w:rsidR="001A1F0C" w:rsidRDefault="00FF5D07" w:rsidP="00A32D7B">
      <w:r w:rsidRPr="00A32D7B">
        <w:rPr>
          <w:b/>
          <w:bCs/>
        </w:rPr>
        <w:t>3.1.1</w:t>
      </w:r>
      <w:r>
        <w:tab/>
      </w:r>
      <w:r w:rsidRPr="00A32D7B">
        <w:rPr>
          <w:b/>
          <w:bCs/>
        </w:rPr>
        <w:t>embodied artificial intelligence (EAI)</w:t>
      </w:r>
      <w:r>
        <w:t xml:space="preserve"> [ITU-T F.748.66]: Artificial intelligence integrated into physical systems that interact autonomously with and adapt to the physical world.</w:t>
      </w:r>
    </w:p>
    <w:p w14:paraId="01AEA756" w14:textId="2118C318" w:rsidR="001A1F0C" w:rsidRDefault="00FF5D07">
      <w:pPr>
        <w:pStyle w:val="Heading2"/>
      </w:pPr>
      <w:bookmarkStart w:id="23" w:name="_Toc244165439"/>
      <w:r>
        <w:t>3.2</w:t>
      </w:r>
      <w:r>
        <w:tab/>
        <w:t xml:space="preserve">Terms defined in this </w:t>
      </w:r>
      <w:r w:rsidR="003131EC">
        <w:t>Technical Specification</w:t>
      </w:r>
      <w:bookmarkEnd w:id="23"/>
    </w:p>
    <w:p w14:paraId="2456344F" w14:textId="77777777" w:rsidR="001A1F0C" w:rsidRDefault="00FF5D07" w:rsidP="00094993">
      <w:r>
        <w:t>None.</w:t>
      </w:r>
    </w:p>
    <w:p w14:paraId="1A2178AB" w14:textId="77777777" w:rsidR="001A1F0C" w:rsidRDefault="00FF5D07">
      <w:pPr>
        <w:pStyle w:val="Heading1"/>
      </w:pPr>
      <w:bookmarkStart w:id="24" w:name="_Toc7499"/>
      <w:bookmarkStart w:id="25" w:name="_Toc243469494"/>
      <w:bookmarkStart w:id="26" w:name="_Toc244165440"/>
      <w:r>
        <w:t>4</w:t>
      </w:r>
      <w:r>
        <w:tab/>
        <w:t>Abbreviations and acronyms</w:t>
      </w:r>
      <w:bookmarkEnd w:id="24"/>
      <w:bookmarkEnd w:id="25"/>
      <w:bookmarkEnd w:id="26"/>
    </w:p>
    <w:p w14:paraId="111F0AEC" w14:textId="77777777" w:rsidR="001A1F0C" w:rsidRDefault="00FF5D07" w:rsidP="00A32D7B">
      <w:r>
        <w:t>This Technical Specification uses the following abbreviations and acronyms:</w:t>
      </w:r>
    </w:p>
    <w:p w14:paraId="679865C9" w14:textId="77777777" w:rsidR="00A32D7B" w:rsidRPr="00DE0B05" w:rsidRDefault="00A32D7B" w:rsidP="00A32D7B">
      <w:pPr>
        <w:tabs>
          <w:tab w:val="clear" w:pos="794"/>
        </w:tabs>
        <w:rPr>
          <w:lang w:val="fr-CH"/>
        </w:rPr>
      </w:pPr>
      <w:r w:rsidRPr="00DE0B05">
        <w:rPr>
          <w:lang w:val="fr-CH"/>
        </w:rPr>
        <w:t>AI</w:t>
      </w:r>
      <w:r w:rsidRPr="00DE0B05">
        <w:rPr>
          <w:lang w:val="fr-CH"/>
        </w:rPr>
        <w:tab/>
        <w:t>Artificial Intelligence</w:t>
      </w:r>
    </w:p>
    <w:p w14:paraId="5C85B266" w14:textId="77777777" w:rsidR="00A32D7B" w:rsidRPr="00DE0B05" w:rsidRDefault="00A32D7B" w:rsidP="00A32D7B">
      <w:pPr>
        <w:tabs>
          <w:tab w:val="clear" w:pos="794"/>
        </w:tabs>
        <w:rPr>
          <w:lang w:val="fr-CH"/>
        </w:rPr>
      </w:pPr>
      <w:r w:rsidRPr="00DE0B05">
        <w:rPr>
          <w:lang w:val="fr-CH"/>
        </w:rPr>
        <w:t>EAI</w:t>
      </w:r>
      <w:r w:rsidRPr="00DE0B05">
        <w:rPr>
          <w:lang w:val="fr-CH"/>
        </w:rPr>
        <w:tab/>
        <w:t>Embodied Artificial Intelligence</w:t>
      </w:r>
    </w:p>
    <w:p w14:paraId="2BBA2D33" w14:textId="77777777" w:rsidR="001A1F0C" w:rsidRPr="00DE0B05" w:rsidRDefault="00FF5D07">
      <w:pPr>
        <w:pStyle w:val="Heading1"/>
        <w:rPr>
          <w:lang w:val="fr-CH"/>
        </w:rPr>
      </w:pPr>
      <w:bookmarkStart w:id="27" w:name="_Toc18554"/>
      <w:bookmarkStart w:id="28" w:name="_Toc243469495"/>
      <w:bookmarkStart w:id="29" w:name="_Toc244165441"/>
      <w:r w:rsidRPr="00DE0B05">
        <w:rPr>
          <w:lang w:val="fr-CH"/>
        </w:rPr>
        <w:t>5</w:t>
      </w:r>
      <w:r w:rsidRPr="00DE0B05">
        <w:rPr>
          <w:lang w:val="fr-CH"/>
        </w:rPr>
        <w:tab/>
        <w:t>Conventions</w:t>
      </w:r>
      <w:bookmarkEnd w:id="27"/>
      <w:bookmarkEnd w:id="28"/>
      <w:bookmarkEnd w:id="29"/>
    </w:p>
    <w:p w14:paraId="530997F9" w14:textId="77777777" w:rsidR="001A1F0C" w:rsidRDefault="00FF5D07" w:rsidP="00A32D7B">
      <w:r>
        <w:t>The following conventions are used in this Technical Specification:</w:t>
      </w:r>
    </w:p>
    <w:p w14:paraId="32180A9E" w14:textId="77777777" w:rsidR="001A1F0C" w:rsidRDefault="00FF5D07" w:rsidP="00A32D7B">
      <w:r>
        <w:t>The keywords "it is critical" indicate a possible requirement which would be necessary to be fulfilled (e.g., by an implementation) and enabled to provide the benefits of the use case.</w:t>
      </w:r>
    </w:p>
    <w:p w14:paraId="5F5C1D19" w14:textId="77777777" w:rsidR="001A1F0C" w:rsidRDefault="00FF5D07" w:rsidP="00A32D7B">
      <w:r>
        <w:t>The keywords "it is expected" indicate a possible requirement which would be important but not absolutely necessary to be fulfilled (e.g., by an implementation). Thus, this possible requirement would not need to be enabled to provide complete benefits of the use case.</w:t>
      </w:r>
    </w:p>
    <w:p w14:paraId="6BD52FC8" w14:textId="77777777" w:rsidR="001A1F0C" w:rsidRDefault="00FF5D07" w:rsidP="00A32D7B">
      <w:r>
        <w:t>The keywords "it is of added value" indicate a possible requirement which would be optional to be fulfilled (e.g., by an implementation), without implying any sense of importance regarding its fulfilment. Thus, this possible requirement would not need to be enabled to provide complete benefits of the use case.</w:t>
      </w:r>
    </w:p>
    <w:p w14:paraId="6C96F47B" w14:textId="342A504A" w:rsidR="001A1F0C" w:rsidRDefault="00FF5D07" w:rsidP="00A32D7B">
      <w:r>
        <w:t>A declaration governed by this Technical Specification is in exactly one of the three states of Table</w:t>
      </w:r>
      <w:r w:rsidR="00A32D7B">
        <w:rPr>
          <w:rFonts w:eastAsia="SimSun"/>
          <w:lang w:val="en-US" w:eastAsia="zh-CN"/>
        </w:rPr>
        <w:t> </w:t>
      </w:r>
      <w:r>
        <w:t>5</w:t>
      </w:r>
      <w:r w:rsidR="00A32D7B">
        <w:t>‑</w:t>
      </w:r>
      <w:r>
        <w:t>1. The distinction between a declared absence and an undeclared field is fundamental to this Technical Specification and is described in clause 8.</w:t>
      </w:r>
    </w:p>
    <w:p w14:paraId="762DF104" w14:textId="2AB6C45E" w:rsidR="001A1F0C" w:rsidRPr="00A32D7B" w:rsidRDefault="00FF5D07" w:rsidP="00A32D7B">
      <w:pPr>
        <w:pStyle w:val="TableNoTitle"/>
      </w:pPr>
      <w:r w:rsidRPr="00A32D7B">
        <w:lastRenderedPageBreak/>
        <w:t xml:space="preserve">Table 5-1 </w:t>
      </w:r>
      <w:r w:rsidR="00A32D7B">
        <w:t>–</w:t>
      </w:r>
      <w:r w:rsidRPr="00A32D7B">
        <w:t xml:space="preserve"> Declaration states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4338"/>
        <w:gridCol w:w="2892"/>
      </w:tblGrid>
      <w:tr w:rsidR="001A1F0C" w:rsidRPr="00A32D7B" w14:paraId="7901867A" w14:textId="77777777" w:rsidTr="004C482A">
        <w:trPr>
          <w:tblHeader/>
          <w:jc w:val="center"/>
        </w:trPr>
        <w:tc>
          <w:tcPr>
            <w:tcW w:w="2250" w:type="dxa"/>
          </w:tcPr>
          <w:p w14:paraId="5B841AAA" w14:textId="77777777" w:rsidR="001A1F0C" w:rsidRPr="00A32D7B" w:rsidRDefault="00FF5D07" w:rsidP="00A32D7B">
            <w:pPr>
              <w:pStyle w:val="Tablehead"/>
            </w:pPr>
            <w:r w:rsidRPr="00A32D7B">
              <w:t>State</w:t>
            </w:r>
          </w:p>
        </w:tc>
        <w:tc>
          <w:tcPr>
            <w:tcW w:w="4050" w:type="dxa"/>
          </w:tcPr>
          <w:p w14:paraId="75FFE178" w14:textId="77777777" w:rsidR="001A1F0C" w:rsidRPr="00A32D7B" w:rsidRDefault="00FF5D07" w:rsidP="00A32D7B">
            <w:pPr>
              <w:pStyle w:val="Tablehead"/>
            </w:pPr>
            <w:r w:rsidRPr="00A32D7B">
              <w:t>Meaning</w:t>
            </w:r>
          </w:p>
        </w:tc>
        <w:tc>
          <w:tcPr>
            <w:tcW w:w="2700" w:type="dxa"/>
          </w:tcPr>
          <w:p w14:paraId="7479A024" w14:textId="77777777" w:rsidR="001A1F0C" w:rsidRPr="00A32D7B" w:rsidRDefault="00FF5D07" w:rsidP="00A32D7B">
            <w:pPr>
              <w:pStyle w:val="Tablehead"/>
            </w:pPr>
            <w:r w:rsidRPr="00A32D7B">
              <w:t>Conformance</w:t>
            </w:r>
          </w:p>
        </w:tc>
      </w:tr>
      <w:tr w:rsidR="001A1F0C" w:rsidRPr="00A32D7B" w14:paraId="6FD24679" w14:textId="77777777" w:rsidTr="004C482A">
        <w:trPr>
          <w:jc w:val="center"/>
        </w:trPr>
        <w:tc>
          <w:tcPr>
            <w:tcW w:w="2250" w:type="dxa"/>
          </w:tcPr>
          <w:p w14:paraId="4A90EAD5" w14:textId="3B1D57F1" w:rsidR="001A1F0C" w:rsidRPr="00A32D7B" w:rsidRDefault="00A32D7B" w:rsidP="00A32D7B">
            <w:pPr>
              <w:pStyle w:val="Tabletext"/>
            </w:pPr>
            <w:r w:rsidRPr="00A32D7B">
              <w:t xml:space="preserve">Declared </w:t>
            </w:r>
            <w:r w:rsidR="00FF5D07" w:rsidRPr="00A32D7B">
              <w:t>value</w:t>
            </w:r>
          </w:p>
        </w:tc>
        <w:tc>
          <w:tcPr>
            <w:tcW w:w="4050" w:type="dxa"/>
          </w:tcPr>
          <w:p w14:paraId="348DD89A" w14:textId="178A6959" w:rsidR="001A1F0C" w:rsidRPr="00A32D7B" w:rsidRDefault="00A32D7B" w:rsidP="00A32D7B">
            <w:pPr>
              <w:pStyle w:val="Tabletext"/>
            </w:pPr>
            <w:r w:rsidRPr="00A32D7B">
              <w:t>A</w:t>
            </w:r>
            <w:r w:rsidR="00FF5D07" w:rsidRPr="00A32D7B">
              <w:t xml:space="preserve"> value is stated</w:t>
            </w:r>
          </w:p>
        </w:tc>
        <w:tc>
          <w:tcPr>
            <w:tcW w:w="2700" w:type="dxa"/>
          </w:tcPr>
          <w:p w14:paraId="40BB6303" w14:textId="59EA6CC5" w:rsidR="001A1F0C" w:rsidRPr="00A32D7B" w:rsidRDefault="00A32D7B" w:rsidP="00A32D7B">
            <w:pPr>
              <w:pStyle w:val="Tabletext"/>
            </w:pPr>
            <w:r w:rsidRPr="00A32D7B">
              <w:t>Conformant</w:t>
            </w:r>
          </w:p>
        </w:tc>
      </w:tr>
      <w:tr w:rsidR="001A1F0C" w:rsidRPr="00A32D7B" w14:paraId="2A72006C" w14:textId="77777777" w:rsidTr="004C482A">
        <w:trPr>
          <w:jc w:val="center"/>
        </w:trPr>
        <w:tc>
          <w:tcPr>
            <w:tcW w:w="2250" w:type="dxa"/>
          </w:tcPr>
          <w:p w14:paraId="70E68EBC" w14:textId="3BB464EF" w:rsidR="001A1F0C" w:rsidRPr="00A32D7B" w:rsidRDefault="00A32D7B" w:rsidP="00A32D7B">
            <w:pPr>
              <w:pStyle w:val="Tabletext"/>
            </w:pPr>
            <w:r w:rsidRPr="00A32D7B">
              <w:t xml:space="preserve">Declared </w:t>
            </w:r>
            <w:r w:rsidR="00FF5D07" w:rsidRPr="00A32D7B">
              <w:t>absence</w:t>
            </w:r>
          </w:p>
        </w:tc>
        <w:tc>
          <w:tcPr>
            <w:tcW w:w="4050" w:type="dxa"/>
          </w:tcPr>
          <w:p w14:paraId="57FEA906" w14:textId="53D5051C" w:rsidR="001A1F0C" w:rsidRPr="00A32D7B" w:rsidRDefault="00A32D7B" w:rsidP="00A32D7B">
            <w:pPr>
              <w:pStyle w:val="Tabletext"/>
            </w:pPr>
            <w:r w:rsidRPr="00A32D7B">
              <w:t xml:space="preserve">Absence </w:t>
            </w:r>
            <w:r w:rsidR="00FF5D07" w:rsidRPr="00A32D7B">
              <w:t>is explicitly stated, by a reserved value</w:t>
            </w:r>
          </w:p>
        </w:tc>
        <w:tc>
          <w:tcPr>
            <w:tcW w:w="2700" w:type="dxa"/>
          </w:tcPr>
          <w:p w14:paraId="5FA72637" w14:textId="06C10447" w:rsidR="001A1F0C" w:rsidRPr="00A32D7B" w:rsidRDefault="00A32D7B" w:rsidP="00A32D7B">
            <w:pPr>
              <w:pStyle w:val="Tabletext"/>
            </w:pPr>
            <w:r w:rsidRPr="00A32D7B">
              <w:t>Conformant</w:t>
            </w:r>
          </w:p>
        </w:tc>
      </w:tr>
      <w:tr w:rsidR="001A1F0C" w:rsidRPr="00A32D7B" w14:paraId="1F131524" w14:textId="77777777" w:rsidTr="004C482A">
        <w:trPr>
          <w:jc w:val="center"/>
        </w:trPr>
        <w:tc>
          <w:tcPr>
            <w:tcW w:w="2250" w:type="dxa"/>
          </w:tcPr>
          <w:p w14:paraId="7286ED0C" w14:textId="5DFFA304" w:rsidR="001A1F0C" w:rsidRPr="00A32D7B" w:rsidRDefault="00A32D7B" w:rsidP="00A32D7B">
            <w:pPr>
              <w:pStyle w:val="Tabletext"/>
            </w:pPr>
            <w:r w:rsidRPr="00A32D7B">
              <w:t>Undeclared</w:t>
            </w:r>
          </w:p>
        </w:tc>
        <w:tc>
          <w:tcPr>
            <w:tcW w:w="4050" w:type="dxa"/>
          </w:tcPr>
          <w:p w14:paraId="3D40DFF1" w14:textId="4D17A9CF" w:rsidR="001A1F0C" w:rsidRPr="00A32D7B" w:rsidRDefault="00A32D7B" w:rsidP="00A32D7B">
            <w:pPr>
              <w:pStyle w:val="Tabletext"/>
            </w:pPr>
            <w:r w:rsidRPr="00A32D7B">
              <w:t xml:space="preserve">Neither </w:t>
            </w:r>
            <w:r w:rsidR="00FF5D07" w:rsidRPr="00A32D7B">
              <w:t>of the above</w:t>
            </w:r>
          </w:p>
        </w:tc>
        <w:tc>
          <w:tcPr>
            <w:tcW w:w="2700" w:type="dxa"/>
          </w:tcPr>
          <w:p w14:paraId="7CDC00AE" w14:textId="34C2134E" w:rsidR="001A1F0C" w:rsidRPr="00A32D7B" w:rsidRDefault="00A32D7B" w:rsidP="00A32D7B">
            <w:pPr>
              <w:pStyle w:val="Tabletext"/>
            </w:pPr>
            <w:r w:rsidRPr="00A32D7B">
              <w:t>Non</w:t>
            </w:r>
            <w:r w:rsidR="00FF5D07" w:rsidRPr="00A32D7B">
              <w:t>-conformant</w:t>
            </w:r>
          </w:p>
        </w:tc>
      </w:tr>
    </w:tbl>
    <w:p w14:paraId="47935054" w14:textId="77777777" w:rsidR="001A1F0C" w:rsidRDefault="00FF5D07" w:rsidP="00A32D7B">
      <w:r>
        <w:t>Unless otherwise stated, all quantities are expressed in SI units. Length is expressed in metres.</w:t>
      </w:r>
    </w:p>
    <w:p w14:paraId="797D751D" w14:textId="77777777" w:rsidR="001A1F0C" w:rsidRDefault="00FF5D07">
      <w:pPr>
        <w:pStyle w:val="Heading1"/>
      </w:pPr>
      <w:bookmarkStart w:id="30" w:name="_Toc11497"/>
      <w:bookmarkStart w:id="31" w:name="_Toc243469496"/>
      <w:bookmarkStart w:id="32" w:name="_Toc244165442"/>
      <w:r>
        <w:t>6</w:t>
      </w:r>
      <w:r>
        <w:tab/>
        <w:t>Overview and principles</w:t>
      </w:r>
      <w:bookmarkEnd w:id="30"/>
      <w:bookmarkEnd w:id="31"/>
      <w:bookmarkEnd w:id="32"/>
    </w:p>
    <w:p w14:paraId="5D02C821" w14:textId="77777777" w:rsidR="001A1F0C" w:rsidRDefault="00FF5D07">
      <w:pPr>
        <w:pStyle w:val="Heading2"/>
      </w:pPr>
      <w:bookmarkStart w:id="33" w:name="_Toc244165443"/>
      <w:r>
        <w:t>6.1</w:t>
      </w:r>
      <w:r>
        <w:tab/>
        <w:t>Classes of failure addressed</w:t>
      </w:r>
      <w:bookmarkEnd w:id="33"/>
    </w:p>
    <w:p w14:paraId="4EC477B9" w14:textId="77777777" w:rsidR="001A1F0C" w:rsidRDefault="00FF5D07" w:rsidP="00A32D7B">
      <w:r>
        <w:t>An asset that has been published, retrieved and opened may still be unusable. This Technical Specification addresses the four classes of failure listed in Table 6-1. Each class corresponds to a mechanism described in a later clause.</w:t>
      </w:r>
    </w:p>
    <w:p w14:paraId="6231D6F6" w14:textId="4F3E9B28" w:rsidR="001A1F0C" w:rsidRDefault="00FF5D07" w:rsidP="00A32D7B">
      <w:pPr>
        <w:pStyle w:val="TableNoTitle"/>
      </w:pPr>
      <w:r w:rsidRPr="00A32D7B">
        <w:t xml:space="preserve">Table 6-1 </w:t>
      </w:r>
      <w:r w:rsidR="00A32D7B">
        <w:t>–</w:t>
      </w:r>
      <w:r w:rsidRPr="00A32D7B">
        <w:t xml:space="preserve"> Classes of failure and the corresponding mechanisms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3"/>
        <w:gridCol w:w="4434"/>
        <w:gridCol w:w="2892"/>
      </w:tblGrid>
      <w:tr w:rsidR="001A1F0C" w14:paraId="5128777B" w14:textId="77777777" w:rsidTr="00F60EB3">
        <w:trPr>
          <w:tblHeader/>
          <w:jc w:val="center"/>
        </w:trPr>
        <w:tc>
          <w:tcPr>
            <w:tcW w:w="2160" w:type="dxa"/>
          </w:tcPr>
          <w:p w14:paraId="2D1084A5" w14:textId="77777777" w:rsidR="001A1F0C" w:rsidRDefault="00FF5D07" w:rsidP="00A32D7B">
            <w:pPr>
              <w:pStyle w:val="Tablehead"/>
            </w:pPr>
            <w:r w:rsidRPr="00A32D7B">
              <w:t>Class</w:t>
            </w:r>
          </w:p>
        </w:tc>
        <w:tc>
          <w:tcPr>
            <w:tcW w:w="4140" w:type="dxa"/>
          </w:tcPr>
          <w:p w14:paraId="6DBD6948" w14:textId="77777777" w:rsidR="001A1F0C" w:rsidRDefault="00FF5D07" w:rsidP="00A32D7B">
            <w:pPr>
              <w:pStyle w:val="Tablehead"/>
            </w:pPr>
            <w:r w:rsidRPr="00A32D7B">
              <w:t>What is not declared</w:t>
            </w:r>
          </w:p>
        </w:tc>
        <w:tc>
          <w:tcPr>
            <w:tcW w:w="2700" w:type="dxa"/>
          </w:tcPr>
          <w:p w14:paraId="167CE9F7" w14:textId="77777777" w:rsidR="001A1F0C" w:rsidRDefault="00FF5D07" w:rsidP="00A32D7B">
            <w:pPr>
              <w:pStyle w:val="Tablehead"/>
            </w:pPr>
            <w:r w:rsidRPr="00A32D7B">
              <w:t>Mechanism</w:t>
            </w:r>
          </w:p>
        </w:tc>
      </w:tr>
      <w:tr w:rsidR="001A1F0C" w14:paraId="25332349" w14:textId="77777777" w:rsidTr="00F60EB3">
        <w:trPr>
          <w:jc w:val="center"/>
        </w:trPr>
        <w:tc>
          <w:tcPr>
            <w:tcW w:w="2160" w:type="dxa"/>
          </w:tcPr>
          <w:p w14:paraId="187C7FDB" w14:textId="49BFEBB4" w:rsidR="001A1F0C" w:rsidRDefault="00FF5D07" w:rsidP="00F60EB3">
            <w:pPr>
              <w:pStyle w:val="Tabletext"/>
              <w:ind w:left="284" w:hanging="284"/>
            </w:pPr>
            <w:r>
              <w:t>1</w:t>
            </w:r>
            <w:r w:rsidR="00F60EB3">
              <w:tab/>
            </w:r>
            <w:r>
              <w:t>Undeclared incompleteness</w:t>
            </w:r>
          </w:p>
        </w:tc>
        <w:tc>
          <w:tcPr>
            <w:tcW w:w="4140" w:type="dxa"/>
          </w:tcPr>
          <w:p w14:paraId="7B41A3AF" w14:textId="77777777" w:rsidR="001A1F0C" w:rsidRDefault="00FF5D07" w:rsidP="00A32D7B">
            <w:pPr>
              <w:pStyle w:val="Tabletext"/>
            </w:pPr>
            <w:r>
              <w:t>Information required to place an asset in a simulation environment is absent, and its absence is not stated, so that a consumer cannot distinguish "not provided" from "not applicable" without retrieving the payload.</w:t>
            </w:r>
          </w:p>
        </w:tc>
        <w:tc>
          <w:tcPr>
            <w:tcW w:w="2700" w:type="dxa"/>
          </w:tcPr>
          <w:p w14:paraId="20317A72" w14:textId="77777777" w:rsidR="001A1F0C" w:rsidRDefault="00FF5D07" w:rsidP="00A32D7B">
            <w:pPr>
              <w:pStyle w:val="Tabletext"/>
            </w:pPr>
            <w:r>
              <w:t>Three-state declaration (clause 8)</w:t>
            </w:r>
          </w:p>
        </w:tc>
      </w:tr>
      <w:tr w:rsidR="001A1F0C" w14:paraId="23BD382B" w14:textId="77777777" w:rsidTr="00F60EB3">
        <w:trPr>
          <w:jc w:val="center"/>
        </w:trPr>
        <w:tc>
          <w:tcPr>
            <w:tcW w:w="2160" w:type="dxa"/>
          </w:tcPr>
          <w:p w14:paraId="35DD6004" w14:textId="4D6A25FD" w:rsidR="001A1F0C" w:rsidRDefault="00FF5D07" w:rsidP="00F60EB3">
            <w:pPr>
              <w:pStyle w:val="Tabletext"/>
              <w:ind w:left="284" w:hanging="284"/>
            </w:pPr>
            <w:r>
              <w:t>2</w:t>
            </w:r>
            <w:r w:rsidR="00F60EB3">
              <w:tab/>
            </w:r>
            <w:r>
              <w:t>Inconsistency between layers</w:t>
            </w:r>
          </w:p>
        </w:tc>
        <w:tc>
          <w:tcPr>
            <w:tcW w:w="4140" w:type="dxa"/>
          </w:tcPr>
          <w:p w14:paraId="08B951A6" w14:textId="77777777" w:rsidR="001A1F0C" w:rsidRDefault="00FF5D07" w:rsidP="00A32D7B">
            <w:pPr>
              <w:pStyle w:val="Tabletext"/>
            </w:pPr>
            <w:r>
              <w:t>Two or more independently authored layers of one asset disagree, although each layer is well formed on its own. The disagreement is invisible to any check that examines one layer at a time.</w:t>
            </w:r>
          </w:p>
        </w:tc>
        <w:tc>
          <w:tcPr>
            <w:tcW w:w="2700" w:type="dxa"/>
          </w:tcPr>
          <w:p w14:paraId="487DF8C3" w14:textId="77777777" w:rsidR="001A1F0C" w:rsidRDefault="00FF5D07" w:rsidP="00A32D7B">
            <w:pPr>
              <w:pStyle w:val="Tabletext"/>
            </w:pPr>
            <w:r>
              <w:t>Consistency conditions (clause 11)</w:t>
            </w:r>
          </w:p>
        </w:tc>
      </w:tr>
      <w:tr w:rsidR="001A1F0C" w14:paraId="0FC7972D" w14:textId="77777777" w:rsidTr="00F60EB3">
        <w:trPr>
          <w:jc w:val="center"/>
        </w:trPr>
        <w:tc>
          <w:tcPr>
            <w:tcW w:w="2160" w:type="dxa"/>
          </w:tcPr>
          <w:p w14:paraId="2D208F9B" w14:textId="44519126" w:rsidR="001A1F0C" w:rsidRDefault="00FF5D07" w:rsidP="00F60EB3">
            <w:pPr>
              <w:pStyle w:val="Tabletext"/>
              <w:ind w:left="284" w:hanging="284"/>
            </w:pPr>
            <w:r>
              <w:t>3</w:t>
            </w:r>
            <w:r w:rsidR="00F60EB3">
              <w:tab/>
            </w:r>
            <w:r>
              <w:t>Undeclared conventions</w:t>
            </w:r>
          </w:p>
        </w:tc>
        <w:tc>
          <w:tcPr>
            <w:tcW w:w="4140" w:type="dxa"/>
          </w:tcPr>
          <w:p w14:paraId="5531F9CF" w14:textId="77777777" w:rsidR="001A1F0C" w:rsidRDefault="00FF5D07" w:rsidP="00A32D7B">
            <w:pPr>
              <w:pStyle w:val="Tabletext"/>
            </w:pPr>
            <w:r>
              <w:t>Unit of length, up-axis and the frame in which a pose is expressed are assumed rather than declared, so that data assembled from several sources is misaligned in a way that no single artifact reveals.</w:t>
            </w:r>
          </w:p>
        </w:tc>
        <w:tc>
          <w:tcPr>
            <w:tcW w:w="2700" w:type="dxa"/>
          </w:tcPr>
          <w:p w14:paraId="7949657E" w14:textId="77777777" w:rsidR="001A1F0C" w:rsidRDefault="00FF5D07" w:rsidP="00A32D7B">
            <w:pPr>
              <w:pStyle w:val="Tabletext"/>
            </w:pPr>
            <w:r>
              <w:t>Declaration of conventions (clause 9)</w:t>
            </w:r>
          </w:p>
        </w:tc>
      </w:tr>
      <w:tr w:rsidR="001A1F0C" w14:paraId="11270F69" w14:textId="77777777" w:rsidTr="00F60EB3">
        <w:trPr>
          <w:jc w:val="center"/>
        </w:trPr>
        <w:tc>
          <w:tcPr>
            <w:tcW w:w="2160" w:type="dxa"/>
          </w:tcPr>
          <w:p w14:paraId="76FF4B52" w14:textId="3CD56107" w:rsidR="001A1F0C" w:rsidRDefault="00FF5D07" w:rsidP="00F60EB3">
            <w:pPr>
              <w:pStyle w:val="Tabletext"/>
              <w:ind w:left="284" w:hanging="284"/>
            </w:pPr>
            <w:r>
              <w:t>4</w:t>
            </w:r>
            <w:r w:rsidR="00F60EB3">
              <w:tab/>
            </w:r>
            <w:r>
              <w:t>Undeclared unfitness</w:t>
            </w:r>
          </w:p>
        </w:tc>
        <w:tc>
          <w:tcPr>
            <w:tcW w:w="4140" w:type="dxa"/>
          </w:tcPr>
          <w:p w14:paraId="3AF98EE9" w14:textId="77777777" w:rsidR="001A1F0C" w:rsidRDefault="00FF5D07" w:rsidP="00A32D7B">
            <w:pPr>
              <w:pStyle w:val="Tabletext"/>
            </w:pPr>
            <w:r>
              <w:t>An asset adequate for rendering is not adequate for interaction, and this unfitness is neither declared nor available as a filter.</w:t>
            </w:r>
          </w:p>
        </w:tc>
        <w:tc>
          <w:tcPr>
            <w:tcW w:w="2700" w:type="dxa"/>
          </w:tcPr>
          <w:p w14:paraId="12EC5FE2" w14:textId="722A19DE" w:rsidR="001A1F0C" w:rsidRDefault="00FF5D07" w:rsidP="00A32D7B">
            <w:pPr>
              <w:pStyle w:val="Tabletext"/>
            </w:pPr>
            <w:r>
              <w:t>Conformance profiles (clause</w:t>
            </w:r>
            <w:r w:rsidR="00E30326">
              <w:t> </w:t>
            </w:r>
            <w:r>
              <w:t>12)</w:t>
            </w:r>
          </w:p>
        </w:tc>
      </w:tr>
    </w:tbl>
    <w:p w14:paraId="2D266E9F" w14:textId="77777777" w:rsidR="001A1F0C" w:rsidRDefault="00FF5D07">
      <w:pPr>
        <w:pStyle w:val="Heading2"/>
      </w:pPr>
      <w:bookmarkStart w:id="34" w:name="_Toc244165444"/>
      <w:r>
        <w:t>6.2</w:t>
      </w:r>
      <w:r>
        <w:tab/>
        <w:t>Design principles</w:t>
      </w:r>
      <w:bookmarkEnd w:id="34"/>
    </w:p>
    <w:p w14:paraId="366EA480" w14:textId="77777777" w:rsidR="001A1F0C" w:rsidRDefault="00FF5D07">
      <w:pPr>
        <w:pStyle w:val="Heading3"/>
      </w:pPr>
      <w:r>
        <w:t>6.2.1</w:t>
      </w:r>
      <w:r>
        <w:tab/>
        <w:t>Expose, do not repair</w:t>
      </w:r>
    </w:p>
    <w:p w14:paraId="4DA99B11" w14:textId="77777777" w:rsidR="001A1F0C" w:rsidRDefault="00FF5D07" w:rsidP="00E30326">
      <w:r>
        <w:t>This Technical Specification makes defects visible in the declaration. It does not repair assets, and does not require an implementation to modify payload content in order to bring an artifact into conformance.</w:t>
      </w:r>
    </w:p>
    <w:p w14:paraId="7EAEA979" w14:textId="77777777" w:rsidR="001A1F0C" w:rsidRDefault="00FF5D07">
      <w:pPr>
        <w:pStyle w:val="Heading3"/>
      </w:pPr>
      <w:r>
        <w:t>6.2.2</w:t>
      </w:r>
      <w:r>
        <w:tab/>
        <w:t>State, do not assume</w:t>
      </w:r>
    </w:p>
    <w:p w14:paraId="0DA8800B" w14:textId="77777777" w:rsidR="001A1F0C" w:rsidRDefault="00FF5D07" w:rsidP="00E30326">
      <w:r>
        <w:t>Where a convention, a capability or an absence can be assumed, it is instead stated.</w:t>
      </w:r>
    </w:p>
    <w:p w14:paraId="1444EDDB" w14:textId="77777777" w:rsidR="001A1F0C" w:rsidRDefault="00FF5D07" w:rsidP="00E30326">
      <w:r>
        <w:t>R-6-1: It is critical that, where this Technical Specification governs a field, the</w:t>
      </w:r>
      <w:r>
        <w:rPr>
          <w:rFonts w:eastAsia="SimSun"/>
          <w:lang w:val="en-US" w:eastAsia="zh-CN"/>
        </w:rPr>
        <w:t xml:space="preserve"> </w:t>
      </w:r>
      <w:r>
        <w:t>artifact declares either a value or an explicit absence for that field. An undeclared</w:t>
      </w:r>
      <w:r>
        <w:rPr>
          <w:rFonts w:eastAsia="SimSun"/>
          <w:lang w:val="en-US" w:eastAsia="zh-CN"/>
        </w:rPr>
        <w:t xml:space="preserve"> </w:t>
      </w:r>
      <w:r>
        <w:t>field is not conformant.</w:t>
      </w:r>
    </w:p>
    <w:p w14:paraId="3365A574" w14:textId="77777777" w:rsidR="001A1F0C" w:rsidRDefault="00FF5D07">
      <w:pPr>
        <w:pStyle w:val="Heading3"/>
      </w:pPr>
      <w:r>
        <w:lastRenderedPageBreak/>
        <w:t>6.2.3</w:t>
      </w:r>
      <w:r>
        <w:tab/>
        <w:t>Declare before retrieval</w:t>
      </w:r>
    </w:p>
    <w:p w14:paraId="5D892423" w14:textId="77777777" w:rsidR="001A1F0C" w:rsidRDefault="00FF5D07" w:rsidP="00E30326">
      <w:r>
        <w:t>Filtering and metadata-profile evaluation described here are performed on the descriptor alone; payload-dependent predicates (clause 11) may require payload. A consumer selecting assets for an embodied task cannot retrieve candidate payloads at the scale at which it must filter.</w:t>
      </w:r>
    </w:p>
    <w:p w14:paraId="713C3A1D" w14:textId="77777777" w:rsidR="001A1F0C" w:rsidRDefault="00FF5D07" w:rsidP="00E30326">
      <w:r>
        <w:t>R-6-2: It is critical that a descriptor references payload by identifier and checksum,</w:t>
      </w:r>
      <w:r>
        <w:rPr>
          <w:rFonts w:eastAsia="SimSun"/>
          <w:lang w:val="en-US" w:eastAsia="zh-CN"/>
        </w:rPr>
        <w:t xml:space="preserve"> </w:t>
      </w:r>
      <w:r>
        <w:t>and does not embed payload content. It is critical that filtering, conformance</w:t>
      </w:r>
      <w:r>
        <w:rPr>
          <w:rFonts w:eastAsia="SimSun"/>
          <w:lang w:val="en-US" w:eastAsia="zh-CN"/>
        </w:rPr>
        <w:t xml:space="preserve"> </w:t>
      </w:r>
      <w:r>
        <w:t>evaluation and licence inspection are possible from the descriptor alone.</w:t>
      </w:r>
    </w:p>
    <w:p w14:paraId="2E8E5DDA" w14:textId="77777777" w:rsidR="001A1F0C" w:rsidRDefault="00FF5D07">
      <w:pPr>
        <w:pStyle w:val="Heading3"/>
      </w:pPr>
      <w:r>
        <w:t>6.2.4</w:t>
      </w:r>
      <w:r>
        <w:tab/>
        <w:t>Fitness is relative to the consumer</w:t>
      </w:r>
    </w:p>
    <w:p w14:paraId="26B33CA7" w14:textId="77777777" w:rsidR="001A1F0C" w:rsidRDefault="00FF5D07" w:rsidP="00E30326">
      <w:r>
        <w:t>This Technical Specification does not classify an artifact as good or bad. It exposes what an artifact declares and what it has been checked for, so that each consumer may determine fitness for its own use.</w:t>
      </w:r>
      <w:r>
        <w:rPr>
          <w:rFonts w:eastAsia="SimSun"/>
          <w:lang w:val="en-US" w:eastAsia="zh-CN"/>
        </w:rPr>
        <w:t xml:space="preserve"> </w:t>
      </w:r>
      <w:r>
        <w:t>A declaration is not a claim that a declared interaction is exercisable by any particular embodiment. Whether a given embodiment can exercise it is for the consumer to determine.</w:t>
      </w:r>
    </w:p>
    <w:p w14:paraId="452A9EF2" w14:textId="77777777" w:rsidR="001A1F0C" w:rsidRDefault="00FF5D07">
      <w:pPr>
        <w:pStyle w:val="Heading3"/>
      </w:pPr>
      <w:r>
        <w:t>6.2.5</w:t>
      </w:r>
      <w:r>
        <w:tab/>
        <w:t>Format neutrality</w:t>
      </w:r>
    </w:p>
    <w:p w14:paraId="0F20804F" w14:textId="302F5B6F" w:rsidR="001A1F0C" w:rsidRDefault="00FF5D07" w:rsidP="00E30326">
      <w:r>
        <w:t>This Technical Specification describes what is declared and what relationships are to hold. It does not define a new interchange syntax, and is intended to be carried by existing host formats, such as the runtime 3D asset delivery format specified in [ISO/IEC 12113] and the scene description for immersive media specified in [ISO/IEC 23090-14].</w:t>
      </w:r>
    </w:p>
    <w:p w14:paraId="6CE71ABB" w14:textId="77777777" w:rsidR="001A1F0C" w:rsidRDefault="00FF5D07">
      <w:pPr>
        <w:pStyle w:val="Heading3"/>
      </w:pPr>
      <w:r>
        <w:t>6.2.6</w:t>
      </w:r>
      <w:r>
        <w:tab/>
        <w:t>Proportionate obligation on the producer</w:t>
      </w:r>
    </w:p>
    <w:p w14:paraId="78F9756F" w14:textId="77777777" w:rsidR="001A1F0C" w:rsidRDefault="00FF5D07" w:rsidP="00E30326">
      <w:r>
        <w:t>An obligation is placed on the producer only where the producer is the party that holds the information. The provisions concern declaration and not data holdings: a producer that does not hold a quantity conforms by declaring its absence, and is not required to measure, estimate or fabricate it.</w:t>
      </w:r>
    </w:p>
    <w:p w14:paraId="4E9EB33C" w14:textId="77777777" w:rsidR="001A1F0C" w:rsidRDefault="00FF5D07">
      <w:pPr>
        <w:pStyle w:val="Heading1"/>
      </w:pPr>
      <w:bookmarkStart w:id="35" w:name="_Toc5725"/>
      <w:bookmarkStart w:id="36" w:name="_Toc243469497"/>
      <w:bookmarkStart w:id="37" w:name="_Toc244165445"/>
      <w:r>
        <w:t>7</w:t>
      </w:r>
      <w:r>
        <w:tab/>
        <w:t>Layered organization model</w:t>
      </w:r>
      <w:bookmarkEnd w:id="35"/>
      <w:bookmarkEnd w:id="36"/>
      <w:bookmarkEnd w:id="37"/>
    </w:p>
    <w:p w14:paraId="394EEEBF" w14:textId="77777777" w:rsidR="001A1F0C" w:rsidRDefault="00FF5D07" w:rsidP="00E30326">
      <w:r>
        <w:t>An artifact governed by this Technical Specification is organized as a graph of nodes and edges, carried together with a header. Four layers are defined. Each layer uses the same metamodel. A node at one layer can reference an artifact at the layer below: an entity in a scene references an asset, and a member of a dataset references an asset or a scene.</w:t>
      </w:r>
    </w:p>
    <w:p w14:paraId="2429E915" w14:textId="1926F072" w:rsidR="001A1F0C" w:rsidRDefault="00FF5D07" w:rsidP="00E30326">
      <w:pPr>
        <w:pStyle w:val="TableNoTitle"/>
      </w:pPr>
      <w:r w:rsidRPr="00E30326">
        <w:t xml:space="preserve">Table 7-1 </w:t>
      </w:r>
      <w:r w:rsidR="00E30326">
        <w:t>–</w:t>
      </w:r>
      <w:r w:rsidRPr="00E30326">
        <w:t xml:space="preserve"> Layers of the model</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57"/>
        <w:gridCol w:w="4627"/>
      </w:tblGrid>
      <w:tr w:rsidR="001A1F0C" w14:paraId="5A8ED6BC" w14:textId="77777777" w:rsidTr="00E30326">
        <w:trPr>
          <w:tblHeader/>
        </w:trPr>
        <w:tc>
          <w:tcPr>
            <w:tcW w:w="1555" w:type="dxa"/>
          </w:tcPr>
          <w:p w14:paraId="76DFA058" w14:textId="77777777" w:rsidR="001A1F0C" w:rsidRDefault="00FF5D07" w:rsidP="00E30326">
            <w:pPr>
              <w:pStyle w:val="Tablehead"/>
            </w:pPr>
            <w:r w:rsidRPr="00E30326">
              <w:t>Layer</w:t>
            </w:r>
          </w:p>
        </w:tc>
        <w:tc>
          <w:tcPr>
            <w:tcW w:w="3457" w:type="dxa"/>
          </w:tcPr>
          <w:p w14:paraId="7C174860" w14:textId="77777777" w:rsidR="001A1F0C" w:rsidRDefault="00FF5D07" w:rsidP="00E30326">
            <w:pPr>
              <w:pStyle w:val="Tablehead"/>
            </w:pPr>
            <w:r w:rsidRPr="00E30326">
              <w:t>Unit</w:t>
            </w:r>
          </w:p>
        </w:tc>
        <w:tc>
          <w:tcPr>
            <w:tcW w:w="4627" w:type="dxa"/>
          </w:tcPr>
          <w:p w14:paraId="2440872F" w14:textId="77777777" w:rsidR="001A1F0C" w:rsidRDefault="00FF5D07" w:rsidP="00E30326">
            <w:pPr>
              <w:pStyle w:val="Tablehead"/>
            </w:pPr>
            <w:r w:rsidRPr="00E30326">
              <w:t>What the layer carries</w:t>
            </w:r>
          </w:p>
        </w:tc>
      </w:tr>
      <w:tr w:rsidR="001A1F0C" w14:paraId="40B2A6C1" w14:textId="77777777" w:rsidTr="00E30326">
        <w:tc>
          <w:tcPr>
            <w:tcW w:w="1555" w:type="dxa"/>
          </w:tcPr>
          <w:p w14:paraId="34D0E122" w14:textId="77777777" w:rsidR="001A1F0C" w:rsidRDefault="00FF5D07" w:rsidP="00E30326">
            <w:pPr>
              <w:pStyle w:val="Tabletext"/>
            </w:pPr>
            <w:r>
              <w:t>L0 asset</w:t>
            </w:r>
          </w:p>
        </w:tc>
        <w:tc>
          <w:tcPr>
            <w:tcW w:w="3457" w:type="dxa"/>
          </w:tcPr>
          <w:p w14:paraId="4C59B256" w14:textId="62963BD5" w:rsidR="001A1F0C" w:rsidRDefault="00E30326" w:rsidP="00E30326">
            <w:pPr>
              <w:pStyle w:val="Tabletext"/>
            </w:pPr>
            <w:r>
              <w:t>A</w:t>
            </w:r>
            <w:r w:rsidR="00FF5D07">
              <w:t xml:space="preserve"> single object, rigid or articulated</w:t>
            </w:r>
          </w:p>
        </w:tc>
        <w:tc>
          <w:tcPr>
            <w:tcW w:w="4627" w:type="dxa"/>
          </w:tcPr>
          <w:p w14:paraId="281B770B" w14:textId="774DAC2D" w:rsidR="001A1F0C" w:rsidRDefault="00E30326" w:rsidP="00E30326">
            <w:pPr>
              <w:pStyle w:val="Tabletext"/>
            </w:pPr>
            <w:r>
              <w:t>A</w:t>
            </w:r>
            <w:r w:rsidR="00FF5D07">
              <w:t xml:space="preserve"> tree of parts connected by joints; the physical-semantic metadata of clause 9 and the interaction capabilities of clause 10 are declared here</w:t>
            </w:r>
          </w:p>
        </w:tc>
      </w:tr>
      <w:tr w:rsidR="001A1F0C" w14:paraId="40C97A85" w14:textId="77777777" w:rsidTr="00E30326">
        <w:tc>
          <w:tcPr>
            <w:tcW w:w="1555" w:type="dxa"/>
          </w:tcPr>
          <w:p w14:paraId="20B41813" w14:textId="77777777" w:rsidR="001A1F0C" w:rsidRDefault="00FF5D07" w:rsidP="00E30326">
            <w:pPr>
              <w:pStyle w:val="Tabletext"/>
            </w:pPr>
            <w:r>
              <w:t>L1 scene</w:t>
            </w:r>
          </w:p>
        </w:tc>
        <w:tc>
          <w:tcPr>
            <w:tcW w:w="3457" w:type="dxa"/>
          </w:tcPr>
          <w:p w14:paraId="380C6233" w14:textId="34918664" w:rsidR="001A1F0C" w:rsidRDefault="00E30326" w:rsidP="00E30326">
            <w:pPr>
              <w:pStyle w:val="Tabletext"/>
            </w:pPr>
            <w:r>
              <w:t xml:space="preserve">An </w:t>
            </w:r>
            <w:r w:rsidR="00FF5D07">
              <w:t>arrangement of asset instances and regions in a shared coordinate system</w:t>
            </w:r>
          </w:p>
        </w:tc>
        <w:tc>
          <w:tcPr>
            <w:tcW w:w="4627" w:type="dxa"/>
          </w:tcPr>
          <w:p w14:paraId="4E201B70" w14:textId="451043B5" w:rsidR="001A1F0C" w:rsidRDefault="00E30326" w:rsidP="00E30326">
            <w:pPr>
              <w:pStyle w:val="Tabletext"/>
            </w:pPr>
            <w:r>
              <w:t xml:space="preserve">The </w:t>
            </w:r>
            <w:r w:rsidR="00FF5D07">
              <w:t>shared coordinate semantics, and whether a declared interaction is obstructed by the arrangement rather than by the object</w:t>
            </w:r>
          </w:p>
        </w:tc>
      </w:tr>
      <w:tr w:rsidR="001A1F0C" w14:paraId="493C4331" w14:textId="77777777" w:rsidTr="00E30326">
        <w:tc>
          <w:tcPr>
            <w:tcW w:w="1555" w:type="dxa"/>
          </w:tcPr>
          <w:p w14:paraId="0C6E0A33" w14:textId="77777777" w:rsidR="001A1F0C" w:rsidRDefault="00FF5D07" w:rsidP="00E30326">
            <w:pPr>
              <w:pStyle w:val="Tabletext"/>
            </w:pPr>
            <w:r>
              <w:t>L2 dataset</w:t>
            </w:r>
          </w:p>
        </w:tc>
        <w:tc>
          <w:tcPr>
            <w:tcW w:w="3457" w:type="dxa"/>
          </w:tcPr>
          <w:p w14:paraId="7489FDBF" w14:textId="219554FA" w:rsidR="001A1F0C" w:rsidRDefault="00E30326" w:rsidP="00E30326">
            <w:pPr>
              <w:pStyle w:val="Tabletext"/>
            </w:pPr>
            <w:r>
              <w:t>A</w:t>
            </w:r>
            <w:r w:rsidR="00FF5D07">
              <w:t xml:space="preserve"> reproducible collection of assets and scenes</w:t>
            </w:r>
          </w:p>
        </w:tc>
        <w:tc>
          <w:tcPr>
            <w:tcW w:w="4627" w:type="dxa"/>
          </w:tcPr>
          <w:p w14:paraId="6CD88391" w14:textId="3A5FCDCC" w:rsidR="001A1F0C" w:rsidRDefault="00E30326" w:rsidP="00E30326">
            <w:pPr>
              <w:pStyle w:val="Tabletext"/>
            </w:pPr>
            <w:r>
              <w:t>Membership</w:t>
            </w:r>
            <w:r w:rsidR="00FF5D07">
              <w:t>, splits, and index keys derived from what the layers below declare</w:t>
            </w:r>
          </w:p>
        </w:tc>
      </w:tr>
      <w:tr w:rsidR="001A1F0C" w14:paraId="644C1A58" w14:textId="77777777" w:rsidTr="00E30326">
        <w:tc>
          <w:tcPr>
            <w:tcW w:w="1555" w:type="dxa"/>
          </w:tcPr>
          <w:p w14:paraId="27EA8FD6" w14:textId="77777777" w:rsidR="001A1F0C" w:rsidRDefault="00FF5D07" w:rsidP="00E30326">
            <w:pPr>
              <w:pStyle w:val="Tabletext"/>
            </w:pPr>
            <w:r>
              <w:t>L3 registry</w:t>
            </w:r>
          </w:p>
        </w:tc>
        <w:tc>
          <w:tcPr>
            <w:tcW w:w="3457" w:type="dxa"/>
          </w:tcPr>
          <w:p w14:paraId="6C9CC0D5" w14:textId="6B8A310E" w:rsidR="001A1F0C" w:rsidRDefault="00E30326" w:rsidP="00E30326">
            <w:pPr>
              <w:pStyle w:val="Tabletext"/>
            </w:pPr>
            <w:r>
              <w:t>A</w:t>
            </w:r>
            <w:r w:rsidR="00FF5D07">
              <w:t xml:space="preserve"> set of references to datasets held by one or more providers</w:t>
            </w:r>
          </w:p>
        </w:tc>
        <w:tc>
          <w:tcPr>
            <w:tcW w:w="4627" w:type="dxa"/>
          </w:tcPr>
          <w:p w14:paraId="549E9F24" w14:textId="2F065884" w:rsidR="001A1F0C" w:rsidRDefault="00E30326" w:rsidP="00E30326">
            <w:pPr>
              <w:pStyle w:val="Tabletext"/>
            </w:pPr>
            <w:r>
              <w:t>Discovery</w:t>
            </w:r>
            <w:r w:rsidR="00FF5D07">
              <w:t>, versioning and supersession across providers</w:t>
            </w:r>
          </w:p>
        </w:tc>
      </w:tr>
    </w:tbl>
    <w:p w14:paraId="25EC65BE" w14:textId="77777777" w:rsidR="001A1F0C" w:rsidRDefault="00FF5D07" w:rsidP="00E30326">
      <w:r>
        <w:t xml:space="preserve">The metamodel is a property graph. Attributes are carried on the edges as well as on the nodes. This matters because at these two layers much of the information sits on the relations. A joint carries an axis and its limits. A spatial relation carries a relative pose and a contact region. An interaction relation carries a reference to a capability and to the region at which it is exercised. Edges are classified as spatial, kinematic, semantic or interaction. The interaction family is what distinguishes </w:t>
      </w:r>
      <w:r>
        <w:lastRenderedPageBreak/>
        <w:t>this metamodel from a scene graph used for rendering. It states not only what an agent can do, but what that action requires of the environment.</w:t>
      </w:r>
    </w:p>
    <w:p w14:paraId="7907FF4A" w14:textId="77777777" w:rsidR="001A1F0C" w:rsidRDefault="00FF5D07" w:rsidP="00E30326">
      <w:r>
        <w:t>R-7-1: It is critical that a reference from one layer to the layer below is by</w:t>
      </w:r>
      <w:r>
        <w:rPr>
          <w:rFonts w:eastAsia="SimSun"/>
          <w:lang w:val="en-US" w:eastAsia="zh-CN"/>
        </w:rPr>
        <w:t xml:space="preserve"> </w:t>
      </w:r>
      <w:r>
        <w:t>identifier and checksum, and that the referenced content is not copied into the</w:t>
      </w:r>
      <w:r>
        <w:rPr>
          <w:rFonts w:eastAsia="SimSun"/>
          <w:lang w:val="en-US" w:eastAsia="zh-CN"/>
        </w:rPr>
        <w:t xml:space="preserve"> </w:t>
      </w:r>
      <w:r>
        <w:t>referencing artifact. It is critical that a referenced artifact is independently</w:t>
      </w:r>
      <w:r>
        <w:rPr>
          <w:rFonts w:eastAsia="SimSun"/>
          <w:lang w:val="en-US" w:eastAsia="zh-CN"/>
        </w:rPr>
        <w:t xml:space="preserve"> </w:t>
      </w:r>
      <w:r>
        <w:t>resolvable and independently evaluable.</w:t>
      </w:r>
    </w:p>
    <w:p w14:paraId="42D9AED9" w14:textId="77777777" w:rsidR="001A1F0C" w:rsidRDefault="00FF5D07">
      <w:pPr>
        <w:pStyle w:val="Heading1"/>
      </w:pPr>
      <w:bookmarkStart w:id="38" w:name="_Toc31662"/>
      <w:bookmarkStart w:id="39" w:name="_Toc243469498"/>
      <w:bookmarkStart w:id="40" w:name="_Toc244165446"/>
      <w:r>
        <w:t>8</w:t>
      </w:r>
      <w:r>
        <w:tab/>
        <w:t>Descriptor and header</w:t>
      </w:r>
      <w:bookmarkEnd w:id="38"/>
      <w:bookmarkEnd w:id="39"/>
      <w:bookmarkEnd w:id="40"/>
    </w:p>
    <w:p w14:paraId="34158324" w14:textId="77777777" w:rsidR="001A1F0C" w:rsidRDefault="00FF5D07" w:rsidP="00E30326">
      <w:r>
        <w:t>A descriptor is the declarative content of an artifact. It carries no payload content, and has the three parts of Table 8-1.</w:t>
      </w:r>
    </w:p>
    <w:p w14:paraId="3854BA6B" w14:textId="6D118C63" w:rsidR="001A1F0C" w:rsidRDefault="00FF5D07" w:rsidP="00E30326">
      <w:pPr>
        <w:pStyle w:val="TableNoTitle"/>
      </w:pPr>
      <w:r w:rsidRPr="00E30326">
        <w:t xml:space="preserve">Table 8-1 </w:t>
      </w:r>
      <w:r w:rsidR="00E30326">
        <w:t>–</w:t>
      </w:r>
      <w:r w:rsidRPr="00E30326">
        <w:t xml:space="preserve"> Parts of a descriptor</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7711"/>
      </w:tblGrid>
      <w:tr w:rsidR="001A1F0C" w14:paraId="513F06C6" w14:textId="77777777" w:rsidTr="00E30326">
        <w:trPr>
          <w:tblHeader/>
          <w:jc w:val="center"/>
        </w:trPr>
        <w:tc>
          <w:tcPr>
            <w:tcW w:w="1800" w:type="dxa"/>
          </w:tcPr>
          <w:p w14:paraId="25807982" w14:textId="77777777" w:rsidR="001A1F0C" w:rsidRDefault="00FF5D07" w:rsidP="00E30326">
            <w:pPr>
              <w:pStyle w:val="Tablehead"/>
            </w:pPr>
            <w:r w:rsidRPr="00E30326">
              <w:t>Part</w:t>
            </w:r>
          </w:p>
        </w:tc>
        <w:tc>
          <w:tcPr>
            <w:tcW w:w="7200" w:type="dxa"/>
          </w:tcPr>
          <w:p w14:paraId="4CC23383" w14:textId="77777777" w:rsidR="001A1F0C" w:rsidRDefault="00FF5D07" w:rsidP="00E30326">
            <w:pPr>
              <w:pStyle w:val="Tablehead"/>
            </w:pPr>
            <w:r w:rsidRPr="00E30326">
              <w:t>What it carries</w:t>
            </w:r>
          </w:p>
        </w:tc>
      </w:tr>
      <w:tr w:rsidR="001A1F0C" w14:paraId="0E426396" w14:textId="77777777" w:rsidTr="00E30326">
        <w:trPr>
          <w:jc w:val="center"/>
        </w:trPr>
        <w:tc>
          <w:tcPr>
            <w:tcW w:w="1800" w:type="dxa"/>
          </w:tcPr>
          <w:p w14:paraId="79F3C021" w14:textId="77777777" w:rsidR="001A1F0C" w:rsidRDefault="00FF5D07" w:rsidP="00E30326">
            <w:pPr>
              <w:pStyle w:val="Tabletext"/>
            </w:pPr>
            <w:r>
              <w:t>Header</w:t>
            </w:r>
          </w:p>
        </w:tc>
        <w:tc>
          <w:tcPr>
            <w:tcW w:w="7200" w:type="dxa"/>
          </w:tcPr>
          <w:p w14:paraId="171EA8E7" w14:textId="34DE4FA1" w:rsidR="001A1F0C" w:rsidRDefault="00E30326" w:rsidP="00E30326">
            <w:pPr>
              <w:pStyle w:val="Tabletext"/>
            </w:pPr>
            <w:r>
              <w:t xml:space="preserve">The </w:t>
            </w:r>
            <w:r w:rsidR="00FF5D07">
              <w:t>identity of the artifact, its version, the conventions of clause 9, its licence, its provenance, and the conformance profile it is stated against. The header can be evaluated without resolving any other artifact.</w:t>
            </w:r>
          </w:p>
        </w:tc>
      </w:tr>
      <w:tr w:rsidR="001A1F0C" w14:paraId="1E197E27" w14:textId="77777777" w:rsidTr="00E30326">
        <w:trPr>
          <w:jc w:val="center"/>
        </w:trPr>
        <w:tc>
          <w:tcPr>
            <w:tcW w:w="1800" w:type="dxa"/>
          </w:tcPr>
          <w:p w14:paraId="23F337C7" w14:textId="77777777" w:rsidR="001A1F0C" w:rsidRDefault="00FF5D07" w:rsidP="00E30326">
            <w:pPr>
              <w:pStyle w:val="Tabletext"/>
            </w:pPr>
            <w:r>
              <w:t>Graph</w:t>
            </w:r>
          </w:p>
        </w:tc>
        <w:tc>
          <w:tcPr>
            <w:tcW w:w="7200" w:type="dxa"/>
          </w:tcPr>
          <w:p w14:paraId="44AF8F4E" w14:textId="0816061B" w:rsidR="001A1F0C" w:rsidRDefault="00E30326" w:rsidP="00E30326">
            <w:pPr>
              <w:pStyle w:val="Tabletext"/>
            </w:pPr>
            <w:r>
              <w:t xml:space="preserve">The </w:t>
            </w:r>
            <w:r w:rsidR="00FF5D07">
              <w:t>nodes and edges of clause 7.</w:t>
            </w:r>
          </w:p>
        </w:tc>
      </w:tr>
      <w:tr w:rsidR="001A1F0C" w14:paraId="496EE81D" w14:textId="77777777" w:rsidTr="00E30326">
        <w:trPr>
          <w:jc w:val="center"/>
        </w:trPr>
        <w:tc>
          <w:tcPr>
            <w:tcW w:w="1800" w:type="dxa"/>
          </w:tcPr>
          <w:p w14:paraId="53095756" w14:textId="77777777" w:rsidR="001A1F0C" w:rsidRDefault="00FF5D07" w:rsidP="00E30326">
            <w:pPr>
              <w:pStyle w:val="Tabletext"/>
            </w:pPr>
            <w:r>
              <w:t>Manifest</w:t>
            </w:r>
          </w:p>
        </w:tc>
        <w:tc>
          <w:tcPr>
            <w:tcW w:w="7200" w:type="dxa"/>
          </w:tcPr>
          <w:p w14:paraId="28686EC9" w14:textId="02A7568A" w:rsidR="001A1F0C" w:rsidRDefault="00E30326" w:rsidP="00E30326">
            <w:pPr>
              <w:pStyle w:val="Tabletext"/>
            </w:pPr>
            <w:r>
              <w:t xml:space="preserve">One </w:t>
            </w:r>
            <w:r w:rsidR="00FF5D07">
              <w:t>entry for each payload item: its identity, the location at which it can be retrieved, and a checksum over its content. This is the only place from which payload is referenced.</w:t>
            </w:r>
          </w:p>
        </w:tc>
      </w:tr>
    </w:tbl>
    <w:p w14:paraId="21A94973" w14:textId="77777777" w:rsidR="001A1F0C" w:rsidRDefault="00FF5D07" w:rsidP="00E30326">
      <w:r>
        <w:t>This clause describes the mechanism addressing Class 1 of clause 6.1. One asset declares no mass because none was measured. Another declares no mass because the quantity does not apply to it. These are different artifacts, and in current practice they cannot be told apart without retrieving the payload.</w:t>
      </w:r>
    </w:p>
    <w:p w14:paraId="767393A5" w14:textId="77777777" w:rsidR="001A1F0C" w:rsidRDefault="00FF5D07" w:rsidP="00E30326">
      <w:r>
        <w:t>R-8-1: It is critical that a declared absence is expressed by a reserved value. It is</w:t>
      </w:r>
      <w:r>
        <w:rPr>
          <w:rFonts w:eastAsia="SimSun"/>
          <w:lang w:val="en-US" w:eastAsia="zh-CN"/>
        </w:rPr>
        <w:t xml:space="preserve"> </w:t>
      </w:r>
      <w:r>
        <w:t>critical that an undeclared field causes evaluation against the declared conformance</w:t>
      </w:r>
      <w:r>
        <w:rPr>
          <w:rFonts w:eastAsia="SimSun"/>
          <w:lang w:val="en-US" w:eastAsia="zh-CN"/>
        </w:rPr>
        <w:t xml:space="preserve"> </w:t>
      </w:r>
      <w:r>
        <w:t>profile to fail, and that the failure is recorded, identifying the field.</w:t>
      </w:r>
    </w:p>
    <w:p w14:paraId="4AF41D19" w14:textId="77777777" w:rsidR="001A1F0C" w:rsidRDefault="00FF5D07" w:rsidP="00E30326">
      <w:r>
        <w:t>R-8-2: It is critical that a consumer treats a declared absence as authoritative, and</w:t>
      </w:r>
      <w:r>
        <w:rPr>
          <w:rFonts w:eastAsia="SimSun"/>
          <w:lang w:val="en-US" w:eastAsia="zh-CN"/>
        </w:rPr>
        <w:t xml:space="preserve"> </w:t>
      </w:r>
      <w:r>
        <w:t>does not infer that a value exists in the payload. It is critical that a value taken</w:t>
      </w:r>
      <w:r>
        <w:rPr>
          <w:rFonts w:eastAsia="SimSun"/>
          <w:lang w:val="en-US" w:eastAsia="zh-CN"/>
        </w:rPr>
        <w:t xml:space="preserve"> </w:t>
      </w:r>
      <w:r>
        <w:t>from a tool default is not recorded as a declared value, unless the method by which it</w:t>
      </w:r>
      <w:r>
        <w:rPr>
          <w:rFonts w:eastAsia="SimSun"/>
          <w:lang w:val="en-US" w:eastAsia="zh-CN"/>
        </w:rPr>
        <w:t xml:space="preserve"> </w:t>
      </w:r>
      <w:r>
        <w:t>was obtained is also declared.</w:t>
      </w:r>
    </w:p>
    <w:p w14:paraId="120D212D" w14:textId="77777777" w:rsidR="001A1F0C" w:rsidRDefault="00FF5D07">
      <w:pPr>
        <w:pStyle w:val="Heading1"/>
      </w:pPr>
      <w:bookmarkStart w:id="41" w:name="_Toc29920"/>
      <w:bookmarkStart w:id="42" w:name="_Toc243469499"/>
      <w:bookmarkStart w:id="43" w:name="_Toc244165447"/>
      <w:r>
        <w:t>9</w:t>
      </w:r>
      <w:r>
        <w:tab/>
        <w:t>Physical grounding</w:t>
      </w:r>
      <w:bookmarkEnd w:id="41"/>
      <w:bookmarkEnd w:id="42"/>
      <w:bookmarkEnd w:id="43"/>
    </w:p>
    <w:p w14:paraId="1CBE6DB4" w14:textId="77777777" w:rsidR="001A1F0C" w:rsidRDefault="00FF5D07" w:rsidP="00E30326">
      <w:pPr>
        <w:rPr>
          <w:rFonts w:eastAsia="SimSun"/>
          <w:lang w:val="en-US" w:eastAsia="zh-CN"/>
        </w:rPr>
      </w:pPr>
      <w:bookmarkStart w:id="44" w:name="_Toc9030"/>
      <w:r>
        <w:t>This clause describes explicit declarations of physical-semantic metadata and foundational conventions, required to ensure spatio-temporal</w:t>
      </w:r>
      <w:r>
        <w:rPr>
          <w:rFonts w:eastAsia="SimSun"/>
          <w:lang w:val="en-US" w:eastAsia="zh-CN"/>
        </w:rPr>
        <w:t xml:space="preserve"> </w:t>
      </w:r>
      <w:r>
        <w:t>consistency and multi-sensory interactions within multimedia environments for embodied AI.</w:t>
      </w:r>
      <w:r>
        <w:rPr>
          <w:rFonts w:eastAsia="SimSun"/>
          <w:lang w:val="en-US" w:eastAsia="zh-CN"/>
        </w:rPr>
        <w:t xml:space="preserve"> </w:t>
      </w:r>
    </w:p>
    <w:p w14:paraId="50834843" w14:textId="5941664A" w:rsidR="001A1F0C" w:rsidRDefault="00FF5D07" w:rsidP="00E30326">
      <w:pPr>
        <w:rPr>
          <w:rFonts w:eastAsia="SimSun"/>
          <w:lang w:val="en-US" w:eastAsia="zh-CN"/>
        </w:rPr>
      </w:pPr>
      <w:r>
        <w:rPr>
          <w:rFonts w:eastAsia="SimSun"/>
          <w:lang w:val="en-US" w:eastAsia="zh-CN"/>
        </w:rPr>
        <w:t>In such environments, EAI systems process multimodal data, including visual, spatial and haptic streams, in a continuous perception-action loop. The metadata specified in this clause registers these independently authored streams into a single spatial reference, so that the geometry an agent acts upon corresponds to the geometry it perceives. This addresses virtual-world datasets and native multimodal perception.</w:t>
      </w:r>
    </w:p>
    <w:p w14:paraId="36EA8AAE" w14:textId="77777777" w:rsidR="001A1F0C" w:rsidRDefault="00FF5D07" w:rsidP="00B6536F">
      <w:r>
        <w:t>It describes what is declared and in what units. It does not specify dynamic mechanical equations, the algorithms by which any implementation solves contact or articulation, or the actuation and control parameters of a robot. How a consumer uses a declared value is outside the scope of this Technical Specification.</w:t>
      </w:r>
    </w:p>
    <w:p w14:paraId="5ED70F6C" w14:textId="5CA45F33" w:rsidR="001A1F0C" w:rsidRDefault="00FF5D07" w:rsidP="007426DE">
      <w:pPr>
        <w:pStyle w:val="TableNoTitle"/>
      </w:pPr>
      <w:r w:rsidRPr="007426DE">
        <w:lastRenderedPageBreak/>
        <w:t xml:space="preserve">Table 9-1 </w:t>
      </w:r>
      <w:r w:rsidR="007426DE">
        <w:t>–</w:t>
      </w:r>
      <w:r w:rsidRPr="007426DE">
        <w:t xml:space="preserve"> What is declared, and why</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6747"/>
      </w:tblGrid>
      <w:tr w:rsidR="001A1F0C" w14:paraId="48574004" w14:textId="77777777" w:rsidTr="007426DE">
        <w:trPr>
          <w:tblHeader/>
          <w:jc w:val="center"/>
        </w:trPr>
        <w:tc>
          <w:tcPr>
            <w:tcW w:w="2700" w:type="dxa"/>
            <w:tcMar>
              <w:top w:w="0" w:type="dxa"/>
              <w:left w:w="108" w:type="dxa"/>
              <w:bottom w:w="0" w:type="dxa"/>
              <w:right w:w="108" w:type="dxa"/>
            </w:tcMar>
            <w:hideMark/>
          </w:tcPr>
          <w:p w14:paraId="7B7796BF" w14:textId="27089342" w:rsidR="001A1F0C" w:rsidRDefault="00A43504" w:rsidP="00741C1D">
            <w:pPr>
              <w:pStyle w:val="Tablehead"/>
            </w:pPr>
            <w:r>
              <w:t>Declaration</w:t>
            </w:r>
          </w:p>
        </w:tc>
        <w:tc>
          <w:tcPr>
            <w:tcW w:w="6300" w:type="dxa"/>
            <w:shd w:val="clear" w:color="auto" w:fill="FFFFFF"/>
            <w:tcMar>
              <w:top w:w="0" w:type="dxa"/>
              <w:left w:w="108" w:type="dxa"/>
              <w:bottom w:w="0" w:type="dxa"/>
              <w:right w:w="108" w:type="dxa"/>
            </w:tcMar>
            <w:hideMark/>
          </w:tcPr>
          <w:p w14:paraId="35DF0889" w14:textId="14304944" w:rsidR="001A1F0C" w:rsidRDefault="00795247" w:rsidP="007426DE">
            <w:pPr>
              <w:pStyle w:val="Tablehead"/>
            </w:pPr>
            <w:r w:rsidRPr="007426DE">
              <w:t>Why it is needed</w:t>
            </w:r>
          </w:p>
        </w:tc>
      </w:tr>
      <w:tr w:rsidR="001A1F0C" w:rsidRPr="007426DE" w14:paraId="46CF71B1" w14:textId="77777777" w:rsidTr="007426DE">
        <w:trPr>
          <w:jc w:val="center"/>
        </w:trPr>
        <w:tc>
          <w:tcPr>
            <w:tcW w:w="2700" w:type="dxa"/>
            <w:tcMar>
              <w:top w:w="0" w:type="dxa"/>
              <w:left w:w="108" w:type="dxa"/>
              <w:bottom w:w="0" w:type="dxa"/>
              <w:right w:w="108" w:type="dxa"/>
            </w:tcMar>
            <w:hideMark/>
          </w:tcPr>
          <w:p w14:paraId="563FC7E5" w14:textId="64B4E3D5" w:rsidR="001A1F0C" w:rsidRPr="007426DE" w:rsidRDefault="00C01C64" w:rsidP="007426DE">
            <w:pPr>
              <w:pStyle w:val="Tabletext"/>
            </w:pPr>
            <w:r w:rsidRPr="007426DE">
              <w:t>Unit of length, and geometry at absolute scale</w:t>
            </w:r>
          </w:p>
        </w:tc>
        <w:tc>
          <w:tcPr>
            <w:tcW w:w="6300" w:type="dxa"/>
            <w:tcMar>
              <w:top w:w="0" w:type="dxa"/>
              <w:left w:w="108" w:type="dxa"/>
              <w:bottom w:w="0" w:type="dxa"/>
              <w:right w:w="108" w:type="dxa"/>
            </w:tcMar>
            <w:hideMark/>
          </w:tcPr>
          <w:p w14:paraId="67E4925A" w14:textId="0EEC425A" w:rsidR="001A1F0C" w:rsidRPr="007426DE" w:rsidRDefault="002A1157" w:rsidP="007426DE">
            <w:pPr>
              <w:pStyle w:val="Tabletext"/>
            </w:pPr>
            <w:r w:rsidRPr="007426DE">
              <w:t>An asset not expressed at absolute scale in a declared unit cannot be placed alongside assets from other sources.</w:t>
            </w:r>
          </w:p>
        </w:tc>
      </w:tr>
      <w:tr w:rsidR="001A1F0C" w:rsidRPr="007426DE" w14:paraId="2BD3E4B6" w14:textId="77777777" w:rsidTr="007426DE">
        <w:trPr>
          <w:jc w:val="center"/>
        </w:trPr>
        <w:tc>
          <w:tcPr>
            <w:tcW w:w="2700" w:type="dxa"/>
            <w:tcMar>
              <w:top w:w="0" w:type="dxa"/>
              <w:left w:w="108" w:type="dxa"/>
              <w:bottom w:w="0" w:type="dxa"/>
              <w:right w:w="108" w:type="dxa"/>
            </w:tcMar>
            <w:hideMark/>
          </w:tcPr>
          <w:p w14:paraId="1F497BD4" w14:textId="7E2E2A82" w:rsidR="001A1F0C" w:rsidRPr="007426DE" w:rsidRDefault="00F20899" w:rsidP="007426DE">
            <w:pPr>
              <w:pStyle w:val="Tabletext"/>
            </w:pPr>
            <w:r w:rsidRPr="007426DE">
              <w:t>Mass</w:t>
            </w:r>
          </w:p>
        </w:tc>
        <w:tc>
          <w:tcPr>
            <w:tcW w:w="6300" w:type="dxa"/>
            <w:tcMar>
              <w:top w:w="0" w:type="dxa"/>
              <w:left w:w="108" w:type="dxa"/>
              <w:bottom w:w="0" w:type="dxa"/>
              <w:right w:w="108" w:type="dxa"/>
            </w:tcMar>
            <w:hideMark/>
          </w:tcPr>
          <w:p w14:paraId="61203667" w14:textId="1C0A8237" w:rsidR="001A1F0C" w:rsidRPr="007426DE" w:rsidRDefault="00AB317F" w:rsidP="007426DE">
            <w:pPr>
              <w:pStyle w:val="Tabletext"/>
            </w:pPr>
            <w:r w:rsidRPr="007426DE">
              <w:t>Mass is the case in which information is most often absent without its absence being stated. It is declared as metadata, or declared absent.</w:t>
            </w:r>
          </w:p>
        </w:tc>
      </w:tr>
      <w:tr w:rsidR="001A1F0C" w:rsidRPr="007426DE" w14:paraId="013FA913" w14:textId="77777777" w:rsidTr="007426DE">
        <w:trPr>
          <w:jc w:val="center"/>
        </w:trPr>
        <w:tc>
          <w:tcPr>
            <w:tcW w:w="2700" w:type="dxa"/>
            <w:tcMar>
              <w:top w:w="0" w:type="dxa"/>
              <w:left w:w="108" w:type="dxa"/>
              <w:bottom w:w="0" w:type="dxa"/>
              <w:right w:w="108" w:type="dxa"/>
            </w:tcMar>
            <w:hideMark/>
          </w:tcPr>
          <w:p w14:paraId="7AF9E50B" w14:textId="6A46D6B6" w:rsidR="001A1F0C" w:rsidRPr="007426DE" w:rsidRDefault="0041582F" w:rsidP="007426DE">
            <w:pPr>
              <w:pStyle w:val="Tabletext"/>
            </w:pPr>
            <w:r w:rsidRPr="007426DE">
              <w:t>Surface properties</w:t>
            </w:r>
          </w:p>
        </w:tc>
        <w:tc>
          <w:tcPr>
            <w:tcW w:w="6300" w:type="dxa"/>
            <w:tcMar>
              <w:top w:w="0" w:type="dxa"/>
              <w:left w:w="108" w:type="dxa"/>
              <w:bottom w:w="0" w:type="dxa"/>
              <w:right w:w="108" w:type="dxa"/>
            </w:tcMar>
            <w:hideMark/>
          </w:tcPr>
          <w:p w14:paraId="5FD4C969" w14:textId="743CFAC6" w:rsidR="001A1F0C" w:rsidRPr="007426DE" w:rsidRDefault="00564D47" w:rsidP="007426DE">
            <w:pPr>
              <w:pStyle w:val="Tabletext"/>
            </w:pPr>
            <w:r w:rsidRPr="007426DE">
              <w:t>Declared separately from any visual material, because a visual material describes appearance only. These are the properties on which a haptic representation of the same surface depends.</w:t>
            </w:r>
          </w:p>
        </w:tc>
      </w:tr>
      <w:tr w:rsidR="001A1F0C" w:rsidRPr="007426DE" w14:paraId="073F1425" w14:textId="77777777" w:rsidTr="007426DE">
        <w:trPr>
          <w:jc w:val="center"/>
        </w:trPr>
        <w:tc>
          <w:tcPr>
            <w:tcW w:w="2700" w:type="dxa"/>
            <w:tcMar>
              <w:top w:w="0" w:type="dxa"/>
              <w:left w:w="108" w:type="dxa"/>
              <w:bottom w:w="0" w:type="dxa"/>
              <w:right w:w="108" w:type="dxa"/>
            </w:tcMar>
            <w:hideMark/>
          </w:tcPr>
          <w:p w14:paraId="0245EEE9" w14:textId="2C206C2A" w:rsidR="001A1F0C" w:rsidRPr="007426DE" w:rsidRDefault="00453812" w:rsidP="007426DE">
            <w:pPr>
              <w:pStyle w:val="Tabletext"/>
            </w:pPr>
            <w:r w:rsidRPr="007426DE">
              <w:t>Collision representation</w:t>
            </w:r>
          </w:p>
        </w:tc>
        <w:tc>
          <w:tcPr>
            <w:tcW w:w="6300" w:type="dxa"/>
            <w:tcMar>
              <w:top w:w="0" w:type="dxa"/>
              <w:left w:w="108" w:type="dxa"/>
              <w:bottom w:w="0" w:type="dxa"/>
              <w:right w:w="108" w:type="dxa"/>
            </w:tcMar>
            <w:hideMark/>
          </w:tcPr>
          <w:p w14:paraId="4FEB0C2E" w14:textId="61B8708C" w:rsidR="001A1F0C" w:rsidRPr="007426DE" w:rsidRDefault="004C1C43" w:rsidP="007426DE">
            <w:pPr>
              <w:pStyle w:val="Tabletext"/>
            </w:pPr>
            <w:r w:rsidRPr="007426DE">
              <w:t>The geometry used for spatial reasoning, which may differ from the geometry authored for appearance.</w:t>
            </w:r>
          </w:p>
        </w:tc>
      </w:tr>
      <w:tr w:rsidR="001A1F0C" w:rsidRPr="007426DE" w14:paraId="64135787" w14:textId="77777777" w:rsidTr="007426DE">
        <w:trPr>
          <w:jc w:val="center"/>
        </w:trPr>
        <w:tc>
          <w:tcPr>
            <w:tcW w:w="2700" w:type="dxa"/>
            <w:tcMar>
              <w:top w:w="0" w:type="dxa"/>
              <w:left w:w="108" w:type="dxa"/>
              <w:bottom w:w="0" w:type="dxa"/>
              <w:right w:w="108" w:type="dxa"/>
            </w:tcMar>
            <w:hideMark/>
          </w:tcPr>
          <w:p w14:paraId="19F488FD" w14:textId="6CCE8A9E" w:rsidR="001A1F0C" w:rsidRPr="007426DE" w:rsidRDefault="00BC06F6" w:rsidP="007426DE">
            <w:pPr>
              <w:pStyle w:val="Tabletext"/>
            </w:pPr>
            <w:r w:rsidRPr="007426DE">
              <w:t>Up-axis, forward-axis, handedness, angle unit, pose composition order, and the frame of a declared pose</w:t>
            </w:r>
          </w:p>
        </w:tc>
        <w:tc>
          <w:tcPr>
            <w:tcW w:w="6300" w:type="dxa"/>
            <w:tcMar>
              <w:top w:w="0" w:type="dxa"/>
              <w:left w:w="108" w:type="dxa"/>
              <w:bottom w:w="0" w:type="dxa"/>
              <w:right w:w="108" w:type="dxa"/>
            </w:tcMar>
            <w:hideMark/>
          </w:tcPr>
          <w:p w14:paraId="55381891" w14:textId="35C3C90A" w:rsidR="001A1F0C" w:rsidRPr="007426DE" w:rsidRDefault="001E4B32" w:rsidP="007426DE">
            <w:pPr>
              <w:pStyle w:val="Tabletext"/>
            </w:pPr>
            <w:r w:rsidRPr="007426DE">
              <w:t>A convention customary in a host format is not thereby declared. The customary value differs between formats and between tools, and a consumer assembling a scene from several sources cannot recover it from any single artifact. This addresses Class 3 of clause 6.1.</w:t>
            </w:r>
          </w:p>
        </w:tc>
      </w:tr>
    </w:tbl>
    <w:p w14:paraId="2563E272" w14:textId="77777777" w:rsidR="001A1F0C" w:rsidRDefault="00FF5D07" w:rsidP="007426DE">
      <w:pPr>
        <w:rPr>
          <w:rFonts w:eastAsia="SimSun"/>
          <w:lang w:val="en-US" w:eastAsia="zh-CN"/>
        </w:rPr>
      </w:pPr>
      <w:r>
        <w:t>R-9-1: It is critical that an asset or scene declares each item of Table 9-1, or</w:t>
      </w:r>
      <w:r>
        <w:rPr>
          <w:rFonts w:eastAsia="SimSun"/>
          <w:lang w:val="en-US" w:eastAsia="zh-CN"/>
        </w:rPr>
        <w:t xml:space="preserve"> </w:t>
      </w:r>
      <w:r>
        <w:t>declares its absence in accordance with Table 5-1.</w:t>
      </w:r>
    </w:p>
    <w:p w14:paraId="03F2E7FD" w14:textId="77777777" w:rsidR="001A1F0C" w:rsidRDefault="00FF5D07" w:rsidP="007426DE">
      <w:r>
        <w:t>R-9-2: It is critical that the geometry of an asset is expressed at absolute scale in</w:t>
      </w:r>
      <w:r>
        <w:rPr>
          <w:rFonts w:eastAsia="SimSun"/>
          <w:lang w:val="en-US" w:eastAsia="zh-CN"/>
        </w:rPr>
        <w:t xml:space="preserve"> </w:t>
      </w:r>
      <w:r>
        <w:t>the declared unit. It is critical that a convention is declared in the artifact, and</w:t>
      </w:r>
      <w:r>
        <w:rPr>
          <w:rFonts w:eastAsia="SimSun"/>
          <w:lang w:val="en-US" w:eastAsia="zh-CN"/>
        </w:rPr>
        <w:t xml:space="preserve"> </w:t>
      </w:r>
      <w:r>
        <w:t>not established by reference to the customary value of a host format.</w:t>
      </w:r>
    </w:p>
    <w:p w14:paraId="18BA8DB5" w14:textId="77777777" w:rsidR="001A1F0C" w:rsidRDefault="00FF5D07">
      <w:pPr>
        <w:pStyle w:val="Heading1"/>
      </w:pPr>
      <w:bookmarkStart w:id="45" w:name="_Toc243469500"/>
      <w:bookmarkStart w:id="46" w:name="_Toc244165448"/>
      <w:r>
        <w:t>10</w:t>
      </w:r>
      <w:r>
        <w:tab/>
        <w:t>Affordance and interaction representation</w:t>
      </w:r>
      <w:bookmarkEnd w:id="44"/>
      <w:bookmarkEnd w:id="45"/>
      <w:bookmarkEnd w:id="46"/>
    </w:p>
    <w:p w14:paraId="3D5F17D8" w14:textId="77777777" w:rsidR="001A1F0C" w:rsidRDefault="00FF5D07">
      <w:pPr>
        <w:spacing w:before="40" w:after="80"/>
      </w:pPr>
      <w:bookmarkStart w:id="47" w:name="_Toc18896"/>
      <w:r>
        <w:t xml:space="preserve">An interaction capability declared by an asset is not a label. A declaration that an asset affords an interaction says that the asset </w:t>
      </w:r>
      <w:r w:rsidRPr="007426DE">
        <w:t>carries the information a consumer needs in order to attempt it. That information is the contract of the capability, and is what makes the declaration usable rather than merely descriptive. A declaration that a surface affords support is of no use on its own; the consumer also needs the extent of that surface, its outward normal and its load limit. This Technical Specification specifies only the data structures</w:t>
      </w:r>
      <w:r>
        <w:t xml:space="preserve"> of these affordances, and does not define the physical capability or execution constraints of any particular embodied agent.</w:t>
      </w:r>
    </w:p>
    <w:p w14:paraId="04227BEF" w14:textId="277298A5" w:rsidR="001A1F0C" w:rsidRDefault="00FF5D07" w:rsidP="007426DE">
      <w:pPr>
        <w:pStyle w:val="TableNoTitle"/>
      </w:pPr>
      <w:r w:rsidRPr="007426DE">
        <w:t xml:space="preserve">Table 10-1 </w:t>
      </w:r>
      <w:r w:rsidR="007426DE">
        <w:t>–</w:t>
      </w:r>
      <w:r w:rsidRPr="007426DE">
        <w:t xml:space="preserve"> Elements of a contract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6747"/>
      </w:tblGrid>
      <w:tr w:rsidR="001A1F0C" w14:paraId="070B14E2" w14:textId="77777777" w:rsidTr="00B6536F">
        <w:trPr>
          <w:tblHeader/>
          <w:jc w:val="center"/>
        </w:trPr>
        <w:tc>
          <w:tcPr>
            <w:tcW w:w="2700" w:type="dxa"/>
            <w:tcMar>
              <w:top w:w="0" w:type="dxa"/>
              <w:left w:w="108" w:type="dxa"/>
              <w:bottom w:w="0" w:type="dxa"/>
              <w:right w:w="108" w:type="dxa"/>
            </w:tcMar>
            <w:hideMark/>
          </w:tcPr>
          <w:p w14:paraId="39F937B9" w14:textId="18546587" w:rsidR="001A1F0C" w:rsidRDefault="00A43504" w:rsidP="00927352">
            <w:pPr>
              <w:pStyle w:val="Tablehead"/>
            </w:pPr>
            <w:r>
              <w:t>Element</w:t>
            </w:r>
          </w:p>
        </w:tc>
        <w:tc>
          <w:tcPr>
            <w:tcW w:w="6300" w:type="dxa"/>
            <w:shd w:val="clear" w:color="auto" w:fill="FFFFFF"/>
            <w:tcMar>
              <w:top w:w="0" w:type="dxa"/>
              <w:left w:w="108" w:type="dxa"/>
              <w:bottom w:w="0" w:type="dxa"/>
              <w:right w:w="108" w:type="dxa"/>
            </w:tcMar>
            <w:hideMark/>
          </w:tcPr>
          <w:p w14:paraId="28DB7B04" w14:textId="3EC73B02" w:rsidR="001A1F0C" w:rsidRDefault="008D0586" w:rsidP="007426DE">
            <w:pPr>
              <w:pStyle w:val="Tablehead"/>
            </w:pPr>
            <w:r w:rsidRPr="007426DE">
              <w:t>What it states</w:t>
            </w:r>
          </w:p>
        </w:tc>
      </w:tr>
      <w:tr w:rsidR="001A1F0C" w:rsidRPr="007426DE" w14:paraId="25A46AC6" w14:textId="77777777" w:rsidTr="00B6536F">
        <w:trPr>
          <w:jc w:val="center"/>
        </w:trPr>
        <w:tc>
          <w:tcPr>
            <w:tcW w:w="2700" w:type="dxa"/>
            <w:tcMar>
              <w:top w:w="0" w:type="dxa"/>
              <w:left w:w="108" w:type="dxa"/>
              <w:bottom w:w="0" w:type="dxa"/>
              <w:right w:w="108" w:type="dxa"/>
            </w:tcMar>
            <w:hideMark/>
          </w:tcPr>
          <w:p w14:paraId="4F2CE011" w14:textId="238F3662" w:rsidR="001A1F0C" w:rsidRPr="007426DE" w:rsidRDefault="006D5F12" w:rsidP="007426DE">
            <w:pPr>
              <w:pStyle w:val="Tabletext"/>
            </w:pPr>
            <w:r w:rsidRPr="007426DE">
              <w:t>Capability identifier</w:t>
            </w:r>
          </w:p>
        </w:tc>
        <w:tc>
          <w:tcPr>
            <w:tcW w:w="6300" w:type="dxa"/>
            <w:tcMar>
              <w:top w:w="0" w:type="dxa"/>
              <w:left w:w="108" w:type="dxa"/>
              <w:bottom w:w="0" w:type="dxa"/>
              <w:right w:w="108" w:type="dxa"/>
            </w:tcMar>
            <w:hideMark/>
          </w:tcPr>
          <w:p w14:paraId="079CCE56" w14:textId="112A7694" w:rsidR="001A1F0C" w:rsidRPr="007426DE" w:rsidRDefault="007426DE" w:rsidP="007426DE">
            <w:pPr>
              <w:pStyle w:val="Tabletext"/>
            </w:pPr>
            <w:r w:rsidRPr="007426DE">
              <w:t xml:space="preserve">The </w:t>
            </w:r>
            <w:r w:rsidR="00370C9C" w:rsidRPr="007426DE">
              <w:t>interaction the asset affords, such as support or the opening of a hinged part</w:t>
            </w:r>
          </w:p>
        </w:tc>
      </w:tr>
      <w:tr w:rsidR="001A1F0C" w:rsidRPr="007426DE" w14:paraId="6D3AF5EB" w14:textId="77777777" w:rsidTr="00B6536F">
        <w:trPr>
          <w:jc w:val="center"/>
        </w:trPr>
        <w:tc>
          <w:tcPr>
            <w:tcW w:w="2700" w:type="dxa"/>
            <w:tcMar>
              <w:top w:w="0" w:type="dxa"/>
              <w:left w:w="108" w:type="dxa"/>
              <w:bottom w:w="0" w:type="dxa"/>
              <w:right w:w="108" w:type="dxa"/>
            </w:tcMar>
            <w:hideMark/>
          </w:tcPr>
          <w:p w14:paraId="2FA0E3E1" w14:textId="75F66140" w:rsidR="001A1F0C" w:rsidRPr="007426DE" w:rsidRDefault="00FD2B48" w:rsidP="007426DE">
            <w:pPr>
              <w:pStyle w:val="Tabletext"/>
            </w:pPr>
            <w:r w:rsidRPr="007426DE">
              <w:t>Required field set</w:t>
            </w:r>
          </w:p>
        </w:tc>
        <w:tc>
          <w:tcPr>
            <w:tcW w:w="6300" w:type="dxa"/>
            <w:tcMar>
              <w:top w:w="0" w:type="dxa"/>
              <w:left w:w="108" w:type="dxa"/>
              <w:bottom w:w="0" w:type="dxa"/>
              <w:right w:w="108" w:type="dxa"/>
            </w:tcMar>
            <w:hideMark/>
          </w:tcPr>
          <w:p w14:paraId="4A53002F" w14:textId="029973D2" w:rsidR="001A1F0C" w:rsidRPr="007426DE" w:rsidRDefault="007426DE" w:rsidP="007426DE">
            <w:pPr>
              <w:pStyle w:val="Tabletext"/>
            </w:pPr>
            <w:r w:rsidRPr="007426DE">
              <w:t xml:space="preserve">The </w:t>
            </w:r>
            <w:r w:rsidR="002F4D78" w:rsidRPr="007426DE">
              <w:t>fields a declaration of this capability is required to carry</w:t>
            </w:r>
          </w:p>
        </w:tc>
      </w:tr>
      <w:tr w:rsidR="001A1F0C" w:rsidRPr="007426DE" w14:paraId="0CB68213" w14:textId="77777777" w:rsidTr="00B6536F">
        <w:trPr>
          <w:jc w:val="center"/>
        </w:trPr>
        <w:tc>
          <w:tcPr>
            <w:tcW w:w="2700" w:type="dxa"/>
            <w:tcMar>
              <w:top w:w="0" w:type="dxa"/>
              <w:left w:w="108" w:type="dxa"/>
              <w:bottom w:w="0" w:type="dxa"/>
              <w:right w:w="108" w:type="dxa"/>
            </w:tcMar>
            <w:hideMark/>
          </w:tcPr>
          <w:p w14:paraId="09F93954" w14:textId="69B0A4C6" w:rsidR="001A1F0C" w:rsidRPr="007426DE" w:rsidRDefault="006109F3" w:rsidP="007426DE">
            <w:pPr>
              <w:pStyle w:val="Tabletext"/>
            </w:pPr>
            <w:r w:rsidRPr="007426DE">
              <w:t>Interaction region</w:t>
            </w:r>
          </w:p>
        </w:tc>
        <w:tc>
          <w:tcPr>
            <w:tcW w:w="6300" w:type="dxa"/>
            <w:tcMar>
              <w:top w:w="0" w:type="dxa"/>
              <w:left w:w="108" w:type="dxa"/>
              <w:bottom w:w="0" w:type="dxa"/>
              <w:right w:w="108" w:type="dxa"/>
            </w:tcMar>
            <w:hideMark/>
          </w:tcPr>
          <w:p w14:paraId="3918EFDB" w14:textId="274DF9A9" w:rsidR="001A1F0C" w:rsidRPr="007426DE" w:rsidRDefault="007426DE" w:rsidP="007426DE">
            <w:pPr>
              <w:pStyle w:val="Tabletext"/>
            </w:pPr>
            <w:r w:rsidRPr="007426DE">
              <w:t xml:space="preserve">The </w:t>
            </w:r>
            <w:r w:rsidR="00CE6836" w:rsidRPr="007426DE">
              <w:t>geometric region at which the capability is exercised, such as a support surface, a containment cavity or a grasp region</w:t>
            </w:r>
          </w:p>
        </w:tc>
      </w:tr>
      <w:tr w:rsidR="001A1F0C" w:rsidRPr="007426DE" w14:paraId="402ABD87" w14:textId="77777777" w:rsidTr="00B6536F">
        <w:trPr>
          <w:jc w:val="center"/>
        </w:trPr>
        <w:tc>
          <w:tcPr>
            <w:tcW w:w="2700" w:type="dxa"/>
            <w:tcMar>
              <w:top w:w="0" w:type="dxa"/>
              <w:left w:w="108" w:type="dxa"/>
              <w:bottom w:w="0" w:type="dxa"/>
              <w:right w:w="108" w:type="dxa"/>
            </w:tcMar>
            <w:hideMark/>
          </w:tcPr>
          <w:p w14:paraId="50A8BA64" w14:textId="306C3897" w:rsidR="001A1F0C" w:rsidRPr="007426DE" w:rsidRDefault="00F91DFD" w:rsidP="007426DE">
            <w:pPr>
              <w:pStyle w:val="Tabletext"/>
            </w:pPr>
            <w:r w:rsidRPr="007426DE">
              <w:t>Applicable conditions</w:t>
            </w:r>
          </w:p>
        </w:tc>
        <w:tc>
          <w:tcPr>
            <w:tcW w:w="6300" w:type="dxa"/>
            <w:tcMar>
              <w:top w:w="0" w:type="dxa"/>
              <w:left w:w="108" w:type="dxa"/>
              <w:bottom w:w="0" w:type="dxa"/>
              <w:right w:w="108" w:type="dxa"/>
            </w:tcMar>
            <w:hideMark/>
          </w:tcPr>
          <w:p w14:paraId="74035D99" w14:textId="51D30177" w:rsidR="001A1F0C" w:rsidRPr="007426DE" w:rsidRDefault="007426DE" w:rsidP="007426DE">
            <w:pPr>
              <w:pStyle w:val="Tabletext"/>
            </w:pPr>
            <w:r w:rsidRPr="007426DE">
              <w:t xml:space="preserve">The </w:t>
            </w:r>
            <w:r w:rsidR="000C0B23" w:rsidRPr="007426DE">
              <w:t>consistency conditions of clause 11 that apply to a declaration of this capability</w:t>
            </w:r>
          </w:p>
        </w:tc>
      </w:tr>
      <w:tr w:rsidR="001A1F0C" w:rsidRPr="007426DE" w14:paraId="209571AB" w14:textId="77777777" w:rsidTr="00B6536F">
        <w:trPr>
          <w:jc w:val="center"/>
        </w:trPr>
        <w:tc>
          <w:tcPr>
            <w:tcW w:w="2700" w:type="dxa"/>
            <w:tcMar>
              <w:top w:w="0" w:type="dxa"/>
              <w:left w:w="108" w:type="dxa"/>
              <w:bottom w:w="0" w:type="dxa"/>
              <w:right w:w="108" w:type="dxa"/>
            </w:tcMar>
            <w:hideMark/>
          </w:tcPr>
          <w:p w14:paraId="42B5C321" w14:textId="0BB7619F" w:rsidR="001A1F0C" w:rsidRPr="007426DE" w:rsidRDefault="00396830" w:rsidP="007426DE">
            <w:pPr>
              <w:pStyle w:val="Tabletext"/>
            </w:pPr>
            <w:r w:rsidRPr="007426DE">
              <w:t>Target embodiment</w:t>
            </w:r>
          </w:p>
        </w:tc>
        <w:tc>
          <w:tcPr>
            <w:tcW w:w="6300" w:type="dxa"/>
            <w:tcMar>
              <w:top w:w="0" w:type="dxa"/>
              <w:left w:w="108" w:type="dxa"/>
              <w:bottom w:w="0" w:type="dxa"/>
              <w:right w:w="108" w:type="dxa"/>
            </w:tcMar>
            <w:hideMark/>
          </w:tcPr>
          <w:p w14:paraId="520B8FB8" w14:textId="4B7D7ED8" w:rsidR="001A1F0C" w:rsidRPr="007426DE" w:rsidRDefault="007426DE" w:rsidP="007426DE">
            <w:pPr>
              <w:pStyle w:val="Tabletext"/>
            </w:pPr>
            <w:r w:rsidRPr="007426DE">
              <w:t xml:space="preserve">The </w:t>
            </w:r>
            <w:r w:rsidR="008231EF" w:rsidRPr="007426DE">
              <w:t>agent class to which the declaration applies, enabling parameterized interaction regions for different embodiments</w:t>
            </w:r>
          </w:p>
        </w:tc>
      </w:tr>
    </w:tbl>
    <w:p w14:paraId="63552609" w14:textId="77777777" w:rsidR="001A1F0C" w:rsidRDefault="00FF5D07" w:rsidP="00B6536F">
      <w:r>
        <w:t>A contract that is satisfied means that the declaration is complete. It does not mean that the interaction will succeed. Whether it succeeds depends on the acting system, on the scene in which the asset is placed, and on the implementation that executes the interaction. None of these is within the scope of this Technical Specification. Appendix II illustrates two contracts.</w:t>
      </w:r>
    </w:p>
    <w:p w14:paraId="54A102AE" w14:textId="77777777" w:rsidR="001A1F0C" w:rsidRDefault="00FF5D07" w:rsidP="007426DE">
      <w:r>
        <w:rPr>
          <w:rFonts w:hint="eastAsia"/>
        </w:rPr>
        <w:lastRenderedPageBreak/>
        <w:t>R-10-1: It is critical that a declaration of an interaction capability satisfies the</w:t>
      </w:r>
      <w:r>
        <w:rPr>
          <w:rFonts w:eastAsia="SimSun" w:hint="eastAsia"/>
          <w:lang w:val="en-US" w:eastAsia="zh-CN"/>
        </w:rPr>
        <w:t xml:space="preserve"> </w:t>
      </w:r>
      <w:r>
        <w:rPr>
          <w:rFonts w:hint="eastAsia"/>
        </w:rPr>
        <w:t>contract of that</w:t>
      </w:r>
      <w:r>
        <w:rPr>
          <w:rFonts w:eastAsia="SimSun" w:hint="eastAsia"/>
          <w:lang w:val="en-US" w:eastAsia="zh-CN"/>
        </w:rPr>
        <w:t xml:space="preserve"> </w:t>
      </w:r>
      <w:r>
        <w:rPr>
          <w:rFonts w:hint="eastAsia"/>
        </w:rPr>
        <w:t>capability, and that every field the contract requires is in one of</w:t>
      </w:r>
      <w:r>
        <w:rPr>
          <w:rFonts w:eastAsia="SimSun" w:hint="eastAsia"/>
          <w:lang w:val="en-US" w:eastAsia="zh-CN"/>
        </w:rPr>
        <w:t xml:space="preserve"> </w:t>
      </w:r>
      <w:r>
        <w:rPr>
          <w:rFonts w:hint="eastAsia"/>
        </w:rPr>
        <w:t>the three states of Table 5-1</w:t>
      </w:r>
      <w:r>
        <w:t>.</w:t>
      </w:r>
    </w:p>
    <w:p w14:paraId="3FF0BE21" w14:textId="77777777" w:rsidR="001A1F0C" w:rsidRDefault="00FF5D07">
      <w:pPr>
        <w:pStyle w:val="Heading1"/>
      </w:pPr>
      <w:bookmarkStart w:id="48" w:name="_Toc243469501"/>
      <w:bookmarkStart w:id="49" w:name="_Toc244165449"/>
      <w:r>
        <w:t>11</w:t>
      </w:r>
      <w:r>
        <w:tab/>
        <w:t>Consistency constraints</w:t>
      </w:r>
      <w:bookmarkEnd w:id="47"/>
      <w:bookmarkEnd w:id="48"/>
      <w:bookmarkEnd w:id="49"/>
    </w:p>
    <w:p w14:paraId="11BAC791" w14:textId="77777777" w:rsidR="001A1F0C" w:rsidRDefault="00FF5D07" w:rsidP="007426DE">
      <w:bookmarkStart w:id="50" w:name="_Toc496"/>
      <w:r>
        <w:t>This clause describes the mechanism addressing Class 2 of clause 6.1. Two or more independently authored parts of the same artifact are each well formed, and they disagree with one another. No check that examines one part at a time detects the disagreement.</w:t>
      </w:r>
    </w:p>
    <w:p w14:paraId="4586B568" w14:textId="77777777" w:rsidR="001A1F0C" w:rsidRDefault="00FF5D07" w:rsidP="007426DE">
      <w:r>
        <w:t>Such a disagreement matters only where a system both perceives an artifact and acts upon it. A renderer is unaffected by a collision representation that does not match the visual geometry. A system that reaches for the surface it can see is not. The conditions are expressed as consistency predicates. Appendix I gives illustrative predicates.</w:t>
      </w:r>
    </w:p>
    <w:p w14:paraId="5BEA254E" w14:textId="77777777" w:rsidR="001A1F0C" w:rsidRDefault="00FF5D07" w:rsidP="007426DE">
      <w:r>
        <w:rPr>
          <w:rFonts w:hint="eastAsia"/>
        </w:rPr>
        <w:t>R-11-1: It is critical that a consistency predicate is evaluable by machine over the</w:t>
      </w:r>
      <w:r>
        <w:rPr>
          <w:rFonts w:eastAsia="SimSun" w:hint="eastAsia"/>
          <w:lang w:val="en-US" w:eastAsia="zh-CN"/>
        </w:rPr>
        <w:t xml:space="preserve"> </w:t>
      </w:r>
      <w:r>
        <w:rPr>
          <w:rFonts w:hint="eastAsia"/>
        </w:rPr>
        <w:t>declared content of an artifact and, where identified as payload-dependent, over its</w:t>
      </w:r>
      <w:r>
        <w:rPr>
          <w:rFonts w:eastAsia="SimSun" w:hint="eastAsia"/>
          <w:lang w:val="en-US" w:eastAsia="zh-CN"/>
        </w:rPr>
        <w:t xml:space="preserve"> </w:t>
      </w:r>
      <w:r>
        <w:rPr>
          <w:rFonts w:hint="eastAsia"/>
        </w:rPr>
        <w:t>payload.</w:t>
      </w:r>
    </w:p>
    <w:p w14:paraId="40A608F6" w14:textId="77777777" w:rsidR="001A1F0C" w:rsidRDefault="00FF5D07" w:rsidP="007426DE">
      <w:r>
        <w:rPr>
          <w:rFonts w:hint="eastAsia"/>
        </w:rPr>
        <w:t>R-11-2: It is critical that the evaluation of a predicate yields one of the results</w:t>
      </w:r>
      <w:r>
        <w:rPr>
          <w:rFonts w:eastAsia="SimSun" w:hint="eastAsia"/>
          <w:lang w:val="en-US" w:eastAsia="zh-CN"/>
        </w:rPr>
        <w:t xml:space="preserve"> </w:t>
      </w:r>
      <w:r>
        <w:rPr>
          <w:rFonts w:hint="eastAsia"/>
        </w:rPr>
        <w:t>pass, fail, not evaluated or not applicable. It is critical that a predicate that has</w:t>
      </w:r>
      <w:r>
        <w:rPr>
          <w:rFonts w:eastAsia="SimSun" w:hint="eastAsia"/>
          <w:lang w:val="en-US" w:eastAsia="zh-CN"/>
        </w:rPr>
        <w:t xml:space="preserve"> </w:t>
      </w:r>
      <w:r>
        <w:rPr>
          <w:rFonts w:hint="eastAsia"/>
        </w:rPr>
        <w:t>not been evaluated is recorded as</w:t>
      </w:r>
      <w:r>
        <w:rPr>
          <w:rFonts w:eastAsia="SimSun" w:hint="eastAsia"/>
          <w:lang w:val="en-US" w:eastAsia="zh-CN"/>
        </w:rPr>
        <w:t xml:space="preserve"> </w:t>
      </w:r>
      <w:r>
        <w:rPr>
          <w:rFonts w:hint="eastAsia"/>
        </w:rPr>
        <w:t>not evaluated, and not as pass</w:t>
      </w:r>
      <w:r>
        <w:t>.</w:t>
      </w:r>
    </w:p>
    <w:p w14:paraId="3CB2A739" w14:textId="77777777" w:rsidR="001A1F0C" w:rsidRDefault="00FF5D07">
      <w:pPr>
        <w:pStyle w:val="Heading1"/>
      </w:pPr>
      <w:bookmarkStart w:id="51" w:name="_Toc243469502"/>
      <w:bookmarkStart w:id="52" w:name="_Toc244165450"/>
      <w:r>
        <w:t>12</w:t>
      </w:r>
      <w:r>
        <w:tab/>
        <w:t>Conformance profiles and reporting</w:t>
      </w:r>
      <w:bookmarkEnd w:id="50"/>
      <w:bookmarkEnd w:id="51"/>
      <w:bookmarkEnd w:id="52"/>
    </w:p>
    <w:p w14:paraId="2CC61817" w14:textId="77777777" w:rsidR="001A1F0C" w:rsidRDefault="00FF5D07" w:rsidP="007426DE">
      <w:r>
        <w:t>This clause describes the mechanism addressing Class 4 of clause 6.1. An artifact declares one profile, is evaluated against that profile and no other, and satisfies every requirement of the profiles below it. The four profiles separate three things that are often treated as one: an artifact that can be displayed cannot always be simulated, and an artifact that can be simulated cannot always be interacted with.</w:t>
      </w:r>
    </w:p>
    <w:p w14:paraId="4696F0CA" w14:textId="787C69AB" w:rsidR="001A1F0C" w:rsidRDefault="00FF5D07" w:rsidP="007426DE">
      <w:pPr>
        <w:pStyle w:val="TableNoTitle"/>
      </w:pPr>
      <w:r w:rsidRPr="007426DE">
        <w:t xml:space="preserve">Table 12-1 </w:t>
      </w:r>
      <w:r w:rsidR="007426DE">
        <w:t>–</w:t>
      </w:r>
      <w:r w:rsidRPr="007426DE">
        <w:t xml:space="preserve"> Conformance profiles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5"/>
        <w:gridCol w:w="1735"/>
        <w:gridCol w:w="6169"/>
      </w:tblGrid>
      <w:tr w:rsidR="001A1F0C" w:rsidRPr="00B6536F" w14:paraId="1ED4F4F3" w14:textId="77777777" w:rsidTr="00B6536F">
        <w:trPr>
          <w:tblHeader/>
          <w:jc w:val="center"/>
        </w:trPr>
        <w:tc>
          <w:tcPr>
            <w:tcW w:w="1620" w:type="dxa"/>
            <w:tcMar>
              <w:top w:w="0" w:type="dxa"/>
              <w:left w:w="108" w:type="dxa"/>
              <w:bottom w:w="0" w:type="dxa"/>
              <w:right w:w="108" w:type="dxa"/>
            </w:tcMar>
            <w:hideMark/>
          </w:tcPr>
          <w:p w14:paraId="27A04555" w14:textId="2B16AC49" w:rsidR="001A1F0C" w:rsidRPr="00B6536F" w:rsidRDefault="00A43504" w:rsidP="00B6536F">
            <w:pPr>
              <w:pStyle w:val="Tablehead"/>
            </w:pPr>
            <w:r w:rsidRPr="00B6536F">
              <w:t>Profile</w:t>
            </w:r>
          </w:p>
        </w:tc>
        <w:tc>
          <w:tcPr>
            <w:tcW w:w="1620" w:type="dxa"/>
            <w:tcMar>
              <w:top w:w="0" w:type="dxa"/>
              <w:left w:w="108" w:type="dxa"/>
              <w:bottom w:w="0" w:type="dxa"/>
              <w:right w:w="108" w:type="dxa"/>
            </w:tcMar>
            <w:hideMark/>
          </w:tcPr>
          <w:p w14:paraId="4A90A073" w14:textId="5D201ABE" w:rsidR="001A1F0C" w:rsidRPr="00B6536F" w:rsidRDefault="00A43504" w:rsidP="00B6536F">
            <w:pPr>
              <w:pStyle w:val="Tablehead"/>
            </w:pPr>
            <w:r w:rsidRPr="00B6536F">
              <w:t>Identifier</w:t>
            </w:r>
          </w:p>
        </w:tc>
        <w:tc>
          <w:tcPr>
            <w:tcW w:w="5760" w:type="dxa"/>
            <w:shd w:val="clear" w:color="auto" w:fill="FFFFFF"/>
            <w:tcMar>
              <w:top w:w="0" w:type="dxa"/>
              <w:left w:w="108" w:type="dxa"/>
              <w:bottom w:w="0" w:type="dxa"/>
              <w:right w:w="108" w:type="dxa"/>
            </w:tcMar>
            <w:hideMark/>
          </w:tcPr>
          <w:p w14:paraId="29683C10" w14:textId="3972CCE2" w:rsidR="001A1F0C" w:rsidRPr="00B6536F" w:rsidRDefault="00512ECC" w:rsidP="00B6536F">
            <w:pPr>
              <w:pStyle w:val="Tablehead"/>
            </w:pPr>
            <w:r w:rsidRPr="00B6536F">
              <w:t>What the profile evidences</w:t>
            </w:r>
          </w:p>
        </w:tc>
      </w:tr>
      <w:tr w:rsidR="001A1F0C" w:rsidRPr="00B6536F" w14:paraId="1BF9D9FA" w14:textId="77777777" w:rsidTr="00B6536F">
        <w:trPr>
          <w:jc w:val="center"/>
        </w:trPr>
        <w:tc>
          <w:tcPr>
            <w:tcW w:w="1620" w:type="dxa"/>
            <w:tcMar>
              <w:top w:w="0" w:type="dxa"/>
              <w:left w:w="108" w:type="dxa"/>
              <w:bottom w:w="0" w:type="dxa"/>
              <w:right w:w="108" w:type="dxa"/>
            </w:tcMar>
            <w:hideMark/>
          </w:tcPr>
          <w:p w14:paraId="6AC5DE86" w14:textId="3933B885" w:rsidR="001A1F0C" w:rsidRPr="00B6536F" w:rsidRDefault="00445C21" w:rsidP="00B6536F">
            <w:pPr>
              <w:pStyle w:val="Tabletext"/>
            </w:pPr>
            <w:r w:rsidRPr="00B6536F">
              <w:t>Metadata</w:t>
            </w:r>
          </w:p>
        </w:tc>
        <w:tc>
          <w:tcPr>
            <w:tcW w:w="1620" w:type="dxa"/>
            <w:tcMar>
              <w:top w:w="0" w:type="dxa"/>
              <w:left w:w="108" w:type="dxa"/>
              <w:bottom w:w="0" w:type="dxa"/>
              <w:right w:w="108" w:type="dxa"/>
            </w:tcMar>
            <w:hideMark/>
          </w:tcPr>
          <w:p w14:paraId="43F6A920" w14:textId="1106052F" w:rsidR="001A1F0C" w:rsidRPr="00B6536F" w:rsidRDefault="00A2426E" w:rsidP="00B6536F">
            <w:pPr>
              <w:pStyle w:val="Tabletext"/>
            </w:pPr>
            <w:r w:rsidRPr="00B6536F">
              <w:t>PSA3D-M</w:t>
            </w:r>
          </w:p>
        </w:tc>
        <w:tc>
          <w:tcPr>
            <w:tcW w:w="5760" w:type="dxa"/>
            <w:tcMar>
              <w:top w:w="0" w:type="dxa"/>
              <w:left w:w="108" w:type="dxa"/>
              <w:bottom w:w="0" w:type="dxa"/>
              <w:right w:w="108" w:type="dxa"/>
            </w:tcMar>
            <w:hideMark/>
          </w:tcPr>
          <w:p w14:paraId="68C30092" w14:textId="70E60CFE" w:rsidR="001A1F0C" w:rsidRPr="00B6536F" w:rsidRDefault="00B6536F" w:rsidP="00B6536F">
            <w:pPr>
              <w:pStyle w:val="Tabletext"/>
            </w:pPr>
            <w:r w:rsidRPr="00B6536F">
              <w:t xml:space="preserve">The </w:t>
            </w:r>
            <w:r w:rsidR="000E2AE8" w:rsidRPr="00B6536F">
              <w:t>artifact is identified, licensed and attributed, its conventions are declared, and its references resolve</w:t>
            </w:r>
          </w:p>
        </w:tc>
      </w:tr>
      <w:tr w:rsidR="001A1F0C" w:rsidRPr="00B6536F" w14:paraId="14C38986" w14:textId="77777777" w:rsidTr="00B6536F">
        <w:trPr>
          <w:jc w:val="center"/>
        </w:trPr>
        <w:tc>
          <w:tcPr>
            <w:tcW w:w="1620" w:type="dxa"/>
            <w:tcMar>
              <w:top w:w="0" w:type="dxa"/>
              <w:left w:w="108" w:type="dxa"/>
              <w:bottom w:w="0" w:type="dxa"/>
              <w:right w:w="108" w:type="dxa"/>
            </w:tcMar>
            <w:hideMark/>
          </w:tcPr>
          <w:p w14:paraId="5B2C05BD" w14:textId="0A5C6F17" w:rsidR="001A1F0C" w:rsidRPr="00B6536F" w:rsidRDefault="00546D92" w:rsidP="00B6536F">
            <w:pPr>
              <w:pStyle w:val="Tabletext"/>
            </w:pPr>
            <w:r w:rsidRPr="00B6536F">
              <w:t>Renderable</w:t>
            </w:r>
          </w:p>
        </w:tc>
        <w:tc>
          <w:tcPr>
            <w:tcW w:w="1620" w:type="dxa"/>
            <w:tcMar>
              <w:top w:w="0" w:type="dxa"/>
              <w:left w:w="108" w:type="dxa"/>
              <w:bottom w:w="0" w:type="dxa"/>
              <w:right w:w="108" w:type="dxa"/>
            </w:tcMar>
            <w:hideMark/>
          </w:tcPr>
          <w:p w14:paraId="42E50D29" w14:textId="0B582E98" w:rsidR="001A1F0C" w:rsidRPr="00B6536F" w:rsidRDefault="005F26E9" w:rsidP="00B6536F">
            <w:pPr>
              <w:pStyle w:val="Tabletext"/>
            </w:pPr>
            <w:r w:rsidRPr="00B6536F">
              <w:t>PSA3D-R</w:t>
            </w:r>
          </w:p>
        </w:tc>
        <w:tc>
          <w:tcPr>
            <w:tcW w:w="5760" w:type="dxa"/>
            <w:tcMar>
              <w:top w:w="0" w:type="dxa"/>
              <w:left w:w="108" w:type="dxa"/>
              <w:bottom w:w="0" w:type="dxa"/>
              <w:right w:w="108" w:type="dxa"/>
            </w:tcMar>
            <w:hideMark/>
          </w:tcPr>
          <w:p w14:paraId="6836AE24" w14:textId="7D6B19F6" w:rsidR="001A1F0C" w:rsidRPr="00B6536F" w:rsidRDefault="00B6536F" w:rsidP="00B6536F">
            <w:pPr>
              <w:pStyle w:val="Tabletext"/>
            </w:pPr>
            <w:r w:rsidRPr="00B6536F">
              <w:t xml:space="preserve">The </w:t>
            </w:r>
            <w:r w:rsidR="001327B4" w:rsidRPr="00B6536F">
              <w:t>artifact additionally carries visual geometry at absolute scale</w:t>
            </w:r>
          </w:p>
        </w:tc>
      </w:tr>
      <w:tr w:rsidR="001A1F0C" w:rsidRPr="00B6536F" w14:paraId="7198AA06" w14:textId="77777777" w:rsidTr="00B6536F">
        <w:trPr>
          <w:jc w:val="center"/>
        </w:trPr>
        <w:tc>
          <w:tcPr>
            <w:tcW w:w="1620" w:type="dxa"/>
            <w:tcMar>
              <w:top w:w="0" w:type="dxa"/>
              <w:left w:w="108" w:type="dxa"/>
              <w:bottom w:w="0" w:type="dxa"/>
              <w:right w:w="108" w:type="dxa"/>
            </w:tcMar>
            <w:hideMark/>
          </w:tcPr>
          <w:p w14:paraId="2C7FA97B" w14:textId="6A98E413" w:rsidR="001A1F0C" w:rsidRPr="00B6536F" w:rsidRDefault="004B7F6C" w:rsidP="00B6536F">
            <w:pPr>
              <w:pStyle w:val="Tabletext"/>
            </w:pPr>
            <w:r w:rsidRPr="00B6536F">
              <w:t>Simulatable</w:t>
            </w:r>
          </w:p>
        </w:tc>
        <w:tc>
          <w:tcPr>
            <w:tcW w:w="1620" w:type="dxa"/>
            <w:tcMar>
              <w:top w:w="0" w:type="dxa"/>
              <w:left w:w="108" w:type="dxa"/>
              <w:bottom w:w="0" w:type="dxa"/>
              <w:right w:w="108" w:type="dxa"/>
            </w:tcMar>
            <w:hideMark/>
          </w:tcPr>
          <w:p w14:paraId="38959852" w14:textId="66AA0301" w:rsidR="001A1F0C" w:rsidRPr="00B6536F" w:rsidRDefault="005A346F" w:rsidP="00B6536F">
            <w:pPr>
              <w:pStyle w:val="Tabletext"/>
            </w:pPr>
            <w:r w:rsidRPr="00B6536F">
              <w:t>PSA3D-S</w:t>
            </w:r>
          </w:p>
        </w:tc>
        <w:tc>
          <w:tcPr>
            <w:tcW w:w="5760" w:type="dxa"/>
            <w:tcMar>
              <w:top w:w="0" w:type="dxa"/>
              <w:left w:w="108" w:type="dxa"/>
              <w:bottom w:w="0" w:type="dxa"/>
              <w:right w:w="108" w:type="dxa"/>
            </w:tcMar>
            <w:hideMark/>
          </w:tcPr>
          <w:p w14:paraId="5E0143F3" w14:textId="1537B5C0" w:rsidR="001A1F0C" w:rsidRPr="00B6536F" w:rsidRDefault="00B6536F" w:rsidP="00B6536F">
            <w:pPr>
              <w:pStyle w:val="Tabletext"/>
            </w:pPr>
            <w:r w:rsidRPr="00B6536F">
              <w:t xml:space="preserve">The </w:t>
            </w:r>
            <w:r w:rsidR="00A76455" w:rsidRPr="00B6536F">
              <w:t>artifact additionally carries collision, mass and surface declarations, and its layers have been checked against one another</w:t>
            </w:r>
          </w:p>
        </w:tc>
      </w:tr>
      <w:tr w:rsidR="001A1F0C" w:rsidRPr="00B6536F" w14:paraId="1C61D883" w14:textId="77777777" w:rsidTr="00B6536F">
        <w:trPr>
          <w:jc w:val="center"/>
        </w:trPr>
        <w:tc>
          <w:tcPr>
            <w:tcW w:w="1620" w:type="dxa"/>
            <w:tcMar>
              <w:top w:w="0" w:type="dxa"/>
              <w:left w:w="108" w:type="dxa"/>
              <w:bottom w:w="0" w:type="dxa"/>
              <w:right w:w="108" w:type="dxa"/>
            </w:tcMar>
            <w:hideMark/>
          </w:tcPr>
          <w:p w14:paraId="08BFA5D7" w14:textId="07C3DE7A" w:rsidR="001A1F0C" w:rsidRPr="00B6536F" w:rsidRDefault="00903A26" w:rsidP="00B6536F">
            <w:pPr>
              <w:pStyle w:val="Tabletext"/>
            </w:pPr>
            <w:r w:rsidRPr="00B6536F">
              <w:t>Interactable</w:t>
            </w:r>
          </w:p>
        </w:tc>
        <w:tc>
          <w:tcPr>
            <w:tcW w:w="1620" w:type="dxa"/>
            <w:tcMar>
              <w:top w:w="0" w:type="dxa"/>
              <w:left w:w="108" w:type="dxa"/>
              <w:bottom w:w="0" w:type="dxa"/>
              <w:right w:w="108" w:type="dxa"/>
            </w:tcMar>
            <w:hideMark/>
          </w:tcPr>
          <w:p w14:paraId="3B49CDBF" w14:textId="19FE0E8B" w:rsidR="001A1F0C" w:rsidRPr="00B6536F" w:rsidRDefault="00FC7889" w:rsidP="00B6536F">
            <w:pPr>
              <w:pStyle w:val="Tabletext"/>
            </w:pPr>
            <w:r w:rsidRPr="00B6536F">
              <w:t>PSA3D-I</w:t>
            </w:r>
          </w:p>
        </w:tc>
        <w:tc>
          <w:tcPr>
            <w:tcW w:w="5760" w:type="dxa"/>
            <w:tcMar>
              <w:top w:w="0" w:type="dxa"/>
              <w:left w:w="108" w:type="dxa"/>
              <w:bottom w:w="0" w:type="dxa"/>
              <w:right w:w="108" w:type="dxa"/>
            </w:tcMar>
            <w:hideMark/>
          </w:tcPr>
          <w:p w14:paraId="1966EB69" w14:textId="78071762" w:rsidR="001A1F0C" w:rsidRPr="00B6536F" w:rsidRDefault="00B6536F" w:rsidP="00B6536F">
            <w:pPr>
              <w:pStyle w:val="Tabletext"/>
            </w:pPr>
            <w:r w:rsidRPr="00B6536F">
              <w:t xml:space="preserve">The </w:t>
            </w:r>
            <w:r w:rsidR="00825077" w:rsidRPr="00B6536F">
              <w:t>artifact additionally declares interaction capabilities whose contracts are complete</w:t>
            </w:r>
          </w:p>
        </w:tc>
      </w:tr>
    </w:tbl>
    <w:p w14:paraId="741AC447" w14:textId="4264F3D7" w:rsidR="001A1F0C" w:rsidRDefault="00FF5D07">
      <w:pPr>
        <w:spacing w:before="40" w:after="80"/>
      </w:pPr>
      <w:r>
        <w:t>The result of an evaluation is recorded in a conformance report, whose content is given in Table 12</w:t>
      </w:r>
      <w:r w:rsidR="007426DE">
        <w:t>‑</w:t>
      </w:r>
      <w:r>
        <w:t>2. The report is how work already performed on an artifact is reused rather than repeated, and it is readable without retrieving payload.</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6747"/>
      </w:tblGrid>
      <w:tr w:rsidR="00B6536F" w:rsidRPr="00B6536F" w14:paraId="7639154F" w14:textId="77777777" w:rsidTr="00B6536F">
        <w:trPr>
          <w:tblHeader/>
        </w:trPr>
        <w:tc>
          <w:tcPr>
            <w:tcW w:w="9639" w:type="dxa"/>
            <w:gridSpan w:val="2"/>
            <w:tcBorders>
              <w:top w:val="nil"/>
              <w:left w:val="nil"/>
              <w:bottom w:val="single" w:sz="4" w:space="0" w:color="auto"/>
              <w:right w:val="nil"/>
            </w:tcBorders>
            <w:tcMar>
              <w:top w:w="0" w:type="dxa"/>
              <w:left w:w="108" w:type="dxa"/>
              <w:bottom w:w="0" w:type="dxa"/>
              <w:right w:w="108" w:type="dxa"/>
            </w:tcMar>
          </w:tcPr>
          <w:p w14:paraId="0091D8DC" w14:textId="53C91EE0" w:rsidR="00B6536F" w:rsidRPr="00B6536F" w:rsidRDefault="00B6536F" w:rsidP="00B6536F">
            <w:pPr>
              <w:pStyle w:val="TableNoTitle"/>
            </w:pPr>
            <w:r w:rsidRPr="00B6536F">
              <w:t xml:space="preserve">Table 12-2 </w:t>
            </w:r>
            <w:r>
              <w:t>–</w:t>
            </w:r>
            <w:r w:rsidRPr="00B6536F">
              <w:t xml:space="preserve"> Content of a conformance report</w:t>
            </w:r>
          </w:p>
        </w:tc>
      </w:tr>
      <w:tr w:rsidR="001A1F0C" w14:paraId="5E223441" w14:textId="77777777" w:rsidTr="00B6536F">
        <w:trPr>
          <w:tblHeader/>
        </w:trPr>
        <w:tc>
          <w:tcPr>
            <w:tcW w:w="2892" w:type="dxa"/>
            <w:tcBorders>
              <w:top w:val="single" w:sz="4" w:space="0" w:color="auto"/>
            </w:tcBorders>
            <w:tcMar>
              <w:top w:w="0" w:type="dxa"/>
              <w:left w:w="108" w:type="dxa"/>
              <w:bottom w:w="0" w:type="dxa"/>
              <w:right w:w="108" w:type="dxa"/>
            </w:tcMar>
            <w:hideMark/>
          </w:tcPr>
          <w:p w14:paraId="1CA1E429" w14:textId="20699EF3" w:rsidR="001A1F0C" w:rsidRDefault="00A43504" w:rsidP="002E12DE">
            <w:pPr>
              <w:pStyle w:val="Tablehead"/>
            </w:pPr>
            <w:r>
              <w:t>Element</w:t>
            </w:r>
          </w:p>
        </w:tc>
        <w:tc>
          <w:tcPr>
            <w:tcW w:w="6747" w:type="dxa"/>
            <w:tcBorders>
              <w:top w:val="single" w:sz="4" w:space="0" w:color="auto"/>
            </w:tcBorders>
            <w:shd w:val="clear" w:color="auto" w:fill="FFFFFF"/>
            <w:tcMar>
              <w:top w:w="0" w:type="dxa"/>
              <w:left w:w="108" w:type="dxa"/>
              <w:bottom w:w="0" w:type="dxa"/>
              <w:right w:w="108" w:type="dxa"/>
            </w:tcMar>
            <w:hideMark/>
          </w:tcPr>
          <w:p w14:paraId="09BACB9E" w14:textId="0F8D1493" w:rsidR="001A1F0C" w:rsidRDefault="00D40DB9" w:rsidP="00B6536F">
            <w:pPr>
              <w:pStyle w:val="Tablehead"/>
            </w:pPr>
            <w:r w:rsidRPr="00B6536F">
              <w:t>Description</w:t>
            </w:r>
          </w:p>
        </w:tc>
      </w:tr>
      <w:tr w:rsidR="001A1F0C" w:rsidRPr="00B6536F" w14:paraId="1C741221" w14:textId="77777777" w:rsidTr="00B6536F">
        <w:tc>
          <w:tcPr>
            <w:tcW w:w="2892" w:type="dxa"/>
            <w:tcMar>
              <w:top w:w="0" w:type="dxa"/>
              <w:left w:w="108" w:type="dxa"/>
              <w:bottom w:w="0" w:type="dxa"/>
              <w:right w:w="108" w:type="dxa"/>
            </w:tcMar>
            <w:hideMark/>
          </w:tcPr>
          <w:p w14:paraId="613B82DE" w14:textId="329657BB" w:rsidR="001A1F0C" w:rsidRPr="00B6536F" w:rsidRDefault="006A6976" w:rsidP="00B6536F">
            <w:pPr>
              <w:pStyle w:val="Tabletext"/>
            </w:pPr>
            <w:r w:rsidRPr="00B6536F">
              <w:t>Subject</w:t>
            </w:r>
          </w:p>
        </w:tc>
        <w:tc>
          <w:tcPr>
            <w:tcW w:w="6747" w:type="dxa"/>
            <w:tcMar>
              <w:top w:w="0" w:type="dxa"/>
              <w:left w:w="108" w:type="dxa"/>
              <w:bottom w:w="0" w:type="dxa"/>
              <w:right w:w="108" w:type="dxa"/>
            </w:tcMar>
            <w:hideMark/>
          </w:tcPr>
          <w:p w14:paraId="43187602" w14:textId="42FA7A0A" w:rsidR="001A1F0C" w:rsidRPr="00B6536F" w:rsidRDefault="00B6536F" w:rsidP="00B6536F">
            <w:pPr>
              <w:pStyle w:val="Tabletext"/>
            </w:pPr>
            <w:r w:rsidRPr="00B6536F">
              <w:t xml:space="preserve">The </w:t>
            </w:r>
            <w:r w:rsidR="00237AFD" w:rsidRPr="00B6536F">
              <w:t>artifact evaluated, identified by identifier and checksum</w:t>
            </w:r>
          </w:p>
        </w:tc>
      </w:tr>
      <w:tr w:rsidR="001A1F0C" w:rsidRPr="00B6536F" w14:paraId="6C7A4F21" w14:textId="77777777" w:rsidTr="00B6536F">
        <w:tc>
          <w:tcPr>
            <w:tcW w:w="2892" w:type="dxa"/>
            <w:tcMar>
              <w:top w:w="0" w:type="dxa"/>
              <w:left w:w="108" w:type="dxa"/>
              <w:bottom w:w="0" w:type="dxa"/>
              <w:right w:w="108" w:type="dxa"/>
            </w:tcMar>
            <w:hideMark/>
          </w:tcPr>
          <w:p w14:paraId="2BE848F1" w14:textId="7C7C077A" w:rsidR="001A1F0C" w:rsidRPr="00B6536F" w:rsidRDefault="00B65E64" w:rsidP="00B6536F">
            <w:pPr>
              <w:pStyle w:val="Tabletext"/>
            </w:pPr>
            <w:r w:rsidRPr="00B6536F">
              <w:t>Profiles</w:t>
            </w:r>
          </w:p>
        </w:tc>
        <w:tc>
          <w:tcPr>
            <w:tcW w:w="6747" w:type="dxa"/>
            <w:tcMar>
              <w:top w:w="0" w:type="dxa"/>
              <w:left w:w="108" w:type="dxa"/>
              <w:bottom w:w="0" w:type="dxa"/>
              <w:right w:w="108" w:type="dxa"/>
            </w:tcMar>
            <w:hideMark/>
          </w:tcPr>
          <w:p w14:paraId="09430DEF" w14:textId="18D137EF" w:rsidR="001A1F0C" w:rsidRPr="00B6536F" w:rsidRDefault="00B6536F" w:rsidP="00B6536F">
            <w:pPr>
              <w:pStyle w:val="Tabletext"/>
            </w:pPr>
            <w:r w:rsidRPr="00B6536F">
              <w:t xml:space="preserve">The </w:t>
            </w:r>
            <w:r w:rsidR="00F36A80" w:rsidRPr="00B6536F">
              <w:t>profile declared by the artifact, and the profile found to be satisfied</w:t>
            </w:r>
          </w:p>
        </w:tc>
      </w:tr>
      <w:tr w:rsidR="001A1F0C" w:rsidRPr="00B6536F" w14:paraId="27DE265D" w14:textId="77777777" w:rsidTr="00B6536F">
        <w:tc>
          <w:tcPr>
            <w:tcW w:w="2892" w:type="dxa"/>
            <w:tcMar>
              <w:top w:w="0" w:type="dxa"/>
              <w:left w:w="108" w:type="dxa"/>
              <w:bottom w:w="0" w:type="dxa"/>
              <w:right w:w="108" w:type="dxa"/>
            </w:tcMar>
            <w:hideMark/>
          </w:tcPr>
          <w:p w14:paraId="2B3AA5DE" w14:textId="35166402" w:rsidR="001A1F0C" w:rsidRPr="00B6536F" w:rsidRDefault="00201459" w:rsidP="00B6536F">
            <w:pPr>
              <w:pStyle w:val="Tabletext"/>
            </w:pPr>
            <w:r w:rsidRPr="00B6536F">
              <w:t>Evaluator</w:t>
            </w:r>
          </w:p>
        </w:tc>
        <w:tc>
          <w:tcPr>
            <w:tcW w:w="6747" w:type="dxa"/>
            <w:tcMar>
              <w:top w:w="0" w:type="dxa"/>
              <w:left w:w="108" w:type="dxa"/>
              <w:bottom w:w="0" w:type="dxa"/>
              <w:right w:w="108" w:type="dxa"/>
            </w:tcMar>
            <w:hideMark/>
          </w:tcPr>
          <w:p w14:paraId="03F9F950" w14:textId="45898D1C" w:rsidR="001A1F0C" w:rsidRPr="00B6536F" w:rsidRDefault="00B6536F" w:rsidP="00B6536F">
            <w:pPr>
              <w:pStyle w:val="Tabletext"/>
            </w:pPr>
            <w:r w:rsidRPr="00B6536F">
              <w:t xml:space="preserve">The </w:t>
            </w:r>
            <w:r w:rsidR="00E52625" w:rsidRPr="00B6536F">
              <w:t>party that performed the evaluation, and the tool used</w:t>
            </w:r>
          </w:p>
        </w:tc>
      </w:tr>
      <w:tr w:rsidR="001A1F0C" w:rsidRPr="00B6536F" w14:paraId="37DD3987" w14:textId="77777777" w:rsidTr="00B6536F">
        <w:tc>
          <w:tcPr>
            <w:tcW w:w="2892" w:type="dxa"/>
            <w:tcMar>
              <w:top w:w="0" w:type="dxa"/>
              <w:left w:w="108" w:type="dxa"/>
              <w:bottom w:w="0" w:type="dxa"/>
              <w:right w:w="108" w:type="dxa"/>
            </w:tcMar>
            <w:hideMark/>
          </w:tcPr>
          <w:p w14:paraId="10728F63" w14:textId="741BDD9B" w:rsidR="001A1F0C" w:rsidRPr="00B6536F" w:rsidRDefault="00FC06F1" w:rsidP="00B6536F">
            <w:pPr>
              <w:pStyle w:val="Tabletext"/>
            </w:pPr>
            <w:r w:rsidRPr="00B6536F">
              <w:t>Undeclared fields</w:t>
            </w:r>
          </w:p>
        </w:tc>
        <w:tc>
          <w:tcPr>
            <w:tcW w:w="6747" w:type="dxa"/>
            <w:tcMar>
              <w:top w:w="0" w:type="dxa"/>
              <w:left w:w="108" w:type="dxa"/>
              <w:bottom w:w="0" w:type="dxa"/>
              <w:right w:w="108" w:type="dxa"/>
            </w:tcMar>
            <w:hideMark/>
          </w:tcPr>
          <w:p w14:paraId="15F37507" w14:textId="50B7DA6B" w:rsidR="001A1F0C" w:rsidRPr="00B6536F" w:rsidRDefault="00B6536F" w:rsidP="00B6536F">
            <w:pPr>
              <w:pStyle w:val="Tabletext"/>
            </w:pPr>
            <w:r w:rsidRPr="00B6536F">
              <w:t xml:space="preserve">The </w:t>
            </w:r>
            <w:r w:rsidR="00C86C9F" w:rsidRPr="00B6536F">
              <w:t>fields found to be undeclared</w:t>
            </w:r>
          </w:p>
        </w:tc>
      </w:tr>
      <w:tr w:rsidR="001A1F0C" w:rsidRPr="00B6536F" w14:paraId="519B146C" w14:textId="77777777" w:rsidTr="00B6536F">
        <w:tc>
          <w:tcPr>
            <w:tcW w:w="2892" w:type="dxa"/>
            <w:tcMar>
              <w:top w:w="0" w:type="dxa"/>
              <w:left w:w="108" w:type="dxa"/>
              <w:bottom w:w="0" w:type="dxa"/>
              <w:right w:w="108" w:type="dxa"/>
            </w:tcMar>
            <w:hideMark/>
          </w:tcPr>
          <w:p w14:paraId="3CF4BB6C" w14:textId="4851A040" w:rsidR="001A1F0C" w:rsidRPr="00B6536F" w:rsidRDefault="00866C81" w:rsidP="00B6536F">
            <w:pPr>
              <w:pStyle w:val="Tabletext"/>
            </w:pPr>
            <w:r w:rsidRPr="00B6536F">
              <w:t>Predicate results</w:t>
            </w:r>
          </w:p>
        </w:tc>
        <w:tc>
          <w:tcPr>
            <w:tcW w:w="6747" w:type="dxa"/>
            <w:tcMar>
              <w:top w:w="0" w:type="dxa"/>
              <w:left w:w="108" w:type="dxa"/>
              <w:bottom w:w="0" w:type="dxa"/>
              <w:right w:w="108" w:type="dxa"/>
            </w:tcMar>
            <w:hideMark/>
          </w:tcPr>
          <w:p w14:paraId="13C6EDBC" w14:textId="7FA9A55B" w:rsidR="001A1F0C" w:rsidRPr="00B6536F" w:rsidRDefault="00B6536F" w:rsidP="00B6536F">
            <w:pPr>
              <w:pStyle w:val="Tabletext"/>
            </w:pPr>
            <w:r w:rsidRPr="00B6536F">
              <w:t xml:space="preserve">The </w:t>
            </w:r>
            <w:r w:rsidR="00D41B44" w:rsidRPr="00B6536F">
              <w:t>result of each predicate evaluated</w:t>
            </w:r>
          </w:p>
        </w:tc>
      </w:tr>
      <w:tr w:rsidR="001A1F0C" w:rsidRPr="00B6536F" w14:paraId="14C0624B" w14:textId="77777777" w:rsidTr="00B6536F">
        <w:tc>
          <w:tcPr>
            <w:tcW w:w="2892" w:type="dxa"/>
            <w:tcMar>
              <w:top w:w="0" w:type="dxa"/>
              <w:left w:w="108" w:type="dxa"/>
              <w:bottom w:w="0" w:type="dxa"/>
              <w:right w:w="108" w:type="dxa"/>
            </w:tcMar>
            <w:hideMark/>
          </w:tcPr>
          <w:p w14:paraId="456B45E1" w14:textId="629744EF" w:rsidR="001A1F0C" w:rsidRPr="00B6536F" w:rsidRDefault="007F408A" w:rsidP="00B6536F">
            <w:pPr>
              <w:pStyle w:val="Tabletext"/>
            </w:pPr>
            <w:r w:rsidRPr="00B6536F">
              <w:t>Outcome</w:t>
            </w:r>
          </w:p>
        </w:tc>
        <w:tc>
          <w:tcPr>
            <w:tcW w:w="6747" w:type="dxa"/>
            <w:tcMar>
              <w:top w:w="0" w:type="dxa"/>
              <w:left w:w="108" w:type="dxa"/>
              <w:bottom w:w="0" w:type="dxa"/>
              <w:right w:w="108" w:type="dxa"/>
            </w:tcMar>
            <w:hideMark/>
          </w:tcPr>
          <w:p w14:paraId="3F64AFFD" w14:textId="7D9DA439" w:rsidR="001A1F0C" w:rsidRPr="00B6536F" w:rsidRDefault="00B6536F" w:rsidP="00B6536F">
            <w:pPr>
              <w:pStyle w:val="Tabletext"/>
            </w:pPr>
            <w:r w:rsidRPr="00B6536F">
              <w:t>Conformant</w:t>
            </w:r>
            <w:r w:rsidR="006E6735" w:rsidRPr="00B6536F">
              <w:t>, not conformant, or partially evaluated</w:t>
            </w:r>
          </w:p>
        </w:tc>
      </w:tr>
    </w:tbl>
    <w:p w14:paraId="70801CC9" w14:textId="77777777" w:rsidR="001A1F0C" w:rsidRDefault="00FF5D07" w:rsidP="007426DE">
      <w:r>
        <w:rPr>
          <w:rFonts w:hint="eastAsia"/>
        </w:rPr>
        <w:lastRenderedPageBreak/>
        <w:t>R-12-1: It is critical that, where a required predicate fails or a required field is</w:t>
      </w:r>
      <w:r>
        <w:rPr>
          <w:rFonts w:eastAsia="SimSun" w:hint="eastAsia"/>
          <w:lang w:val="en-US" w:eastAsia="zh-CN"/>
        </w:rPr>
        <w:t xml:space="preserve"> </w:t>
      </w:r>
      <w:r>
        <w:rPr>
          <w:rFonts w:hint="eastAsia"/>
        </w:rPr>
        <w:t>undeclared, the outcome is recorded as not conformant. It is critical that, where</w:t>
      </w:r>
      <w:r>
        <w:rPr>
          <w:rFonts w:eastAsia="SimSun" w:hint="eastAsia"/>
          <w:lang w:val="en-US" w:eastAsia="zh-CN"/>
        </w:rPr>
        <w:t xml:space="preserve"> </w:t>
      </w:r>
      <w:r>
        <w:rPr>
          <w:rFonts w:hint="eastAsia"/>
        </w:rPr>
        <w:t>nothing fails but one or more required predicates have not been evaluated, the outcome</w:t>
      </w:r>
      <w:r>
        <w:rPr>
          <w:rFonts w:eastAsia="SimSun" w:hint="eastAsia"/>
          <w:lang w:val="en-US" w:eastAsia="zh-CN"/>
        </w:rPr>
        <w:t xml:space="preserve"> </w:t>
      </w:r>
      <w:r>
        <w:rPr>
          <w:rFonts w:hint="eastAsia"/>
        </w:rPr>
        <w:t>is recorded as partially evaluated.</w:t>
      </w:r>
    </w:p>
    <w:p w14:paraId="7DDD2C93" w14:textId="77777777" w:rsidR="001A1F0C" w:rsidRDefault="00FF5D07" w:rsidP="007426DE">
      <w:r>
        <w:rPr>
          <w:rFonts w:hint="eastAsia"/>
        </w:rPr>
        <w:t>R-12-2: It is critical that an evaluation result is bound to the checksum of the</w:t>
      </w:r>
      <w:r>
        <w:rPr>
          <w:rFonts w:eastAsia="SimSun" w:hint="eastAsia"/>
          <w:lang w:val="en-US" w:eastAsia="zh-CN"/>
        </w:rPr>
        <w:t xml:space="preserve"> </w:t>
      </w:r>
      <w:r>
        <w:rPr>
          <w:rFonts w:hint="eastAsia"/>
        </w:rPr>
        <w:t>artifact evaluated, and that it does not apply to any other version of that artifact.</w:t>
      </w:r>
      <w:r>
        <w:rPr>
          <w:rFonts w:eastAsia="SimSun" w:hint="eastAsia"/>
          <w:lang w:val="en-US" w:eastAsia="zh-CN"/>
        </w:rPr>
        <w:t xml:space="preserve"> </w:t>
      </w:r>
      <w:r>
        <w:rPr>
          <w:rFonts w:hint="eastAsia"/>
        </w:rPr>
        <w:t>This Technical Specification does not define an accreditation scheme and does not</w:t>
      </w:r>
      <w:r>
        <w:rPr>
          <w:rFonts w:eastAsia="SimSun" w:hint="eastAsia"/>
          <w:lang w:val="en-US" w:eastAsia="zh-CN"/>
        </w:rPr>
        <w:t xml:space="preserve"> </w:t>
      </w:r>
      <w:r>
        <w:rPr>
          <w:rFonts w:hint="eastAsia"/>
        </w:rPr>
        <w:t>confer authority on any evaluating party</w:t>
      </w:r>
      <w:r>
        <w:t>.</w:t>
      </w:r>
    </w:p>
    <w:p w14:paraId="2903F06D" w14:textId="77777777" w:rsidR="001A1F0C" w:rsidRDefault="00FF5D07">
      <w:pPr>
        <w:pStyle w:val="Heading1"/>
      </w:pPr>
      <w:bookmarkStart w:id="53" w:name="_Toc21383"/>
      <w:bookmarkStart w:id="54" w:name="_Toc243469503"/>
      <w:bookmarkStart w:id="55" w:name="_Toc244165451"/>
      <w:r>
        <w:t>13</w:t>
      </w:r>
      <w:r>
        <w:tab/>
        <w:t>Derived state</w:t>
      </w:r>
      <w:bookmarkEnd w:id="53"/>
      <w:bookmarkEnd w:id="54"/>
      <w:bookmarkEnd w:id="55"/>
    </w:p>
    <w:p w14:paraId="172B442A" w14:textId="77777777" w:rsidR="001A1F0C" w:rsidRDefault="00FF5D07" w:rsidP="007426DE">
      <w:r>
        <w:t>An EAI system changes the environment it acts in. Derived state records a changed environment without duplicating it, representing a static snapshot of changed configurations. It is an ordered set of deltas anchored to an immutable base artifact, and each delta declares what it targets and what value it sets. A delta may record a joint value, a pose, a change to a relation, or a replacement value for a declared field.</w:t>
      </w:r>
    </w:p>
    <w:p w14:paraId="71E2CC6E" w14:textId="77777777" w:rsidR="001A1F0C" w:rsidRDefault="00FF5D07" w:rsidP="007426DE">
      <w:r>
        <w:rPr>
          <w:rFonts w:hint="eastAsia"/>
        </w:rPr>
        <w:t>R-13-1: It is critical that a derived state references its base artifact by identifier</w:t>
      </w:r>
      <w:r>
        <w:rPr>
          <w:rFonts w:eastAsia="SimSun" w:hint="eastAsia"/>
          <w:lang w:val="en-US" w:eastAsia="zh-CN"/>
        </w:rPr>
        <w:t xml:space="preserve"> </w:t>
      </w:r>
      <w:r>
        <w:rPr>
          <w:rFonts w:hint="eastAsia"/>
        </w:rPr>
        <w:t>and checksum, and does not modify that artifact. It is critical that, where the two</w:t>
      </w:r>
      <w:r>
        <w:rPr>
          <w:rFonts w:eastAsia="SimSun" w:hint="eastAsia"/>
          <w:lang w:val="en-US" w:eastAsia="zh-CN"/>
        </w:rPr>
        <w:t xml:space="preserve"> </w:t>
      </w:r>
      <w:r>
        <w:rPr>
          <w:rFonts w:hint="eastAsia"/>
        </w:rPr>
        <w:t>checksums do not match, the derived state is treated as not applicable to that artifact</w:t>
      </w:r>
      <w:r>
        <w:t>.</w:t>
      </w:r>
    </w:p>
    <w:p w14:paraId="24C99B9D" w14:textId="77777777" w:rsidR="001A1F0C" w:rsidRDefault="00FF5D07" w:rsidP="007426DE">
      <w:r>
        <w:t>External trajectory, demonstration or episode data may reference a base artifact and its derived states through these identifiers. This Technical Specification does not define the internal structure of such data.</w:t>
      </w:r>
    </w:p>
    <w:p w14:paraId="65638F0E" w14:textId="34FB13EB" w:rsidR="001A1F0C" w:rsidRDefault="001A1F0C" w:rsidP="007426DE">
      <w:bookmarkStart w:id="56" w:name="_Toc29815"/>
    </w:p>
    <w:p w14:paraId="009F0AF6" w14:textId="77777777" w:rsidR="00E420CB" w:rsidRDefault="00E420CB">
      <w:pPr>
        <w:tabs>
          <w:tab w:val="clear" w:pos="794"/>
          <w:tab w:val="clear" w:pos="1191"/>
          <w:tab w:val="clear" w:pos="1588"/>
          <w:tab w:val="clear" w:pos="1985"/>
        </w:tabs>
        <w:overflowPunct/>
        <w:autoSpaceDE/>
        <w:autoSpaceDN/>
        <w:adjustRightInd/>
        <w:spacing w:before="0"/>
        <w:jc w:val="left"/>
        <w:textAlignment w:val="auto"/>
        <w:rPr>
          <w:b/>
          <w:szCs w:val="24"/>
        </w:rPr>
      </w:pPr>
      <w:bookmarkStart w:id="57" w:name="_Toc243469504"/>
      <w:r>
        <w:rPr>
          <w:szCs w:val="24"/>
        </w:rPr>
        <w:br w:type="page"/>
      </w:r>
    </w:p>
    <w:p w14:paraId="3773EEB1" w14:textId="33D4AA89" w:rsidR="001A1F0C" w:rsidRDefault="00FF5D07" w:rsidP="00C36C66">
      <w:pPr>
        <w:pStyle w:val="AppendixNoTitle"/>
      </w:pPr>
      <w:bookmarkStart w:id="58" w:name="_Toc244165452"/>
      <w:r>
        <w:rPr>
          <w:rFonts w:hint="eastAsia"/>
        </w:rPr>
        <w:lastRenderedPageBreak/>
        <w:t>Appendix I</w:t>
      </w:r>
      <w:r w:rsidR="007426DE">
        <w:rPr>
          <w:lang w:val="ru-RU"/>
        </w:rPr>
        <w:br/>
      </w:r>
      <w:r>
        <w:br/>
      </w:r>
      <w:bookmarkEnd w:id="56"/>
      <w:r>
        <w:rPr>
          <w:rFonts w:hint="eastAsia"/>
        </w:rPr>
        <w:t>Illustrative consistency predicates</w:t>
      </w:r>
      <w:bookmarkEnd w:id="57"/>
      <w:bookmarkEnd w:id="58"/>
    </w:p>
    <w:p w14:paraId="0395722B" w14:textId="77777777" w:rsidR="001A1F0C" w:rsidRDefault="00FF5D07" w:rsidP="00E420CB">
      <w:pPr>
        <w:pStyle w:val="Normalaftertitle"/>
        <w:spacing w:after="120"/>
      </w:pPr>
      <w:bookmarkStart w:id="59" w:name="_Toc15437"/>
      <w:r>
        <w:t>This appendix shows that the conditions described in clause 11 can be stated in a form that a validator can evaluate. It is not a complete register, and the identifiers, tolerances and profile assignments given here are illustrative.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6379"/>
        <w:gridCol w:w="1422"/>
      </w:tblGrid>
      <w:tr w:rsidR="001A1F0C" w:rsidRPr="008A07DF" w14:paraId="582A7EF1" w14:textId="77777777" w:rsidTr="008A07DF">
        <w:trPr>
          <w:tblHeader/>
          <w:jc w:val="center"/>
        </w:trPr>
        <w:tc>
          <w:tcPr>
            <w:tcW w:w="1838" w:type="dxa"/>
            <w:tcMar>
              <w:top w:w="0" w:type="dxa"/>
              <w:left w:w="108" w:type="dxa"/>
              <w:bottom w:w="0" w:type="dxa"/>
              <w:right w:w="108" w:type="dxa"/>
            </w:tcMar>
            <w:vAlign w:val="center"/>
            <w:hideMark/>
          </w:tcPr>
          <w:p w14:paraId="1749891B" w14:textId="0FE42F16" w:rsidR="001A1F0C" w:rsidRPr="008A07DF" w:rsidRDefault="00A43504" w:rsidP="008A07DF">
            <w:pPr>
              <w:pStyle w:val="Tablehead"/>
            </w:pPr>
            <w:r w:rsidRPr="008A07DF">
              <w:t>Identifier</w:t>
            </w:r>
          </w:p>
        </w:tc>
        <w:tc>
          <w:tcPr>
            <w:tcW w:w="6379" w:type="dxa"/>
            <w:tcMar>
              <w:top w:w="0" w:type="dxa"/>
              <w:left w:w="108" w:type="dxa"/>
              <w:bottom w:w="0" w:type="dxa"/>
              <w:right w:w="108" w:type="dxa"/>
            </w:tcMar>
            <w:vAlign w:val="center"/>
            <w:hideMark/>
          </w:tcPr>
          <w:p w14:paraId="7B1D8E19" w14:textId="4CA9D448" w:rsidR="001A1F0C" w:rsidRPr="008A07DF" w:rsidRDefault="00A43504" w:rsidP="008A07DF">
            <w:pPr>
              <w:pStyle w:val="Tablehead"/>
            </w:pPr>
            <w:r w:rsidRPr="008A07DF">
              <w:t>Condition asserted</w:t>
            </w:r>
          </w:p>
        </w:tc>
        <w:tc>
          <w:tcPr>
            <w:tcW w:w="1422" w:type="dxa"/>
            <w:shd w:val="clear" w:color="auto" w:fill="FFFFFF"/>
            <w:tcMar>
              <w:top w:w="0" w:type="dxa"/>
              <w:left w:w="108" w:type="dxa"/>
              <w:bottom w:w="0" w:type="dxa"/>
              <w:right w:w="108" w:type="dxa"/>
            </w:tcMar>
            <w:vAlign w:val="center"/>
            <w:hideMark/>
          </w:tcPr>
          <w:p w14:paraId="37E14540" w14:textId="5A47CB30" w:rsidR="001A1F0C" w:rsidRPr="008A07DF" w:rsidRDefault="007426DE" w:rsidP="008A07DF">
            <w:pPr>
              <w:pStyle w:val="Tablehead"/>
            </w:pPr>
            <w:r w:rsidRPr="008A07DF">
              <w:t>Payload required</w:t>
            </w:r>
          </w:p>
        </w:tc>
      </w:tr>
      <w:tr w:rsidR="001A1F0C" w:rsidRPr="008A07DF" w14:paraId="155F4EDA" w14:textId="77777777" w:rsidTr="008A07DF">
        <w:trPr>
          <w:jc w:val="center"/>
        </w:trPr>
        <w:tc>
          <w:tcPr>
            <w:tcW w:w="1838" w:type="dxa"/>
            <w:tcMar>
              <w:top w:w="0" w:type="dxa"/>
              <w:left w:w="108" w:type="dxa"/>
              <w:bottom w:w="0" w:type="dxa"/>
              <w:right w:w="108" w:type="dxa"/>
            </w:tcMar>
            <w:hideMark/>
          </w:tcPr>
          <w:p w14:paraId="7154C375" w14:textId="51B61F8F" w:rsidR="001A1F0C" w:rsidRPr="008A07DF" w:rsidRDefault="003800A3" w:rsidP="008A07DF">
            <w:pPr>
              <w:pStyle w:val="Tabletext"/>
            </w:pPr>
            <w:r w:rsidRPr="008A07DF">
              <w:t>CP-REF-01</w:t>
            </w:r>
          </w:p>
        </w:tc>
        <w:tc>
          <w:tcPr>
            <w:tcW w:w="6379" w:type="dxa"/>
            <w:tcMar>
              <w:top w:w="0" w:type="dxa"/>
              <w:left w:w="108" w:type="dxa"/>
              <w:bottom w:w="0" w:type="dxa"/>
              <w:right w:w="108" w:type="dxa"/>
            </w:tcMar>
            <w:hideMark/>
          </w:tcPr>
          <w:p w14:paraId="5BDB4C86" w14:textId="065CA793" w:rsidR="001A1F0C" w:rsidRPr="008A07DF" w:rsidRDefault="00E740F5" w:rsidP="008A07DF">
            <w:pPr>
              <w:pStyle w:val="Tabletext"/>
            </w:pPr>
            <w:r w:rsidRPr="008A07DF">
              <w:t>Every reference resolves and the recorded checksum matches.</w:t>
            </w:r>
          </w:p>
        </w:tc>
        <w:tc>
          <w:tcPr>
            <w:tcW w:w="1422" w:type="dxa"/>
            <w:tcMar>
              <w:top w:w="0" w:type="dxa"/>
              <w:left w:w="108" w:type="dxa"/>
              <w:bottom w:w="0" w:type="dxa"/>
              <w:right w:w="108" w:type="dxa"/>
            </w:tcMar>
            <w:hideMark/>
          </w:tcPr>
          <w:p w14:paraId="0713959D" w14:textId="3718EECC" w:rsidR="001A1F0C" w:rsidRPr="008A07DF" w:rsidRDefault="008A07DF" w:rsidP="008A07DF">
            <w:pPr>
              <w:pStyle w:val="Tabletext"/>
              <w:jc w:val="center"/>
            </w:pPr>
            <w:r w:rsidRPr="008A07DF">
              <w:t>No</w:t>
            </w:r>
          </w:p>
        </w:tc>
      </w:tr>
      <w:tr w:rsidR="001A1F0C" w:rsidRPr="008A07DF" w14:paraId="0AB18C4A" w14:textId="77777777" w:rsidTr="008A07DF">
        <w:trPr>
          <w:jc w:val="center"/>
        </w:trPr>
        <w:tc>
          <w:tcPr>
            <w:tcW w:w="1838" w:type="dxa"/>
            <w:tcMar>
              <w:top w:w="0" w:type="dxa"/>
              <w:left w:w="108" w:type="dxa"/>
              <w:bottom w:w="0" w:type="dxa"/>
              <w:right w:w="108" w:type="dxa"/>
            </w:tcMar>
            <w:hideMark/>
          </w:tcPr>
          <w:p w14:paraId="0460B81F" w14:textId="77413CB6" w:rsidR="001A1F0C" w:rsidRPr="008A07DF" w:rsidRDefault="0012607C" w:rsidP="008A07DF">
            <w:pPr>
              <w:pStyle w:val="Tabletext"/>
            </w:pPr>
            <w:r w:rsidRPr="008A07DF">
              <w:t>CP-SCALE-01</w:t>
            </w:r>
          </w:p>
        </w:tc>
        <w:tc>
          <w:tcPr>
            <w:tcW w:w="6379" w:type="dxa"/>
            <w:tcMar>
              <w:top w:w="0" w:type="dxa"/>
              <w:left w:w="108" w:type="dxa"/>
              <w:bottom w:w="0" w:type="dxa"/>
              <w:right w:w="108" w:type="dxa"/>
            </w:tcMar>
            <w:hideMark/>
          </w:tcPr>
          <w:p w14:paraId="0D843636" w14:textId="55EAAFCC" w:rsidR="001A1F0C" w:rsidRPr="008A07DF" w:rsidRDefault="00B934A0" w:rsidP="008A07DF">
            <w:pPr>
              <w:pStyle w:val="Tabletext"/>
            </w:pPr>
            <w:r w:rsidRPr="008A07DF">
              <w:t>The declared bounding box corresponds, within a declared tolerance, to the extent of the geometry under the declared unit of length.</w:t>
            </w:r>
          </w:p>
        </w:tc>
        <w:tc>
          <w:tcPr>
            <w:tcW w:w="1422" w:type="dxa"/>
            <w:tcMar>
              <w:top w:w="0" w:type="dxa"/>
              <w:left w:w="108" w:type="dxa"/>
              <w:bottom w:w="0" w:type="dxa"/>
              <w:right w:w="108" w:type="dxa"/>
            </w:tcMar>
            <w:hideMark/>
          </w:tcPr>
          <w:p w14:paraId="24206AE5" w14:textId="290ACE7A" w:rsidR="001A1F0C" w:rsidRPr="008A07DF" w:rsidRDefault="008A07DF" w:rsidP="008A07DF">
            <w:pPr>
              <w:pStyle w:val="Tabletext"/>
              <w:jc w:val="center"/>
            </w:pPr>
            <w:r w:rsidRPr="008A07DF">
              <w:t>Yes</w:t>
            </w:r>
          </w:p>
        </w:tc>
      </w:tr>
      <w:tr w:rsidR="001A1F0C" w:rsidRPr="008A07DF" w14:paraId="6C71260D" w14:textId="77777777" w:rsidTr="008A07DF">
        <w:trPr>
          <w:jc w:val="center"/>
        </w:trPr>
        <w:tc>
          <w:tcPr>
            <w:tcW w:w="1838" w:type="dxa"/>
            <w:tcMar>
              <w:top w:w="0" w:type="dxa"/>
              <w:left w:w="108" w:type="dxa"/>
              <w:bottom w:w="0" w:type="dxa"/>
              <w:right w:w="108" w:type="dxa"/>
            </w:tcMar>
            <w:hideMark/>
          </w:tcPr>
          <w:p w14:paraId="585FB618" w14:textId="45C2B5D6" w:rsidR="001A1F0C" w:rsidRPr="008A07DF" w:rsidRDefault="00405CF6" w:rsidP="008A07DF">
            <w:pPr>
              <w:pStyle w:val="Tabletext"/>
            </w:pPr>
            <w:r w:rsidRPr="008A07DF">
              <w:t>CP-VISCOL-01</w:t>
            </w:r>
          </w:p>
        </w:tc>
        <w:tc>
          <w:tcPr>
            <w:tcW w:w="6379" w:type="dxa"/>
            <w:tcMar>
              <w:top w:w="0" w:type="dxa"/>
              <w:left w:w="108" w:type="dxa"/>
              <w:bottom w:w="0" w:type="dxa"/>
              <w:right w:w="108" w:type="dxa"/>
            </w:tcMar>
            <w:hideMark/>
          </w:tcPr>
          <w:p w14:paraId="6AD98DEF" w14:textId="10D13452" w:rsidR="001A1F0C" w:rsidRPr="008A07DF" w:rsidRDefault="00400C3C" w:rsidP="008A07DF">
            <w:pPr>
              <w:pStyle w:val="Tabletext"/>
            </w:pPr>
            <w:r w:rsidRPr="008A07DF">
              <w:t>The extents of the visual geometry and of the collision representation correspond within a declared tolerance.</w:t>
            </w:r>
          </w:p>
        </w:tc>
        <w:tc>
          <w:tcPr>
            <w:tcW w:w="1422" w:type="dxa"/>
            <w:tcMar>
              <w:top w:w="0" w:type="dxa"/>
              <w:left w:w="108" w:type="dxa"/>
              <w:bottom w:w="0" w:type="dxa"/>
              <w:right w:w="108" w:type="dxa"/>
            </w:tcMar>
            <w:hideMark/>
          </w:tcPr>
          <w:p w14:paraId="3726F426" w14:textId="75E6DDC4" w:rsidR="001A1F0C" w:rsidRPr="008A07DF" w:rsidRDefault="008A07DF" w:rsidP="008A07DF">
            <w:pPr>
              <w:pStyle w:val="Tabletext"/>
              <w:jc w:val="center"/>
            </w:pPr>
            <w:r w:rsidRPr="008A07DF">
              <w:t>Yes</w:t>
            </w:r>
          </w:p>
        </w:tc>
      </w:tr>
      <w:tr w:rsidR="001A1F0C" w:rsidRPr="008A07DF" w14:paraId="7E28BBF4" w14:textId="77777777" w:rsidTr="008A07DF">
        <w:trPr>
          <w:jc w:val="center"/>
        </w:trPr>
        <w:tc>
          <w:tcPr>
            <w:tcW w:w="1838" w:type="dxa"/>
            <w:tcMar>
              <w:top w:w="0" w:type="dxa"/>
              <w:left w:w="108" w:type="dxa"/>
              <w:bottom w:w="0" w:type="dxa"/>
              <w:right w:w="108" w:type="dxa"/>
            </w:tcMar>
            <w:hideMark/>
          </w:tcPr>
          <w:p w14:paraId="4BCDAF2B" w14:textId="3BA15A10" w:rsidR="001A1F0C" w:rsidRPr="008A07DF" w:rsidRDefault="0050344F" w:rsidP="008A07DF">
            <w:pPr>
              <w:pStyle w:val="Tabletext"/>
            </w:pPr>
            <w:r w:rsidRPr="008A07DF">
              <w:t>CP-ARTCOL-01</w:t>
            </w:r>
          </w:p>
        </w:tc>
        <w:tc>
          <w:tcPr>
            <w:tcW w:w="6379" w:type="dxa"/>
            <w:tcMar>
              <w:top w:w="0" w:type="dxa"/>
              <w:left w:w="108" w:type="dxa"/>
              <w:bottom w:w="0" w:type="dxa"/>
              <w:right w:w="108" w:type="dxa"/>
            </w:tcMar>
            <w:hideMark/>
          </w:tcPr>
          <w:p w14:paraId="2CC5D492" w14:textId="205A2E02" w:rsidR="001A1F0C" w:rsidRPr="008A07DF" w:rsidRDefault="00206864" w:rsidP="008A07DF">
            <w:pPr>
              <w:pStyle w:val="Tabletext"/>
            </w:pPr>
            <w:r w:rsidRPr="008A07DF">
              <w:t>The asset does not self-intersect at any configuration within its declared joint limits.</w:t>
            </w:r>
          </w:p>
        </w:tc>
        <w:tc>
          <w:tcPr>
            <w:tcW w:w="1422" w:type="dxa"/>
            <w:tcMar>
              <w:top w:w="0" w:type="dxa"/>
              <w:left w:w="108" w:type="dxa"/>
              <w:bottom w:w="0" w:type="dxa"/>
              <w:right w:w="108" w:type="dxa"/>
            </w:tcMar>
            <w:hideMark/>
          </w:tcPr>
          <w:p w14:paraId="3C78B79C" w14:textId="2B29C265" w:rsidR="001A1F0C" w:rsidRPr="008A07DF" w:rsidRDefault="008A07DF" w:rsidP="008A07DF">
            <w:pPr>
              <w:pStyle w:val="Tabletext"/>
              <w:jc w:val="center"/>
            </w:pPr>
            <w:r w:rsidRPr="008A07DF">
              <w:t>Yes</w:t>
            </w:r>
          </w:p>
        </w:tc>
      </w:tr>
      <w:tr w:rsidR="001A1F0C" w:rsidRPr="008A07DF" w14:paraId="74836D53" w14:textId="77777777" w:rsidTr="008A07DF">
        <w:trPr>
          <w:jc w:val="center"/>
        </w:trPr>
        <w:tc>
          <w:tcPr>
            <w:tcW w:w="1838" w:type="dxa"/>
            <w:tcMar>
              <w:top w:w="0" w:type="dxa"/>
              <w:left w:w="108" w:type="dxa"/>
              <w:bottom w:w="0" w:type="dxa"/>
              <w:right w:w="108" w:type="dxa"/>
            </w:tcMar>
            <w:hideMark/>
          </w:tcPr>
          <w:p w14:paraId="7BBF6923" w14:textId="15351B38" w:rsidR="001A1F0C" w:rsidRPr="008A07DF" w:rsidRDefault="0026199B" w:rsidP="008A07DF">
            <w:pPr>
              <w:pStyle w:val="Tabletext"/>
            </w:pPr>
            <w:r w:rsidRPr="008A07DF">
              <w:t>CP-VISPHY-01</w:t>
            </w:r>
          </w:p>
        </w:tc>
        <w:tc>
          <w:tcPr>
            <w:tcW w:w="6379" w:type="dxa"/>
            <w:tcMar>
              <w:top w:w="0" w:type="dxa"/>
              <w:left w:w="108" w:type="dxa"/>
              <w:bottom w:w="0" w:type="dxa"/>
              <w:right w:w="108" w:type="dxa"/>
            </w:tcMar>
            <w:hideMark/>
          </w:tcPr>
          <w:p w14:paraId="79315A53" w14:textId="3269B9BA" w:rsidR="001A1F0C" w:rsidRPr="008A07DF" w:rsidRDefault="000A0EFE" w:rsidP="008A07DF">
            <w:pPr>
              <w:pStyle w:val="Tabletext"/>
            </w:pPr>
            <w:r w:rsidRPr="008A07DF">
              <w:t>Where a non-zero surface velocity is declared for a region, the visual representation of that motion is declared or declared absent. This applies wherever declared physical motion is independent of the pose of the part carrying it, including conveying surfaces, rotating surfaces, treadmills and escalators.</w:t>
            </w:r>
          </w:p>
        </w:tc>
        <w:tc>
          <w:tcPr>
            <w:tcW w:w="1422" w:type="dxa"/>
            <w:tcMar>
              <w:top w:w="0" w:type="dxa"/>
              <w:left w:w="108" w:type="dxa"/>
              <w:bottom w:w="0" w:type="dxa"/>
              <w:right w:w="108" w:type="dxa"/>
            </w:tcMar>
            <w:hideMark/>
          </w:tcPr>
          <w:p w14:paraId="756310AB" w14:textId="0CC36A1D" w:rsidR="001A1F0C" w:rsidRPr="008A07DF" w:rsidRDefault="008A07DF" w:rsidP="008A07DF">
            <w:pPr>
              <w:pStyle w:val="Tabletext"/>
              <w:jc w:val="center"/>
            </w:pPr>
            <w:r w:rsidRPr="008A07DF">
              <w:t>No</w:t>
            </w:r>
          </w:p>
        </w:tc>
      </w:tr>
    </w:tbl>
    <w:p w14:paraId="0CE4595D" w14:textId="77777777" w:rsidR="001A1F0C" w:rsidRDefault="00FF5D07" w:rsidP="00E420CB">
      <w:r>
        <w:t>CP-VISPHY-01 covers the conveyor case. The belt surface is declared to transport objects, but the texture applied to it is static. An object is therefore carried across a belt whose pattern does not move. Each layer of such an asset is well formed on its own, and no check that examines one layer at a time detects the disagreement.</w:t>
      </w:r>
    </w:p>
    <w:p w14:paraId="6545093A" w14:textId="77777777" w:rsidR="00581437" w:rsidRDefault="00581437">
      <w:pPr>
        <w:tabs>
          <w:tab w:val="clear" w:pos="794"/>
          <w:tab w:val="clear" w:pos="1191"/>
          <w:tab w:val="clear" w:pos="1588"/>
          <w:tab w:val="clear" w:pos="1985"/>
        </w:tabs>
        <w:overflowPunct/>
        <w:autoSpaceDE/>
        <w:autoSpaceDN/>
        <w:adjustRightInd/>
        <w:spacing w:before="0"/>
        <w:jc w:val="left"/>
        <w:textAlignment w:val="auto"/>
        <w:rPr>
          <w:b/>
          <w:szCs w:val="24"/>
        </w:rPr>
      </w:pPr>
      <w:bookmarkStart w:id="60" w:name="_Toc243469505"/>
      <w:r>
        <w:rPr>
          <w:szCs w:val="24"/>
        </w:rPr>
        <w:br w:type="page"/>
      </w:r>
    </w:p>
    <w:p w14:paraId="2F4506F3" w14:textId="6D634790" w:rsidR="001A1F0C" w:rsidRDefault="00FF5D07" w:rsidP="00581437">
      <w:pPr>
        <w:pStyle w:val="AppendixNoTitle"/>
      </w:pPr>
      <w:bookmarkStart w:id="61" w:name="_Toc244165453"/>
      <w:r>
        <w:rPr>
          <w:rFonts w:hint="eastAsia"/>
        </w:rPr>
        <w:lastRenderedPageBreak/>
        <w:t>Appendix II</w:t>
      </w:r>
      <w:bookmarkEnd w:id="59"/>
      <w:r w:rsidR="00581437">
        <w:rPr>
          <w:lang w:val="ru-RU"/>
        </w:rPr>
        <w:br/>
      </w:r>
      <w:r>
        <w:br/>
      </w:r>
      <w:r>
        <w:rPr>
          <w:rFonts w:hint="eastAsia"/>
        </w:rPr>
        <w:t>Illustrative interaction contracts</w:t>
      </w:r>
      <w:bookmarkEnd w:id="60"/>
      <w:bookmarkEnd w:id="61"/>
    </w:p>
    <w:p w14:paraId="552B030C" w14:textId="77777777" w:rsidR="001A1F0C" w:rsidRDefault="00FF5D07" w:rsidP="00581437">
      <w:pPr>
        <w:pStyle w:val="Normalaftertitle"/>
      </w:pPr>
      <w:r>
        <w:t>This appendix illustrates the form of a contract as described in clause 10. Two capabilities are shown. The field sets given here are illustrative and are not intended to be exhaustive.</w:t>
      </w:r>
    </w:p>
    <w:p w14:paraId="6E20D4A6" w14:textId="77777777" w:rsidR="001A1F0C" w:rsidRDefault="00FF5D07" w:rsidP="007426DE">
      <w:pPr>
        <w:pStyle w:val="Headingb"/>
        <w:spacing w:after="120"/>
      </w:pPr>
      <w:r>
        <w:t>support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6747"/>
      </w:tblGrid>
      <w:tr w:rsidR="001A1F0C" w:rsidRPr="007426DE" w14:paraId="6DFAB501" w14:textId="77777777" w:rsidTr="007426DE">
        <w:trPr>
          <w:jc w:val="center"/>
        </w:trPr>
        <w:tc>
          <w:tcPr>
            <w:tcW w:w="2700" w:type="dxa"/>
            <w:tcMar>
              <w:top w:w="0" w:type="dxa"/>
              <w:left w:w="108" w:type="dxa"/>
              <w:bottom w:w="0" w:type="dxa"/>
              <w:right w:w="108" w:type="dxa"/>
            </w:tcMar>
            <w:hideMark/>
          </w:tcPr>
          <w:p w14:paraId="7C8AD6B8" w14:textId="006A7154" w:rsidR="001A1F0C" w:rsidRPr="007426DE" w:rsidRDefault="009303D7" w:rsidP="007426DE">
            <w:pPr>
              <w:pStyle w:val="Tabletext"/>
            </w:pPr>
            <w:r w:rsidRPr="007426DE">
              <w:t>Interaction region</w:t>
            </w:r>
          </w:p>
        </w:tc>
        <w:tc>
          <w:tcPr>
            <w:tcW w:w="6300" w:type="dxa"/>
            <w:tcMar>
              <w:top w:w="0" w:type="dxa"/>
              <w:left w:w="108" w:type="dxa"/>
              <w:bottom w:w="0" w:type="dxa"/>
              <w:right w:w="108" w:type="dxa"/>
            </w:tcMar>
            <w:hideMark/>
          </w:tcPr>
          <w:p w14:paraId="755C38C4" w14:textId="25533B11" w:rsidR="001A1F0C" w:rsidRPr="007426DE" w:rsidRDefault="0046523D" w:rsidP="007426DE">
            <w:pPr>
              <w:pStyle w:val="Tabletext"/>
            </w:pPr>
            <w:r w:rsidRPr="007426DE">
              <w:t>one region of kind surface</w:t>
            </w:r>
          </w:p>
        </w:tc>
      </w:tr>
      <w:tr w:rsidR="001A1F0C" w:rsidRPr="007426DE" w14:paraId="6AD353E7" w14:textId="77777777" w:rsidTr="007426DE">
        <w:trPr>
          <w:jc w:val="center"/>
        </w:trPr>
        <w:tc>
          <w:tcPr>
            <w:tcW w:w="2700" w:type="dxa"/>
            <w:tcMar>
              <w:top w:w="0" w:type="dxa"/>
              <w:left w:w="108" w:type="dxa"/>
              <w:bottom w:w="0" w:type="dxa"/>
              <w:right w:w="108" w:type="dxa"/>
            </w:tcMar>
            <w:hideMark/>
          </w:tcPr>
          <w:p w14:paraId="45FEE6AB" w14:textId="50EDE1F3" w:rsidR="001A1F0C" w:rsidRPr="007426DE" w:rsidRDefault="00DF5B20" w:rsidP="007426DE">
            <w:pPr>
              <w:pStyle w:val="Tabletext"/>
            </w:pPr>
            <w:r w:rsidRPr="007426DE">
              <w:t>Required fields</w:t>
            </w:r>
          </w:p>
        </w:tc>
        <w:tc>
          <w:tcPr>
            <w:tcW w:w="6300" w:type="dxa"/>
            <w:tcMar>
              <w:top w:w="0" w:type="dxa"/>
              <w:left w:w="108" w:type="dxa"/>
              <w:bottom w:w="0" w:type="dxa"/>
              <w:right w:w="108" w:type="dxa"/>
            </w:tcMar>
            <w:hideMark/>
          </w:tcPr>
          <w:p w14:paraId="5EE3F8F9" w14:textId="16E43F27" w:rsidR="001A1F0C" w:rsidRPr="007426DE" w:rsidRDefault="00F006D4" w:rsidP="007426DE">
            <w:pPr>
              <w:pStyle w:val="Tabletext"/>
            </w:pPr>
            <w:r w:rsidRPr="007426DE">
              <w:t>outward normal; planar extent; load limit</w:t>
            </w:r>
          </w:p>
        </w:tc>
      </w:tr>
      <w:tr w:rsidR="001A1F0C" w:rsidRPr="007426DE" w14:paraId="33CD669B" w14:textId="77777777" w:rsidTr="007426DE">
        <w:trPr>
          <w:jc w:val="center"/>
        </w:trPr>
        <w:tc>
          <w:tcPr>
            <w:tcW w:w="2700" w:type="dxa"/>
            <w:tcMar>
              <w:top w:w="0" w:type="dxa"/>
              <w:left w:w="108" w:type="dxa"/>
              <w:bottom w:w="0" w:type="dxa"/>
              <w:right w:w="108" w:type="dxa"/>
            </w:tcMar>
            <w:hideMark/>
          </w:tcPr>
          <w:p w14:paraId="4846B0E4" w14:textId="7878DC66" w:rsidR="001A1F0C" w:rsidRPr="007426DE" w:rsidRDefault="009408A9" w:rsidP="007426DE">
            <w:pPr>
              <w:pStyle w:val="Tabletext"/>
            </w:pPr>
            <w:r w:rsidRPr="007426DE">
              <w:t>Applicable conditions</w:t>
            </w:r>
          </w:p>
        </w:tc>
        <w:tc>
          <w:tcPr>
            <w:tcW w:w="6300" w:type="dxa"/>
            <w:tcMar>
              <w:top w:w="0" w:type="dxa"/>
              <w:left w:w="108" w:type="dxa"/>
              <w:bottom w:w="0" w:type="dxa"/>
              <w:right w:w="108" w:type="dxa"/>
            </w:tcMar>
            <w:hideMark/>
          </w:tcPr>
          <w:p w14:paraId="5AFCEAED" w14:textId="4244BEB4" w:rsidR="001A1F0C" w:rsidRPr="007426DE" w:rsidRDefault="009F10F1" w:rsidP="007426DE">
            <w:pPr>
              <w:pStyle w:val="Tabletext"/>
            </w:pPr>
            <w:r w:rsidRPr="007426DE">
              <w:t>reference integrity</w:t>
            </w:r>
          </w:p>
        </w:tc>
      </w:tr>
    </w:tbl>
    <w:p w14:paraId="3C73E095" w14:textId="77777777" w:rsidR="001A1F0C" w:rsidRDefault="00FF5D07" w:rsidP="007426DE">
      <w:pPr>
        <w:pStyle w:val="Headingb"/>
        <w:spacing w:after="120"/>
      </w:pPr>
      <w:r>
        <w:t>open_revolute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6747"/>
      </w:tblGrid>
      <w:tr w:rsidR="001A1F0C" w:rsidRPr="007426DE" w14:paraId="759F48DD" w14:textId="77777777" w:rsidTr="007426DE">
        <w:trPr>
          <w:jc w:val="center"/>
        </w:trPr>
        <w:tc>
          <w:tcPr>
            <w:tcW w:w="2700" w:type="dxa"/>
            <w:tcMar>
              <w:top w:w="0" w:type="dxa"/>
              <w:left w:w="108" w:type="dxa"/>
              <w:bottom w:w="0" w:type="dxa"/>
              <w:right w:w="108" w:type="dxa"/>
            </w:tcMar>
            <w:hideMark/>
          </w:tcPr>
          <w:p w14:paraId="447B7D55" w14:textId="06BC1AF4" w:rsidR="001A1F0C" w:rsidRPr="007426DE" w:rsidRDefault="00194DDE" w:rsidP="007426DE">
            <w:pPr>
              <w:pStyle w:val="Tabletext"/>
            </w:pPr>
            <w:r w:rsidRPr="007426DE">
              <w:t>Applies to</w:t>
            </w:r>
          </w:p>
        </w:tc>
        <w:tc>
          <w:tcPr>
            <w:tcW w:w="6300" w:type="dxa"/>
            <w:tcMar>
              <w:top w:w="0" w:type="dxa"/>
              <w:left w:w="108" w:type="dxa"/>
              <w:bottom w:w="0" w:type="dxa"/>
              <w:right w:w="108" w:type="dxa"/>
            </w:tcMar>
            <w:hideMark/>
          </w:tcPr>
          <w:p w14:paraId="5084117A" w14:textId="30950DF1" w:rsidR="001A1F0C" w:rsidRPr="007426DE" w:rsidRDefault="00DA7880" w:rsidP="007426DE">
            <w:pPr>
              <w:pStyle w:val="Tabletext"/>
            </w:pPr>
            <w:r w:rsidRPr="007426DE">
              <w:t>a part</w:t>
            </w:r>
          </w:p>
        </w:tc>
      </w:tr>
      <w:tr w:rsidR="001A1F0C" w:rsidRPr="007426DE" w14:paraId="2DE83E30" w14:textId="77777777" w:rsidTr="007426DE">
        <w:trPr>
          <w:jc w:val="center"/>
        </w:trPr>
        <w:tc>
          <w:tcPr>
            <w:tcW w:w="2700" w:type="dxa"/>
            <w:tcMar>
              <w:top w:w="0" w:type="dxa"/>
              <w:left w:w="108" w:type="dxa"/>
              <w:bottom w:w="0" w:type="dxa"/>
              <w:right w:w="108" w:type="dxa"/>
            </w:tcMar>
            <w:hideMark/>
          </w:tcPr>
          <w:p w14:paraId="7ABB346D" w14:textId="7D900868" w:rsidR="001A1F0C" w:rsidRPr="007426DE" w:rsidRDefault="004F782E" w:rsidP="007426DE">
            <w:pPr>
              <w:pStyle w:val="Tabletext"/>
            </w:pPr>
            <w:r w:rsidRPr="007426DE">
              <w:t>Interaction region</w:t>
            </w:r>
          </w:p>
        </w:tc>
        <w:tc>
          <w:tcPr>
            <w:tcW w:w="6300" w:type="dxa"/>
            <w:tcMar>
              <w:top w:w="0" w:type="dxa"/>
              <w:left w:w="108" w:type="dxa"/>
              <w:bottom w:w="0" w:type="dxa"/>
              <w:right w:w="108" w:type="dxa"/>
            </w:tcMar>
            <w:hideMark/>
          </w:tcPr>
          <w:p w14:paraId="7AD73A65" w14:textId="6543C32D" w:rsidR="001A1F0C" w:rsidRPr="007426DE" w:rsidRDefault="00DF5156" w:rsidP="007426DE">
            <w:pPr>
              <w:pStyle w:val="Tabletext"/>
            </w:pPr>
            <w:r w:rsidRPr="007426DE">
              <w:t>one actuation region</w:t>
            </w:r>
          </w:p>
        </w:tc>
      </w:tr>
      <w:tr w:rsidR="001A1F0C" w:rsidRPr="007426DE" w14:paraId="01056F1C" w14:textId="77777777" w:rsidTr="007426DE">
        <w:trPr>
          <w:jc w:val="center"/>
        </w:trPr>
        <w:tc>
          <w:tcPr>
            <w:tcW w:w="2700" w:type="dxa"/>
            <w:tcMar>
              <w:top w:w="0" w:type="dxa"/>
              <w:left w:w="108" w:type="dxa"/>
              <w:bottom w:w="0" w:type="dxa"/>
              <w:right w:w="108" w:type="dxa"/>
            </w:tcMar>
            <w:hideMark/>
          </w:tcPr>
          <w:p w14:paraId="41A676E7" w14:textId="75C7A580" w:rsidR="001A1F0C" w:rsidRPr="007426DE" w:rsidRDefault="00F6762E" w:rsidP="007426DE">
            <w:pPr>
              <w:pStyle w:val="Tabletext"/>
            </w:pPr>
            <w:r w:rsidRPr="007426DE">
              <w:t>Required fields</w:t>
            </w:r>
          </w:p>
        </w:tc>
        <w:tc>
          <w:tcPr>
            <w:tcW w:w="6300" w:type="dxa"/>
            <w:tcMar>
              <w:top w:w="0" w:type="dxa"/>
              <w:left w:w="108" w:type="dxa"/>
              <w:bottom w:w="0" w:type="dxa"/>
              <w:right w:w="108" w:type="dxa"/>
            </w:tcMar>
            <w:hideMark/>
          </w:tcPr>
          <w:p w14:paraId="2A2C4FFD" w14:textId="0381EEED" w:rsidR="001A1F0C" w:rsidRPr="007426DE" w:rsidRDefault="00EB7790" w:rsidP="007426DE">
            <w:pPr>
              <w:pStyle w:val="Tabletext"/>
            </w:pPr>
            <w:r w:rsidRPr="007426DE">
              <w:t>joint reference; joint limits; opening direction</w:t>
            </w:r>
          </w:p>
        </w:tc>
      </w:tr>
      <w:tr w:rsidR="001A1F0C" w:rsidRPr="007426DE" w14:paraId="2FE6A422" w14:textId="77777777" w:rsidTr="007426DE">
        <w:trPr>
          <w:jc w:val="center"/>
        </w:trPr>
        <w:tc>
          <w:tcPr>
            <w:tcW w:w="2700" w:type="dxa"/>
            <w:tcMar>
              <w:top w:w="0" w:type="dxa"/>
              <w:left w:w="108" w:type="dxa"/>
              <w:bottom w:w="0" w:type="dxa"/>
              <w:right w:w="108" w:type="dxa"/>
            </w:tcMar>
            <w:hideMark/>
          </w:tcPr>
          <w:p w14:paraId="4884429D" w14:textId="69BB914F" w:rsidR="001A1F0C" w:rsidRPr="007426DE" w:rsidRDefault="007D414D" w:rsidP="007426DE">
            <w:pPr>
              <w:pStyle w:val="Tabletext"/>
            </w:pPr>
            <w:r w:rsidRPr="007426DE">
              <w:t>Applicable conditions</w:t>
            </w:r>
          </w:p>
        </w:tc>
        <w:tc>
          <w:tcPr>
            <w:tcW w:w="6300" w:type="dxa"/>
            <w:tcMar>
              <w:top w:w="0" w:type="dxa"/>
              <w:left w:w="108" w:type="dxa"/>
              <w:bottom w:w="0" w:type="dxa"/>
              <w:right w:w="108" w:type="dxa"/>
            </w:tcMar>
            <w:hideMark/>
          </w:tcPr>
          <w:p w14:paraId="14FC58C8" w14:textId="10A44005" w:rsidR="001A1F0C" w:rsidRPr="007426DE" w:rsidRDefault="00574B85" w:rsidP="007426DE">
            <w:pPr>
              <w:pStyle w:val="Tabletext"/>
            </w:pPr>
            <w:r w:rsidRPr="007426DE">
              <w:t>reference integrity; articulation</w:t>
            </w:r>
          </w:p>
        </w:tc>
      </w:tr>
    </w:tbl>
    <w:p w14:paraId="58768591" w14:textId="77777777" w:rsidR="001A1F0C" w:rsidRDefault="00FF5D07" w:rsidP="007426DE">
      <w:pPr>
        <w:rPr>
          <w:lang w:val="ru-RU"/>
        </w:rPr>
      </w:pPr>
      <w:r>
        <w:t>The difference between the two shows why a contract is bound to a capability rather than to an asset. Support is a property of a surface. Opening a hinged part refers to an articulation, and the volume the part sweeps is determined by the joint limits already declared. The same asset may therefore be usable in one scene and obstructed in another.</w:t>
      </w:r>
    </w:p>
    <w:p w14:paraId="41861D1E" w14:textId="77777777" w:rsidR="00C845E9" w:rsidRPr="002B534E" w:rsidRDefault="00C845E9" w:rsidP="00E420CB">
      <w:pPr>
        <w:spacing w:before="720"/>
        <w:jc w:val="center"/>
      </w:pPr>
      <w:r>
        <w:t>___________</w:t>
      </w:r>
    </w:p>
    <w:sectPr w:rsidR="00C845E9" w:rsidRPr="002B534E" w:rsidSect="00EC6955">
      <w:footerReference w:type="default" r:id="rId28"/>
      <w:type w:val="oddPage"/>
      <w:pgSz w:w="11907" w:h="16840"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334B2" w14:textId="77777777" w:rsidR="00C019C4" w:rsidRDefault="00C019C4">
      <w:pPr>
        <w:spacing w:before="0"/>
      </w:pPr>
      <w:r>
        <w:separator/>
      </w:r>
    </w:p>
  </w:endnote>
  <w:endnote w:type="continuationSeparator" w:id="0">
    <w:p w14:paraId="5F208876" w14:textId="77777777" w:rsidR="00C019C4" w:rsidRDefault="00C019C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altName w:val="Sylfaen"/>
    <w:panose1 w:val="020B0502040204020203"/>
    <w:charset w:val="00"/>
    <w:family w:val="swiss"/>
    <w:pitch w:val="variable"/>
    <w:sig w:usb0="E4002EFF" w:usb1="C000E47F" w:usb2="00000009" w:usb3="00000000" w:csb0="000001FF" w:csb1="00000000"/>
  </w:font>
  <w:font w:name="Avenir Next W1G Medium">
    <w:altName w:val="Calibri"/>
    <w:panose1 w:val="020B0603020202020204"/>
    <w:charset w:val="00"/>
    <w:family w:val="swiss"/>
    <w:notTrueType/>
    <w:pitch w:val="variable"/>
    <w:sig w:usb0="A00002EF"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
    <w:altName w:val="Yu Gothic"/>
    <w:panose1 w:val="00000000000000000000"/>
    <w:charset w:val="80"/>
    <w:family w:val="auto"/>
    <w:notTrueType/>
    <w:pitch w:val="variable"/>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91B14" w14:textId="77777777" w:rsidR="00E30326" w:rsidRDefault="00E30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4816" w14:textId="77777777" w:rsidR="00831046" w:rsidRDefault="00831046" w:rsidP="00CE6FB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D81C" w14:textId="77777777" w:rsidR="00E30326" w:rsidRDefault="00E303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1EE0" w14:textId="4E863260" w:rsidR="00831046" w:rsidRPr="008F0E27" w:rsidRDefault="00831046" w:rsidP="008F0E27">
    <w:pPr>
      <w:pStyle w:val="Footer"/>
      <w:tabs>
        <w:tab w:val="clear" w:pos="5954"/>
        <w:tab w:val="left" w:pos="851"/>
        <w:tab w:val="right" w:pos="9072"/>
      </w:tabs>
      <w:jc w:val="left"/>
      <w:rPr>
        <w:b/>
        <w:bCs/>
      </w:rPr>
    </w:pPr>
    <w:r w:rsidRPr="00926B6C">
      <w:fldChar w:fldCharType="begin"/>
    </w:r>
    <w:r w:rsidRPr="00926B6C">
      <w:instrText xml:space="preserve"> PAGE </w:instrText>
    </w:r>
    <w:r w:rsidRPr="00926B6C">
      <w:fldChar w:fldCharType="separate"/>
    </w:r>
    <w:r>
      <w:t>ii</w:t>
    </w:r>
    <w:r w:rsidRPr="00926B6C">
      <w:fldChar w:fldCharType="end"/>
    </w:r>
    <w:r>
      <w:tab/>
    </w:r>
    <w:r w:rsidR="00EC6955">
      <w:rPr>
        <w:b/>
        <w:bCs/>
      </w:rPr>
      <w:t>FG-</w:t>
    </w:r>
    <w:r w:rsidR="00EC6955" w:rsidRPr="00EC6955">
      <w:rPr>
        <w:b/>
        <w:bCs/>
      </w:rPr>
      <w:t>EAI-D2.2</w:t>
    </w:r>
    <w:r w:rsidR="00EC6955">
      <w:rPr>
        <w:b/>
        <w:bCs/>
      </w:rPr>
      <w:t xml:space="preserve"> (2026-10)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B6E4" w14:textId="2D782551" w:rsidR="00831046" w:rsidRPr="008F0E27" w:rsidRDefault="00831046" w:rsidP="008F0E27">
    <w:pPr>
      <w:pStyle w:val="Footer"/>
      <w:tabs>
        <w:tab w:val="clear" w:pos="5954"/>
        <w:tab w:val="right" w:pos="8789"/>
      </w:tabs>
      <w:jc w:val="right"/>
      <w:rPr>
        <w:b/>
        <w:bCs/>
      </w:rPr>
    </w:pPr>
    <w:r w:rsidRPr="00926B6C">
      <w:rPr>
        <w:b/>
        <w:bCs/>
      </w:rPr>
      <w:tab/>
    </w:r>
    <w:r>
      <w:rPr>
        <w:b/>
        <w:bCs/>
      </w:rPr>
      <w:t>FG-</w:t>
    </w:r>
    <w:r w:rsidR="00EC6955" w:rsidRPr="00EC6955">
      <w:rPr>
        <w:b/>
        <w:bCs/>
      </w:rPr>
      <w:t>EAI-D2.2</w:t>
    </w:r>
    <w:r w:rsidR="00EC6955">
      <w:rPr>
        <w:b/>
        <w:bCs/>
      </w:rPr>
      <w:t xml:space="preserve"> </w:t>
    </w:r>
    <w:r>
      <w:rPr>
        <w:b/>
        <w:bCs/>
      </w:rPr>
      <w:t>(2026</w:t>
    </w:r>
    <w:r w:rsidR="00EC6955">
      <w:rPr>
        <w:b/>
        <w:bCs/>
      </w:rPr>
      <w:t>-10</w:t>
    </w:r>
    <w:r>
      <w:rPr>
        <w:b/>
        <w:bCs/>
      </w:rPr>
      <w:t>)</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0E477" w14:textId="05E91B6B" w:rsidR="00831046" w:rsidRPr="008F0E27" w:rsidRDefault="00831046" w:rsidP="008F0E27">
    <w:pPr>
      <w:pStyle w:val="Footer"/>
      <w:tabs>
        <w:tab w:val="clear" w:pos="5954"/>
        <w:tab w:val="right" w:pos="8789"/>
      </w:tabs>
      <w:jc w:val="right"/>
      <w:rPr>
        <w:b/>
        <w:bCs/>
      </w:rPr>
    </w:pPr>
    <w:r w:rsidRPr="00926B6C">
      <w:rPr>
        <w:b/>
        <w:bCs/>
      </w:rPr>
      <w:tab/>
    </w:r>
    <w:r w:rsidR="00EC6955">
      <w:rPr>
        <w:b/>
        <w:bCs/>
      </w:rPr>
      <w:t>FG-</w:t>
    </w:r>
    <w:r w:rsidR="00EC6955" w:rsidRPr="00EC6955">
      <w:rPr>
        <w:b/>
        <w:bCs/>
      </w:rPr>
      <w:t>EAI-D2.2</w:t>
    </w:r>
    <w:r w:rsidR="00EC6955">
      <w:rPr>
        <w:b/>
        <w:bCs/>
      </w:rPr>
      <w:t xml:space="preserve"> (2026-10)</w:t>
    </w:r>
    <w:r w:rsidRPr="00926B6C">
      <w:rPr>
        <w:b/>
        <w:bCs/>
      </w:rPr>
      <w:tab/>
    </w:r>
    <w:r w:rsidRPr="00926B6C">
      <w:fldChar w:fldCharType="begin"/>
    </w:r>
    <w:r w:rsidRPr="00926B6C">
      <w:instrText xml:space="preserve"> PAGE </w:instrText>
    </w:r>
    <w:r w:rsidRPr="00926B6C">
      <w:fldChar w:fldCharType="separate"/>
    </w:r>
    <w:r>
      <w:t>i</w:t>
    </w:r>
    <w:r w:rsidRPr="00926B6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8151" w14:textId="77777777" w:rsidR="00C019C4" w:rsidRDefault="00C019C4">
      <w:pPr>
        <w:spacing w:before="0"/>
      </w:pPr>
      <w:r>
        <w:separator/>
      </w:r>
    </w:p>
  </w:footnote>
  <w:footnote w:type="continuationSeparator" w:id="0">
    <w:p w14:paraId="557B0DED" w14:textId="77777777" w:rsidR="00C019C4" w:rsidRDefault="00C019C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D59F5" w14:textId="77777777" w:rsidR="00831046" w:rsidRDefault="00831046">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0290C" w14:textId="77777777" w:rsidR="00831046" w:rsidRDefault="00831046"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3C7F" w14:textId="77777777" w:rsidR="00E30326" w:rsidRDefault="00E303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20DFE" w14:textId="77777777" w:rsidR="00831046" w:rsidRDefault="00831046">
    <w:pPr>
      <w:pStyle w:val="Header"/>
      <w:ind w:right="360" w:firstLine="36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2CD27D4"/>
    <w:multiLevelType w:val="multilevel"/>
    <w:tmpl w:val="02CD27D4"/>
    <w:lvl w:ilvl="0">
      <w:start w:val="1"/>
      <w:numFmt w:val="decimal"/>
      <w:pStyle w:val="References"/>
      <w:lvlText w:val="[%1]"/>
      <w:lvlJc w:val="left"/>
      <w:pPr>
        <w:tabs>
          <w:tab w:val="left" w:pos="1418"/>
        </w:tabs>
        <w:ind w:left="1418" w:hanging="1418"/>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15:restartNumberingAfterBreak="0">
    <w:nsid w:val="6F013ABE"/>
    <w:multiLevelType w:val="multilevel"/>
    <w:tmpl w:val="6F013ABE"/>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num w:numId="1" w16cid:durableId="1173490805">
    <w:abstractNumId w:val="11"/>
  </w:num>
  <w:num w:numId="2" w16cid:durableId="1701515650">
    <w:abstractNumId w:val="3"/>
  </w:num>
  <w:num w:numId="3" w16cid:durableId="1695687966">
    <w:abstractNumId w:val="5"/>
  </w:num>
  <w:num w:numId="4" w16cid:durableId="2059475345">
    <w:abstractNumId w:val="8"/>
  </w:num>
  <w:num w:numId="5" w16cid:durableId="1161432493">
    <w:abstractNumId w:val="9"/>
  </w:num>
  <w:num w:numId="6" w16cid:durableId="1671979125">
    <w:abstractNumId w:val="6"/>
  </w:num>
  <w:num w:numId="7" w16cid:durableId="1055858207">
    <w:abstractNumId w:val="2"/>
  </w:num>
  <w:num w:numId="8" w16cid:durableId="216865554">
    <w:abstractNumId w:val="7"/>
  </w:num>
  <w:num w:numId="9" w16cid:durableId="820345423">
    <w:abstractNumId w:val="4"/>
  </w:num>
  <w:num w:numId="10" w16cid:durableId="1424108434">
    <w:abstractNumId w:val="1"/>
  </w:num>
  <w:num w:numId="11" w16cid:durableId="915936762">
    <w:abstractNumId w:val="0"/>
  </w:num>
  <w:num w:numId="12" w16cid:durableId="9830424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S2NDCyMLQ0t7QwMDRQ0lEKTi0uzszPAykwqQUAahRRvSwAAAA="/>
    <w:docVar w:name="currentStyleCount" w:val="5"/>
  </w:docVars>
  <w:rsids>
    <w:rsidRoot w:val="00E03557"/>
    <w:rsid w:val="000002CE"/>
    <w:rsid w:val="00000339"/>
    <w:rsid w:val="00000FA8"/>
    <w:rsid w:val="000065EE"/>
    <w:rsid w:val="0001104D"/>
    <w:rsid w:val="00012EB5"/>
    <w:rsid w:val="00017655"/>
    <w:rsid w:val="00017FE7"/>
    <w:rsid w:val="00022B29"/>
    <w:rsid w:val="000247BD"/>
    <w:rsid w:val="00025502"/>
    <w:rsid w:val="000271A6"/>
    <w:rsid w:val="00027A32"/>
    <w:rsid w:val="00030DBC"/>
    <w:rsid w:val="0003117B"/>
    <w:rsid w:val="0003257A"/>
    <w:rsid w:val="00041458"/>
    <w:rsid w:val="0004493F"/>
    <w:rsid w:val="00045E49"/>
    <w:rsid w:val="00050A24"/>
    <w:rsid w:val="00053EE5"/>
    <w:rsid w:val="00055464"/>
    <w:rsid w:val="00056F56"/>
    <w:rsid w:val="0006330F"/>
    <w:rsid w:val="00063556"/>
    <w:rsid w:val="00063A35"/>
    <w:rsid w:val="00063FF1"/>
    <w:rsid w:val="000661D3"/>
    <w:rsid w:val="0007085C"/>
    <w:rsid w:val="000769E6"/>
    <w:rsid w:val="00077E88"/>
    <w:rsid w:val="0008099A"/>
    <w:rsid w:val="0008390B"/>
    <w:rsid w:val="000842F4"/>
    <w:rsid w:val="00084BF2"/>
    <w:rsid w:val="00085268"/>
    <w:rsid w:val="0009268C"/>
    <w:rsid w:val="00092930"/>
    <w:rsid w:val="00094993"/>
    <w:rsid w:val="00095EF2"/>
    <w:rsid w:val="00096D82"/>
    <w:rsid w:val="00097D70"/>
    <w:rsid w:val="000A0EFE"/>
    <w:rsid w:val="000A1971"/>
    <w:rsid w:val="000A1D45"/>
    <w:rsid w:val="000A31CB"/>
    <w:rsid w:val="000A55A9"/>
    <w:rsid w:val="000B15A5"/>
    <w:rsid w:val="000B260A"/>
    <w:rsid w:val="000B286A"/>
    <w:rsid w:val="000B594B"/>
    <w:rsid w:val="000B748C"/>
    <w:rsid w:val="000C0B23"/>
    <w:rsid w:val="000C1868"/>
    <w:rsid w:val="000C5FD9"/>
    <w:rsid w:val="000D155B"/>
    <w:rsid w:val="000D4019"/>
    <w:rsid w:val="000D75CB"/>
    <w:rsid w:val="000D7A19"/>
    <w:rsid w:val="000E0419"/>
    <w:rsid w:val="000E1EEF"/>
    <w:rsid w:val="000E2AE8"/>
    <w:rsid w:val="000E4E82"/>
    <w:rsid w:val="000E5D97"/>
    <w:rsid w:val="000E6414"/>
    <w:rsid w:val="000F1A3B"/>
    <w:rsid w:val="000F2E95"/>
    <w:rsid w:val="000F67F1"/>
    <w:rsid w:val="00103F3E"/>
    <w:rsid w:val="00106AAB"/>
    <w:rsid w:val="00110480"/>
    <w:rsid w:val="001113C7"/>
    <w:rsid w:val="00112783"/>
    <w:rsid w:val="00112BB4"/>
    <w:rsid w:val="00114606"/>
    <w:rsid w:val="0011490C"/>
    <w:rsid w:val="0012002D"/>
    <w:rsid w:val="00121EF4"/>
    <w:rsid w:val="00122669"/>
    <w:rsid w:val="00123A2B"/>
    <w:rsid w:val="001249C6"/>
    <w:rsid w:val="0012607C"/>
    <w:rsid w:val="001266E6"/>
    <w:rsid w:val="00131282"/>
    <w:rsid w:val="00131D86"/>
    <w:rsid w:val="001327B4"/>
    <w:rsid w:val="0013418A"/>
    <w:rsid w:val="00134BB5"/>
    <w:rsid w:val="00137E61"/>
    <w:rsid w:val="00142560"/>
    <w:rsid w:val="00144778"/>
    <w:rsid w:val="00146FED"/>
    <w:rsid w:val="001471E0"/>
    <w:rsid w:val="0014731E"/>
    <w:rsid w:val="00147ACA"/>
    <w:rsid w:val="00147EE6"/>
    <w:rsid w:val="001528E6"/>
    <w:rsid w:val="00155DD6"/>
    <w:rsid w:val="00157413"/>
    <w:rsid w:val="001605F4"/>
    <w:rsid w:val="00161BAB"/>
    <w:rsid w:val="0016529A"/>
    <w:rsid w:val="001664ED"/>
    <w:rsid w:val="001669A6"/>
    <w:rsid w:val="00166E75"/>
    <w:rsid w:val="00167647"/>
    <w:rsid w:val="00172670"/>
    <w:rsid w:val="00176C2F"/>
    <w:rsid w:val="001813B8"/>
    <w:rsid w:val="001827DF"/>
    <w:rsid w:val="00184A3C"/>
    <w:rsid w:val="001862D2"/>
    <w:rsid w:val="001871E3"/>
    <w:rsid w:val="001872B3"/>
    <w:rsid w:val="001942EC"/>
    <w:rsid w:val="001945B8"/>
    <w:rsid w:val="00194DDE"/>
    <w:rsid w:val="00196438"/>
    <w:rsid w:val="001A03CC"/>
    <w:rsid w:val="001A1E05"/>
    <w:rsid w:val="001A1F0C"/>
    <w:rsid w:val="001A2E17"/>
    <w:rsid w:val="001A6E14"/>
    <w:rsid w:val="001A79B0"/>
    <w:rsid w:val="001B401A"/>
    <w:rsid w:val="001B4799"/>
    <w:rsid w:val="001B4A85"/>
    <w:rsid w:val="001B6D84"/>
    <w:rsid w:val="001C01DD"/>
    <w:rsid w:val="001C06CA"/>
    <w:rsid w:val="001C14DA"/>
    <w:rsid w:val="001C303F"/>
    <w:rsid w:val="001C5DF3"/>
    <w:rsid w:val="001D240C"/>
    <w:rsid w:val="001D505A"/>
    <w:rsid w:val="001D5206"/>
    <w:rsid w:val="001D6401"/>
    <w:rsid w:val="001E031A"/>
    <w:rsid w:val="001E2024"/>
    <w:rsid w:val="001E2607"/>
    <w:rsid w:val="001E2B0E"/>
    <w:rsid w:val="001E2CE2"/>
    <w:rsid w:val="001E3A97"/>
    <w:rsid w:val="001E4B32"/>
    <w:rsid w:val="001E58AB"/>
    <w:rsid w:val="001E5965"/>
    <w:rsid w:val="001E5E42"/>
    <w:rsid w:val="001E6C93"/>
    <w:rsid w:val="001E7BCC"/>
    <w:rsid w:val="001E7D6A"/>
    <w:rsid w:val="001F0D74"/>
    <w:rsid w:val="001F3AC7"/>
    <w:rsid w:val="001F5DA4"/>
    <w:rsid w:val="00201267"/>
    <w:rsid w:val="00201459"/>
    <w:rsid w:val="002027A2"/>
    <w:rsid w:val="00202AA7"/>
    <w:rsid w:val="00205A05"/>
    <w:rsid w:val="00206864"/>
    <w:rsid w:val="0020726E"/>
    <w:rsid w:val="00213C1C"/>
    <w:rsid w:val="00214B82"/>
    <w:rsid w:val="002157FB"/>
    <w:rsid w:val="00216499"/>
    <w:rsid w:val="0022194A"/>
    <w:rsid w:val="00222121"/>
    <w:rsid w:val="0022281B"/>
    <w:rsid w:val="00223009"/>
    <w:rsid w:val="00226A0F"/>
    <w:rsid w:val="00230922"/>
    <w:rsid w:val="00230BB8"/>
    <w:rsid w:val="002313E5"/>
    <w:rsid w:val="00231CCA"/>
    <w:rsid w:val="002341B0"/>
    <w:rsid w:val="00237403"/>
    <w:rsid w:val="00237AFD"/>
    <w:rsid w:val="0024243B"/>
    <w:rsid w:val="00242B8D"/>
    <w:rsid w:val="00255C7B"/>
    <w:rsid w:val="00257576"/>
    <w:rsid w:val="00257A66"/>
    <w:rsid w:val="00260003"/>
    <w:rsid w:val="0026199B"/>
    <w:rsid w:val="00262AC6"/>
    <w:rsid w:val="0026332F"/>
    <w:rsid w:val="00263A01"/>
    <w:rsid w:val="00265E0D"/>
    <w:rsid w:val="00265ED9"/>
    <w:rsid w:val="00265FC7"/>
    <w:rsid w:val="002706A2"/>
    <w:rsid w:val="00271D94"/>
    <w:rsid w:val="00272979"/>
    <w:rsid w:val="00272DCD"/>
    <w:rsid w:val="0027462B"/>
    <w:rsid w:val="00281AC7"/>
    <w:rsid w:val="002835BD"/>
    <w:rsid w:val="0028651A"/>
    <w:rsid w:val="00287355"/>
    <w:rsid w:val="002878DC"/>
    <w:rsid w:val="00297515"/>
    <w:rsid w:val="002A1157"/>
    <w:rsid w:val="002A537A"/>
    <w:rsid w:val="002A6CA9"/>
    <w:rsid w:val="002A6E11"/>
    <w:rsid w:val="002B27EF"/>
    <w:rsid w:val="002B4844"/>
    <w:rsid w:val="002B49FE"/>
    <w:rsid w:val="002B4C67"/>
    <w:rsid w:val="002B5DEB"/>
    <w:rsid w:val="002B67D9"/>
    <w:rsid w:val="002B7F5C"/>
    <w:rsid w:val="002C0C76"/>
    <w:rsid w:val="002C5033"/>
    <w:rsid w:val="002C69A4"/>
    <w:rsid w:val="002C6A7F"/>
    <w:rsid w:val="002D0969"/>
    <w:rsid w:val="002D0ED3"/>
    <w:rsid w:val="002D19EC"/>
    <w:rsid w:val="002D372B"/>
    <w:rsid w:val="002D66C8"/>
    <w:rsid w:val="002E12DE"/>
    <w:rsid w:val="002E2EC1"/>
    <w:rsid w:val="002E40ED"/>
    <w:rsid w:val="002E525A"/>
    <w:rsid w:val="002E6279"/>
    <w:rsid w:val="002E712F"/>
    <w:rsid w:val="002F00D4"/>
    <w:rsid w:val="002F0B65"/>
    <w:rsid w:val="002F0B8A"/>
    <w:rsid w:val="002F14A1"/>
    <w:rsid w:val="002F21DA"/>
    <w:rsid w:val="002F316F"/>
    <w:rsid w:val="002F3A6A"/>
    <w:rsid w:val="002F4D78"/>
    <w:rsid w:val="002F5706"/>
    <w:rsid w:val="002F6AD3"/>
    <w:rsid w:val="00300280"/>
    <w:rsid w:val="00306040"/>
    <w:rsid w:val="003102A3"/>
    <w:rsid w:val="00310F96"/>
    <w:rsid w:val="003128D5"/>
    <w:rsid w:val="003131EC"/>
    <w:rsid w:val="00314E84"/>
    <w:rsid w:val="00315755"/>
    <w:rsid w:val="00323984"/>
    <w:rsid w:val="00327081"/>
    <w:rsid w:val="003331EE"/>
    <w:rsid w:val="00335A28"/>
    <w:rsid w:val="003371BE"/>
    <w:rsid w:val="00337560"/>
    <w:rsid w:val="003429F2"/>
    <w:rsid w:val="00343245"/>
    <w:rsid w:val="00343BA0"/>
    <w:rsid w:val="0034630B"/>
    <w:rsid w:val="00346AF9"/>
    <w:rsid w:val="00346B76"/>
    <w:rsid w:val="00347D06"/>
    <w:rsid w:val="00347FFC"/>
    <w:rsid w:val="00350363"/>
    <w:rsid w:val="00350AC2"/>
    <w:rsid w:val="00352738"/>
    <w:rsid w:val="00357B31"/>
    <w:rsid w:val="0036170A"/>
    <w:rsid w:val="00362CA1"/>
    <w:rsid w:val="00365B71"/>
    <w:rsid w:val="003666B3"/>
    <w:rsid w:val="003676EB"/>
    <w:rsid w:val="0037050B"/>
    <w:rsid w:val="00370AB3"/>
    <w:rsid w:val="00370C9C"/>
    <w:rsid w:val="00370CF4"/>
    <w:rsid w:val="00372DDD"/>
    <w:rsid w:val="0037341A"/>
    <w:rsid w:val="00376609"/>
    <w:rsid w:val="003766F6"/>
    <w:rsid w:val="00377C74"/>
    <w:rsid w:val="003800A3"/>
    <w:rsid w:val="0038320B"/>
    <w:rsid w:val="00383C8F"/>
    <w:rsid w:val="00387228"/>
    <w:rsid w:val="00396264"/>
    <w:rsid w:val="00396830"/>
    <w:rsid w:val="003A121C"/>
    <w:rsid w:val="003A229D"/>
    <w:rsid w:val="003A3986"/>
    <w:rsid w:val="003A76F6"/>
    <w:rsid w:val="003B197C"/>
    <w:rsid w:val="003B1D28"/>
    <w:rsid w:val="003B2A40"/>
    <w:rsid w:val="003B53B3"/>
    <w:rsid w:val="003B5A02"/>
    <w:rsid w:val="003C246F"/>
    <w:rsid w:val="003C679D"/>
    <w:rsid w:val="003D00ED"/>
    <w:rsid w:val="003D0967"/>
    <w:rsid w:val="003D10E0"/>
    <w:rsid w:val="003D2C2B"/>
    <w:rsid w:val="003D3283"/>
    <w:rsid w:val="003D3C3E"/>
    <w:rsid w:val="003D558C"/>
    <w:rsid w:val="003D58F8"/>
    <w:rsid w:val="003D7964"/>
    <w:rsid w:val="003E152B"/>
    <w:rsid w:val="003E21BA"/>
    <w:rsid w:val="003E440C"/>
    <w:rsid w:val="003E67BE"/>
    <w:rsid w:val="003F3046"/>
    <w:rsid w:val="003F39A3"/>
    <w:rsid w:val="003F5E9C"/>
    <w:rsid w:val="003F6921"/>
    <w:rsid w:val="003F7CBB"/>
    <w:rsid w:val="00400C3C"/>
    <w:rsid w:val="00400EF7"/>
    <w:rsid w:val="00402B6C"/>
    <w:rsid w:val="004032AC"/>
    <w:rsid w:val="00404076"/>
    <w:rsid w:val="00405CF6"/>
    <w:rsid w:val="00407F48"/>
    <w:rsid w:val="00410D5A"/>
    <w:rsid w:val="00410E7D"/>
    <w:rsid w:val="00411475"/>
    <w:rsid w:val="00411C59"/>
    <w:rsid w:val="00412A4D"/>
    <w:rsid w:val="00412A89"/>
    <w:rsid w:val="00412ADF"/>
    <w:rsid w:val="00413D0A"/>
    <w:rsid w:val="004143C4"/>
    <w:rsid w:val="0041582F"/>
    <w:rsid w:val="00421582"/>
    <w:rsid w:val="00422C23"/>
    <w:rsid w:val="0042468A"/>
    <w:rsid w:val="00425055"/>
    <w:rsid w:val="00430908"/>
    <w:rsid w:val="00432526"/>
    <w:rsid w:val="00434345"/>
    <w:rsid w:val="00435BA6"/>
    <w:rsid w:val="004368E3"/>
    <w:rsid w:val="004401F6"/>
    <w:rsid w:val="00444079"/>
    <w:rsid w:val="00444228"/>
    <w:rsid w:val="00444784"/>
    <w:rsid w:val="00444D84"/>
    <w:rsid w:val="004452BC"/>
    <w:rsid w:val="004454D3"/>
    <w:rsid w:val="00445C21"/>
    <w:rsid w:val="00446162"/>
    <w:rsid w:val="00446B1C"/>
    <w:rsid w:val="00450510"/>
    <w:rsid w:val="00452887"/>
    <w:rsid w:val="00453812"/>
    <w:rsid w:val="0045405F"/>
    <w:rsid w:val="00454C7C"/>
    <w:rsid w:val="00455102"/>
    <w:rsid w:val="004577A7"/>
    <w:rsid w:val="00460665"/>
    <w:rsid w:val="004607FB"/>
    <w:rsid w:val="00460ED4"/>
    <w:rsid w:val="0046182A"/>
    <w:rsid w:val="004624CD"/>
    <w:rsid w:val="00462B6A"/>
    <w:rsid w:val="0046316A"/>
    <w:rsid w:val="00464CC7"/>
    <w:rsid w:val="0046523D"/>
    <w:rsid w:val="00465632"/>
    <w:rsid w:val="00466303"/>
    <w:rsid w:val="00466454"/>
    <w:rsid w:val="004669B1"/>
    <w:rsid w:val="00466AC2"/>
    <w:rsid w:val="00466E34"/>
    <w:rsid w:val="00470D28"/>
    <w:rsid w:val="004717A9"/>
    <w:rsid w:val="00473548"/>
    <w:rsid w:val="004753D9"/>
    <w:rsid w:val="00477426"/>
    <w:rsid w:val="004806F0"/>
    <w:rsid w:val="00480BF5"/>
    <w:rsid w:val="00481970"/>
    <w:rsid w:val="00481B8F"/>
    <w:rsid w:val="00482248"/>
    <w:rsid w:val="00483B57"/>
    <w:rsid w:val="0049385C"/>
    <w:rsid w:val="00493D8E"/>
    <w:rsid w:val="00496204"/>
    <w:rsid w:val="0049622C"/>
    <w:rsid w:val="00497A85"/>
    <w:rsid w:val="004A019C"/>
    <w:rsid w:val="004A2791"/>
    <w:rsid w:val="004A460E"/>
    <w:rsid w:val="004A66F3"/>
    <w:rsid w:val="004A7E65"/>
    <w:rsid w:val="004B1BCD"/>
    <w:rsid w:val="004B34BB"/>
    <w:rsid w:val="004B3BD0"/>
    <w:rsid w:val="004B4317"/>
    <w:rsid w:val="004B5105"/>
    <w:rsid w:val="004B7470"/>
    <w:rsid w:val="004B7F6C"/>
    <w:rsid w:val="004C1C43"/>
    <w:rsid w:val="004C2E42"/>
    <w:rsid w:val="004C3990"/>
    <w:rsid w:val="004C482A"/>
    <w:rsid w:val="004C5F5E"/>
    <w:rsid w:val="004C63CE"/>
    <w:rsid w:val="004C6C19"/>
    <w:rsid w:val="004D054B"/>
    <w:rsid w:val="004D0FFC"/>
    <w:rsid w:val="004D217C"/>
    <w:rsid w:val="004D2E2C"/>
    <w:rsid w:val="004D53AD"/>
    <w:rsid w:val="004D5D51"/>
    <w:rsid w:val="004E1D1B"/>
    <w:rsid w:val="004E29D0"/>
    <w:rsid w:val="004E7413"/>
    <w:rsid w:val="004F0B29"/>
    <w:rsid w:val="004F18BB"/>
    <w:rsid w:val="004F24BE"/>
    <w:rsid w:val="004F467F"/>
    <w:rsid w:val="004F4EB6"/>
    <w:rsid w:val="004F782E"/>
    <w:rsid w:val="00500C55"/>
    <w:rsid w:val="00502C16"/>
    <w:rsid w:val="0050344F"/>
    <w:rsid w:val="00504261"/>
    <w:rsid w:val="005052D1"/>
    <w:rsid w:val="005066E7"/>
    <w:rsid w:val="00507D55"/>
    <w:rsid w:val="005128B8"/>
    <w:rsid w:val="00512ECC"/>
    <w:rsid w:val="00514399"/>
    <w:rsid w:val="005166B9"/>
    <w:rsid w:val="00517C7D"/>
    <w:rsid w:val="00522154"/>
    <w:rsid w:val="00524AFA"/>
    <w:rsid w:val="005259EF"/>
    <w:rsid w:val="0052618A"/>
    <w:rsid w:val="00527984"/>
    <w:rsid w:val="005307FF"/>
    <w:rsid w:val="00542167"/>
    <w:rsid w:val="0054509D"/>
    <w:rsid w:val="00546D92"/>
    <w:rsid w:val="00547A8B"/>
    <w:rsid w:val="00553C5C"/>
    <w:rsid w:val="00554DAD"/>
    <w:rsid w:val="00555133"/>
    <w:rsid w:val="00556DF9"/>
    <w:rsid w:val="00560C65"/>
    <w:rsid w:val="0056105F"/>
    <w:rsid w:val="005614F6"/>
    <w:rsid w:val="005633B4"/>
    <w:rsid w:val="00564D47"/>
    <w:rsid w:val="00566D63"/>
    <w:rsid w:val="00574B85"/>
    <w:rsid w:val="00574F82"/>
    <w:rsid w:val="0057529E"/>
    <w:rsid w:val="00575F9B"/>
    <w:rsid w:val="005771A3"/>
    <w:rsid w:val="0057782F"/>
    <w:rsid w:val="00581437"/>
    <w:rsid w:val="005815CC"/>
    <w:rsid w:val="00582CE2"/>
    <w:rsid w:val="00583141"/>
    <w:rsid w:val="00584A5A"/>
    <w:rsid w:val="0058633E"/>
    <w:rsid w:val="00590533"/>
    <w:rsid w:val="00590C8C"/>
    <w:rsid w:val="00590D62"/>
    <w:rsid w:val="00593191"/>
    <w:rsid w:val="00593340"/>
    <w:rsid w:val="005951FC"/>
    <w:rsid w:val="0059558F"/>
    <w:rsid w:val="00595983"/>
    <w:rsid w:val="005976EA"/>
    <w:rsid w:val="005A26CD"/>
    <w:rsid w:val="005A2A95"/>
    <w:rsid w:val="005A346F"/>
    <w:rsid w:val="005B0D58"/>
    <w:rsid w:val="005B1C8B"/>
    <w:rsid w:val="005B2023"/>
    <w:rsid w:val="005B29FD"/>
    <w:rsid w:val="005B5835"/>
    <w:rsid w:val="005B66FC"/>
    <w:rsid w:val="005C083A"/>
    <w:rsid w:val="005C1D4D"/>
    <w:rsid w:val="005C6264"/>
    <w:rsid w:val="005D3023"/>
    <w:rsid w:val="005D3BE6"/>
    <w:rsid w:val="005D44A3"/>
    <w:rsid w:val="005D46F4"/>
    <w:rsid w:val="005D572B"/>
    <w:rsid w:val="005D6213"/>
    <w:rsid w:val="005D633F"/>
    <w:rsid w:val="005D6FA8"/>
    <w:rsid w:val="005D7328"/>
    <w:rsid w:val="005E3DA5"/>
    <w:rsid w:val="005E4B83"/>
    <w:rsid w:val="005E51E1"/>
    <w:rsid w:val="005E5474"/>
    <w:rsid w:val="005E7AFD"/>
    <w:rsid w:val="005F2324"/>
    <w:rsid w:val="005F23F2"/>
    <w:rsid w:val="005F26E9"/>
    <w:rsid w:val="005F2DF7"/>
    <w:rsid w:val="005F3636"/>
    <w:rsid w:val="005F4B8F"/>
    <w:rsid w:val="005F6550"/>
    <w:rsid w:val="005F6894"/>
    <w:rsid w:val="005F6B17"/>
    <w:rsid w:val="005F7C61"/>
    <w:rsid w:val="006041E5"/>
    <w:rsid w:val="0060474D"/>
    <w:rsid w:val="006109F3"/>
    <w:rsid w:val="00615820"/>
    <w:rsid w:val="00615FEE"/>
    <w:rsid w:val="00616390"/>
    <w:rsid w:val="00621FC0"/>
    <w:rsid w:val="006246ED"/>
    <w:rsid w:val="00627024"/>
    <w:rsid w:val="00631860"/>
    <w:rsid w:val="00632378"/>
    <w:rsid w:val="006334FD"/>
    <w:rsid w:val="006336BF"/>
    <w:rsid w:val="00634E43"/>
    <w:rsid w:val="006401EA"/>
    <w:rsid w:val="00641D2A"/>
    <w:rsid w:val="00643A22"/>
    <w:rsid w:val="006440F8"/>
    <w:rsid w:val="006463E0"/>
    <w:rsid w:val="00652934"/>
    <w:rsid w:val="00656BDC"/>
    <w:rsid w:val="00657999"/>
    <w:rsid w:val="0066061E"/>
    <w:rsid w:val="00660A8D"/>
    <w:rsid w:val="00661C0F"/>
    <w:rsid w:val="006652A7"/>
    <w:rsid w:val="00667CAF"/>
    <w:rsid w:val="00667DC9"/>
    <w:rsid w:val="00670127"/>
    <w:rsid w:val="00671B46"/>
    <w:rsid w:val="00671B96"/>
    <w:rsid w:val="00672840"/>
    <w:rsid w:val="00672A32"/>
    <w:rsid w:val="00672C0A"/>
    <w:rsid w:val="00673355"/>
    <w:rsid w:val="006733BC"/>
    <w:rsid w:val="00674928"/>
    <w:rsid w:val="006851ED"/>
    <w:rsid w:val="00686D6E"/>
    <w:rsid w:val="006871D2"/>
    <w:rsid w:val="00691155"/>
    <w:rsid w:val="006942E8"/>
    <w:rsid w:val="0069505A"/>
    <w:rsid w:val="0069505B"/>
    <w:rsid w:val="006A20A8"/>
    <w:rsid w:val="006A2774"/>
    <w:rsid w:val="006A3DF0"/>
    <w:rsid w:val="006A43C1"/>
    <w:rsid w:val="006A5A30"/>
    <w:rsid w:val="006A6976"/>
    <w:rsid w:val="006A731D"/>
    <w:rsid w:val="006B1676"/>
    <w:rsid w:val="006B1D1B"/>
    <w:rsid w:val="006B3DF5"/>
    <w:rsid w:val="006B5FAD"/>
    <w:rsid w:val="006C03AC"/>
    <w:rsid w:val="006C106C"/>
    <w:rsid w:val="006C20B0"/>
    <w:rsid w:val="006C2430"/>
    <w:rsid w:val="006C2AC8"/>
    <w:rsid w:val="006C3F60"/>
    <w:rsid w:val="006C40DE"/>
    <w:rsid w:val="006C538F"/>
    <w:rsid w:val="006C6EAE"/>
    <w:rsid w:val="006C72D3"/>
    <w:rsid w:val="006C7EC2"/>
    <w:rsid w:val="006D00FC"/>
    <w:rsid w:val="006D0765"/>
    <w:rsid w:val="006D1F7B"/>
    <w:rsid w:val="006D2FAF"/>
    <w:rsid w:val="006D413D"/>
    <w:rsid w:val="006D5F12"/>
    <w:rsid w:val="006D6A9B"/>
    <w:rsid w:val="006E1652"/>
    <w:rsid w:val="006E3E05"/>
    <w:rsid w:val="006E550A"/>
    <w:rsid w:val="006E6735"/>
    <w:rsid w:val="006E7742"/>
    <w:rsid w:val="006E7AB0"/>
    <w:rsid w:val="006F0698"/>
    <w:rsid w:val="006F117E"/>
    <w:rsid w:val="006F5AB1"/>
    <w:rsid w:val="006F6A15"/>
    <w:rsid w:val="0070068E"/>
    <w:rsid w:val="007008FB"/>
    <w:rsid w:val="00707C72"/>
    <w:rsid w:val="0071032C"/>
    <w:rsid w:val="0071243A"/>
    <w:rsid w:val="00712802"/>
    <w:rsid w:val="007139EE"/>
    <w:rsid w:val="007164A1"/>
    <w:rsid w:val="00721FE0"/>
    <w:rsid w:val="007231AD"/>
    <w:rsid w:val="007238CA"/>
    <w:rsid w:val="00723B74"/>
    <w:rsid w:val="007262D6"/>
    <w:rsid w:val="00726B8B"/>
    <w:rsid w:val="00726BC0"/>
    <w:rsid w:val="0073144D"/>
    <w:rsid w:val="007333C0"/>
    <w:rsid w:val="00737B9F"/>
    <w:rsid w:val="00741C1D"/>
    <w:rsid w:val="007426DE"/>
    <w:rsid w:val="0074553A"/>
    <w:rsid w:val="00745E52"/>
    <w:rsid w:val="007472FB"/>
    <w:rsid w:val="00753305"/>
    <w:rsid w:val="00753F94"/>
    <w:rsid w:val="00755924"/>
    <w:rsid w:val="00755A6D"/>
    <w:rsid w:val="007573EB"/>
    <w:rsid w:val="00761CA4"/>
    <w:rsid w:val="00762E3F"/>
    <w:rsid w:val="00764015"/>
    <w:rsid w:val="00766B94"/>
    <w:rsid w:val="00767380"/>
    <w:rsid w:val="00770BC0"/>
    <w:rsid w:val="0077101F"/>
    <w:rsid w:val="0077175A"/>
    <w:rsid w:val="007718D1"/>
    <w:rsid w:val="00771B16"/>
    <w:rsid w:val="00774F2B"/>
    <w:rsid w:val="007760D0"/>
    <w:rsid w:val="0077696A"/>
    <w:rsid w:val="007803F7"/>
    <w:rsid w:val="00780AF7"/>
    <w:rsid w:val="00783489"/>
    <w:rsid w:val="00785DD3"/>
    <w:rsid w:val="007862F5"/>
    <w:rsid w:val="0078663F"/>
    <w:rsid w:val="007925CC"/>
    <w:rsid w:val="00792E90"/>
    <w:rsid w:val="007935B0"/>
    <w:rsid w:val="00793CD3"/>
    <w:rsid w:val="00794834"/>
    <w:rsid w:val="00795247"/>
    <w:rsid w:val="0079581B"/>
    <w:rsid w:val="00796096"/>
    <w:rsid w:val="00796FCB"/>
    <w:rsid w:val="007977C4"/>
    <w:rsid w:val="007A096C"/>
    <w:rsid w:val="007A35C3"/>
    <w:rsid w:val="007A4E4C"/>
    <w:rsid w:val="007A522A"/>
    <w:rsid w:val="007A7398"/>
    <w:rsid w:val="007B0455"/>
    <w:rsid w:val="007B0E58"/>
    <w:rsid w:val="007B234D"/>
    <w:rsid w:val="007B27CE"/>
    <w:rsid w:val="007B3431"/>
    <w:rsid w:val="007B3D28"/>
    <w:rsid w:val="007B40F5"/>
    <w:rsid w:val="007B7733"/>
    <w:rsid w:val="007C0D49"/>
    <w:rsid w:val="007C11F2"/>
    <w:rsid w:val="007C7042"/>
    <w:rsid w:val="007D0E43"/>
    <w:rsid w:val="007D2F0F"/>
    <w:rsid w:val="007D2F42"/>
    <w:rsid w:val="007D3102"/>
    <w:rsid w:val="007D3B25"/>
    <w:rsid w:val="007D414D"/>
    <w:rsid w:val="007D4F54"/>
    <w:rsid w:val="007D7074"/>
    <w:rsid w:val="007E1D1A"/>
    <w:rsid w:val="007E262C"/>
    <w:rsid w:val="007F107B"/>
    <w:rsid w:val="007F170D"/>
    <w:rsid w:val="007F408A"/>
    <w:rsid w:val="007F50DD"/>
    <w:rsid w:val="007F5562"/>
    <w:rsid w:val="00802DB7"/>
    <w:rsid w:val="008062A5"/>
    <w:rsid w:val="00807B28"/>
    <w:rsid w:val="00811118"/>
    <w:rsid w:val="00814C73"/>
    <w:rsid w:val="008212E7"/>
    <w:rsid w:val="00821E6D"/>
    <w:rsid w:val="008231EF"/>
    <w:rsid w:val="00823B5F"/>
    <w:rsid w:val="00823E8E"/>
    <w:rsid w:val="00825077"/>
    <w:rsid w:val="0082551C"/>
    <w:rsid w:val="00831046"/>
    <w:rsid w:val="00831BDA"/>
    <w:rsid w:val="0083402B"/>
    <w:rsid w:val="0083774B"/>
    <w:rsid w:val="00840285"/>
    <w:rsid w:val="00840CDC"/>
    <w:rsid w:val="00841415"/>
    <w:rsid w:val="0084565B"/>
    <w:rsid w:val="00846658"/>
    <w:rsid w:val="00847782"/>
    <w:rsid w:val="00850AFE"/>
    <w:rsid w:val="00852B99"/>
    <w:rsid w:val="00855010"/>
    <w:rsid w:val="00855AA6"/>
    <w:rsid w:val="00855B71"/>
    <w:rsid w:val="00855C7D"/>
    <w:rsid w:val="0085720D"/>
    <w:rsid w:val="008579FD"/>
    <w:rsid w:val="00857C2E"/>
    <w:rsid w:val="00860006"/>
    <w:rsid w:val="008622B3"/>
    <w:rsid w:val="00862429"/>
    <w:rsid w:val="00862F6E"/>
    <w:rsid w:val="00863ABC"/>
    <w:rsid w:val="00864FA0"/>
    <w:rsid w:val="00866C81"/>
    <w:rsid w:val="008709E6"/>
    <w:rsid w:val="00870CFD"/>
    <w:rsid w:val="008740AE"/>
    <w:rsid w:val="00877486"/>
    <w:rsid w:val="008800C6"/>
    <w:rsid w:val="00882DF8"/>
    <w:rsid w:val="0088492F"/>
    <w:rsid w:val="008879EF"/>
    <w:rsid w:val="00887A32"/>
    <w:rsid w:val="0089140E"/>
    <w:rsid w:val="00891EC9"/>
    <w:rsid w:val="008926D5"/>
    <w:rsid w:val="0089288A"/>
    <w:rsid w:val="00893909"/>
    <w:rsid w:val="00894717"/>
    <w:rsid w:val="008955CD"/>
    <w:rsid w:val="008A0055"/>
    <w:rsid w:val="008A07DF"/>
    <w:rsid w:val="008A20A2"/>
    <w:rsid w:val="008A7530"/>
    <w:rsid w:val="008A79CD"/>
    <w:rsid w:val="008A7C9E"/>
    <w:rsid w:val="008B1D6B"/>
    <w:rsid w:val="008B2841"/>
    <w:rsid w:val="008B2FC9"/>
    <w:rsid w:val="008B3537"/>
    <w:rsid w:val="008B3D3F"/>
    <w:rsid w:val="008B523F"/>
    <w:rsid w:val="008B647A"/>
    <w:rsid w:val="008C0933"/>
    <w:rsid w:val="008C25C8"/>
    <w:rsid w:val="008C2962"/>
    <w:rsid w:val="008C2F86"/>
    <w:rsid w:val="008C38B8"/>
    <w:rsid w:val="008C5677"/>
    <w:rsid w:val="008C71ED"/>
    <w:rsid w:val="008D0586"/>
    <w:rsid w:val="008D14AD"/>
    <w:rsid w:val="008D31AC"/>
    <w:rsid w:val="008D3778"/>
    <w:rsid w:val="008D6661"/>
    <w:rsid w:val="008E0BE7"/>
    <w:rsid w:val="008E1C2B"/>
    <w:rsid w:val="008E3321"/>
    <w:rsid w:val="008E3FAA"/>
    <w:rsid w:val="008E3FD0"/>
    <w:rsid w:val="008E5942"/>
    <w:rsid w:val="008E7D3D"/>
    <w:rsid w:val="008F2237"/>
    <w:rsid w:val="008F24C6"/>
    <w:rsid w:val="008F55EA"/>
    <w:rsid w:val="008F6E82"/>
    <w:rsid w:val="008F7D58"/>
    <w:rsid w:val="00900222"/>
    <w:rsid w:val="00900D68"/>
    <w:rsid w:val="0090354F"/>
    <w:rsid w:val="00903A26"/>
    <w:rsid w:val="00906CD8"/>
    <w:rsid w:val="009075C4"/>
    <w:rsid w:val="00911855"/>
    <w:rsid w:val="009129F2"/>
    <w:rsid w:val="00912CAA"/>
    <w:rsid w:val="009142BB"/>
    <w:rsid w:val="009168AF"/>
    <w:rsid w:val="009177BB"/>
    <w:rsid w:val="00920E41"/>
    <w:rsid w:val="00921204"/>
    <w:rsid w:val="00921601"/>
    <w:rsid w:val="009232E9"/>
    <w:rsid w:val="0092642F"/>
    <w:rsid w:val="00926E88"/>
    <w:rsid w:val="00927352"/>
    <w:rsid w:val="009303D7"/>
    <w:rsid w:val="00932726"/>
    <w:rsid w:val="0093606E"/>
    <w:rsid w:val="009408A9"/>
    <w:rsid w:val="00943C0C"/>
    <w:rsid w:val="00944925"/>
    <w:rsid w:val="00944AAC"/>
    <w:rsid w:val="009459A0"/>
    <w:rsid w:val="0094660D"/>
    <w:rsid w:val="0094673D"/>
    <w:rsid w:val="00951D2A"/>
    <w:rsid w:val="00953111"/>
    <w:rsid w:val="00955E8A"/>
    <w:rsid w:val="00956489"/>
    <w:rsid w:val="00957B16"/>
    <w:rsid w:val="00960F92"/>
    <w:rsid w:val="00964783"/>
    <w:rsid w:val="00964FDC"/>
    <w:rsid w:val="009659E4"/>
    <w:rsid w:val="00965B45"/>
    <w:rsid w:val="00966468"/>
    <w:rsid w:val="00971B6B"/>
    <w:rsid w:val="00976863"/>
    <w:rsid w:val="0098004D"/>
    <w:rsid w:val="00980114"/>
    <w:rsid w:val="00980403"/>
    <w:rsid w:val="009847FC"/>
    <w:rsid w:val="009867B2"/>
    <w:rsid w:val="00993F54"/>
    <w:rsid w:val="009961B2"/>
    <w:rsid w:val="009A0558"/>
    <w:rsid w:val="009A0FF0"/>
    <w:rsid w:val="009A2FC6"/>
    <w:rsid w:val="009A317D"/>
    <w:rsid w:val="009A477A"/>
    <w:rsid w:val="009A55D8"/>
    <w:rsid w:val="009A629B"/>
    <w:rsid w:val="009B20B2"/>
    <w:rsid w:val="009B3ACE"/>
    <w:rsid w:val="009B3D53"/>
    <w:rsid w:val="009B45F4"/>
    <w:rsid w:val="009B5846"/>
    <w:rsid w:val="009B7695"/>
    <w:rsid w:val="009B7E38"/>
    <w:rsid w:val="009B7E88"/>
    <w:rsid w:val="009C17D4"/>
    <w:rsid w:val="009C1C09"/>
    <w:rsid w:val="009C7254"/>
    <w:rsid w:val="009C7DBA"/>
    <w:rsid w:val="009C7F12"/>
    <w:rsid w:val="009D1404"/>
    <w:rsid w:val="009D1536"/>
    <w:rsid w:val="009D1ABE"/>
    <w:rsid w:val="009D2D99"/>
    <w:rsid w:val="009D43A1"/>
    <w:rsid w:val="009D4B30"/>
    <w:rsid w:val="009D5964"/>
    <w:rsid w:val="009E05FB"/>
    <w:rsid w:val="009E2EB0"/>
    <w:rsid w:val="009E3B13"/>
    <w:rsid w:val="009E45A6"/>
    <w:rsid w:val="009E4C27"/>
    <w:rsid w:val="009E5F5B"/>
    <w:rsid w:val="009E6409"/>
    <w:rsid w:val="009E7BCC"/>
    <w:rsid w:val="009F0CD9"/>
    <w:rsid w:val="009F10F1"/>
    <w:rsid w:val="009F6454"/>
    <w:rsid w:val="00A01B84"/>
    <w:rsid w:val="00A01EE1"/>
    <w:rsid w:val="00A02421"/>
    <w:rsid w:val="00A0340A"/>
    <w:rsid w:val="00A04FFD"/>
    <w:rsid w:val="00A10A16"/>
    <w:rsid w:val="00A113F2"/>
    <w:rsid w:val="00A12E8B"/>
    <w:rsid w:val="00A2426E"/>
    <w:rsid w:val="00A26ECB"/>
    <w:rsid w:val="00A270F6"/>
    <w:rsid w:val="00A3107C"/>
    <w:rsid w:val="00A31EDE"/>
    <w:rsid w:val="00A32460"/>
    <w:rsid w:val="00A32D7B"/>
    <w:rsid w:val="00A3317A"/>
    <w:rsid w:val="00A335AA"/>
    <w:rsid w:val="00A33885"/>
    <w:rsid w:val="00A36D7A"/>
    <w:rsid w:val="00A376AD"/>
    <w:rsid w:val="00A40710"/>
    <w:rsid w:val="00A41103"/>
    <w:rsid w:val="00A4137D"/>
    <w:rsid w:val="00A41716"/>
    <w:rsid w:val="00A41EB0"/>
    <w:rsid w:val="00A43504"/>
    <w:rsid w:val="00A44E77"/>
    <w:rsid w:val="00A4564B"/>
    <w:rsid w:val="00A4639D"/>
    <w:rsid w:val="00A46AE4"/>
    <w:rsid w:val="00A520FE"/>
    <w:rsid w:val="00A52F64"/>
    <w:rsid w:val="00A564AE"/>
    <w:rsid w:val="00A60A5A"/>
    <w:rsid w:val="00A62464"/>
    <w:rsid w:val="00A62887"/>
    <w:rsid w:val="00A63DCB"/>
    <w:rsid w:val="00A64EF2"/>
    <w:rsid w:val="00A67788"/>
    <w:rsid w:val="00A7057D"/>
    <w:rsid w:val="00A71A73"/>
    <w:rsid w:val="00A72130"/>
    <w:rsid w:val="00A74048"/>
    <w:rsid w:val="00A74697"/>
    <w:rsid w:val="00A74ED9"/>
    <w:rsid w:val="00A76455"/>
    <w:rsid w:val="00A76ABC"/>
    <w:rsid w:val="00A77A81"/>
    <w:rsid w:val="00A81DD7"/>
    <w:rsid w:val="00A84FD6"/>
    <w:rsid w:val="00A90A92"/>
    <w:rsid w:val="00A91B6A"/>
    <w:rsid w:val="00A93397"/>
    <w:rsid w:val="00A9519D"/>
    <w:rsid w:val="00A952C4"/>
    <w:rsid w:val="00AA14F4"/>
    <w:rsid w:val="00AA2313"/>
    <w:rsid w:val="00AA3B47"/>
    <w:rsid w:val="00AA7BFE"/>
    <w:rsid w:val="00AB1A23"/>
    <w:rsid w:val="00AB258E"/>
    <w:rsid w:val="00AB274D"/>
    <w:rsid w:val="00AB317F"/>
    <w:rsid w:val="00AB65F7"/>
    <w:rsid w:val="00AC20C3"/>
    <w:rsid w:val="00AC2669"/>
    <w:rsid w:val="00AC3107"/>
    <w:rsid w:val="00AC546A"/>
    <w:rsid w:val="00AC6163"/>
    <w:rsid w:val="00AC6353"/>
    <w:rsid w:val="00AC7AAE"/>
    <w:rsid w:val="00AD0060"/>
    <w:rsid w:val="00AD184C"/>
    <w:rsid w:val="00AD1E9E"/>
    <w:rsid w:val="00AD1ECD"/>
    <w:rsid w:val="00AD5160"/>
    <w:rsid w:val="00AD5EBC"/>
    <w:rsid w:val="00AD6269"/>
    <w:rsid w:val="00AD70AE"/>
    <w:rsid w:val="00AD718C"/>
    <w:rsid w:val="00AD7AD8"/>
    <w:rsid w:val="00AE06BF"/>
    <w:rsid w:val="00AE14EC"/>
    <w:rsid w:val="00AE1BBA"/>
    <w:rsid w:val="00AE2CD6"/>
    <w:rsid w:val="00AE52B0"/>
    <w:rsid w:val="00AE55AB"/>
    <w:rsid w:val="00AE5A26"/>
    <w:rsid w:val="00AE6929"/>
    <w:rsid w:val="00AF031A"/>
    <w:rsid w:val="00AF0E98"/>
    <w:rsid w:val="00AF1F7A"/>
    <w:rsid w:val="00AF4B26"/>
    <w:rsid w:val="00AF5487"/>
    <w:rsid w:val="00AF7B17"/>
    <w:rsid w:val="00B00BB8"/>
    <w:rsid w:val="00B02348"/>
    <w:rsid w:val="00B04944"/>
    <w:rsid w:val="00B060E3"/>
    <w:rsid w:val="00B10963"/>
    <w:rsid w:val="00B1257A"/>
    <w:rsid w:val="00B12D14"/>
    <w:rsid w:val="00B1358A"/>
    <w:rsid w:val="00B1425A"/>
    <w:rsid w:val="00B14E45"/>
    <w:rsid w:val="00B16E08"/>
    <w:rsid w:val="00B17455"/>
    <w:rsid w:val="00B21F02"/>
    <w:rsid w:val="00B242CB"/>
    <w:rsid w:val="00B250FE"/>
    <w:rsid w:val="00B26B49"/>
    <w:rsid w:val="00B32014"/>
    <w:rsid w:val="00B32463"/>
    <w:rsid w:val="00B33205"/>
    <w:rsid w:val="00B33913"/>
    <w:rsid w:val="00B33DFA"/>
    <w:rsid w:val="00B45105"/>
    <w:rsid w:val="00B451A9"/>
    <w:rsid w:val="00B46698"/>
    <w:rsid w:val="00B475B3"/>
    <w:rsid w:val="00B54C4B"/>
    <w:rsid w:val="00B641D0"/>
    <w:rsid w:val="00B648E0"/>
    <w:rsid w:val="00B6536F"/>
    <w:rsid w:val="00B65E64"/>
    <w:rsid w:val="00B67496"/>
    <w:rsid w:val="00B702BF"/>
    <w:rsid w:val="00B709E5"/>
    <w:rsid w:val="00B75A1D"/>
    <w:rsid w:val="00B8109D"/>
    <w:rsid w:val="00B8179B"/>
    <w:rsid w:val="00B84329"/>
    <w:rsid w:val="00B846A3"/>
    <w:rsid w:val="00B90ABB"/>
    <w:rsid w:val="00B912E0"/>
    <w:rsid w:val="00B9268E"/>
    <w:rsid w:val="00B934A0"/>
    <w:rsid w:val="00B94B9A"/>
    <w:rsid w:val="00B959B9"/>
    <w:rsid w:val="00B95A0D"/>
    <w:rsid w:val="00B974E8"/>
    <w:rsid w:val="00B9764D"/>
    <w:rsid w:val="00BA12F5"/>
    <w:rsid w:val="00BA1424"/>
    <w:rsid w:val="00BA1A8A"/>
    <w:rsid w:val="00BA2256"/>
    <w:rsid w:val="00BA2B4C"/>
    <w:rsid w:val="00BA3F2D"/>
    <w:rsid w:val="00BA451B"/>
    <w:rsid w:val="00BA5199"/>
    <w:rsid w:val="00BB0266"/>
    <w:rsid w:val="00BB0838"/>
    <w:rsid w:val="00BB2183"/>
    <w:rsid w:val="00BB411B"/>
    <w:rsid w:val="00BB46A0"/>
    <w:rsid w:val="00BB52A9"/>
    <w:rsid w:val="00BB7122"/>
    <w:rsid w:val="00BC031E"/>
    <w:rsid w:val="00BC03E2"/>
    <w:rsid w:val="00BC06F6"/>
    <w:rsid w:val="00BC088F"/>
    <w:rsid w:val="00BC1D31"/>
    <w:rsid w:val="00BC1F8A"/>
    <w:rsid w:val="00BC27D4"/>
    <w:rsid w:val="00BC41A0"/>
    <w:rsid w:val="00BC61C7"/>
    <w:rsid w:val="00BD0091"/>
    <w:rsid w:val="00BD06A6"/>
    <w:rsid w:val="00BD3ACE"/>
    <w:rsid w:val="00BD3AEA"/>
    <w:rsid w:val="00BD6C74"/>
    <w:rsid w:val="00BE1EEE"/>
    <w:rsid w:val="00BE3466"/>
    <w:rsid w:val="00BE735C"/>
    <w:rsid w:val="00BF0878"/>
    <w:rsid w:val="00BF3358"/>
    <w:rsid w:val="00BF3FD0"/>
    <w:rsid w:val="00BF5690"/>
    <w:rsid w:val="00BF639B"/>
    <w:rsid w:val="00C0104E"/>
    <w:rsid w:val="00C019C4"/>
    <w:rsid w:val="00C01C64"/>
    <w:rsid w:val="00C02937"/>
    <w:rsid w:val="00C0323E"/>
    <w:rsid w:val="00C036F7"/>
    <w:rsid w:val="00C03E5B"/>
    <w:rsid w:val="00C04058"/>
    <w:rsid w:val="00C056F0"/>
    <w:rsid w:val="00C06B27"/>
    <w:rsid w:val="00C076C1"/>
    <w:rsid w:val="00C10877"/>
    <w:rsid w:val="00C109A9"/>
    <w:rsid w:val="00C12155"/>
    <w:rsid w:val="00C13153"/>
    <w:rsid w:val="00C142A5"/>
    <w:rsid w:val="00C16FA2"/>
    <w:rsid w:val="00C23D81"/>
    <w:rsid w:val="00C24E33"/>
    <w:rsid w:val="00C27945"/>
    <w:rsid w:val="00C30349"/>
    <w:rsid w:val="00C31D81"/>
    <w:rsid w:val="00C352EA"/>
    <w:rsid w:val="00C3644D"/>
    <w:rsid w:val="00C36C66"/>
    <w:rsid w:val="00C40D49"/>
    <w:rsid w:val="00C42100"/>
    <w:rsid w:val="00C427EC"/>
    <w:rsid w:val="00C43515"/>
    <w:rsid w:val="00C44450"/>
    <w:rsid w:val="00C44893"/>
    <w:rsid w:val="00C44E1B"/>
    <w:rsid w:val="00C45C0E"/>
    <w:rsid w:val="00C4740B"/>
    <w:rsid w:val="00C4763B"/>
    <w:rsid w:val="00C53E54"/>
    <w:rsid w:val="00C5555E"/>
    <w:rsid w:val="00C5670F"/>
    <w:rsid w:val="00C60001"/>
    <w:rsid w:val="00C603DE"/>
    <w:rsid w:val="00C605E1"/>
    <w:rsid w:val="00C610D5"/>
    <w:rsid w:val="00C61742"/>
    <w:rsid w:val="00C61D2C"/>
    <w:rsid w:val="00C62383"/>
    <w:rsid w:val="00C63CB5"/>
    <w:rsid w:val="00C6485D"/>
    <w:rsid w:val="00C64E15"/>
    <w:rsid w:val="00C672A3"/>
    <w:rsid w:val="00C70410"/>
    <w:rsid w:val="00C70B06"/>
    <w:rsid w:val="00C715B9"/>
    <w:rsid w:val="00C763F3"/>
    <w:rsid w:val="00C802CE"/>
    <w:rsid w:val="00C81734"/>
    <w:rsid w:val="00C81AF7"/>
    <w:rsid w:val="00C83124"/>
    <w:rsid w:val="00C839F2"/>
    <w:rsid w:val="00C845E9"/>
    <w:rsid w:val="00C8468B"/>
    <w:rsid w:val="00C865E5"/>
    <w:rsid w:val="00C86C9F"/>
    <w:rsid w:val="00C9376A"/>
    <w:rsid w:val="00C939FC"/>
    <w:rsid w:val="00C9502D"/>
    <w:rsid w:val="00C97908"/>
    <w:rsid w:val="00CA0B6A"/>
    <w:rsid w:val="00CA0E12"/>
    <w:rsid w:val="00CA1EC3"/>
    <w:rsid w:val="00CA318C"/>
    <w:rsid w:val="00CA577E"/>
    <w:rsid w:val="00CA5BD0"/>
    <w:rsid w:val="00CA6505"/>
    <w:rsid w:val="00CA7227"/>
    <w:rsid w:val="00CB1DE3"/>
    <w:rsid w:val="00CB34B6"/>
    <w:rsid w:val="00CB38D9"/>
    <w:rsid w:val="00CB4EB8"/>
    <w:rsid w:val="00CB588D"/>
    <w:rsid w:val="00CB6909"/>
    <w:rsid w:val="00CB7D42"/>
    <w:rsid w:val="00CC37DB"/>
    <w:rsid w:val="00CC6D8D"/>
    <w:rsid w:val="00CC795E"/>
    <w:rsid w:val="00CD0289"/>
    <w:rsid w:val="00CD24B3"/>
    <w:rsid w:val="00CD3809"/>
    <w:rsid w:val="00CD4ACC"/>
    <w:rsid w:val="00CE2E7F"/>
    <w:rsid w:val="00CE5FFB"/>
    <w:rsid w:val="00CE6836"/>
    <w:rsid w:val="00CF1AB3"/>
    <w:rsid w:val="00CF1F92"/>
    <w:rsid w:val="00CF2A78"/>
    <w:rsid w:val="00CF3243"/>
    <w:rsid w:val="00CF44F8"/>
    <w:rsid w:val="00D002DE"/>
    <w:rsid w:val="00D0442B"/>
    <w:rsid w:val="00D049F0"/>
    <w:rsid w:val="00D06403"/>
    <w:rsid w:val="00D06815"/>
    <w:rsid w:val="00D11F7F"/>
    <w:rsid w:val="00D22FC6"/>
    <w:rsid w:val="00D2510B"/>
    <w:rsid w:val="00D25E27"/>
    <w:rsid w:val="00D305B5"/>
    <w:rsid w:val="00D32900"/>
    <w:rsid w:val="00D34EC4"/>
    <w:rsid w:val="00D400D8"/>
    <w:rsid w:val="00D408CC"/>
    <w:rsid w:val="00D409BD"/>
    <w:rsid w:val="00D40D05"/>
    <w:rsid w:val="00D40DB9"/>
    <w:rsid w:val="00D41B44"/>
    <w:rsid w:val="00D42D8D"/>
    <w:rsid w:val="00D43B84"/>
    <w:rsid w:val="00D4588E"/>
    <w:rsid w:val="00D45DE4"/>
    <w:rsid w:val="00D477F0"/>
    <w:rsid w:val="00D50156"/>
    <w:rsid w:val="00D50BAD"/>
    <w:rsid w:val="00D50DD7"/>
    <w:rsid w:val="00D5167B"/>
    <w:rsid w:val="00D51AFF"/>
    <w:rsid w:val="00D53F49"/>
    <w:rsid w:val="00D561D6"/>
    <w:rsid w:val="00D671C7"/>
    <w:rsid w:val="00D672BA"/>
    <w:rsid w:val="00D6768B"/>
    <w:rsid w:val="00D67CAA"/>
    <w:rsid w:val="00D70D16"/>
    <w:rsid w:val="00D72F49"/>
    <w:rsid w:val="00D7550F"/>
    <w:rsid w:val="00D80ACE"/>
    <w:rsid w:val="00D816A5"/>
    <w:rsid w:val="00D816D3"/>
    <w:rsid w:val="00D82850"/>
    <w:rsid w:val="00D84CB7"/>
    <w:rsid w:val="00D86288"/>
    <w:rsid w:val="00D91255"/>
    <w:rsid w:val="00D93DA6"/>
    <w:rsid w:val="00D942F3"/>
    <w:rsid w:val="00D94690"/>
    <w:rsid w:val="00D94C11"/>
    <w:rsid w:val="00D958D2"/>
    <w:rsid w:val="00D97365"/>
    <w:rsid w:val="00D97E90"/>
    <w:rsid w:val="00DA080F"/>
    <w:rsid w:val="00DA15E2"/>
    <w:rsid w:val="00DA1DE9"/>
    <w:rsid w:val="00DA2BE1"/>
    <w:rsid w:val="00DA50CD"/>
    <w:rsid w:val="00DA59D4"/>
    <w:rsid w:val="00DA7880"/>
    <w:rsid w:val="00DA7C58"/>
    <w:rsid w:val="00DB27BA"/>
    <w:rsid w:val="00DB376F"/>
    <w:rsid w:val="00DB4F52"/>
    <w:rsid w:val="00DB511E"/>
    <w:rsid w:val="00DB5C30"/>
    <w:rsid w:val="00DB676C"/>
    <w:rsid w:val="00DC08E9"/>
    <w:rsid w:val="00DC0A63"/>
    <w:rsid w:val="00DC5217"/>
    <w:rsid w:val="00DC760B"/>
    <w:rsid w:val="00DD0D78"/>
    <w:rsid w:val="00DD136D"/>
    <w:rsid w:val="00DD29BF"/>
    <w:rsid w:val="00DD2F98"/>
    <w:rsid w:val="00DD514A"/>
    <w:rsid w:val="00DD7CC3"/>
    <w:rsid w:val="00DE0B05"/>
    <w:rsid w:val="00DE2BD6"/>
    <w:rsid w:val="00DE415F"/>
    <w:rsid w:val="00DE68D8"/>
    <w:rsid w:val="00DE7636"/>
    <w:rsid w:val="00DE7E61"/>
    <w:rsid w:val="00DF069F"/>
    <w:rsid w:val="00DF1FFD"/>
    <w:rsid w:val="00DF5156"/>
    <w:rsid w:val="00DF5B20"/>
    <w:rsid w:val="00DF6239"/>
    <w:rsid w:val="00DF62D2"/>
    <w:rsid w:val="00DF7859"/>
    <w:rsid w:val="00E00C83"/>
    <w:rsid w:val="00E016C3"/>
    <w:rsid w:val="00E016E9"/>
    <w:rsid w:val="00E01A5E"/>
    <w:rsid w:val="00E01DAD"/>
    <w:rsid w:val="00E02E8F"/>
    <w:rsid w:val="00E03557"/>
    <w:rsid w:val="00E041DB"/>
    <w:rsid w:val="00E05A81"/>
    <w:rsid w:val="00E131D1"/>
    <w:rsid w:val="00E133E2"/>
    <w:rsid w:val="00E150D6"/>
    <w:rsid w:val="00E16960"/>
    <w:rsid w:val="00E16A67"/>
    <w:rsid w:val="00E20024"/>
    <w:rsid w:val="00E203FE"/>
    <w:rsid w:val="00E223A9"/>
    <w:rsid w:val="00E232FF"/>
    <w:rsid w:val="00E254A6"/>
    <w:rsid w:val="00E27939"/>
    <w:rsid w:val="00E27E41"/>
    <w:rsid w:val="00E30326"/>
    <w:rsid w:val="00E34BBF"/>
    <w:rsid w:val="00E35418"/>
    <w:rsid w:val="00E36F50"/>
    <w:rsid w:val="00E420CB"/>
    <w:rsid w:val="00E42DE4"/>
    <w:rsid w:val="00E457E2"/>
    <w:rsid w:val="00E50C94"/>
    <w:rsid w:val="00E519A0"/>
    <w:rsid w:val="00E5257C"/>
    <w:rsid w:val="00E52625"/>
    <w:rsid w:val="00E52824"/>
    <w:rsid w:val="00E52D35"/>
    <w:rsid w:val="00E5305A"/>
    <w:rsid w:val="00E53076"/>
    <w:rsid w:val="00E56EB3"/>
    <w:rsid w:val="00E628BB"/>
    <w:rsid w:val="00E62B7F"/>
    <w:rsid w:val="00E703A4"/>
    <w:rsid w:val="00E740F5"/>
    <w:rsid w:val="00E75037"/>
    <w:rsid w:val="00E77DE2"/>
    <w:rsid w:val="00E809A7"/>
    <w:rsid w:val="00E81473"/>
    <w:rsid w:val="00E8158D"/>
    <w:rsid w:val="00E85AB7"/>
    <w:rsid w:val="00E861AE"/>
    <w:rsid w:val="00E86A5D"/>
    <w:rsid w:val="00E86AE9"/>
    <w:rsid w:val="00E87EFE"/>
    <w:rsid w:val="00E908D6"/>
    <w:rsid w:val="00E93343"/>
    <w:rsid w:val="00E95565"/>
    <w:rsid w:val="00E9645A"/>
    <w:rsid w:val="00E9664D"/>
    <w:rsid w:val="00EA1377"/>
    <w:rsid w:val="00EA4AEB"/>
    <w:rsid w:val="00EA4E00"/>
    <w:rsid w:val="00EA51DE"/>
    <w:rsid w:val="00EA550F"/>
    <w:rsid w:val="00EA6BD4"/>
    <w:rsid w:val="00EA6E19"/>
    <w:rsid w:val="00EA6FA7"/>
    <w:rsid w:val="00EB000D"/>
    <w:rsid w:val="00EB15F0"/>
    <w:rsid w:val="00EB22C2"/>
    <w:rsid w:val="00EB2D68"/>
    <w:rsid w:val="00EB477F"/>
    <w:rsid w:val="00EB5397"/>
    <w:rsid w:val="00EB56CA"/>
    <w:rsid w:val="00EB6D19"/>
    <w:rsid w:val="00EB6E6A"/>
    <w:rsid w:val="00EB7790"/>
    <w:rsid w:val="00EC00CA"/>
    <w:rsid w:val="00EC2769"/>
    <w:rsid w:val="00EC4AAC"/>
    <w:rsid w:val="00EC6955"/>
    <w:rsid w:val="00EC7452"/>
    <w:rsid w:val="00EC7759"/>
    <w:rsid w:val="00EC784D"/>
    <w:rsid w:val="00ED4081"/>
    <w:rsid w:val="00ED5BA8"/>
    <w:rsid w:val="00ED685E"/>
    <w:rsid w:val="00EE17F6"/>
    <w:rsid w:val="00EE4C55"/>
    <w:rsid w:val="00EF23EE"/>
    <w:rsid w:val="00EF32A4"/>
    <w:rsid w:val="00EF37D8"/>
    <w:rsid w:val="00EF39B8"/>
    <w:rsid w:val="00EF3E94"/>
    <w:rsid w:val="00EF4857"/>
    <w:rsid w:val="00EF591D"/>
    <w:rsid w:val="00F006D4"/>
    <w:rsid w:val="00F01F9E"/>
    <w:rsid w:val="00F02A93"/>
    <w:rsid w:val="00F02C4B"/>
    <w:rsid w:val="00F03019"/>
    <w:rsid w:val="00F104F7"/>
    <w:rsid w:val="00F127BF"/>
    <w:rsid w:val="00F1377C"/>
    <w:rsid w:val="00F13B70"/>
    <w:rsid w:val="00F150E2"/>
    <w:rsid w:val="00F154A1"/>
    <w:rsid w:val="00F20899"/>
    <w:rsid w:val="00F208FE"/>
    <w:rsid w:val="00F226EE"/>
    <w:rsid w:val="00F303CD"/>
    <w:rsid w:val="00F31F9C"/>
    <w:rsid w:val="00F3586C"/>
    <w:rsid w:val="00F35C9D"/>
    <w:rsid w:val="00F36239"/>
    <w:rsid w:val="00F36A80"/>
    <w:rsid w:val="00F36F66"/>
    <w:rsid w:val="00F412E9"/>
    <w:rsid w:val="00F41AE8"/>
    <w:rsid w:val="00F4765B"/>
    <w:rsid w:val="00F557F9"/>
    <w:rsid w:val="00F55CF9"/>
    <w:rsid w:val="00F57B8B"/>
    <w:rsid w:val="00F60788"/>
    <w:rsid w:val="00F60EB3"/>
    <w:rsid w:val="00F61A99"/>
    <w:rsid w:val="00F627E9"/>
    <w:rsid w:val="00F65790"/>
    <w:rsid w:val="00F66092"/>
    <w:rsid w:val="00F67057"/>
    <w:rsid w:val="00F6762E"/>
    <w:rsid w:val="00F67991"/>
    <w:rsid w:val="00F72643"/>
    <w:rsid w:val="00F731D9"/>
    <w:rsid w:val="00F736E6"/>
    <w:rsid w:val="00F739BA"/>
    <w:rsid w:val="00F801EF"/>
    <w:rsid w:val="00F80F4D"/>
    <w:rsid w:val="00F82906"/>
    <w:rsid w:val="00F829C9"/>
    <w:rsid w:val="00F82A63"/>
    <w:rsid w:val="00F853C7"/>
    <w:rsid w:val="00F85DA5"/>
    <w:rsid w:val="00F86921"/>
    <w:rsid w:val="00F873DF"/>
    <w:rsid w:val="00F91DFD"/>
    <w:rsid w:val="00F94445"/>
    <w:rsid w:val="00F9463E"/>
    <w:rsid w:val="00F95800"/>
    <w:rsid w:val="00F96940"/>
    <w:rsid w:val="00FA1AF9"/>
    <w:rsid w:val="00FA1B01"/>
    <w:rsid w:val="00FA3944"/>
    <w:rsid w:val="00FA57E6"/>
    <w:rsid w:val="00FA6F95"/>
    <w:rsid w:val="00FB211F"/>
    <w:rsid w:val="00FB2166"/>
    <w:rsid w:val="00FB2E91"/>
    <w:rsid w:val="00FB4AA1"/>
    <w:rsid w:val="00FB74A7"/>
    <w:rsid w:val="00FC06F1"/>
    <w:rsid w:val="00FC1B22"/>
    <w:rsid w:val="00FC253A"/>
    <w:rsid w:val="00FC4278"/>
    <w:rsid w:val="00FC7293"/>
    <w:rsid w:val="00FC73A2"/>
    <w:rsid w:val="00FC7889"/>
    <w:rsid w:val="00FC7ACB"/>
    <w:rsid w:val="00FD2B48"/>
    <w:rsid w:val="00FD327B"/>
    <w:rsid w:val="00FD3AA0"/>
    <w:rsid w:val="00FE14EC"/>
    <w:rsid w:val="00FE2B0B"/>
    <w:rsid w:val="00FE661B"/>
    <w:rsid w:val="00FF4AC9"/>
    <w:rsid w:val="00FF55C6"/>
    <w:rsid w:val="00FF5D07"/>
    <w:rsid w:val="00FF623F"/>
    <w:rsid w:val="00FF69D2"/>
    <w:rsid w:val="06BC44D0"/>
    <w:rsid w:val="10B22E10"/>
    <w:rsid w:val="11786E85"/>
    <w:rsid w:val="163569C7"/>
    <w:rsid w:val="17584A58"/>
    <w:rsid w:val="19E22AE5"/>
    <w:rsid w:val="1B06695A"/>
    <w:rsid w:val="1B332E78"/>
    <w:rsid w:val="1C484A24"/>
    <w:rsid w:val="208347A8"/>
    <w:rsid w:val="28BD02F2"/>
    <w:rsid w:val="2A1D6284"/>
    <w:rsid w:val="2BC55E6F"/>
    <w:rsid w:val="2CAF4F76"/>
    <w:rsid w:val="2CCC3747"/>
    <w:rsid w:val="2E1463E3"/>
    <w:rsid w:val="2E1A33C9"/>
    <w:rsid w:val="367242AF"/>
    <w:rsid w:val="36E937F9"/>
    <w:rsid w:val="38A8687B"/>
    <w:rsid w:val="3C3C053C"/>
    <w:rsid w:val="3F0E3630"/>
    <w:rsid w:val="42D87998"/>
    <w:rsid w:val="47B42530"/>
    <w:rsid w:val="4ABE3B18"/>
    <w:rsid w:val="4E105DDD"/>
    <w:rsid w:val="4F3D40CE"/>
    <w:rsid w:val="58613B6F"/>
    <w:rsid w:val="5A3D4747"/>
    <w:rsid w:val="60F05E9F"/>
    <w:rsid w:val="65CC1CE7"/>
    <w:rsid w:val="6C66182D"/>
    <w:rsid w:val="743C27BF"/>
    <w:rsid w:val="74CC43AC"/>
    <w:rsid w:val="7544681B"/>
    <w:rsid w:val="787C604F"/>
    <w:rsid w:val="7B61ADB7"/>
    <w:rsid w:val="7EEE74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078C94"/>
  <w15:docId w15:val="{9A345780-4DC4-4168-9CE7-37D1EFCD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qFormat="1"/>
    <w:lsdException w:name="toc 2" w:uiPriority="39" w:qFormat="1"/>
    <w:lsdException w:name="toc 3" w:uiPriority="0" w:qFormat="1"/>
    <w:lsdException w:name="toc 4" w:uiPriority="0" w:unhideWhenUsed="1" w:qFormat="1"/>
    <w:lsdException w:name="toc 5" w:uiPriority="0" w:unhideWhenUsed="1" w:qFormat="1"/>
    <w:lsdException w:name="toc 6" w:uiPriority="0" w:unhideWhenUsed="1" w:qFormat="1"/>
    <w:lsdException w:name="toc 7" w:uiPriority="0" w:unhideWhenUsed="1" w:qFormat="1"/>
    <w:lsdException w:name="toc 8" w:uiPriority="0" w:unhideWhenUsed="1" w:qFormat="1"/>
    <w:lsdException w:name="toc 9" w:uiPriority="0" w:unhideWhenUsed="1" w:qFormat="1"/>
    <w:lsdException w:name="Normal Indent" w:semiHidden="1" w:unhideWhenUsed="1" w:qFormat="1"/>
    <w:lsdException w:name="footnote text" w:semiHidden="1" w:uiPriority="0" w:unhideWhenUsed="1" w:qFormat="1"/>
    <w:lsdException w:name="annotation text" w:semiHidden="1" w:uiPriority="0" w:unhideWhenUsed="1" w:qFormat="1"/>
    <w:lsdException w:name="header" w:uiPriority="0" w:qFormat="1"/>
    <w:lsdException w:name="footer" w:uiPriority="0" w:unhideWhenUsed="1" w:qFormat="1"/>
    <w:lsdException w:name="index heading" w:semiHidden="1" w:unhideWhenUsed="1" w:qFormat="1"/>
    <w:lsdException w:name="caption" w:semiHidden="1" w:uiPriority="35" w:unhideWhenUsed="1" w:qFormat="1"/>
    <w:lsdException w:name="table of figures"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nhideWhenUsed="1" w:qFormat="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uiPriority="1" w:unhideWhenUsed="1" w:qFormat="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046"/>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val="en-GB" w:eastAsia="en-US"/>
    </w:rPr>
  </w:style>
  <w:style w:type="paragraph" w:styleId="Heading1">
    <w:name w:val="heading 1"/>
    <w:basedOn w:val="Normal"/>
    <w:next w:val="Normal"/>
    <w:link w:val="Heading1Char"/>
    <w:qFormat/>
    <w:rsid w:val="00831046"/>
    <w:pPr>
      <w:keepNext/>
      <w:keepLines/>
      <w:spacing w:before="360"/>
      <w:ind w:left="794" w:hanging="794"/>
      <w:jc w:val="left"/>
      <w:outlineLvl w:val="0"/>
    </w:pPr>
    <w:rPr>
      <w:b/>
    </w:rPr>
  </w:style>
  <w:style w:type="paragraph" w:styleId="Heading2">
    <w:name w:val="heading 2"/>
    <w:basedOn w:val="Heading1"/>
    <w:next w:val="Normal"/>
    <w:link w:val="Heading2Char"/>
    <w:qFormat/>
    <w:rsid w:val="00831046"/>
    <w:pPr>
      <w:spacing w:before="240"/>
      <w:outlineLvl w:val="1"/>
    </w:pPr>
  </w:style>
  <w:style w:type="paragraph" w:styleId="Heading3">
    <w:name w:val="heading 3"/>
    <w:basedOn w:val="Heading1"/>
    <w:next w:val="Normal"/>
    <w:link w:val="Heading3Char"/>
    <w:qFormat/>
    <w:rsid w:val="00831046"/>
    <w:pPr>
      <w:spacing w:before="160"/>
      <w:outlineLvl w:val="2"/>
    </w:pPr>
  </w:style>
  <w:style w:type="paragraph" w:styleId="Heading4">
    <w:name w:val="heading 4"/>
    <w:basedOn w:val="Heading3"/>
    <w:next w:val="Normal"/>
    <w:link w:val="Heading4Char"/>
    <w:qFormat/>
    <w:rsid w:val="00831046"/>
    <w:pPr>
      <w:tabs>
        <w:tab w:val="clear" w:pos="794"/>
        <w:tab w:val="left" w:pos="1021"/>
      </w:tabs>
      <w:ind w:left="1021" w:hanging="1021"/>
      <w:outlineLvl w:val="3"/>
    </w:pPr>
  </w:style>
  <w:style w:type="paragraph" w:styleId="Heading5">
    <w:name w:val="heading 5"/>
    <w:basedOn w:val="Heading4"/>
    <w:next w:val="Normal"/>
    <w:link w:val="Heading5Char"/>
    <w:qFormat/>
    <w:rsid w:val="00831046"/>
    <w:pPr>
      <w:outlineLvl w:val="4"/>
    </w:pPr>
  </w:style>
  <w:style w:type="paragraph" w:styleId="Heading6">
    <w:name w:val="heading 6"/>
    <w:basedOn w:val="Heading4"/>
    <w:next w:val="Normal"/>
    <w:link w:val="Heading6Char"/>
    <w:qFormat/>
    <w:rsid w:val="00831046"/>
    <w:pPr>
      <w:tabs>
        <w:tab w:val="clear" w:pos="1021"/>
        <w:tab w:val="clear" w:pos="1191"/>
      </w:tabs>
      <w:ind w:left="1588" w:hanging="1588"/>
      <w:outlineLvl w:val="5"/>
    </w:pPr>
  </w:style>
  <w:style w:type="paragraph" w:styleId="Heading7">
    <w:name w:val="heading 7"/>
    <w:basedOn w:val="Heading6"/>
    <w:next w:val="Normal"/>
    <w:link w:val="Heading7Char"/>
    <w:qFormat/>
    <w:rsid w:val="00831046"/>
    <w:pPr>
      <w:outlineLvl w:val="6"/>
    </w:pPr>
  </w:style>
  <w:style w:type="paragraph" w:styleId="Heading8">
    <w:name w:val="heading 8"/>
    <w:basedOn w:val="Heading6"/>
    <w:next w:val="Normal"/>
    <w:link w:val="Heading8Char"/>
    <w:qFormat/>
    <w:rsid w:val="00831046"/>
    <w:pPr>
      <w:outlineLvl w:val="7"/>
    </w:pPr>
  </w:style>
  <w:style w:type="paragraph" w:styleId="Heading9">
    <w:name w:val="heading 9"/>
    <w:basedOn w:val="Heading6"/>
    <w:next w:val="Normal"/>
    <w:link w:val="Heading9Char"/>
    <w:qFormat/>
    <w:rsid w:val="00831046"/>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spacing w:before="120"/>
    </w:pPr>
    <w:rPr>
      <w:rFonts w:ascii="Consolas" w:eastAsiaTheme="minorHAnsi" w:hAnsi="Consolas"/>
      <w:lang w:val="en-GB" w:eastAsia="ja-JP"/>
    </w:rPr>
  </w:style>
  <w:style w:type="paragraph" w:styleId="List3">
    <w:name w:val="List 3"/>
    <w:basedOn w:val="Normal"/>
    <w:uiPriority w:val="99"/>
    <w:semiHidden/>
    <w:unhideWhenUsed/>
    <w:qFormat/>
    <w:pPr>
      <w:ind w:left="1080" w:hanging="360"/>
      <w:contextualSpacing/>
    </w:pPr>
  </w:style>
  <w:style w:type="paragraph" w:styleId="TOC7">
    <w:name w:val="toc 7"/>
    <w:basedOn w:val="TOC4"/>
    <w:rsid w:val="00831046"/>
  </w:style>
  <w:style w:type="paragraph" w:styleId="ListNumber2">
    <w:name w:val="List Number 2"/>
    <w:basedOn w:val="Normal"/>
    <w:uiPriority w:val="99"/>
    <w:semiHidden/>
    <w:unhideWhenUsed/>
    <w:qFormat/>
    <w:pPr>
      <w:numPr>
        <w:numId w:val="2"/>
      </w:numPr>
      <w:contextualSpacing/>
    </w:pPr>
  </w:style>
  <w:style w:type="paragraph" w:styleId="TableofAuthorities">
    <w:name w:val="table of authorities"/>
    <w:basedOn w:val="Normal"/>
    <w:next w:val="Normal"/>
    <w:uiPriority w:val="99"/>
    <w:semiHidden/>
    <w:unhideWhenUsed/>
    <w:qFormat/>
    <w:pPr>
      <w:ind w:left="240" w:hanging="240"/>
    </w:pPr>
  </w:style>
  <w:style w:type="paragraph" w:styleId="NoteHeading">
    <w:name w:val="Note Heading"/>
    <w:basedOn w:val="Normal"/>
    <w:next w:val="Normal"/>
    <w:link w:val="NoteHeadingChar"/>
    <w:uiPriority w:val="99"/>
    <w:semiHidden/>
    <w:unhideWhenUsed/>
    <w:qFormat/>
    <w:pPr>
      <w:spacing w:before="0"/>
    </w:pPr>
  </w:style>
  <w:style w:type="paragraph" w:styleId="ListBullet4">
    <w:name w:val="List Bullet 4"/>
    <w:basedOn w:val="Normal"/>
    <w:uiPriority w:val="99"/>
    <w:semiHidden/>
    <w:unhideWhenUsed/>
    <w:qFormat/>
    <w:pPr>
      <w:numPr>
        <w:numId w:val="3"/>
      </w:numPr>
      <w:contextualSpacing/>
    </w:pPr>
  </w:style>
  <w:style w:type="paragraph" w:styleId="Index8">
    <w:name w:val="index 8"/>
    <w:basedOn w:val="Normal"/>
    <w:next w:val="Normal"/>
    <w:autoRedefine/>
    <w:uiPriority w:val="99"/>
    <w:semiHidden/>
    <w:unhideWhenUsed/>
    <w:qFormat/>
    <w:pPr>
      <w:spacing w:before="0"/>
      <w:ind w:left="1920" w:hanging="240"/>
    </w:pPr>
  </w:style>
  <w:style w:type="paragraph" w:styleId="E-mailSignature">
    <w:name w:val="E-mail Signature"/>
    <w:basedOn w:val="Normal"/>
    <w:link w:val="E-mailSignatureChar"/>
    <w:uiPriority w:val="99"/>
    <w:semiHidden/>
    <w:unhideWhenUsed/>
    <w:qFormat/>
    <w:pPr>
      <w:spacing w:before="0"/>
    </w:pPr>
  </w:style>
  <w:style w:type="paragraph" w:styleId="ListNumber">
    <w:name w:val="List Number"/>
    <w:basedOn w:val="Normal"/>
    <w:uiPriority w:val="99"/>
    <w:semiHidden/>
    <w:unhideWhenUsed/>
    <w:qFormat/>
    <w:pPr>
      <w:numPr>
        <w:numId w:val="4"/>
      </w:numPr>
      <w:contextualSpacing/>
    </w:pPr>
  </w:style>
  <w:style w:type="paragraph" w:styleId="NormalIndent">
    <w:name w:val="Normal Indent"/>
    <w:basedOn w:val="Normal"/>
    <w:uiPriority w:val="99"/>
    <w:semiHidden/>
    <w:unhideWhenUsed/>
    <w:qFormat/>
    <w:pPr>
      <w:ind w:left="720"/>
    </w:pPr>
    <w:rPr>
      <w:rFonts w:eastAsiaTheme="minorHAnsi"/>
    </w:rPr>
  </w:style>
  <w:style w:type="paragraph" w:styleId="Caption">
    <w:name w:val="caption"/>
    <w:basedOn w:val="Normal"/>
    <w:next w:val="Normal"/>
    <w:uiPriority w:val="35"/>
    <w:semiHidden/>
    <w:unhideWhenUsed/>
    <w:qFormat/>
    <w:pPr>
      <w:spacing w:before="0" w:after="200"/>
    </w:pPr>
    <w:rPr>
      <w:i/>
      <w:iCs/>
      <w:color w:val="44546A" w:themeColor="text2"/>
      <w:sz w:val="18"/>
      <w:szCs w:val="18"/>
    </w:rPr>
  </w:style>
  <w:style w:type="paragraph" w:styleId="Index5">
    <w:name w:val="index 5"/>
    <w:basedOn w:val="Normal"/>
    <w:next w:val="Normal"/>
    <w:autoRedefine/>
    <w:uiPriority w:val="99"/>
    <w:semiHidden/>
    <w:unhideWhenUsed/>
    <w:qFormat/>
    <w:pPr>
      <w:spacing w:before="0"/>
      <w:ind w:left="1200" w:hanging="240"/>
    </w:pPr>
  </w:style>
  <w:style w:type="paragraph" w:styleId="ListBullet">
    <w:name w:val="List Bullet"/>
    <w:basedOn w:val="Normal"/>
    <w:uiPriority w:val="99"/>
    <w:semiHidden/>
    <w:unhideWhenUsed/>
    <w:qFormat/>
    <w:pPr>
      <w:numPr>
        <w:numId w:val="5"/>
      </w:numPr>
      <w:contextualSpacing/>
    </w:pPr>
    <w:rPr>
      <w:rFonts w:eastAsiaTheme="minorHAnsi"/>
    </w:rPr>
  </w:style>
  <w:style w:type="paragraph" w:styleId="EnvelopeAddress">
    <w:name w:val="envelope address"/>
    <w:basedOn w:val="Normal"/>
    <w:uiPriority w:val="99"/>
    <w:semiHidden/>
    <w:unhideWhenUsed/>
    <w:qFormat/>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DocumentMap">
    <w:name w:val="Document Map"/>
    <w:basedOn w:val="Normal"/>
    <w:link w:val="DocumentMapChar"/>
    <w:uiPriority w:val="99"/>
    <w:semiHidden/>
    <w:unhideWhenUsed/>
    <w:qFormat/>
    <w:pPr>
      <w:spacing w:before="0"/>
    </w:pPr>
    <w:rPr>
      <w:rFonts w:ascii="Segoe UI" w:hAnsi="Segoe UI" w:cs="Segoe UI"/>
      <w:sz w:val="16"/>
      <w:szCs w:val="16"/>
    </w:rPr>
  </w:style>
  <w:style w:type="paragraph" w:styleId="TOAHeading">
    <w:name w:val="toa heading"/>
    <w:basedOn w:val="Normal"/>
    <w:next w:val="Normal"/>
    <w:uiPriority w:val="99"/>
    <w:semiHidden/>
    <w:unhideWhenUsed/>
    <w:qFormat/>
    <w:rPr>
      <w:rFonts w:asciiTheme="majorHAnsi" w:eastAsiaTheme="majorEastAsia" w:hAnsiTheme="majorHAnsi" w:cstheme="majorBidi"/>
      <w:b/>
      <w:bCs/>
    </w:rPr>
  </w:style>
  <w:style w:type="paragraph" w:styleId="CommentText">
    <w:name w:val="annotation text"/>
    <w:basedOn w:val="Normal"/>
    <w:link w:val="CommentTextChar"/>
    <w:semiHidden/>
    <w:rsid w:val="00831046"/>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Index6">
    <w:name w:val="index 6"/>
    <w:basedOn w:val="Normal"/>
    <w:next w:val="Normal"/>
    <w:autoRedefine/>
    <w:uiPriority w:val="99"/>
    <w:semiHidden/>
    <w:unhideWhenUsed/>
    <w:qFormat/>
    <w:pPr>
      <w:spacing w:before="0"/>
      <w:ind w:left="1440" w:hanging="24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qFormat/>
    <w:pPr>
      <w:spacing w:after="120"/>
    </w:pPr>
    <w:rPr>
      <w:sz w:val="16"/>
      <w:szCs w:val="16"/>
    </w:rPr>
  </w:style>
  <w:style w:type="paragraph" w:styleId="Closing">
    <w:name w:val="Closing"/>
    <w:basedOn w:val="Normal"/>
    <w:link w:val="ClosingChar"/>
    <w:uiPriority w:val="99"/>
    <w:semiHidden/>
    <w:unhideWhenUsed/>
    <w:qFormat/>
    <w:pPr>
      <w:spacing w:before="0"/>
      <w:ind w:left="4320"/>
    </w:pPr>
  </w:style>
  <w:style w:type="paragraph" w:styleId="ListBullet3">
    <w:name w:val="List Bullet 3"/>
    <w:basedOn w:val="Normal"/>
    <w:uiPriority w:val="99"/>
    <w:semiHidden/>
    <w:unhideWhenUsed/>
    <w:qFormat/>
    <w:pPr>
      <w:numPr>
        <w:numId w:val="6"/>
      </w:numPr>
      <w:contextualSpacing/>
    </w:pPr>
  </w:style>
  <w:style w:type="paragraph" w:styleId="BodyText">
    <w:name w:val="Body Text"/>
    <w:basedOn w:val="Normal"/>
    <w:link w:val="BodyTextChar"/>
    <w:uiPriority w:val="1"/>
    <w:qFormat/>
    <w:rsid w:val="00831046"/>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paragraph" w:styleId="BodyTextIndent">
    <w:name w:val="Body Text Indent"/>
    <w:basedOn w:val="Normal"/>
    <w:link w:val="BodyTextIndentChar"/>
    <w:uiPriority w:val="99"/>
    <w:semiHidden/>
    <w:unhideWhenUsed/>
    <w:qFormat/>
    <w:pPr>
      <w:spacing w:after="120"/>
      <w:ind w:left="360"/>
    </w:pPr>
  </w:style>
  <w:style w:type="paragraph" w:styleId="ListNumber3">
    <w:name w:val="List Number 3"/>
    <w:basedOn w:val="Normal"/>
    <w:uiPriority w:val="99"/>
    <w:semiHidden/>
    <w:unhideWhenUsed/>
    <w:qFormat/>
    <w:pPr>
      <w:numPr>
        <w:numId w:val="7"/>
      </w:numPr>
      <w:contextualSpacing/>
    </w:pPr>
  </w:style>
  <w:style w:type="paragraph" w:styleId="List2">
    <w:name w:val="List 2"/>
    <w:basedOn w:val="Normal"/>
    <w:uiPriority w:val="99"/>
    <w:semiHidden/>
    <w:unhideWhenUsed/>
    <w:qFormat/>
    <w:pPr>
      <w:ind w:left="720" w:hanging="360"/>
      <w:contextualSpacing/>
    </w:pPr>
  </w:style>
  <w:style w:type="paragraph" w:styleId="ListContinue">
    <w:name w:val="List Continue"/>
    <w:basedOn w:val="Normal"/>
    <w:uiPriority w:val="99"/>
    <w:semiHidden/>
    <w:unhideWhenUsed/>
    <w:qFormat/>
    <w:pPr>
      <w:spacing w:after="120"/>
      <w:ind w:left="360"/>
      <w:contextualSpacing/>
    </w:pPr>
  </w:style>
  <w:style w:type="paragraph" w:styleId="BlockText">
    <w:name w:val="Block Text"/>
    <w:basedOn w:val="Normal"/>
    <w:uiPriority w:val="99"/>
    <w:semiHidden/>
    <w:unhideWhenUsed/>
    <w:qFormat/>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ListBullet2">
    <w:name w:val="List Bullet 2"/>
    <w:basedOn w:val="Normal"/>
    <w:uiPriority w:val="99"/>
    <w:semiHidden/>
    <w:unhideWhenUsed/>
    <w:qFormat/>
    <w:pPr>
      <w:numPr>
        <w:numId w:val="8"/>
      </w:numPr>
      <w:contextualSpacing/>
    </w:pPr>
  </w:style>
  <w:style w:type="paragraph" w:styleId="HTMLAddress">
    <w:name w:val="HTML Address"/>
    <w:basedOn w:val="Normal"/>
    <w:link w:val="HTMLAddressChar"/>
    <w:uiPriority w:val="99"/>
    <w:semiHidden/>
    <w:unhideWhenUsed/>
    <w:qFormat/>
    <w:pPr>
      <w:spacing w:before="0"/>
    </w:pPr>
    <w:rPr>
      <w:i/>
      <w:iCs/>
    </w:rPr>
  </w:style>
  <w:style w:type="paragraph" w:styleId="Index4">
    <w:name w:val="index 4"/>
    <w:basedOn w:val="Normal"/>
    <w:next w:val="Normal"/>
    <w:autoRedefine/>
    <w:uiPriority w:val="99"/>
    <w:semiHidden/>
    <w:unhideWhenUsed/>
    <w:qFormat/>
    <w:pPr>
      <w:spacing w:before="0"/>
      <w:ind w:left="960" w:hanging="240"/>
    </w:pPr>
  </w:style>
  <w:style w:type="paragraph" w:styleId="TOC5">
    <w:name w:val="toc 5"/>
    <w:basedOn w:val="TOC4"/>
    <w:rsid w:val="00831046"/>
  </w:style>
  <w:style w:type="paragraph" w:styleId="TOC3">
    <w:name w:val="toc 3"/>
    <w:basedOn w:val="TOC2"/>
    <w:rsid w:val="00831046"/>
  </w:style>
  <w:style w:type="paragraph" w:styleId="TOC2">
    <w:name w:val="toc 2"/>
    <w:basedOn w:val="TOC1"/>
    <w:uiPriority w:val="39"/>
    <w:rsid w:val="00831046"/>
    <w:pPr>
      <w:spacing w:before="80"/>
      <w:ind w:left="1531" w:hanging="851"/>
    </w:pPr>
  </w:style>
  <w:style w:type="paragraph" w:styleId="TOC1">
    <w:name w:val="toc 1"/>
    <w:basedOn w:val="Normal"/>
    <w:uiPriority w:val="39"/>
    <w:rsid w:val="00831046"/>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PlainText">
    <w:name w:val="Plain Text"/>
    <w:basedOn w:val="Normal"/>
    <w:link w:val="PlainTextChar"/>
    <w:uiPriority w:val="99"/>
    <w:semiHidden/>
    <w:unhideWhenUsed/>
    <w:qFormat/>
    <w:pPr>
      <w:spacing w:before="0"/>
    </w:pPr>
    <w:rPr>
      <w:rFonts w:ascii="Consolas" w:hAnsi="Consolas"/>
      <w:sz w:val="21"/>
      <w:szCs w:val="21"/>
    </w:rPr>
  </w:style>
  <w:style w:type="paragraph" w:styleId="ListBullet5">
    <w:name w:val="List Bullet 5"/>
    <w:basedOn w:val="Normal"/>
    <w:uiPriority w:val="99"/>
    <w:semiHidden/>
    <w:unhideWhenUsed/>
    <w:qFormat/>
    <w:pPr>
      <w:numPr>
        <w:numId w:val="9"/>
      </w:numPr>
      <w:contextualSpacing/>
    </w:pPr>
  </w:style>
  <w:style w:type="paragraph" w:styleId="ListNumber4">
    <w:name w:val="List Number 4"/>
    <w:basedOn w:val="Normal"/>
    <w:uiPriority w:val="99"/>
    <w:semiHidden/>
    <w:unhideWhenUsed/>
    <w:qFormat/>
    <w:pPr>
      <w:numPr>
        <w:numId w:val="10"/>
      </w:numPr>
      <w:tabs>
        <w:tab w:val="clear" w:pos="1440"/>
        <w:tab w:val="left" w:pos="360"/>
      </w:tabs>
      <w:ind w:left="0" w:firstLine="0"/>
      <w:contextualSpacing/>
    </w:pPr>
  </w:style>
  <w:style w:type="paragraph" w:styleId="TOC8">
    <w:name w:val="toc 8"/>
    <w:basedOn w:val="TOC4"/>
    <w:rsid w:val="00831046"/>
  </w:style>
  <w:style w:type="paragraph" w:styleId="Index3">
    <w:name w:val="index 3"/>
    <w:basedOn w:val="Normal"/>
    <w:next w:val="Normal"/>
    <w:semiHidden/>
    <w:rsid w:val="00831046"/>
    <w:pPr>
      <w:ind w:left="567"/>
      <w:jc w:val="left"/>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360"/>
    </w:pPr>
  </w:style>
  <w:style w:type="paragraph" w:styleId="EndnoteText">
    <w:name w:val="endnote text"/>
    <w:basedOn w:val="Normal"/>
    <w:link w:val="EndnoteTextChar"/>
    <w:uiPriority w:val="99"/>
    <w:semiHidden/>
    <w:unhideWhenUsed/>
    <w:qFormat/>
    <w:pPr>
      <w:spacing w:before="0"/>
    </w:pPr>
    <w:rPr>
      <w:sz w:val="20"/>
    </w:rPr>
  </w:style>
  <w:style w:type="paragraph" w:styleId="ListContinue5">
    <w:name w:val="List Continue 5"/>
    <w:basedOn w:val="Normal"/>
    <w:uiPriority w:val="99"/>
    <w:semiHidden/>
    <w:unhideWhenUsed/>
    <w:qFormat/>
    <w:pPr>
      <w:spacing w:after="120"/>
      <w:ind w:left="1800"/>
      <w:contextualSpacing/>
    </w:pPr>
  </w:style>
  <w:style w:type="paragraph" w:styleId="BalloonText">
    <w:name w:val="Balloon Text"/>
    <w:basedOn w:val="Normal"/>
    <w:link w:val="BalloonTextChar"/>
    <w:rsid w:val="00831046"/>
    <w:pPr>
      <w:spacing w:before="0"/>
    </w:pPr>
    <w:rPr>
      <w:rFonts w:ascii="Tahoma" w:hAnsi="Tahoma" w:cs="Tahoma"/>
      <w:sz w:val="16"/>
      <w:szCs w:val="16"/>
    </w:rPr>
  </w:style>
  <w:style w:type="paragraph" w:styleId="Footer">
    <w:name w:val="footer"/>
    <w:basedOn w:val="Normal"/>
    <w:link w:val="FooterChar"/>
    <w:rsid w:val="00831046"/>
    <w:pPr>
      <w:tabs>
        <w:tab w:val="clear" w:pos="794"/>
        <w:tab w:val="clear" w:pos="1191"/>
        <w:tab w:val="clear" w:pos="1588"/>
        <w:tab w:val="clear" w:pos="1985"/>
        <w:tab w:val="left" w:pos="5954"/>
        <w:tab w:val="right" w:pos="9639"/>
      </w:tabs>
      <w:spacing w:before="0"/>
    </w:pPr>
    <w:rPr>
      <w:caps/>
      <w:noProof/>
      <w:sz w:val="16"/>
    </w:rPr>
  </w:style>
  <w:style w:type="paragraph" w:styleId="EnvelopeReturn">
    <w:name w:val="envelope return"/>
    <w:basedOn w:val="Normal"/>
    <w:uiPriority w:val="99"/>
    <w:semiHidden/>
    <w:unhideWhenUsed/>
    <w:qFormat/>
    <w:pPr>
      <w:spacing w:before="0"/>
    </w:pPr>
    <w:rPr>
      <w:rFonts w:asciiTheme="majorHAnsi" w:eastAsiaTheme="majorEastAsia" w:hAnsiTheme="majorHAnsi" w:cstheme="majorBidi"/>
      <w:sz w:val="20"/>
    </w:rPr>
  </w:style>
  <w:style w:type="paragraph" w:styleId="Header">
    <w:name w:val="header"/>
    <w:basedOn w:val="Normal"/>
    <w:link w:val="HeaderChar"/>
    <w:rsid w:val="00831046"/>
    <w:pPr>
      <w:tabs>
        <w:tab w:val="clear" w:pos="794"/>
        <w:tab w:val="clear" w:pos="1191"/>
        <w:tab w:val="clear" w:pos="1588"/>
        <w:tab w:val="clear" w:pos="1985"/>
      </w:tabs>
      <w:spacing w:before="0"/>
      <w:jc w:val="center"/>
    </w:pPr>
    <w:rPr>
      <w:sz w:val="18"/>
    </w:rPr>
  </w:style>
  <w:style w:type="paragraph" w:styleId="Signature">
    <w:name w:val="Signature"/>
    <w:basedOn w:val="Normal"/>
    <w:link w:val="SignatureChar"/>
    <w:uiPriority w:val="99"/>
    <w:semiHidden/>
    <w:unhideWhenUsed/>
    <w:qFormat/>
    <w:pPr>
      <w:spacing w:before="0"/>
      <w:ind w:left="4320"/>
    </w:pPr>
  </w:style>
  <w:style w:type="paragraph" w:styleId="ListContinue4">
    <w:name w:val="List Continue 4"/>
    <w:basedOn w:val="Normal"/>
    <w:uiPriority w:val="99"/>
    <w:semiHidden/>
    <w:unhideWhenUsed/>
    <w:qFormat/>
    <w:pPr>
      <w:spacing w:after="120"/>
      <w:ind w:left="1440"/>
      <w:contextualSpacing/>
    </w:pPr>
  </w:style>
  <w:style w:type="paragraph" w:styleId="TOC4">
    <w:name w:val="toc 4"/>
    <w:basedOn w:val="TOC3"/>
    <w:rsid w:val="00831046"/>
  </w:style>
  <w:style w:type="paragraph" w:styleId="IndexHeading">
    <w:name w:val="index heading"/>
    <w:basedOn w:val="Normal"/>
    <w:next w:val="Index1"/>
    <w:uiPriority w:val="99"/>
    <w:semiHidden/>
    <w:unhideWhenUsed/>
    <w:qFormat/>
    <w:rPr>
      <w:rFonts w:asciiTheme="majorHAnsi" w:eastAsiaTheme="majorEastAsia" w:hAnsiTheme="majorHAnsi" w:cstheme="majorBidi"/>
      <w:b/>
      <w:bCs/>
    </w:rPr>
  </w:style>
  <w:style w:type="paragraph" w:styleId="Index1">
    <w:name w:val="index 1"/>
    <w:basedOn w:val="Normal"/>
    <w:next w:val="Normal"/>
    <w:semiHidden/>
    <w:rsid w:val="00831046"/>
    <w:pPr>
      <w:jc w:val="left"/>
    </w:pPr>
  </w:style>
  <w:style w:type="paragraph" w:styleId="Subtitle">
    <w:name w:val="Subtitle"/>
    <w:basedOn w:val="Normal"/>
    <w:next w:val="Normal"/>
    <w:link w:val="SubtitleChar"/>
    <w:uiPriority w:val="11"/>
    <w:qFormat/>
    <w:pPr>
      <w:spacing w:after="160"/>
    </w:pPr>
    <w:rPr>
      <w:rFonts w:asciiTheme="minorHAnsi" w:eastAsiaTheme="minorEastAsia" w:hAnsiTheme="minorHAnsi" w:cstheme="minorBidi"/>
      <w:color w:val="595959" w:themeColor="text1" w:themeTint="A6"/>
      <w:spacing w:val="15"/>
      <w:sz w:val="22"/>
      <w:szCs w:val="22"/>
    </w:rPr>
  </w:style>
  <w:style w:type="paragraph" w:styleId="ListNumber5">
    <w:name w:val="List Number 5"/>
    <w:basedOn w:val="Normal"/>
    <w:uiPriority w:val="99"/>
    <w:semiHidden/>
    <w:unhideWhenUsed/>
    <w:qFormat/>
    <w:pPr>
      <w:numPr>
        <w:numId w:val="11"/>
      </w:numPr>
      <w:contextualSpacing/>
    </w:pPr>
  </w:style>
  <w:style w:type="paragraph" w:styleId="List">
    <w:name w:val="List"/>
    <w:basedOn w:val="Normal"/>
    <w:uiPriority w:val="99"/>
    <w:semiHidden/>
    <w:unhideWhenUsed/>
    <w:qFormat/>
    <w:pPr>
      <w:ind w:left="360" w:hanging="360"/>
      <w:contextualSpacing/>
    </w:pPr>
    <w:rPr>
      <w:rFonts w:eastAsiaTheme="minorHAnsi"/>
    </w:rPr>
  </w:style>
  <w:style w:type="paragraph" w:styleId="FootnoteText">
    <w:name w:val="footnote text"/>
    <w:basedOn w:val="Note"/>
    <w:link w:val="FootnoteTextChar"/>
    <w:semiHidden/>
    <w:rsid w:val="00831046"/>
    <w:pPr>
      <w:keepLines/>
      <w:tabs>
        <w:tab w:val="left" w:pos="255"/>
      </w:tabs>
      <w:ind w:left="255" w:hanging="255"/>
    </w:pPr>
  </w:style>
  <w:style w:type="paragraph" w:styleId="TOC6">
    <w:name w:val="toc 6"/>
    <w:basedOn w:val="TOC4"/>
    <w:rsid w:val="00831046"/>
  </w:style>
  <w:style w:type="paragraph" w:styleId="List5">
    <w:name w:val="List 5"/>
    <w:basedOn w:val="Normal"/>
    <w:uiPriority w:val="99"/>
    <w:semiHidden/>
    <w:unhideWhenUsed/>
    <w:qFormat/>
    <w:pPr>
      <w:ind w:left="1800" w:hanging="360"/>
      <w:contextualSpacing/>
    </w:p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Index7">
    <w:name w:val="index 7"/>
    <w:basedOn w:val="Normal"/>
    <w:next w:val="Normal"/>
    <w:autoRedefine/>
    <w:uiPriority w:val="99"/>
    <w:semiHidden/>
    <w:unhideWhenUsed/>
    <w:qFormat/>
    <w:pPr>
      <w:spacing w:before="0"/>
      <w:ind w:left="1680" w:hanging="240"/>
    </w:pPr>
  </w:style>
  <w:style w:type="paragraph" w:styleId="Index9">
    <w:name w:val="index 9"/>
    <w:basedOn w:val="Normal"/>
    <w:next w:val="Normal"/>
    <w:autoRedefine/>
    <w:uiPriority w:val="99"/>
    <w:semiHidden/>
    <w:unhideWhenUsed/>
    <w:qFormat/>
    <w:pPr>
      <w:spacing w:before="0"/>
      <w:ind w:left="2160" w:hanging="240"/>
    </w:pPr>
  </w:style>
  <w:style w:type="paragraph" w:styleId="TableofFigures">
    <w:name w:val="table of figures"/>
    <w:basedOn w:val="Normal"/>
    <w:next w:val="Normal"/>
    <w:uiPriority w:val="99"/>
    <w:qFormat/>
    <w:pPr>
      <w:tabs>
        <w:tab w:val="right" w:leader="dot" w:pos="9639"/>
      </w:tabs>
    </w:pPr>
  </w:style>
  <w:style w:type="paragraph" w:styleId="TOC9">
    <w:name w:val="toc 9"/>
    <w:basedOn w:val="TOC3"/>
    <w:rsid w:val="00831046"/>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440" w:hanging="360"/>
      <w:contextualSpacing/>
    </w:pPr>
  </w:style>
  <w:style w:type="paragraph" w:styleId="ListContinue2">
    <w:name w:val="List Continue 2"/>
    <w:basedOn w:val="Normal"/>
    <w:uiPriority w:val="99"/>
    <w:semiHidden/>
    <w:unhideWhenUsed/>
    <w:qFormat/>
    <w:pPr>
      <w:spacing w:after="120"/>
      <w:ind w:left="720"/>
      <w:contextualSpacing/>
    </w:pPr>
  </w:style>
  <w:style w:type="paragraph" w:styleId="MessageHeader">
    <w:name w:val="Message Header"/>
    <w:basedOn w:val="Normal"/>
    <w:link w:val="MessageHeaderChar"/>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paragraph" w:styleId="HTMLPreformatted">
    <w:name w:val="HTML Preformatted"/>
    <w:basedOn w:val="Normal"/>
    <w:link w:val="HTMLPreformattedChar"/>
    <w:uiPriority w:val="99"/>
    <w:semiHidden/>
    <w:unhideWhenUsed/>
    <w:qFormat/>
    <w:pPr>
      <w:spacing w:before="0"/>
    </w:pPr>
    <w:rPr>
      <w:rFonts w:ascii="Consolas" w:hAnsi="Consolas"/>
      <w:sz w:val="20"/>
    </w:rPr>
  </w:style>
  <w:style w:type="paragraph" w:styleId="NormalWeb">
    <w:name w:val="Normal (Web)"/>
    <w:basedOn w:val="Normal"/>
    <w:uiPriority w:val="99"/>
    <w:semiHidden/>
    <w:unhideWhenUsed/>
    <w:qFormat/>
  </w:style>
  <w:style w:type="paragraph" w:styleId="ListContinue3">
    <w:name w:val="List Continue 3"/>
    <w:basedOn w:val="Normal"/>
    <w:uiPriority w:val="99"/>
    <w:semiHidden/>
    <w:unhideWhenUsed/>
    <w:qFormat/>
    <w:pPr>
      <w:spacing w:after="120"/>
      <w:ind w:left="1080"/>
      <w:contextualSpacing/>
    </w:pPr>
  </w:style>
  <w:style w:type="paragraph" w:styleId="Index2">
    <w:name w:val="index 2"/>
    <w:basedOn w:val="Normal"/>
    <w:next w:val="Normal"/>
    <w:semiHidden/>
    <w:rsid w:val="00831046"/>
    <w:pPr>
      <w:ind w:left="284"/>
      <w:jc w:val="left"/>
    </w:pPr>
  </w:style>
  <w:style w:type="paragraph" w:styleId="Title">
    <w:name w:val="Title"/>
    <w:basedOn w:val="Normal"/>
    <w:next w:val="Normal"/>
    <w:link w:val="TitleChar"/>
    <w:uiPriority w:val="10"/>
    <w:qFormat/>
    <w:pPr>
      <w:spacing w:before="0"/>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semiHidden/>
    <w:unhideWhenUsed/>
    <w:qFormat/>
    <w:pPr>
      <w:ind w:firstLine="360"/>
    </w:p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table" w:styleId="TableGrid">
    <w:name w:val="Table Grid"/>
    <w:basedOn w:val="TableNormal"/>
    <w:rsid w:val="00831046"/>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rsid w:val="00831046"/>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character" w:styleId="HTMLDefinition">
    <w:name w:val="HTML Definition"/>
    <w:basedOn w:val="DefaultParagraphFont"/>
    <w:uiPriority w:val="99"/>
    <w:semiHidden/>
    <w:unhideWhenUsed/>
    <w:qFormat/>
    <w:rPr>
      <w:i/>
      <w:iCs/>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TMLVariable">
    <w:name w:val="HTML Variable"/>
    <w:basedOn w:val="DefaultParagraphFont"/>
    <w:uiPriority w:val="99"/>
    <w:semiHidden/>
    <w:unhideWhenUsed/>
    <w:qFormat/>
    <w:rPr>
      <w:i/>
      <w:iCs/>
    </w:rPr>
  </w:style>
  <w:style w:type="character" w:styleId="Hyperlink">
    <w:name w:val="Hyperlink"/>
    <w:basedOn w:val="DefaultParagraphFont"/>
    <w:rsid w:val="00831046"/>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CommentReference">
    <w:name w:val="annotation reference"/>
    <w:basedOn w:val="DefaultParagraphFont"/>
    <w:semiHidden/>
    <w:rsid w:val="00831046"/>
    <w:rPr>
      <w:sz w:val="16"/>
      <w:szCs w:val="16"/>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semiHidden/>
    <w:rsid w:val="00831046"/>
    <w:rPr>
      <w:position w:val="6"/>
      <w:sz w:val="18"/>
    </w:rPr>
  </w:style>
  <w:style w:type="character" w:styleId="HTMLKeyboard">
    <w:name w:val="HTML Keyboard"/>
    <w:basedOn w:val="DefaultParagraphFont"/>
    <w:uiPriority w:val="99"/>
    <w:semiHidden/>
    <w:unhideWhenUsed/>
    <w:qFormat/>
    <w:rPr>
      <w:rFonts w:ascii="Consolas" w:hAnsi="Consolas"/>
      <w:sz w:val="20"/>
      <w:szCs w:val="20"/>
    </w:rPr>
  </w:style>
  <w:style w:type="character" w:styleId="HTMLSample">
    <w:name w:val="HTML Sample"/>
    <w:basedOn w:val="DefaultParagraphFont"/>
    <w:uiPriority w:val="99"/>
    <w:semiHidden/>
    <w:unhideWhenUsed/>
    <w:qFormat/>
    <w:rPr>
      <w:rFonts w:ascii="Consolas" w:hAnsi="Consolas"/>
      <w:sz w:val="24"/>
      <w:szCs w:val="24"/>
    </w:rPr>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b/>
      <w:i/>
      <w:sz w:val="20"/>
      <w:lang w:val="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b/>
      <w:i/>
      <w:sz w:val="20"/>
      <w:lang w:val="en-US"/>
    </w:rPr>
  </w:style>
  <w:style w:type="paragraph" w:customStyle="1" w:styleId="Figure">
    <w:name w:val="Figure"/>
    <w:basedOn w:val="Normal"/>
    <w:next w:val="Normal"/>
    <w:rsid w:val="00831046"/>
    <w:pPr>
      <w:keepNext/>
      <w:keepLines/>
      <w:spacing w:before="240" w:after="120"/>
      <w:jc w:val="center"/>
    </w:pPr>
  </w:style>
  <w:style w:type="character" w:customStyle="1" w:styleId="Heading1Char">
    <w:name w:val="Heading 1 Char"/>
    <w:link w:val="Heading1"/>
    <w:rsid w:val="00831046"/>
    <w:rPr>
      <w:rFonts w:eastAsia="Times New Roman"/>
      <w:b/>
      <w:sz w:val="24"/>
      <w:lang w:val="en-GB" w:eastAsia="en-US"/>
    </w:rPr>
  </w:style>
  <w:style w:type="paragraph" w:customStyle="1" w:styleId="Heading1Centered">
    <w:name w:val="Heading 1 Centered"/>
    <w:basedOn w:val="Heading1"/>
    <w:qFormat/>
    <w:pPr>
      <w:jc w:val="center"/>
    </w:pPr>
  </w:style>
  <w:style w:type="character" w:customStyle="1" w:styleId="Heading2Char">
    <w:name w:val="Heading 2 Char"/>
    <w:link w:val="Heading2"/>
    <w:qFormat/>
    <w:rPr>
      <w:rFonts w:eastAsia="Times New Roman"/>
      <w:b/>
      <w:sz w:val="24"/>
      <w:lang w:val="en-GB" w:eastAsia="en-US"/>
    </w:rPr>
  </w:style>
  <w:style w:type="character" w:customStyle="1" w:styleId="Heading3Char">
    <w:name w:val="Heading 3 Char"/>
    <w:link w:val="Heading3"/>
    <w:qFormat/>
    <w:rPr>
      <w:rFonts w:eastAsia="Times New Roman"/>
      <w:b/>
      <w:sz w:val="24"/>
      <w:lang w:val="en-GB" w:eastAsia="en-US"/>
    </w:rPr>
  </w:style>
  <w:style w:type="character" w:customStyle="1" w:styleId="Heading4Char">
    <w:name w:val="Heading 4 Char"/>
    <w:link w:val="Heading4"/>
    <w:qFormat/>
    <w:rPr>
      <w:rFonts w:eastAsia="Times New Roman"/>
      <w:b/>
      <w:sz w:val="24"/>
      <w:lang w:val="en-GB" w:eastAsia="en-US"/>
    </w:rPr>
  </w:style>
  <w:style w:type="character" w:customStyle="1" w:styleId="Heading5Char">
    <w:name w:val="Heading 5 Char"/>
    <w:link w:val="Heading5"/>
    <w:qFormat/>
    <w:rPr>
      <w:rFonts w:eastAsia="Times New Roman"/>
      <w:b/>
      <w:sz w:val="24"/>
      <w:lang w:val="en-GB" w:eastAsia="en-US"/>
    </w:rPr>
  </w:style>
  <w:style w:type="character" w:customStyle="1" w:styleId="Heading6Char">
    <w:name w:val="Heading 6 Char"/>
    <w:link w:val="Heading6"/>
    <w:qFormat/>
    <w:rPr>
      <w:rFonts w:eastAsia="Times New Roman"/>
      <w:b/>
      <w:sz w:val="24"/>
      <w:lang w:val="en-GB" w:eastAsia="en-US"/>
    </w:rPr>
  </w:style>
  <w:style w:type="character" w:customStyle="1" w:styleId="Heading7Char">
    <w:name w:val="Heading 7 Char"/>
    <w:link w:val="Heading7"/>
    <w:qFormat/>
    <w:rPr>
      <w:rFonts w:eastAsia="Times New Roman"/>
      <w:b/>
      <w:sz w:val="24"/>
      <w:lang w:val="en-GB" w:eastAsia="en-US"/>
    </w:rPr>
  </w:style>
  <w:style w:type="character" w:customStyle="1" w:styleId="Heading8Char">
    <w:name w:val="Heading 8 Char"/>
    <w:link w:val="Heading8"/>
    <w:qFormat/>
    <w:rPr>
      <w:rFonts w:eastAsia="Times New Roman"/>
      <w:b/>
      <w:sz w:val="24"/>
      <w:lang w:val="en-GB" w:eastAsia="en-US"/>
    </w:rPr>
  </w:style>
  <w:style w:type="character" w:customStyle="1" w:styleId="Heading9Char">
    <w:name w:val="Heading 9 Char"/>
    <w:link w:val="Heading9"/>
    <w:qFormat/>
    <w:rPr>
      <w:rFonts w:eastAsia="Times New Roman"/>
      <w:b/>
      <w:sz w:val="24"/>
      <w:lang w:val="en-GB" w:eastAsia="en-US"/>
    </w:rPr>
  </w:style>
  <w:style w:type="paragraph" w:customStyle="1" w:styleId="Headingb">
    <w:name w:val="Heading_b"/>
    <w:basedOn w:val="Normal"/>
    <w:next w:val="Normal"/>
    <w:rsid w:val="00831046"/>
    <w:pPr>
      <w:keepNext/>
      <w:spacing w:before="160"/>
      <w:jc w:val="left"/>
    </w:pPr>
    <w:rPr>
      <w:b/>
    </w:rPr>
  </w:style>
  <w:style w:type="paragraph" w:customStyle="1" w:styleId="Headingi">
    <w:name w:val="Heading_i"/>
    <w:basedOn w:val="Normal"/>
    <w:next w:val="Normal"/>
    <w:rsid w:val="00831046"/>
    <w:pPr>
      <w:keepNext/>
      <w:spacing w:before="160"/>
      <w:jc w:val="left"/>
    </w:pPr>
    <w:rPr>
      <w:i/>
    </w:rPr>
  </w:style>
  <w:style w:type="paragraph" w:customStyle="1" w:styleId="LSDeadline">
    <w:name w:val="LSDeadline"/>
    <w:basedOn w:val="LSForAction"/>
    <w:next w:val="Normal"/>
    <w:qFormat/>
    <w:rPr>
      <w:bCs w:val="0"/>
    </w:rPr>
  </w:style>
  <w:style w:type="paragraph" w:customStyle="1" w:styleId="LSForAction">
    <w:name w:val="LSForAction"/>
    <w:basedOn w:val="Normal"/>
    <w:qFormat/>
    <w:rPr>
      <w:bCs/>
    </w:rPr>
  </w:style>
  <w:style w:type="paragraph" w:customStyle="1" w:styleId="LSSource">
    <w:name w:val="LSSource"/>
    <w:basedOn w:val="LSForAction"/>
    <w:next w:val="Normal"/>
    <w:qFormat/>
    <w:rPr>
      <w:rFonts w:eastAsia="Calibri"/>
      <w:bCs w:val="0"/>
    </w:rPr>
  </w:style>
  <w:style w:type="paragraph" w:customStyle="1" w:styleId="LSTitle">
    <w:name w:val="LSTitle"/>
    <w:basedOn w:val="LSForAction"/>
    <w:next w:val="Normal"/>
    <w:qFormat/>
    <w:rPr>
      <w:rFonts w:eastAsia="Calibri"/>
      <w:bCs w:val="0"/>
    </w:rPr>
  </w:style>
  <w:style w:type="paragraph" w:customStyle="1" w:styleId="Note">
    <w:name w:val="Note"/>
    <w:basedOn w:val="Normal"/>
    <w:rsid w:val="00831046"/>
    <w:pPr>
      <w:spacing w:before="80"/>
    </w:pPr>
    <w:rPr>
      <w:sz w:val="22"/>
    </w:rPr>
  </w:style>
  <w:style w:type="paragraph" w:customStyle="1" w:styleId="RecNo">
    <w:name w:val="Rec_No"/>
    <w:basedOn w:val="Normal"/>
    <w:next w:val="Rectitle"/>
    <w:rsid w:val="00831046"/>
    <w:pPr>
      <w:keepNext/>
      <w:keepLines/>
      <w:spacing w:before="0"/>
      <w:jc w:val="left"/>
    </w:pPr>
    <w:rPr>
      <w:b/>
      <w:sz w:val="28"/>
    </w:rPr>
  </w:style>
  <w:style w:type="paragraph" w:customStyle="1" w:styleId="Rectitle">
    <w:name w:val="Rec_title"/>
    <w:basedOn w:val="Normal"/>
    <w:next w:val="Normalaftertitle"/>
    <w:rsid w:val="00831046"/>
    <w:pPr>
      <w:keepNext/>
      <w:keepLines/>
      <w:spacing w:before="360"/>
      <w:jc w:val="center"/>
    </w:pPr>
    <w:rPr>
      <w:b/>
      <w:sz w:val="28"/>
    </w:rPr>
  </w:style>
  <w:style w:type="paragraph" w:customStyle="1" w:styleId="Reftext">
    <w:name w:val="Ref_text"/>
    <w:basedOn w:val="Normal"/>
    <w:rsid w:val="00831046"/>
    <w:pPr>
      <w:ind w:left="794" w:hanging="794"/>
      <w:jc w:val="left"/>
    </w:pPr>
  </w:style>
  <w:style w:type="paragraph" w:customStyle="1" w:styleId="Normalbeforetable">
    <w:name w:val="Normal before table"/>
    <w:basedOn w:val="Normal"/>
    <w:qFormat/>
    <w:pPr>
      <w:keepNext/>
      <w:spacing w:after="120"/>
    </w:pPr>
    <w:rPr>
      <w:rFonts w:eastAsia="????"/>
    </w:rPr>
  </w:style>
  <w:style w:type="paragraph" w:customStyle="1" w:styleId="Tablehead">
    <w:name w:val="Table_head"/>
    <w:basedOn w:val="Normal"/>
    <w:next w:val="Tabletext"/>
    <w:rsid w:val="00831046"/>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83104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text">
    <w:name w:val="Table_text"/>
    <w:basedOn w:val="Normal"/>
    <w:rsid w:val="00831046"/>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Headingib">
    <w:name w:val="Heading_ib"/>
    <w:basedOn w:val="Headingi"/>
    <w:next w:val="Normal"/>
    <w:qFormat/>
    <w:rPr>
      <w:b/>
      <w:bCs/>
    </w:rPr>
  </w:style>
  <w:style w:type="paragraph" w:customStyle="1" w:styleId="References">
    <w:name w:val="References"/>
    <w:basedOn w:val="Normal"/>
    <w:qFormat/>
    <w:pPr>
      <w:widowControl w:val="0"/>
      <w:numPr>
        <w:numId w:val="12"/>
      </w:numPr>
    </w:pPr>
    <w:rPr>
      <w:lang w:eastAsia="zh-CN"/>
    </w:rPr>
  </w:style>
  <w:style w:type="paragraph" w:customStyle="1" w:styleId="NormalITU">
    <w:name w:val="Normal_ITU"/>
    <w:basedOn w:val="Normal"/>
    <w:qFormat/>
    <w:rPr>
      <w:rFonts w:eastAsiaTheme="minorHAnsi" w:cs="Arial"/>
      <w:lang w:val="en-US"/>
    </w:rPr>
  </w:style>
  <w:style w:type="paragraph" w:customStyle="1" w:styleId="Figurelegend">
    <w:name w:val="Figure_legend"/>
    <w:basedOn w:val="Normal"/>
    <w:rsid w:val="00831046"/>
    <w:pPr>
      <w:keepNext/>
      <w:keepLines/>
      <w:tabs>
        <w:tab w:val="clear" w:pos="794"/>
        <w:tab w:val="clear" w:pos="1191"/>
        <w:tab w:val="clear" w:pos="1588"/>
        <w:tab w:val="clear" w:pos="1985"/>
      </w:tabs>
      <w:spacing w:before="20" w:after="20"/>
      <w:jc w:val="left"/>
    </w:pPr>
    <w:rPr>
      <w:sz w:val="18"/>
    </w:rPr>
  </w:style>
  <w:style w:type="paragraph" w:customStyle="1" w:styleId="Title1">
    <w:name w:val="Title 1"/>
    <w:basedOn w:val="Source"/>
    <w:next w:val="Title2"/>
    <w:rsid w:val="00831046"/>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831046"/>
  </w:style>
  <w:style w:type="paragraph" w:customStyle="1" w:styleId="Title3">
    <w:name w:val="Title 3"/>
    <w:basedOn w:val="Title2"/>
    <w:next w:val="Title4"/>
    <w:rsid w:val="00831046"/>
    <w:rPr>
      <w:caps w:val="0"/>
    </w:rPr>
  </w:style>
  <w:style w:type="paragraph" w:customStyle="1" w:styleId="Title4">
    <w:name w:val="Title 4"/>
    <w:basedOn w:val="Title3"/>
    <w:next w:val="Heading1"/>
    <w:rsid w:val="00831046"/>
    <w:rPr>
      <w:b/>
    </w:rPr>
  </w:style>
  <w:style w:type="paragraph" w:customStyle="1" w:styleId="Formal">
    <w:name w:val="Formal"/>
    <w:basedOn w:val="ASN1"/>
    <w:rsid w:val="00831046"/>
    <w:rPr>
      <w:b w:val="0"/>
    </w:rPr>
  </w:style>
  <w:style w:type="paragraph" w:customStyle="1" w:styleId="Docnumber">
    <w:name w:val="Docnumber"/>
    <w:basedOn w:val="Normal"/>
    <w:link w:val="DocnumberChar"/>
    <w:qFormat/>
    <w:pPr>
      <w:jc w:val="right"/>
    </w:pPr>
    <w:rPr>
      <w:rFonts w:eastAsia="SimSun"/>
      <w:b/>
      <w:sz w:val="32"/>
    </w:rPr>
  </w:style>
  <w:style w:type="character" w:customStyle="1" w:styleId="DocnumberChar">
    <w:name w:val="Docnumber Char"/>
    <w:link w:val="Docnumber"/>
    <w:qFormat/>
    <w:rPr>
      <w:rFonts w:eastAsia="SimSun"/>
      <w:b/>
      <w:sz w:val="32"/>
      <w:lang w:val="en-GB"/>
    </w:rPr>
  </w:style>
  <w:style w:type="character" w:customStyle="1" w:styleId="HeaderChar">
    <w:name w:val="Header Char"/>
    <w:basedOn w:val="DefaultParagraphFont"/>
    <w:link w:val="Header"/>
    <w:qFormat/>
    <w:rPr>
      <w:rFonts w:eastAsia="Times New Roman"/>
      <w:sz w:val="18"/>
      <w:lang w:val="en-GB" w:eastAsia="en-US"/>
    </w:rPr>
  </w:style>
  <w:style w:type="character" w:customStyle="1" w:styleId="ReftextArial9pt">
    <w:name w:val="Ref_text Arial 9 pt"/>
    <w:qFormat/>
    <w:rPr>
      <w:rFonts w:ascii="Arial" w:hAnsi="Arial" w:cs="Arial"/>
      <w:sz w:val="18"/>
      <w:szCs w:val="18"/>
    </w:rPr>
  </w:style>
  <w:style w:type="paragraph" w:customStyle="1" w:styleId="LSForComment">
    <w:name w:val="LSForComment"/>
    <w:basedOn w:val="LSForAction"/>
    <w:next w:val="Normal"/>
    <w:qFormat/>
  </w:style>
  <w:style w:type="paragraph" w:customStyle="1" w:styleId="LSForInfo">
    <w:name w:val="LSForInfo"/>
    <w:basedOn w:val="LSForAction"/>
    <w:next w:val="Normal"/>
    <w:qFormat/>
  </w:style>
  <w:style w:type="character" w:styleId="PlaceholderText">
    <w:name w:val="Placeholder Text"/>
    <w:uiPriority w:val="99"/>
    <w:semiHidden/>
    <w:qFormat/>
    <w:rPr>
      <w:rFonts w:ascii="Times New Roman" w:hAnsi="Times New Roman"/>
      <w:color w:val="808080"/>
    </w:rPr>
  </w:style>
  <w:style w:type="paragraph" w:customStyle="1" w:styleId="enumlev1">
    <w:name w:val="enumlev1"/>
    <w:basedOn w:val="Normal"/>
    <w:rsid w:val="00831046"/>
    <w:pPr>
      <w:spacing w:before="80"/>
      <w:ind w:left="794" w:hanging="794"/>
    </w:pPr>
  </w:style>
  <w:style w:type="character" w:customStyle="1" w:styleId="FooterChar">
    <w:name w:val="Footer Char"/>
    <w:basedOn w:val="DefaultParagraphFont"/>
    <w:link w:val="Footer"/>
    <w:qFormat/>
    <w:rPr>
      <w:rFonts w:eastAsia="Times New Roman"/>
      <w:caps/>
      <w:noProof/>
      <w:sz w:val="16"/>
      <w:lang w:val="en-GB" w:eastAsia="en-US"/>
    </w:rPr>
  </w:style>
  <w:style w:type="character" w:customStyle="1" w:styleId="FootnoteTextChar">
    <w:name w:val="Footnote Text Char"/>
    <w:basedOn w:val="DefaultParagraphFont"/>
    <w:link w:val="FootnoteText"/>
    <w:semiHidden/>
    <w:qFormat/>
    <w:rPr>
      <w:rFonts w:eastAsia="Times New Roman"/>
      <w:sz w:val="22"/>
      <w:lang w:val="en-GB" w:eastAsia="en-US"/>
    </w:rPr>
  </w:style>
  <w:style w:type="character" w:customStyle="1" w:styleId="BalloonTextChar">
    <w:name w:val="Balloon Text Char"/>
    <w:basedOn w:val="DefaultParagraphFont"/>
    <w:link w:val="BalloonText"/>
    <w:rsid w:val="00831046"/>
    <w:rPr>
      <w:rFonts w:ascii="Tahoma" w:eastAsia="Times New Roman" w:hAnsi="Tahoma" w:cs="Tahoma"/>
      <w:sz w:val="16"/>
      <w:szCs w:val="16"/>
      <w:lang w:val="en-GB" w:eastAsia="en-US"/>
    </w:rPr>
  </w:style>
  <w:style w:type="character" w:customStyle="1" w:styleId="BodyTextChar">
    <w:name w:val="Body Text Char"/>
    <w:basedOn w:val="DefaultParagraphFont"/>
    <w:link w:val="BodyText"/>
    <w:uiPriority w:val="1"/>
    <w:rsid w:val="00831046"/>
    <w:rPr>
      <w:rFonts w:ascii="Avenir Next W1G Medium" w:eastAsia="Avenir Next W1G Medium" w:hAnsi="Avenir Next W1G Medium" w:cs="Avenir Next W1G Medium"/>
      <w:b/>
      <w:bCs/>
      <w:sz w:val="48"/>
      <w:szCs w:val="48"/>
      <w:lang w:eastAsia="en-US"/>
    </w:rPr>
  </w:style>
  <w:style w:type="character" w:customStyle="1" w:styleId="BodyText2Char">
    <w:name w:val="Body Text 2 Char"/>
    <w:basedOn w:val="DefaultParagraphFont"/>
    <w:link w:val="BodyText2"/>
    <w:uiPriority w:val="99"/>
    <w:semiHidden/>
    <w:qFormat/>
    <w:rPr>
      <w:rFonts w:eastAsiaTheme="minorHAnsi"/>
      <w:sz w:val="24"/>
      <w:szCs w:val="24"/>
      <w:lang w:val="en-GB" w:eastAsia="ja-JP"/>
    </w:rPr>
  </w:style>
  <w:style w:type="character" w:customStyle="1" w:styleId="BodyText3Char">
    <w:name w:val="Body Text 3 Char"/>
    <w:basedOn w:val="DefaultParagraphFont"/>
    <w:link w:val="BodyText3"/>
    <w:uiPriority w:val="99"/>
    <w:semiHidden/>
    <w:qFormat/>
    <w:rPr>
      <w:rFonts w:eastAsiaTheme="minorHAnsi"/>
      <w:sz w:val="16"/>
      <w:szCs w:val="16"/>
      <w:lang w:val="en-GB" w:eastAsia="ja-JP"/>
    </w:rPr>
  </w:style>
  <w:style w:type="character" w:customStyle="1" w:styleId="BodyTextFirstIndentChar">
    <w:name w:val="Body Text First Indent Char"/>
    <w:basedOn w:val="BodyTextChar"/>
    <w:link w:val="BodyTextFirstIndent"/>
    <w:uiPriority w:val="99"/>
    <w:semiHidden/>
    <w:qFormat/>
    <w:rPr>
      <w:rFonts w:ascii="Avenir Next W1G Medium" w:eastAsiaTheme="minorHAnsi" w:hAnsi="Avenir Next W1G Medium" w:cs="Avenir Next W1G Medium"/>
      <w:b/>
      <w:bCs/>
      <w:sz w:val="24"/>
      <w:szCs w:val="24"/>
      <w:lang w:val="en-GB" w:eastAsia="ja-JP"/>
    </w:rPr>
  </w:style>
  <w:style w:type="character" w:customStyle="1" w:styleId="BodyTextIndentChar">
    <w:name w:val="Body Text Indent Char"/>
    <w:basedOn w:val="DefaultParagraphFont"/>
    <w:link w:val="BodyTextIndent"/>
    <w:uiPriority w:val="99"/>
    <w:semiHidden/>
    <w:qFormat/>
    <w:rPr>
      <w:rFonts w:eastAsiaTheme="minorHAnsi"/>
      <w:sz w:val="24"/>
      <w:szCs w:val="24"/>
      <w:lang w:val="en-GB" w:eastAsia="ja-JP"/>
    </w:rPr>
  </w:style>
  <w:style w:type="character" w:customStyle="1" w:styleId="BodyTextFirstIndent2Char">
    <w:name w:val="Body Text First Indent 2 Char"/>
    <w:basedOn w:val="BodyTextIndentChar"/>
    <w:link w:val="BodyTextFirstIndent2"/>
    <w:uiPriority w:val="99"/>
    <w:semiHidden/>
    <w:qFormat/>
    <w:rPr>
      <w:rFonts w:eastAsiaTheme="minorHAnsi"/>
      <w:sz w:val="24"/>
      <w:szCs w:val="24"/>
      <w:lang w:val="en-GB" w:eastAsia="ja-JP"/>
    </w:rPr>
  </w:style>
  <w:style w:type="character" w:customStyle="1" w:styleId="BodyTextIndent2Char">
    <w:name w:val="Body Text Indent 2 Char"/>
    <w:basedOn w:val="DefaultParagraphFont"/>
    <w:link w:val="BodyTextIndent2"/>
    <w:uiPriority w:val="99"/>
    <w:semiHidden/>
    <w:qFormat/>
    <w:rPr>
      <w:rFonts w:eastAsiaTheme="minorHAnsi"/>
      <w:sz w:val="24"/>
      <w:szCs w:val="24"/>
      <w:lang w:val="en-GB" w:eastAsia="ja-JP"/>
    </w:rPr>
  </w:style>
  <w:style w:type="character" w:customStyle="1" w:styleId="BodyTextIndent3Char">
    <w:name w:val="Body Text Indent 3 Char"/>
    <w:basedOn w:val="DefaultParagraphFont"/>
    <w:link w:val="BodyTextIndent3"/>
    <w:uiPriority w:val="99"/>
    <w:semiHidden/>
    <w:qFormat/>
    <w:rPr>
      <w:rFonts w:eastAsiaTheme="minorHAnsi"/>
      <w:sz w:val="16"/>
      <w:szCs w:val="16"/>
      <w:lang w:val="en-GB" w:eastAsia="ja-JP"/>
    </w:rPr>
  </w:style>
  <w:style w:type="character" w:customStyle="1" w:styleId="ClosingChar">
    <w:name w:val="Closing Char"/>
    <w:basedOn w:val="DefaultParagraphFont"/>
    <w:link w:val="Closing"/>
    <w:uiPriority w:val="99"/>
    <w:semiHidden/>
    <w:qFormat/>
    <w:rPr>
      <w:rFonts w:eastAsiaTheme="minorHAnsi"/>
      <w:sz w:val="24"/>
      <w:szCs w:val="24"/>
      <w:lang w:val="en-GB" w:eastAsia="ja-JP"/>
    </w:rPr>
  </w:style>
  <w:style w:type="character" w:customStyle="1" w:styleId="CommentTextChar">
    <w:name w:val="Comment Text Char"/>
    <w:basedOn w:val="DefaultParagraphFont"/>
    <w:link w:val="CommentText"/>
    <w:semiHidden/>
    <w:qFormat/>
    <w:rPr>
      <w:rFonts w:eastAsia="Times New Roman"/>
      <w:lang w:eastAsia="en-US"/>
    </w:rPr>
  </w:style>
  <w:style w:type="character" w:customStyle="1" w:styleId="CommentSubjectChar">
    <w:name w:val="Comment Subject Char"/>
    <w:basedOn w:val="CommentTextChar"/>
    <w:link w:val="CommentSubject"/>
    <w:uiPriority w:val="99"/>
    <w:semiHidden/>
    <w:qFormat/>
    <w:rPr>
      <w:rFonts w:eastAsiaTheme="minorHAnsi"/>
      <w:b/>
      <w:bCs/>
      <w:lang w:val="en-GB" w:eastAsia="ja-JP"/>
    </w:rPr>
  </w:style>
  <w:style w:type="character" w:customStyle="1" w:styleId="DateChar">
    <w:name w:val="Date Char"/>
    <w:basedOn w:val="DefaultParagraphFont"/>
    <w:link w:val="Date"/>
    <w:uiPriority w:val="99"/>
    <w:semiHidden/>
    <w:qFormat/>
    <w:rPr>
      <w:rFonts w:eastAsiaTheme="minorHAnsi"/>
      <w:sz w:val="24"/>
      <w:szCs w:val="24"/>
      <w:lang w:val="en-GB" w:eastAsia="ja-JP"/>
    </w:rPr>
  </w:style>
  <w:style w:type="character" w:customStyle="1" w:styleId="DocumentMapChar">
    <w:name w:val="Document Map Char"/>
    <w:basedOn w:val="DefaultParagraphFont"/>
    <w:link w:val="DocumentMap"/>
    <w:uiPriority w:val="99"/>
    <w:semiHidden/>
    <w:qFormat/>
    <w:rPr>
      <w:rFonts w:ascii="Segoe UI" w:eastAsiaTheme="minorHAnsi" w:hAnsi="Segoe UI" w:cs="Segoe UI"/>
      <w:sz w:val="16"/>
      <w:szCs w:val="16"/>
      <w:lang w:val="en-GB" w:eastAsia="ja-JP"/>
    </w:rPr>
  </w:style>
  <w:style w:type="character" w:customStyle="1" w:styleId="E-mailSignatureChar">
    <w:name w:val="E-mail Signature Char"/>
    <w:basedOn w:val="DefaultParagraphFont"/>
    <w:link w:val="E-mailSignature"/>
    <w:uiPriority w:val="99"/>
    <w:semiHidden/>
    <w:qFormat/>
    <w:rPr>
      <w:rFonts w:eastAsiaTheme="minorHAnsi"/>
      <w:sz w:val="24"/>
      <w:szCs w:val="24"/>
      <w:lang w:val="en-GB" w:eastAsia="ja-JP"/>
    </w:rPr>
  </w:style>
  <w:style w:type="character" w:customStyle="1" w:styleId="EndnoteTextChar">
    <w:name w:val="Endnote Text Char"/>
    <w:basedOn w:val="DefaultParagraphFont"/>
    <w:link w:val="EndnoteText"/>
    <w:uiPriority w:val="99"/>
    <w:semiHidden/>
    <w:qFormat/>
    <w:rPr>
      <w:rFonts w:eastAsiaTheme="minorHAnsi"/>
      <w:lang w:val="en-GB" w:eastAsia="ja-JP"/>
    </w:rPr>
  </w:style>
  <w:style w:type="character" w:customStyle="1" w:styleId="Hashtag1">
    <w:name w:val="Hashtag1"/>
    <w:basedOn w:val="DefaultParagraphFont"/>
    <w:uiPriority w:val="99"/>
    <w:semiHidden/>
    <w:unhideWhenUsed/>
    <w:qFormat/>
    <w:rPr>
      <w:color w:val="2B579A"/>
      <w:shd w:val="clear" w:color="auto" w:fill="E6E6E6"/>
    </w:rPr>
  </w:style>
  <w:style w:type="character" w:customStyle="1" w:styleId="HTMLAddressChar">
    <w:name w:val="HTML Address Char"/>
    <w:basedOn w:val="DefaultParagraphFont"/>
    <w:link w:val="HTMLAddress"/>
    <w:uiPriority w:val="99"/>
    <w:semiHidden/>
    <w:qFormat/>
    <w:rPr>
      <w:rFonts w:eastAsiaTheme="minorHAnsi"/>
      <w:i/>
      <w:iCs/>
      <w:sz w:val="24"/>
      <w:szCs w:val="24"/>
      <w:lang w:val="en-GB" w:eastAsia="ja-JP"/>
    </w:rPr>
  </w:style>
  <w:style w:type="character" w:customStyle="1" w:styleId="HTMLPreformattedChar">
    <w:name w:val="HTML Preformatted Char"/>
    <w:basedOn w:val="DefaultParagraphFont"/>
    <w:link w:val="HTMLPreformatted"/>
    <w:uiPriority w:val="99"/>
    <w:semiHidden/>
    <w:qFormat/>
    <w:rPr>
      <w:rFonts w:ascii="Consolas" w:eastAsiaTheme="minorHAnsi" w:hAnsi="Consolas"/>
      <w:lang w:val="en-GB" w:eastAsia="ja-JP"/>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rFonts w:eastAsiaTheme="minorHAnsi"/>
      <w:i/>
      <w:iCs/>
      <w:color w:val="5B9BD5" w:themeColor="accent1"/>
    </w:rPr>
  </w:style>
  <w:style w:type="character" w:customStyle="1" w:styleId="IntenseQuoteChar">
    <w:name w:val="Intense Quote Char"/>
    <w:basedOn w:val="DefaultParagraphFont"/>
    <w:link w:val="IntenseQuote"/>
    <w:uiPriority w:val="30"/>
    <w:qFormat/>
    <w:rPr>
      <w:rFonts w:eastAsiaTheme="minorHAnsi"/>
      <w:i/>
      <w:iCs/>
      <w:color w:val="5B9BD5" w:themeColor="accent1"/>
      <w:sz w:val="24"/>
      <w:szCs w:val="24"/>
      <w:lang w:val="en-GB" w:eastAsia="ja-JP"/>
    </w:rPr>
  </w:style>
  <w:style w:type="paragraph" w:styleId="ListParagraph">
    <w:name w:val="List Paragraph"/>
    <w:basedOn w:val="Normal"/>
    <w:uiPriority w:val="34"/>
    <w:qFormat/>
    <w:pPr>
      <w:ind w:left="720"/>
      <w:contextualSpacing/>
    </w:pPr>
    <w:rPr>
      <w:rFonts w:eastAsiaTheme="minorHAnsi"/>
    </w:rPr>
  </w:style>
  <w:style w:type="character" w:customStyle="1" w:styleId="MacroTextChar">
    <w:name w:val="Macro Text Char"/>
    <w:basedOn w:val="DefaultParagraphFont"/>
    <w:link w:val="MacroText"/>
    <w:uiPriority w:val="99"/>
    <w:semiHidden/>
    <w:qFormat/>
    <w:rPr>
      <w:rFonts w:ascii="Consolas" w:eastAsiaTheme="minorHAnsi" w:hAnsi="Consolas"/>
      <w:lang w:val="en-GB" w:eastAsia="ja-JP"/>
    </w:rPr>
  </w:style>
  <w:style w:type="character" w:customStyle="1" w:styleId="Mention1">
    <w:name w:val="Mention1"/>
    <w:basedOn w:val="DefaultParagraphFont"/>
    <w:uiPriority w:val="99"/>
    <w:semiHidden/>
    <w:unhideWhenUsed/>
    <w:qFormat/>
    <w:rPr>
      <w:color w:val="2B579A"/>
      <w:shd w:val="clear" w:color="auto" w:fill="E6E6E6"/>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qFormat/>
    <w:rPr>
      <w:rFonts w:eastAsiaTheme="minorHAnsi"/>
      <w:sz w:val="24"/>
      <w:szCs w:val="24"/>
      <w:lang w:val="en-GB" w:eastAsia="ja-JP"/>
    </w:rPr>
  </w:style>
  <w:style w:type="character" w:customStyle="1" w:styleId="NoteHeadingChar">
    <w:name w:val="Note Heading Char"/>
    <w:basedOn w:val="DefaultParagraphFont"/>
    <w:link w:val="NoteHeading"/>
    <w:uiPriority w:val="99"/>
    <w:semiHidden/>
    <w:qFormat/>
    <w:rPr>
      <w:rFonts w:eastAsiaTheme="minorHAnsi"/>
      <w:sz w:val="24"/>
      <w:szCs w:val="24"/>
      <w:lang w:val="en-GB" w:eastAsia="ja-JP"/>
    </w:rPr>
  </w:style>
  <w:style w:type="character" w:customStyle="1" w:styleId="PlainTextChar">
    <w:name w:val="Plain Text Char"/>
    <w:basedOn w:val="DefaultParagraphFont"/>
    <w:link w:val="PlainText"/>
    <w:uiPriority w:val="99"/>
    <w:semiHidden/>
    <w:qFormat/>
    <w:rPr>
      <w:rFonts w:ascii="Consolas" w:eastAsiaTheme="minorHAnsi" w:hAnsi="Consolas"/>
      <w:sz w:val="21"/>
      <w:szCs w:val="21"/>
      <w:lang w:val="en-GB" w:eastAsia="ja-JP"/>
    </w:rPr>
  </w:style>
  <w:style w:type="paragraph" w:styleId="Quote">
    <w:name w:val="Quote"/>
    <w:basedOn w:val="Normal"/>
    <w:next w:val="Normal"/>
    <w:link w:val="QuoteChar"/>
    <w:uiPriority w:val="29"/>
    <w:qFormat/>
    <w:pPr>
      <w:spacing w:before="200" w:after="160"/>
      <w:ind w:left="864" w:right="864"/>
      <w:jc w:val="center"/>
    </w:pPr>
    <w:rPr>
      <w:rFonts w:eastAsiaTheme="minorHAnsi"/>
      <w:i/>
      <w:iCs/>
      <w:color w:val="404040" w:themeColor="text1" w:themeTint="BF"/>
    </w:rPr>
  </w:style>
  <w:style w:type="character" w:customStyle="1" w:styleId="QuoteChar">
    <w:name w:val="Quote Char"/>
    <w:basedOn w:val="DefaultParagraphFont"/>
    <w:link w:val="Quote"/>
    <w:uiPriority w:val="29"/>
    <w:qFormat/>
    <w:rPr>
      <w:rFonts w:eastAsiaTheme="minorHAnsi"/>
      <w:i/>
      <w:iCs/>
      <w:color w:val="404040" w:themeColor="text1" w:themeTint="BF"/>
      <w:sz w:val="24"/>
      <w:szCs w:val="24"/>
      <w:lang w:val="en-GB" w:eastAsia="ja-JP"/>
    </w:rPr>
  </w:style>
  <w:style w:type="character" w:customStyle="1" w:styleId="SalutationChar">
    <w:name w:val="Salutation Char"/>
    <w:basedOn w:val="DefaultParagraphFont"/>
    <w:link w:val="Salutation"/>
    <w:uiPriority w:val="99"/>
    <w:semiHidden/>
    <w:qFormat/>
    <w:rPr>
      <w:rFonts w:eastAsiaTheme="minorHAnsi"/>
      <w:sz w:val="24"/>
      <w:szCs w:val="24"/>
      <w:lang w:val="en-GB" w:eastAsia="ja-JP"/>
    </w:rPr>
  </w:style>
  <w:style w:type="character" w:customStyle="1" w:styleId="SignatureChar">
    <w:name w:val="Signature Char"/>
    <w:basedOn w:val="DefaultParagraphFont"/>
    <w:link w:val="Signature"/>
    <w:uiPriority w:val="99"/>
    <w:semiHidden/>
    <w:qFormat/>
    <w:rPr>
      <w:rFonts w:eastAsiaTheme="minorHAnsi"/>
      <w:sz w:val="24"/>
      <w:szCs w:val="24"/>
      <w:lang w:val="en-GB" w:eastAsia="ja-JP"/>
    </w:rPr>
  </w:style>
  <w:style w:type="character" w:customStyle="1" w:styleId="SmartHyperlink1">
    <w:name w:val="Smart Hyperlink1"/>
    <w:basedOn w:val="DefaultParagraphFont"/>
    <w:uiPriority w:val="99"/>
    <w:semiHidden/>
    <w:unhideWhenUsed/>
    <w:qFormat/>
    <w:rPr>
      <w:u w:val="dotted"/>
    </w:rPr>
  </w:style>
  <w:style w:type="character" w:customStyle="1" w:styleId="SubtitleChar">
    <w:name w:val="Subtitle Char"/>
    <w:basedOn w:val="DefaultParagraphFont"/>
    <w:link w:val="Subtitle"/>
    <w:uiPriority w:val="11"/>
    <w:qFormat/>
    <w:rPr>
      <w:rFonts w:asciiTheme="minorHAnsi" w:eastAsiaTheme="minorEastAsia" w:hAnsiTheme="minorHAnsi" w:cstheme="minorBidi"/>
      <w:color w:val="595959" w:themeColor="text1" w:themeTint="A6"/>
      <w:spacing w:val="15"/>
      <w:sz w:val="22"/>
      <w:szCs w:val="22"/>
      <w:lang w:val="en-GB" w:eastAsia="ja-JP"/>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eastAsia="ja-JP"/>
    </w:rPr>
  </w:style>
  <w:style w:type="character" w:customStyle="1" w:styleId="UnresolvedMention1">
    <w:name w:val="Unresolved Mention1"/>
    <w:basedOn w:val="DefaultParagraphFont"/>
    <w:uiPriority w:val="99"/>
    <w:semiHidden/>
    <w:unhideWhenUsed/>
    <w:qFormat/>
    <w:rPr>
      <w:color w:val="808080"/>
      <w:shd w:val="clear" w:color="auto" w:fill="E6E6E6"/>
    </w:rPr>
  </w:style>
  <w:style w:type="paragraph" w:customStyle="1" w:styleId="AnnexNoTitle">
    <w:name w:val="Annex_NoTitle"/>
    <w:basedOn w:val="Normal"/>
    <w:next w:val="Normalaftertitle"/>
    <w:rsid w:val="00831046"/>
    <w:pPr>
      <w:keepNext/>
      <w:keepLines/>
      <w:spacing w:before="720"/>
      <w:jc w:val="center"/>
      <w:outlineLvl w:val="0"/>
    </w:pPr>
    <w:rPr>
      <w:b/>
      <w:sz w:val="28"/>
    </w:rPr>
  </w:style>
  <w:style w:type="paragraph" w:customStyle="1" w:styleId="1">
    <w:name w:val="修订1"/>
    <w:hidden/>
    <w:uiPriority w:val="99"/>
    <w:semiHidden/>
    <w:qFormat/>
    <w:rPr>
      <w:rFonts w:eastAsia="MS Mincho"/>
      <w:sz w:val="24"/>
      <w:szCs w:val="24"/>
      <w:lang w:val="en-GB" w:eastAsia="ja-JP"/>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11">
    <w:name w:val="修订11"/>
    <w:hidden/>
    <w:uiPriority w:val="99"/>
    <w:semiHidden/>
    <w:qFormat/>
    <w:rPr>
      <w:rFonts w:eastAsia="MS Mincho"/>
      <w:sz w:val="24"/>
      <w:szCs w:val="24"/>
      <w:lang w:val="en-GB" w:eastAsia="ja-JP"/>
    </w:rPr>
  </w:style>
  <w:style w:type="paragraph" w:customStyle="1" w:styleId="2">
    <w:name w:val="修订2"/>
    <w:hidden/>
    <w:uiPriority w:val="99"/>
    <w:semiHidden/>
    <w:qFormat/>
    <w:rPr>
      <w:rFonts w:eastAsia="MS Mincho"/>
      <w:sz w:val="24"/>
      <w:szCs w:val="24"/>
      <w:lang w:val="en-GB" w:eastAsia="ja-JP"/>
    </w:rPr>
  </w:style>
  <w:style w:type="paragraph" w:customStyle="1" w:styleId="3">
    <w:name w:val="修订3"/>
    <w:hidden/>
    <w:uiPriority w:val="99"/>
    <w:unhideWhenUsed/>
    <w:qFormat/>
    <w:rPr>
      <w:rFonts w:eastAsia="MS Mincho"/>
      <w:sz w:val="24"/>
      <w:szCs w:val="24"/>
      <w:lang w:val="en-GB" w:eastAsia="ja-JP"/>
    </w:rPr>
  </w:style>
  <w:style w:type="paragraph" w:customStyle="1" w:styleId="4">
    <w:name w:val="修订4"/>
    <w:hidden/>
    <w:uiPriority w:val="99"/>
    <w:semiHidden/>
    <w:rPr>
      <w:rFonts w:eastAsia="MS Mincho"/>
      <w:sz w:val="24"/>
      <w:szCs w:val="24"/>
      <w:lang w:val="en-GB" w:eastAsia="ja-JP"/>
    </w:rPr>
  </w:style>
  <w:style w:type="character" w:customStyle="1" w:styleId="fontstyle01">
    <w:name w:val="fontstyle01"/>
    <w:basedOn w:val="DefaultParagraphFont"/>
    <w:rsid w:val="00CB4EB8"/>
    <w:rPr>
      <w:rFonts w:ascii="TimesNewRomanPSMT" w:hAnsi="TimesNewRomanPSMT" w:hint="default"/>
      <w:b w:val="0"/>
      <w:bCs w:val="0"/>
      <w:i w:val="0"/>
      <w:iCs w:val="0"/>
      <w:color w:val="000000"/>
      <w:sz w:val="20"/>
      <w:szCs w:val="20"/>
    </w:rPr>
  </w:style>
  <w:style w:type="paragraph" w:styleId="Revision">
    <w:name w:val="Revision"/>
    <w:hidden/>
    <w:uiPriority w:val="99"/>
    <w:semiHidden/>
    <w:rsid w:val="00063FF1"/>
    <w:rPr>
      <w:rFonts w:eastAsia="MS Mincho"/>
      <w:sz w:val="24"/>
      <w:szCs w:val="24"/>
      <w:lang w:val="en-GB" w:eastAsia="ja-JP"/>
    </w:rPr>
  </w:style>
  <w:style w:type="paragraph" w:customStyle="1" w:styleId="toc0">
    <w:name w:val="toc 0"/>
    <w:basedOn w:val="Normal"/>
    <w:next w:val="TOC1"/>
    <w:rsid w:val="00831046"/>
    <w:pPr>
      <w:keepLines/>
      <w:tabs>
        <w:tab w:val="clear" w:pos="794"/>
        <w:tab w:val="clear" w:pos="1191"/>
        <w:tab w:val="clear" w:pos="1588"/>
        <w:tab w:val="clear" w:pos="1985"/>
        <w:tab w:val="right" w:pos="9639"/>
      </w:tabs>
      <w:jc w:val="left"/>
    </w:pPr>
    <w:rPr>
      <w:b/>
    </w:rPr>
  </w:style>
  <w:style w:type="paragraph" w:customStyle="1" w:styleId="Normalaftertitle">
    <w:name w:val="Normal_after_title"/>
    <w:basedOn w:val="Normal"/>
    <w:next w:val="Normal"/>
    <w:rsid w:val="00831046"/>
    <w:pPr>
      <w:spacing w:before="360"/>
    </w:pPr>
  </w:style>
  <w:style w:type="paragraph" w:customStyle="1" w:styleId="Default">
    <w:name w:val="Default"/>
    <w:rsid w:val="00831046"/>
    <w:pPr>
      <w:autoSpaceDE w:val="0"/>
      <w:autoSpaceDN w:val="0"/>
      <w:adjustRightInd w:val="0"/>
    </w:pPr>
    <w:rPr>
      <w:rFonts w:eastAsia="Times New Roman"/>
      <w:color w:val="000000"/>
      <w:sz w:val="24"/>
      <w:szCs w:val="24"/>
      <w:lang w:val="en-GB"/>
    </w:rPr>
  </w:style>
  <w:style w:type="character" w:customStyle="1" w:styleId="Appdef">
    <w:name w:val="App_def"/>
    <w:basedOn w:val="DefaultParagraphFont"/>
    <w:rsid w:val="00831046"/>
    <w:rPr>
      <w:rFonts w:ascii="Times New Roman" w:hAnsi="Times New Roman"/>
      <w:b/>
    </w:rPr>
  </w:style>
  <w:style w:type="character" w:customStyle="1" w:styleId="Appref">
    <w:name w:val="App_ref"/>
    <w:basedOn w:val="DefaultParagraphFont"/>
    <w:rsid w:val="00831046"/>
  </w:style>
  <w:style w:type="paragraph" w:customStyle="1" w:styleId="AppendixNoTitle">
    <w:name w:val="Appendix_NoTitle"/>
    <w:basedOn w:val="AnnexNoTitle"/>
    <w:next w:val="Normalaftertitle"/>
    <w:rsid w:val="00831046"/>
  </w:style>
  <w:style w:type="character" w:customStyle="1" w:styleId="Artdef">
    <w:name w:val="Art_def"/>
    <w:basedOn w:val="DefaultParagraphFont"/>
    <w:rsid w:val="00831046"/>
    <w:rPr>
      <w:rFonts w:ascii="Times New Roman" w:hAnsi="Times New Roman"/>
      <w:b/>
    </w:rPr>
  </w:style>
  <w:style w:type="paragraph" w:customStyle="1" w:styleId="Artheading">
    <w:name w:val="Art_heading"/>
    <w:basedOn w:val="Normal"/>
    <w:next w:val="Normalaftertitle"/>
    <w:rsid w:val="00831046"/>
    <w:pPr>
      <w:spacing w:before="480"/>
      <w:jc w:val="center"/>
    </w:pPr>
    <w:rPr>
      <w:b/>
      <w:sz w:val="28"/>
    </w:rPr>
  </w:style>
  <w:style w:type="paragraph" w:customStyle="1" w:styleId="ArtNo">
    <w:name w:val="Art_No"/>
    <w:basedOn w:val="Normal"/>
    <w:next w:val="Normal"/>
    <w:rsid w:val="00831046"/>
    <w:pPr>
      <w:keepNext/>
      <w:keepLines/>
      <w:spacing w:before="480"/>
      <w:jc w:val="center"/>
    </w:pPr>
    <w:rPr>
      <w:caps/>
      <w:sz w:val="28"/>
    </w:rPr>
  </w:style>
  <w:style w:type="character" w:customStyle="1" w:styleId="Artref">
    <w:name w:val="Art_ref"/>
    <w:basedOn w:val="DefaultParagraphFont"/>
    <w:rsid w:val="00831046"/>
  </w:style>
  <w:style w:type="paragraph" w:customStyle="1" w:styleId="Arttitle">
    <w:name w:val="Art_title"/>
    <w:basedOn w:val="Normal"/>
    <w:next w:val="Normalaftertitle"/>
    <w:rsid w:val="00831046"/>
    <w:pPr>
      <w:keepNext/>
      <w:keepLines/>
      <w:spacing w:before="240"/>
      <w:jc w:val="center"/>
    </w:pPr>
    <w:rPr>
      <w:b/>
      <w:sz w:val="28"/>
    </w:rPr>
  </w:style>
  <w:style w:type="paragraph" w:customStyle="1" w:styleId="ASN1">
    <w:name w:val="ASN.1"/>
    <w:rsid w:val="00831046"/>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paragraph" w:customStyle="1" w:styleId="Call">
    <w:name w:val="Call"/>
    <w:basedOn w:val="Normal"/>
    <w:next w:val="Normal"/>
    <w:rsid w:val="00831046"/>
    <w:pPr>
      <w:keepNext/>
      <w:keepLines/>
      <w:spacing w:before="160"/>
      <w:ind w:left="794"/>
      <w:jc w:val="left"/>
    </w:pPr>
    <w:rPr>
      <w:i/>
    </w:rPr>
  </w:style>
  <w:style w:type="paragraph" w:customStyle="1" w:styleId="ChapNo">
    <w:name w:val="Chap_No"/>
    <w:basedOn w:val="Normal"/>
    <w:next w:val="Normal"/>
    <w:rsid w:val="00831046"/>
    <w:pPr>
      <w:keepNext/>
      <w:keepLines/>
      <w:spacing w:before="480"/>
      <w:jc w:val="center"/>
    </w:pPr>
    <w:rPr>
      <w:b/>
      <w:caps/>
      <w:sz w:val="28"/>
    </w:rPr>
  </w:style>
  <w:style w:type="paragraph" w:customStyle="1" w:styleId="Chaptitle">
    <w:name w:val="Chap_title"/>
    <w:basedOn w:val="Normal"/>
    <w:next w:val="Normalaftertitle"/>
    <w:rsid w:val="00831046"/>
    <w:pPr>
      <w:keepNext/>
      <w:keepLines/>
      <w:spacing w:before="240"/>
      <w:jc w:val="center"/>
    </w:pPr>
    <w:rPr>
      <w:b/>
      <w:sz w:val="28"/>
    </w:rPr>
  </w:style>
  <w:style w:type="paragraph" w:customStyle="1" w:styleId="enumlev2">
    <w:name w:val="enumlev2"/>
    <w:basedOn w:val="enumlev1"/>
    <w:rsid w:val="00831046"/>
    <w:pPr>
      <w:ind w:left="1191" w:hanging="397"/>
    </w:pPr>
  </w:style>
  <w:style w:type="paragraph" w:customStyle="1" w:styleId="enumlev3">
    <w:name w:val="enumlev3"/>
    <w:basedOn w:val="enumlev2"/>
    <w:rsid w:val="00831046"/>
    <w:pPr>
      <w:ind w:left="1588"/>
    </w:pPr>
  </w:style>
  <w:style w:type="paragraph" w:customStyle="1" w:styleId="Equation">
    <w:name w:val="Equation"/>
    <w:basedOn w:val="Normal"/>
    <w:rsid w:val="00831046"/>
    <w:pPr>
      <w:tabs>
        <w:tab w:val="clear" w:pos="1191"/>
        <w:tab w:val="clear" w:pos="1588"/>
        <w:tab w:val="clear" w:pos="1985"/>
        <w:tab w:val="center" w:pos="4820"/>
        <w:tab w:val="right" w:pos="9639"/>
      </w:tabs>
      <w:jc w:val="left"/>
    </w:pPr>
  </w:style>
  <w:style w:type="paragraph" w:customStyle="1" w:styleId="Equationlegend">
    <w:name w:val="Equation_legend"/>
    <w:basedOn w:val="Normal"/>
    <w:rsid w:val="00831046"/>
    <w:pPr>
      <w:tabs>
        <w:tab w:val="clear" w:pos="794"/>
        <w:tab w:val="clear" w:pos="1191"/>
        <w:tab w:val="clear" w:pos="1588"/>
        <w:tab w:val="right" w:pos="1814"/>
      </w:tabs>
      <w:spacing w:before="80"/>
      <w:ind w:left="1985" w:hanging="1985"/>
    </w:pPr>
  </w:style>
  <w:style w:type="paragraph" w:customStyle="1" w:styleId="FigureNoTitle">
    <w:name w:val="Figure_NoTitle"/>
    <w:basedOn w:val="Normal"/>
    <w:next w:val="Normalaftertitle"/>
    <w:rsid w:val="00831046"/>
    <w:pPr>
      <w:keepLines/>
      <w:spacing w:before="240" w:after="120"/>
      <w:jc w:val="center"/>
    </w:pPr>
    <w:rPr>
      <w:b/>
    </w:rPr>
  </w:style>
  <w:style w:type="paragraph" w:customStyle="1" w:styleId="Figurewithouttitle">
    <w:name w:val="Figure_without_title"/>
    <w:basedOn w:val="Normal"/>
    <w:next w:val="Normalaftertitle"/>
    <w:rsid w:val="00831046"/>
    <w:pPr>
      <w:keepLines/>
      <w:spacing w:before="240" w:after="120"/>
      <w:jc w:val="center"/>
    </w:pPr>
  </w:style>
  <w:style w:type="paragraph" w:customStyle="1" w:styleId="FirstFooter">
    <w:name w:val="FirstFooter"/>
    <w:basedOn w:val="Footer"/>
    <w:rsid w:val="00831046"/>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831046"/>
    <w:pPr>
      <w:tabs>
        <w:tab w:val="clear" w:pos="794"/>
        <w:tab w:val="clear" w:pos="1191"/>
        <w:tab w:val="clear" w:pos="1588"/>
        <w:tab w:val="clear" w:pos="1985"/>
        <w:tab w:val="left" w:pos="907"/>
        <w:tab w:val="right" w:pos="8789"/>
        <w:tab w:val="right" w:pos="9639"/>
      </w:tabs>
      <w:spacing w:before="0"/>
      <w:jc w:val="left"/>
    </w:pPr>
    <w:rPr>
      <w:b/>
      <w:sz w:val="22"/>
    </w:rPr>
  </w:style>
  <w:style w:type="character" w:customStyle="1" w:styleId="IntenseQuoteChar1">
    <w:name w:val="Intense Quote Char1"/>
    <w:basedOn w:val="DefaultParagraphFont"/>
    <w:uiPriority w:val="30"/>
    <w:rsid w:val="00831046"/>
    <w:rPr>
      <w:i/>
      <w:iCs/>
      <w:color w:val="5B9BD5" w:themeColor="accent1"/>
    </w:rPr>
  </w:style>
  <w:style w:type="paragraph" w:customStyle="1" w:styleId="PartNo">
    <w:name w:val="Part_No"/>
    <w:basedOn w:val="Normal"/>
    <w:next w:val="Normal"/>
    <w:rsid w:val="00831046"/>
    <w:pPr>
      <w:keepNext/>
      <w:keepLines/>
      <w:spacing w:before="480" w:after="80"/>
      <w:jc w:val="center"/>
    </w:pPr>
    <w:rPr>
      <w:caps/>
      <w:sz w:val="28"/>
    </w:rPr>
  </w:style>
  <w:style w:type="paragraph" w:customStyle="1" w:styleId="Partref">
    <w:name w:val="Part_ref"/>
    <w:basedOn w:val="Normal"/>
    <w:next w:val="Normal"/>
    <w:rsid w:val="00831046"/>
    <w:pPr>
      <w:keepNext/>
      <w:keepLines/>
      <w:spacing w:before="280"/>
      <w:jc w:val="center"/>
    </w:pPr>
  </w:style>
  <w:style w:type="paragraph" w:customStyle="1" w:styleId="Parttitle">
    <w:name w:val="Part_title"/>
    <w:basedOn w:val="Normal"/>
    <w:next w:val="Normalaftertitle"/>
    <w:rsid w:val="00831046"/>
    <w:pPr>
      <w:keepNext/>
      <w:keepLines/>
      <w:spacing w:before="240" w:after="280"/>
      <w:jc w:val="center"/>
    </w:pPr>
    <w:rPr>
      <w:b/>
      <w:sz w:val="28"/>
    </w:rPr>
  </w:style>
  <w:style w:type="paragraph" w:customStyle="1" w:styleId="Recdate">
    <w:name w:val="Rec_date"/>
    <w:basedOn w:val="Normal"/>
    <w:next w:val="Normalaftertitle"/>
    <w:rsid w:val="00831046"/>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831046"/>
  </w:style>
  <w:style w:type="paragraph" w:customStyle="1" w:styleId="QuestionNo">
    <w:name w:val="Question_No"/>
    <w:basedOn w:val="RecNo"/>
    <w:next w:val="Normal"/>
    <w:rsid w:val="00831046"/>
  </w:style>
  <w:style w:type="paragraph" w:customStyle="1" w:styleId="Recref">
    <w:name w:val="Rec_ref"/>
    <w:basedOn w:val="Normal"/>
    <w:next w:val="Recdate"/>
    <w:rsid w:val="00831046"/>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831046"/>
  </w:style>
  <w:style w:type="paragraph" w:customStyle="1" w:styleId="Questiontitle">
    <w:name w:val="Question_title"/>
    <w:basedOn w:val="Rectitle"/>
    <w:next w:val="Questionref"/>
    <w:rsid w:val="00831046"/>
  </w:style>
  <w:style w:type="paragraph" w:customStyle="1" w:styleId="Reftitle">
    <w:name w:val="Ref_title"/>
    <w:basedOn w:val="Normal"/>
    <w:next w:val="Reftext"/>
    <w:rsid w:val="00831046"/>
    <w:pPr>
      <w:spacing w:before="480"/>
      <w:jc w:val="center"/>
    </w:pPr>
    <w:rPr>
      <w:b/>
    </w:rPr>
  </w:style>
  <w:style w:type="paragraph" w:customStyle="1" w:styleId="Repdate">
    <w:name w:val="Rep_date"/>
    <w:basedOn w:val="Recdate"/>
    <w:next w:val="Normalaftertitle"/>
    <w:rsid w:val="00831046"/>
  </w:style>
  <w:style w:type="paragraph" w:customStyle="1" w:styleId="RepNo">
    <w:name w:val="Rep_No"/>
    <w:basedOn w:val="RecNo"/>
    <w:next w:val="Normal"/>
    <w:rsid w:val="00831046"/>
  </w:style>
  <w:style w:type="paragraph" w:customStyle="1" w:styleId="Repref">
    <w:name w:val="Rep_ref"/>
    <w:basedOn w:val="Recref"/>
    <w:next w:val="Repdate"/>
    <w:rsid w:val="00831046"/>
  </w:style>
  <w:style w:type="paragraph" w:customStyle="1" w:styleId="Reptitle">
    <w:name w:val="Rep_title"/>
    <w:basedOn w:val="Rectitle"/>
    <w:next w:val="Repref"/>
    <w:rsid w:val="00831046"/>
  </w:style>
  <w:style w:type="paragraph" w:customStyle="1" w:styleId="Resdate">
    <w:name w:val="Res_date"/>
    <w:basedOn w:val="Recdate"/>
    <w:next w:val="Normalaftertitle"/>
    <w:rsid w:val="00831046"/>
  </w:style>
  <w:style w:type="character" w:customStyle="1" w:styleId="Resdef">
    <w:name w:val="Res_def"/>
    <w:basedOn w:val="DefaultParagraphFont"/>
    <w:rsid w:val="00831046"/>
    <w:rPr>
      <w:rFonts w:ascii="Times New Roman" w:hAnsi="Times New Roman"/>
      <w:b/>
    </w:rPr>
  </w:style>
  <w:style w:type="paragraph" w:customStyle="1" w:styleId="ResNo">
    <w:name w:val="Res_No"/>
    <w:basedOn w:val="RecNo"/>
    <w:next w:val="Normal"/>
    <w:rsid w:val="00831046"/>
  </w:style>
  <w:style w:type="paragraph" w:customStyle="1" w:styleId="Resref">
    <w:name w:val="Res_ref"/>
    <w:basedOn w:val="Recref"/>
    <w:next w:val="Resdate"/>
    <w:rsid w:val="00831046"/>
  </w:style>
  <w:style w:type="paragraph" w:customStyle="1" w:styleId="Restitle">
    <w:name w:val="Res_title"/>
    <w:basedOn w:val="Rectitle"/>
    <w:next w:val="Resref"/>
    <w:rsid w:val="00831046"/>
  </w:style>
  <w:style w:type="paragraph" w:customStyle="1" w:styleId="Section1">
    <w:name w:val="Section_1"/>
    <w:basedOn w:val="Normal"/>
    <w:next w:val="Normal"/>
    <w:rsid w:val="00831046"/>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831046"/>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831046"/>
    <w:pPr>
      <w:keepNext/>
      <w:keepLines/>
      <w:spacing w:before="480" w:after="80"/>
      <w:jc w:val="center"/>
    </w:pPr>
    <w:rPr>
      <w:caps/>
      <w:sz w:val="28"/>
    </w:rPr>
  </w:style>
  <w:style w:type="paragraph" w:customStyle="1" w:styleId="Sectiontitle">
    <w:name w:val="Section_title"/>
    <w:basedOn w:val="Normal"/>
    <w:next w:val="Normalaftertitle"/>
    <w:rsid w:val="00831046"/>
    <w:pPr>
      <w:keepNext/>
      <w:keepLines/>
      <w:spacing w:before="480" w:after="280"/>
      <w:jc w:val="center"/>
    </w:pPr>
    <w:rPr>
      <w:b/>
      <w:sz w:val="28"/>
    </w:rPr>
  </w:style>
  <w:style w:type="paragraph" w:customStyle="1" w:styleId="Source">
    <w:name w:val="Source"/>
    <w:basedOn w:val="Normal"/>
    <w:next w:val="Normalaftertitle"/>
    <w:rsid w:val="00831046"/>
    <w:pPr>
      <w:spacing w:before="840" w:after="200"/>
      <w:jc w:val="center"/>
    </w:pPr>
    <w:rPr>
      <w:b/>
      <w:sz w:val="28"/>
    </w:rPr>
  </w:style>
  <w:style w:type="paragraph" w:customStyle="1" w:styleId="SpecialFooter">
    <w:name w:val="Special Footer"/>
    <w:basedOn w:val="Footer"/>
    <w:rsid w:val="00831046"/>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831046"/>
    <w:rPr>
      <w:b/>
      <w:color w:val="auto"/>
    </w:rPr>
  </w:style>
  <w:style w:type="paragraph" w:customStyle="1" w:styleId="TableNoTitle">
    <w:name w:val="Table_NoTitle"/>
    <w:basedOn w:val="Normal"/>
    <w:next w:val="Tablehead"/>
    <w:rsid w:val="00831046"/>
    <w:pPr>
      <w:keepNext/>
      <w:keepLines/>
      <w:spacing w:before="360" w:after="120"/>
      <w:jc w:val="center"/>
    </w:pPr>
    <w:rPr>
      <w:b/>
    </w:rPr>
  </w:style>
  <w:style w:type="character" w:styleId="UnresolvedMention">
    <w:name w:val="Unresolved Mention"/>
    <w:basedOn w:val="DefaultParagraphFont"/>
    <w:uiPriority w:val="99"/>
    <w:semiHidden/>
    <w:unhideWhenUsed/>
    <w:rsid w:val="00831046"/>
    <w:rPr>
      <w:color w:val="605E5C"/>
      <w:shd w:val="clear" w:color="auto" w:fill="E1DFDD"/>
    </w:rPr>
  </w:style>
  <w:style w:type="character" w:styleId="BookTitle">
    <w:name w:val="Book Title"/>
    <w:basedOn w:val="DefaultParagraphFont"/>
    <w:uiPriority w:val="33"/>
    <w:qFormat/>
    <w:rsid w:val="00E30326"/>
    <w:rPr>
      <w:b/>
      <w:bCs/>
      <w:i/>
      <w:iCs/>
      <w:spacing w:val="5"/>
    </w:rPr>
  </w:style>
  <w:style w:type="character" w:styleId="IntenseEmphasis">
    <w:name w:val="Intense Emphasis"/>
    <w:basedOn w:val="DefaultParagraphFont"/>
    <w:uiPriority w:val="21"/>
    <w:qFormat/>
    <w:rsid w:val="00E30326"/>
    <w:rPr>
      <w:i/>
      <w:iCs/>
      <w:color w:val="5B9BD5" w:themeColor="accent1"/>
    </w:rPr>
  </w:style>
  <w:style w:type="character" w:styleId="IntenseReference">
    <w:name w:val="Intense Reference"/>
    <w:basedOn w:val="DefaultParagraphFont"/>
    <w:uiPriority w:val="32"/>
    <w:qFormat/>
    <w:rsid w:val="00E30326"/>
    <w:rPr>
      <w:b/>
      <w:bCs/>
      <w:smallCaps/>
      <w:color w:val="5B9BD5" w:themeColor="accent1"/>
      <w:spacing w:val="5"/>
    </w:rPr>
  </w:style>
  <w:style w:type="character" w:styleId="SubtleEmphasis">
    <w:name w:val="Subtle Emphasis"/>
    <w:basedOn w:val="DefaultParagraphFont"/>
    <w:uiPriority w:val="19"/>
    <w:qFormat/>
    <w:rsid w:val="00E30326"/>
    <w:rPr>
      <w:i/>
      <w:iCs/>
      <w:color w:val="404040" w:themeColor="text1" w:themeTint="BF"/>
    </w:rPr>
  </w:style>
  <w:style w:type="character" w:styleId="SubtleReference">
    <w:name w:val="Subtle Reference"/>
    <w:basedOn w:val="DefaultParagraphFont"/>
    <w:uiPriority w:val="31"/>
    <w:qFormat/>
    <w:rsid w:val="00E30326"/>
    <w:rPr>
      <w:smallCaps/>
      <w:color w:val="5A5A5A" w:themeColor="text1" w:themeTint="A5"/>
    </w:rPr>
  </w:style>
  <w:style w:type="paragraph" w:styleId="TOCHeading">
    <w:name w:val="TOC Heading"/>
    <w:basedOn w:val="Heading1"/>
    <w:next w:val="Normal"/>
    <w:uiPriority w:val="39"/>
    <w:semiHidden/>
    <w:unhideWhenUsed/>
    <w:qFormat/>
    <w:rsid w:val="00E30326"/>
    <w:pPr>
      <w:spacing w:before="240"/>
      <w:ind w:left="0" w:firstLine="0"/>
      <w:jc w:val="both"/>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492595">
      <w:bodyDiv w:val="1"/>
      <w:marLeft w:val="0"/>
      <w:marRight w:val="0"/>
      <w:marTop w:val="0"/>
      <w:marBottom w:val="0"/>
      <w:divBdr>
        <w:top w:val="none" w:sz="0" w:space="0" w:color="auto"/>
        <w:left w:val="none" w:sz="0" w:space="0" w:color="auto"/>
        <w:bottom w:val="none" w:sz="0" w:space="0" w:color="auto"/>
        <w:right w:val="none" w:sz="0" w:space="0" w:color="auto"/>
      </w:divBdr>
    </w:div>
    <w:div w:id="2017926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lirt@pcl.ac.cn"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ki-kawamura@kddi.com"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xuf05@pcl.ac.c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TSBmail@itu.in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eur03.safelinks.protection.outlook.com/?url=https%3A%2F%2Fcreativecommons.org%2Flicenses%2Fby-nc-sa%2F3.0%2Figo&amp;data=05%7C02%7Canibal.cabrera%40itu.int%7C0fe5406e5055456a0b5a08dc7bce06f3%7C23e464d704e64b87913c24bd89219fd3%7C0%7C0%7C638521372007831165%7CUnknown%7CTWFpbGZsb3d8eyJWIjoiMC4wLjAwMDAiLCJQIjoiV2luMzIiLCJBTiI6Ik1haWwiLCJXVCI6Mn0%3D%7C0%7C%7C%7C&amp;sdata=V4LM72V7Z%2F80irqs1MTJY8U1C%2FFVgqCq26On8J9MZuo%3D&amp;reserved=0" TargetMode="Externa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24B951063@stu.hit.edu.c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yangqiongqian@jszn.cn" TargetMode="External"/><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dyeva\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04499AB096854EA8415B71B9AA7A47" ma:contentTypeVersion="3" ma:contentTypeDescription="Create a new document." ma:contentTypeScope="" ma:versionID="c51f9128d435163f7d370b5f7071c82a">
  <xsd:schema xmlns:xsd="http://www.w3.org/2001/XMLSchema" xmlns:xs="http://www.w3.org/2001/XMLSchema" xmlns:p="http://schemas.microsoft.com/office/2006/metadata/properties" xmlns:ns2="6aa85409-fe76-42ed-89ec-30332a540ffb" targetNamespace="http://schemas.microsoft.com/office/2006/metadata/properties" ma:root="true" ma:fieldsID="c343d11ca859779b6d36d47a6764bfe6" ns2:_="">
    <xsd:import namespace="6aa85409-fe76-42ed-89ec-30332a540ff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85409-fe76-42ed-89ec-30332a540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6A3EC5-EE3B-49BD-949C-862509B33055}">
  <ds:schemaRefs>
    <ds:schemaRef ds:uri="http://schemas.microsoft.com/sharepoint/v3/contenttype/forms"/>
  </ds:schemaRefs>
</ds:datastoreItem>
</file>

<file path=customXml/itemProps2.xml><?xml version="1.0" encoding="utf-8"?>
<ds:datastoreItem xmlns:ds="http://schemas.openxmlformats.org/officeDocument/2006/customXml" ds:itemID="{C441C5D1-F73D-4D81-A9A2-F01587A47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85409-fe76-42ed-89ec-30332a540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47559-4FE3-47C0-A846-02C23D904FF4}">
  <ds:schemaRefs>
    <ds:schemaRef ds:uri="http://schemas.openxmlformats.org/officeDocument/2006/bibliography"/>
  </ds:schemaRefs>
</ds:datastoreItem>
</file>

<file path=customXml/itemProps4.xml><?xml version="1.0" encoding="utf-8"?>
<ds:datastoreItem xmlns:ds="http://schemas.openxmlformats.org/officeDocument/2006/customXml" ds:itemID="{96FA4F6D-5F7E-4C68-950D-BEFE5DA802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T-TUT-REPORT-E.dotm</Template>
  <TotalTime>190</TotalTime>
  <Pages>16</Pages>
  <Words>4295</Words>
  <Characters>24211</Characters>
  <Application>Microsoft Office Word</Application>
  <DocSecurity>0</DocSecurity>
  <Lines>590</Lines>
  <Paragraphs>319</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ITU-T Technical Specification FG-EAI-D2.2 – Physical-semantic and affordance-aware organization of 3D assets and scenes for embodied artificial intelligence</vt:lpstr>
      <vt:lpstr>Proposal to update the baseline text of Technical Specification ITU-T FG-EAI TS-psa3d “Physical-semantic and affordance-aware organization of 3D assets and scenes for embodied AI”</vt:lpstr>
    </vt:vector>
  </TitlesOfParts>
  <Manager>ITU-T</Manager>
  <Company>International Telecommunication Union (ITU)</Company>
  <LinksUpToDate>false</LinksUpToDate>
  <CharactersWithSpaces>28248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Specification FG-EAI-D2.2 (10/2026) Physical-semantic and affordance-aware organization of 3D assets and scenes for embodied artificial intelligence</dc:title>
  <dc:creator/>
  <cp:keywords>Affordance, conformance, consistency, embodied AI, physical grounding, simulation-ready, 3D asset.</cp:keywords>
  <dc:description/>
  <cp:lastModifiedBy>TSB/ZL</cp:lastModifiedBy>
  <cp:revision>74</cp:revision>
  <cp:lastPrinted>2011-04-05T14:28:00Z</cp:lastPrinted>
  <dcterms:created xsi:type="dcterms:W3CDTF">2026-10-14T06:32:00Z</dcterms:created>
  <dcterms:modified xsi:type="dcterms:W3CDTF">2026-10-29T20:24:00Z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0x0101001404499AB096854EA8415B71B9AA7A47</vt:lpwstr>
  </property>
  <property fmtid="{D5CDD505-2E9C-101B-9397-08002B2CF9AE}" pid="3" name="Docnum">
    <vt:lpwstr>FG-MV-WGX-I-#</vt:lpwstr>
  </property>
  <property fmtid="{D5CDD505-2E9C-101B-9397-08002B2CF9AE}" pid="4" name="Docdate">
    <vt:lpwstr>Focus Group on metaverse</vt:lpwstr>
  </property>
  <property fmtid="{D5CDD505-2E9C-101B-9397-08002B2CF9AE}" pid="5" name="Docorlang">
    <vt:lpwstr>Original: English</vt:lpwstr>
  </property>
  <property fmtid="{D5CDD505-2E9C-101B-9397-08002B2CF9AE}" pid="6" name="Docbluepink">
    <vt:lpwstr/>
  </property>
  <property fmtid="{D5CDD505-2E9C-101B-9397-08002B2CF9AE}" pid="7" name="Docdest">
    <vt:lpwstr>place, XX Month 2023</vt:lpwstr>
  </property>
  <property fmtid="{D5CDD505-2E9C-101B-9397-08002B2CF9AE}" pid="8" name="Docauthor">
    <vt:lpwstr/>
  </property>
  <property fmtid="{D5CDD505-2E9C-101B-9397-08002B2CF9AE}" pid="9" name="docLang">
    <vt:lpwstr>en</vt:lpwstr>
  </property>
  <property fmtid="{D5CDD505-2E9C-101B-9397-08002B2CF9AE}" pid="10" name="MediaServiceImageTags">
    <vt:lpwstr/>
  </property>
  <property fmtid="{D5CDD505-2E9C-101B-9397-08002B2CF9AE}" pid="11" name="KSOTemplateDocerSaveRecord">
    <vt:lpwstr>eyJoZGlkIjoiNGIwYjhkNGJjNDg1NjdjODY2NDc1N2YyOTdmZmQ1NWQiLCJ1c2VySWQiOiIxMTA2NjYxMTM4In0=</vt:lpwstr>
  </property>
  <property fmtid="{D5CDD505-2E9C-101B-9397-08002B2CF9AE}" pid="12" name="KSOProductBuildVer">
    <vt:lpwstr>2052-12.1.0.28505</vt:lpwstr>
  </property>
  <property fmtid="{D5CDD505-2E9C-101B-9397-08002B2CF9AE}" pid="13" name="ICV">
    <vt:lpwstr>BBDE91A999E54A6198C7F37169CA9797_13</vt:lpwstr>
  </property>
  <property fmtid="{D5CDD505-2E9C-101B-9397-08002B2CF9AE}" pid="14" name="GrammarlyDocumentId">
    <vt:lpwstr>df319ff2-0627-4b15-8fe7-150762dd6b5c</vt:lpwstr>
  </property>
  <property fmtid="{D5CDD505-2E9C-101B-9397-08002B2CF9AE}" pid="15" name="Order">
    <vt:r8>15881600</vt:r8>
  </property>
  <property fmtid="{D5CDD505-2E9C-101B-9397-08002B2CF9AE}" pid="16" name="ComplianceAssetId">
    <vt:lpwstr/>
  </property>
  <property fmtid="{D5CDD505-2E9C-101B-9397-08002B2CF9AE}" pid="17" name="_ExtendedDescription">
    <vt:lpwstr/>
  </property>
  <property fmtid="{D5CDD505-2E9C-101B-9397-08002B2CF9AE}" pid="18" name="TriggerFlowInfo">
    <vt:lpwstr/>
  </property>
</Properties>
</file>