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2B534E" w:rsidRPr="006F3E3B" w14:paraId="5FCD5226" w14:textId="77777777" w:rsidTr="001F1D7C">
        <w:trPr>
          <w:trHeight w:hRule="exact" w:val="992"/>
        </w:trPr>
        <w:tc>
          <w:tcPr>
            <w:tcW w:w="5070" w:type="dxa"/>
            <w:gridSpan w:val="2"/>
          </w:tcPr>
          <w:p w14:paraId="33FE2C64" w14:textId="3F448909" w:rsidR="002B534E" w:rsidRPr="00957911" w:rsidRDefault="008F0E27" w:rsidP="00B267B9">
            <w:pPr>
              <w:spacing w:before="0"/>
              <w:rPr>
                <w:rFonts w:ascii="Arial" w:eastAsia="Avenir Next W1G Medium" w:hAnsi="Arial" w:cs="Arial"/>
                <w:szCs w:val="24"/>
              </w:rPr>
            </w:pPr>
            <w:r w:rsidRPr="00934B4E">
              <w:rPr>
                <w:rFonts w:ascii="Arial" w:eastAsia="Avenir Next W1G Medium" w:hAnsi="Arial" w:cs="Arial"/>
                <w:noProof/>
                <w:szCs w:val="24"/>
              </w:rPr>
              <mc:AlternateContent>
                <mc:Choice Requires="wpg">
                  <w:drawing>
                    <wp:anchor distT="0" distB="0" distL="114300" distR="114300" simplePos="0" relativeHeight="251662336" behindDoc="1" locked="0" layoutInCell="1" allowOverlap="1" wp14:anchorId="708F33E4" wp14:editId="65453340">
                      <wp:simplePos x="0" y="0"/>
                      <wp:positionH relativeFrom="page">
                        <wp:posOffset>-381000</wp:posOffset>
                      </wp:positionH>
                      <wp:positionV relativeFrom="page">
                        <wp:posOffset>317500</wp:posOffset>
                      </wp:positionV>
                      <wp:extent cx="7772400" cy="229870"/>
                      <wp:effectExtent l="0" t="5080" r="0" b="3175"/>
                      <wp:wrapNone/>
                      <wp:docPr id="2" name="docshapegroup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3" name="docshape8">
                                <a:extLst>
                                  <a:ext uri="{C183D7F6-B498-43B3-948B-1728B52AA6E4}">
                                    <adec:decorative xmlns:adec="http://schemas.microsoft.com/office/drawing/2017/decorative" val="1"/>
                                  </a:ext>
                                </a:extLst>
                              </wps:cNvPr>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docshape9">
                                <a:extLst>
                                  <a:ext uri="{C183D7F6-B498-43B3-948B-1728B52AA6E4}">
                                    <adec:decorative xmlns:adec="http://schemas.microsoft.com/office/drawing/2017/decorative" val="1"/>
                                  </a:ext>
                                </a:extLst>
                              </wps:cNvPr>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72D96D" id="docshapegroup7" o:spid="_x0000_s1026" alt="&quot;&quot;" style="position:absolute;margin-left:-30pt;margin-top:25pt;width:612pt;height:18.1pt;z-index:-251654144;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">
                      <v:rect id="docshape8" o:spid="_x0000_s1027" alt="&quot;&quot;"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" fillcolor="#d74900" stroked="f"/>
                      <v:shape id="docshape9" o:spid="_x0000_s1028" alt="&quot;&quot;"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" path="m627,l,,314,313,627,xe" stroked="f">
                        <v:path arrowok="t" o:connecttype="custom" o:connectlocs="627,1784;0,1784;314,2097;627,1784" o:connectangles="0,0,0,0"/>
                      </v:shape>
                      <w10:wrap anchorx="page" anchory="page"/>
                    </v:group>
                  </w:pict>
                </mc:Fallback>
              </mc:AlternateContent>
            </w:r>
          </w:p>
        </w:tc>
        <w:tc>
          <w:tcPr>
            <w:tcW w:w="5670" w:type="dxa"/>
          </w:tcPr>
          <w:p w14:paraId="38F9BCD0" w14:textId="77777777" w:rsidR="002B534E" w:rsidRPr="00957911" w:rsidRDefault="002B534E" w:rsidP="00B267B9">
            <w:pPr>
              <w:spacing w:before="0"/>
              <w:jc w:val="right"/>
              <w:rPr>
                <w:rFonts w:ascii="Arial" w:eastAsia="Avenir Next W1G Medium" w:hAnsi="Arial" w:cs="Arial"/>
                <w:szCs w:val="24"/>
              </w:rPr>
            </w:pPr>
            <w:r w:rsidRPr="00957911">
              <w:rPr>
                <w:rFonts w:ascii="Arial" w:eastAsia="Avenir Next W1G Medium" w:hAnsi="Arial" w:cs="Arial"/>
                <w:szCs w:val="24"/>
              </w:rPr>
              <w:t>Standardization Sector</w:t>
            </w:r>
          </w:p>
        </w:tc>
      </w:tr>
      <w:tr w:rsidR="002B534E" w:rsidRPr="006C28C2" w14:paraId="30BBA4A7" w14:textId="77777777" w:rsidTr="001F1D7C">
        <w:tblPrEx>
          <w:tblCellMar>
            <w:left w:w="85" w:type="dxa"/>
            <w:right w:w="85" w:type="dxa"/>
          </w:tblCellMar>
        </w:tblPrEx>
        <w:trPr>
          <w:gridBefore w:val="1"/>
          <w:wBefore w:w="817" w:type="dxa"/>
          <w:trHeight w:val="709"/>
        </w:trPr>
        <w:tc>
          <w:tcPr>
            <w:tcW w:w="9923" w:type="dxa"/>
            <w:gridSpan w:val="2"/>
          </w:tcPr>
          <w:p w14:paraId="62D56CCB" w14:textId="65B1FA1B" w:rsidR="002B534E" w:rsidRPr="00934B4E" w:rsidRDefault="00934B4E" w:rsidP="00EF115B">
            <w:pPr>
              <w:pStyle w:val="BodyText"/>
              <w:spacing w:before="440"/>
              <w:rPr>
                <w:rFonts w:ascii="Arial" w:hAnsi="Arial" w:cs="Arial"/>
                <w:spacing w:val="-6"/>
                <w:sz w:val="44"/>
                <w:szCs w:val="44"/>
                <w:lang w:val="en-GB"/>
              </w:rPr>
            </w:pPr>
            <w:bookmarkStart w:id="0" w:name="dnume"/>
            <w:r w:rsidRPr="00934B4E">
              <w:rPr>
                <w:rFonts w:ascii="Arial" w:hAnsi="Arial" w:cs="Arial"/>
                <w:spacing w:val="-6"/>
                <w:sz w:val="44"/>
                <w:szCs w:val="44"/>
                <w:lang w:val="en-GB"/>
              </w:rPr>
              <w:t xml:space="preserve">ITU-T </w:t>
            </w:r>
            <w:r w:rsidR="001F1D7C" w:rsidRPr="001F1D7C">
              <w:rPr>
                <w:rFonts w:ascii="Arial" w:hAnsi="Arial" w:cs="Arial"/>
                <w:spacing w:val="-6"/>
                <w:sz w:val="44"/>
                <w:szCs w:val="44"/>
                <w:lang w:val="en-GB"/>
              </w:rPr>
              <w:t xml:space="preserve">Focus Group </w:t>
            </w:r>
            <w:r w:rsidRPr="00934B4E">
              <w:rPr>
                <w:rFonts w:ascii="Arial" w:hAnsi="Arial" w:cs="Arial"/>
                <w:spacing w:val="-6"/>
                <w:sz w:val="44"/>
                <w:szCs w:val="44"/>
                <w:lang w:val="en-GB"/>
              </w:rPr>
              <w:t xml:space="preserve">Technical </w:t>
            </w:r>
            <w:r w:rsidR="008F0E27">
              <w:rPr>
                <w:rFonts w:ascii="Arial" w:hAnsi="Arial" w:cs="Arial"/>
                <w:spacing w:val="-6"/>
                <w:sz w:val="44"/>
                <w:szCs w:val="44"/>
                <w:lang w:val="en-GB"/>
              </w:rPr>
              <w:t>Report</w:t>
            </w:r>
          </w:p>
        </w:tc>
      </w:tr>
      <w:tr w:rsidR="002B534E" w:rsidRPr="00934B4E" w14:paraId="3D5C9E7A" w14:textId="77777777" w:rsidTr="001F1D7C">
        <w:tblPrEx>
          <w:tblCellMar>
            <w:left w:w="85" w:type="dxa"/>
            <w:right w:w="85" w:type="dxa"/>
          </w:tblCellMar>
        </w:tblPrEx>
        <w:trPr>
          <w:gridBefore w:val="1"/>
          <w:wBefore w:w="817" w:type="dxa"/>
          <w:trHeight w:val="129"/>
        </w:trPr>
        <w:tc>
          <w:tcPr>
            <w:tcW w:w="9923" w:type="dxa"/>
            <w:gridSpan w:val="2"/>
          </w:tcPr>
          <w:p w14:paraId="29A86CA4" w14:textId="20D07D1A" w:rsidR="002B534E" w:rsidRPr="00934B4E" w:rsidRDefault="00F37429" w:rsidP="00934B4E">
            <w:pPr>
              <w:pStyle w:val="BodyText"/>
              <w:spacing w:before="120" w:after="240"/>
              <w:jc w:val="right"/>
              <w:rPr>
                <w:rFonts w:ascii="Arial" w:hAnsi="Arial" w:cs="Arial"/>
                <w:spacing w:val="-6"/>
                <w:sz w:val="28"/>
                <w:szCs w:val="28"/>
                <w:lang w:val="en-GB"/>
              </w:rPr>
            </w:pPr>
            <w:bookmarkStart w:id="1" w:name="dnume2"/>
            <w:bookmarkEnd w:id="0"/>
            <w:r>
              <w:rPr>
                <w:rFonts w:ascii="Arial" w:hAnsi="Arial" w:cs="Arial"/>
                <w:spacing w:val="-6"/>
                <w:sz w:val="28"/>
                <w:szCs w:val="28"/>
                <w:lang w:val="en-GB"/>
              </w:rPr>
              <w:t>(</w:t>
            </w:r>
            <w:r w:rsidR="00AD4B70">
              <w:rPr>
                <w:rFonts w:ascii="Arial" w:hAnsi="Arial" w:cs="Arial"/>
                <w:spacing w:val="-6"/>
                <w:sz w:val="28"/>
                <w:szCs w:val="28"/>
                <w:lang w:val="en-GB"/>
              </w:rPr>
              <w:t>10</w:t>
            </w:r>
            <w:r>
              <w:rPr>
                <w:rFonts w:ascii="Arial" w:hAnsi="Arial" w:cs="Arial"/>
                <w:spacing w:val="-6"/>
                <w:sz w:val="28"/>
                <w:szCs w:val="28"/>
                <w:lang w:val="en-GB"/>
              </w:rPr>
              <w:t>/202</w:t>
            </w:r>
            <w:r w:rsidR="00AD4B70">
              <w:rPr>
                <w:rFonts w:ascii="Arial" w:hAnsi="Arial" w:cs="Arial"/>
                <w:spacing w:val="-6"/>
                <w:sz w:val="28"/>
                <w:szCs w:val="28"/>
                <w:lang w:val="en-GB"/>
              </w:rPr>
              <w:t>5</w:t>
            </w:r>
            <w:r>
              <w:rPr>
                <w:rFonts w:ascii="Arial" w:hAnsi="Arial" w:cs="Arial"/>
                <w:spacing w:val="-6"/>
                <w:sz w:val="28"/>
                <w:szCs w:val="28"/>
                <w:lang w:val="en-GB"/>
              </w:rPr>
              <w:t>)</w:t>
            </w:r>
          </w:p>
        </w:tc>
      </w:tr>
      <w:tr w:rsidR="00B46FF3" w:rsidRPr="006F3E3B" w14:paraId="33036516" w14:textId="77777777" w:rsidTr="001F1D7C">
        <w:trPr>
          <w:trHeight w:val="80"/>
        </w:trPr>
        <w:tc>
          <w:tcPr>
            <w:tcW w:w="817" w:type="dxa"/>
          </w:tcPr>
          <w:p w14:paraId="2538926D" w14:textId="77777777" w:rsidR="00B46FF3" w:rsidRPr="006F3E3B" w:rsidRDefault="00B46FF3" w:rsidP="00EF115B">
            <w:pPr>
              <w:tabs>
                <w:tab w:val="right" w:pos="9639"/>
              </w:tabs>
              <w:rPr>
                <w:rFonts w:ascii="Arial" w:hAnsi="Arial" w:cs="Arial"/>
                <w:sz w:val="18"/>
              </w:rPr>
            </w:pPr>
            <w:bookmarkStart w:id="2" w:name="dsece" w:colFirst="1" w:colLast="1"/>
            <w:bookmarkEnd w:id="1"/>
          </w:p>
        </w:tc>
        <w:tc>
          <w:tcPr>
            <w:tcW w:w="9923" w:type="dxa"/>
            <w:gridSpan w:val="2"/>
            <w:tcBorders>
              <w:bottom w:val="single" w:sz="8" w:space="0" w:color="auto"/>
            </w:tcBorders>
          </w:tcPr>
          <w:p w14:paraId="06562CDA" w14:textId="2641CEAB" w:rsidR="00934B4E" w:rsidRPr="001F1D7C" w:rsidRDefault="001F1D7C" w:rsidP="001F1D7C">
            <w:pPr>
              <w:widowControl w:val="0"/>
              <w:tabs>
                <w:tab w:val="clear" w:pos="794"/>
                <w:tab w:val="clear" w:pos="1191"/>
                <w:tab w:val="clear" w:pos="1588"/>
                <w:tab w:val="clear" w:pos="1985"/>
              </w:tabs>
              <w:overflowPunct/>
              <w:adjustRightInd/>
              <w:spacing w:before="276"/>
              <w:jc w:val="left"/>
              <w:textAlignment w:val="auto"/>
              <w:rPr>
                <w:rFonts w:ascii="Arial" w:hAnsi="Arial" w:cs="Arial"/>
                <w:sz w:val="40"/>
                <w:szCs w:val="40"/>
              </w:rPr>
            </w:pPr>
            <w:r w:rsidRPr="001F1D7C">
              <w:rPr>
                <w:rFonts w:ascii="Arial" w:hAnsi="Arial" w:cs="Arial"/>
                <w:sz w:val="40"/>
                <w:szCs w:val="40"/>
              </w:rPr>
              <w:t>ITU Focus Group</w:t>
            </w:r>
            <w:r w:rsidR="00AD4B70" w:rsidRPr="00AD4B70">
              <w:rPr>
                <w:rFonts w:ascii="Arial" w:hAnsi="Arial" w:cs="Arial"/>
                <w:sz w:val="40"/>
                <w:szCs w:val="40"/>
              </w:rPr>
              <w:t xml:space="preserve"> on </w:t>
            </w:r>
            <w:r w:rsidRPr="001F1D7C">
              <w:rPr>
                <w:rFonts w:ascii="Arial" w:hAnsi="Arial" w:cs="Arial"/>
                <w:sz w:val="40"/>
                <w:szCs w:val="40"/>
              </w:rPr>
              <w:t>cost models for affordable data</w:t>
            </w:r>
            <w:r>
              <w:rPr>
                <w:rFonts w:ascii="Arial" w:hAnsi="Arial" w:cs="Arial"/>
                <w:sz w:val="40"/>
                <w:szCs w:val="40"/>
              </w:rPr>
              <w:t> </w:t>
            </w:r>
            <w:r w:rsidRPr="001F1D7C">
              <w:rPr>
                <w:rFonts w:ascii="Arial" w:hAnsi="Arial" w:cs="Arial"/>
                <w:sz w:val="40"/>
                <w:szCs w:val="40"/>
              </w:rPr>
              <w:t>services</w:t>
            </w:r>
          </w:p>
        </w:tc>
      </w:tr>
      <w:tr w:rsidR="00B46FF3" w:rsidRPr="006F3E3B" w14:paraId="0A47ED26" w14:textId="77777777" w:rsidTr="001F1D7C">
        <w:trPr>
          <w:trHeight w:val="743"/>
        </w:trPr>
        <w:tc>
          <w:tcPr>
            <w:tcW w:w="817" w:type="dxa"/>
          </w:tcPr>
          <w:p w14:paraId="2449D82F" w14:textId="77777777" w:rsidR="00B46FF3" w:rsidRPr="006F3E3B" w:rsidRDefault="00B46FF3" w:rsidP="00EF115B">
            <w:pPr>
              <w:tabs>
                <w:tab w:val="right" w:pos="9639"/>
              </w:tabs>
              <w:rPr>
                <w:rFonts w:ascii="Arial" w:hAnsi="Arial" w:cs="Arial"/>
                <w:sz w:val="48"/>
                <w:szCs w:val="48"/>
              </w:rPr>
            </w:pPr>
            <w:bookmarkStart w:id="3" w:name="c1tite" w:colFirst="1" w:colLast="1"/>
            <w:bookmarkEnd w:id="2"/>
          </w:p>
        </w:tc>
        <w:tc>
          <w:tcPr>
            <w:tcW w:w="9923" w:type="dxa"/>
            <w:gridSpan w:val="2"/>
            <w:tcBorders>
              <w:top w:val="single" w:sz="8" w:space="0" w:color="auto"/>
            </w:tcBorders>
          </w:tcPr>
          <w:p w14:paraId="6EEBC184" w14:textId="41BC0C80" w:rsidR="00B46FF3" w:rsidRDefault="00F37429" w:rsidP="001F1D7C">
            <w:pPr>
              <w:pStyle w:val="BodyText"/>
              <w:spacing w:before="440"/>
              <w:rPr>
                <w:rFonts w:ascii="Arial" w:hAnsi="Arial" w:cs="Arial"/>
                <w:spacing w:val="-6"/>
                <w:sz w:val="44"/>
                <w:szCs w:val="44"/>
                <w:lang w:val="en-GB"/>
              </w:rPr>
            </w:pPr>
            <w:r>
              <w:rPr>
                <w:rFonts w:ascii="Arial" w:hAnsi="Arial" w:cs="Arial"/>
                <w:spacing w:val="-6"/>
                <w:sz w:val="44"/>
                <w:szCs w:val="44"/>
                <w:lang w:val="en-GB"/>
              </w:rPr>
              <w:t xml:space="preserve">Terminology </w:t>
            </w:r>
            <w:r w:rsidR="00752C1A">
              <w:rPr>
                <w:rFonts w:ascii="Arial" w:hAnsi="Arial" w:cs="Arial"/>
                <w:spacing w:val="-6"/>
                <w:sz w:val="44"/>
                <w:szCs w:val="44"/>
                <w:lang w:val="en-GB"/>
              </w:rPr>
              <w:t>and taxonomy for international Internet connectivity</w:t>
            </w:r>
          </w:p>
          <w:p w14:paraId="3FF738B9" w14:textId="591B090C" w:rsidR="001F1D7C" w:rsidRPr="001F1D7C" w:rsidRDefault="001F1D7C" w:rsidP="001F1D7C">
            <w:pPr>
              <w:pStyle w:val="BodyText"/>
              <w:spacing w:before="440"/>
              <w:rPr>
                <w:rFonts w:ascii="Arial" w:hAnsi="Arial" w:cs="Arial"/>
                <w:b w:val="0"/>
                <w:bCs w:val="0"/>
                <w:spacing w:val="-6"/>
                <w:sz w:val="44"/>
                <w:szCs w:val="44"/>
                <w:lang w:val="en-GB"/>
              </w:rPr>
            </w:pPr>
            <w:r w:rsidRPr="001F1D7C">
              <w:rPr>
                <w:rFonts w:ascii="Arial" w:hAnsi="Arial" w:cs="Arial"/>
                <w:b w:val="0"/>
                <w:bCs w:val="0"/>
                <w:i/>
                <w:iCs/>
                <w:spacing w:val="-6"/>
                <w:sz w:val="44"/>
                <w:szCs w:val="44"/>
              </w:rPr>
              <w:t xml:space="preserve">Working Group 2: International Internet </w:t>
            </w:r>
            <w:r w:rsidR="00666C02" w:rsidRPr="001F1D7C">
              <w:rPr>
                <w:rFonts w:ascii="Arial" w:hAnsi="Arial" w:cs="Arial"/>
                <w:b w:val="0"/>
                <w:bCs w:val="0"/>
                <w:i/>
                <w:iCs/>
                <w:spacing w:val="-6"/>
                <w:sz w:val="44"/>
                <w:szCs w:val="44"/>
              </w:rPr>
              <w:t>connectivity cost</w:t>
            </w:r>
          </w:p>
        </w:tc>
      </w:tr>
    </w:tbl>
    <w:tbl>
      <w:tblPr>
        <w:tblStyle w:val="TableGrid"/>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5070"/>
        <w:gridCol w:w="5669"/>
      </w:tblGrid>
      <w:tr w:rsidR="005D379B" w:rsidRPr="006F3E3B" w14:paraId="6072F883" w14:textId="77777777" w:rsidTr="006F3E3B">
        <w:tc>
          <w:tcPr>
            <w:tcW w:w="5070" w:type="dxa"/>
            <w:vAlign w:val="center"/>
          </w:tcPr>
          <w:bookmarkEnd w:id="3"/>
          <w:p w14:paraId="0461796A" w14:textId="77777777" w:rsidR="005D379B" w:rsidRPr="00957911" w:rsidRDefault="005D379B" w:rsidP="006F3E3B">
            <w:pPr>
              <w:jc w:val="left"/>
              <w:rPr>
                <w:rFonts w:ascii="Arial" w:hAnsi="Arial" w:cs="Arial"/>
                <w:sz w:val="32"/>
                <w:szCs w:val="32"/>
              </w:rPr>
            </w:pPr>
            <w:r w:rsidRPr="00957911">
              <w:rPr>
                <w:rFonts w:ascii="Arial" w:hAnsi="Arial" w:cs="Arial"/>
                <w:b/>
                <w:color w:val="009CD6"/>
                <w:spacing w:val="-4"/>
                <w:sz w:val="32"/>
                <w:szCs w:val="32"/>
              </w:rPr>
              <w:t>ITU</w:t>
            </w:r>
            <w:r w:rsidRPr="00957911">
              <w:rPr>
                <w:rFonts w:ascii="Arial" w:hAnsi="Arial" w:cs="Arial"/>
                <w:b/>
                <w:color w:val="292829"/>
                <w:spacing w:val="-4"/>
                <w:sz w:val="32"/>
                <w:szCs w:val="32"/>
              </w:rPr>
              <w:t>Publications</w:t>
            </w:r>
          </w:p>
        </w:tc>
        <w:tc>
          <w:tcPr>
            <w:tcW w:w="5669" w:type="dxa"/>
            <w:vAlign w:val="center"/>
          </w:tcPr>
          <w:p w14:paraId="2A7B8A3C" w14:textId="77777777" w:rsidR="005D379B" w:rsidRPr="00957911" w:rsidRDefault="005D379B" w:rsidP="006F3E3B">
            <w:pPr>
              <w:jc w:val="right"/>
              <w:rPr>
                <w:rFonts w:ascii="Arial" w:hAnsi="Arial" w:cs="Arial"/>
                <w:szCs w:val="24"/>
              </w:rPr>
            </w:pPr>
            <w:r w:rsidRPr="00957911">
              <w:rPr>
                <w:rFonts w:ascii="Arial" w:eastAsia="Avenir Next W1G Medium" w:hAnsi="Arial" w:cs="Arial"/>
                <w:b/>
                <w:spacing w:val="-4"/>
                <w:szCs w:val="24"/>
                <w:lang w:val="en-US"/>
              </w:rPr>
              <w:t>International Telecommunication Union</w:t>
            </w:r>
          </w:p>
        </w:tc>
      </w:tr>
    </w:tbl>
    <w:p w14:paraId="6BE4B07E" w14:textId="181C721D" w:rsidR="00B46FF3" w:rsidRPr="002B534E" w:rsidRDefault="005D379B" w:rsidP="0033378F">
      <w:pPr>
        <w:pStyle w:val="Default"/>
      </w:pPr>
      <w:r>
        <w:rPr>
          <w:noProof/>
        </w:rPr>
        <w:drawing>
          <wp:anchor distT="0" distB="0" distL="0" distR="0" simplePos="0" relativeHeight="251660288" behindDoc="1" locked="0" layoutInCell="1" allowOverlap="1" wp14:anchorId="129EBA52" wp14:editId="3C1FE71D">
            <wp:simplePos x="0" y="0"/>
            <wp:positionH relativeFrom="page">
              <wp:posOffset>6355080</wp:posOffset>
            </wp:positionH>
            <wp:positionV relativeFrom="page">
              <wp:posOffset>9591675</wp:posOffset>
            </wp:positionV>
            <wp:extent cx="737870" cy="813435"/>
            <wp:effectExtent l="0" t="0" r="0" b="0"/>
            <wp:wrapNone/>
            <wp:docPr id="1" name="image1.png"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TU Logo"/>
                    <pic:cNvPicPr/>
                  </pic:nvPicPr>
                  <pic:blipFill>
                    <a:blip r:embed="rId8"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bookmarkStart w:id="4" w:name="c2tope"/>
      <w:bookmarkEnd w:id="4"/>
      <w:r w:rsidR="00934B4E" w:rsidRPr="002B534E">
        <w:t xml:space="preserve"> </w:t>
      </w:r>
    </w:p>
    <w:p w14:paraId="3F53C0BE" w14:textId="77777777" w:rsidR="00B46FF3" w:rsidRPr="002B534E" w:rsidRDefault="00B46FF3">
      <w:pPr>
        <w:spacing w:before="80"/>
        <w:jc w:val="left"/>
        <w:rPr>
          <w:i/>
          <w:sz w:val="20"/>
        </w:rPr>
      </w:pPr>
    </w:p>
    <w:p w14:paraId="0B161351" w14:textId="77777777" w:rsidR="00B46FF3" w:rsidRPr="002B534E" w:rsidRDefault="00B46FF3">
      <w:pPr>
        <w:jc w:val="left"/>
        <w:sectPr w:rsidR="00B46FF3" w:rsidRPr="002B534E" w:rsidSect="00F44D58">
          <w:headerReference w:type="even" r:id="rId9"/>
          <w:headerReference w:type="default" r:id="rId10"/>
          <w:footerReference w:type="default" r:id="rId11"/>
          <w:pgSz w:w="11907" w:h="16840" w:code="9"/>
          <w:pgMar w:top="1038" w:right="601" w:bottom="1860" w:left="618" w:header="567" w:footer="284" w:gutter="0"/>
          <w:pgNumType w:start="1"/>
          <w:cols w:space="720"/>
          <w:docGrid w:linePitch="326"/>
        </w:sectPr>
      </w:pPr>
    </w:p>
    <w:tbl>
      <w:tblPr>
        <w:tblW w:w="9923" w:type="dxa"/>
        <w:jc w:val="center"/>
        <w:tblLayout w:type="fixed"/>
        <w:tblLook w:val="0020" w:firstRow="1" w:lastRow="0" w:firstColumn="0" w:lastColumn="0" w:noHBand="0" w:noVBand="0"/>
      </w:tblPr>
      <w:tblGrid>
        <w:gridCol w:w="9923"/>
      </w:tblGrid>
      <w:tr w:rsidR="00B46FF3" w:rsidRPr="002B534E" w14:paraId="48492322" w14:textId="77777777" w:rsidTr="00921A03">
        <w:trPr>
          <w:jc w:val="center"/>
        </w:trPr>
        <w:tc>
          <w:tcPr>
            <w:tcW w:w="9945" w:type="dxa"/>
          </w:tcPr>
          <w:p w14:paraId="62B39A50" w14:textId="4E61DAAF" w:rsidR="00934B4E" w:rsidRPr="00F37429" w:rsidRDefault="00934B4E" w:rsidP="00934B4E">
            <w:pPr>
              <w:pStyle w:val="RecNo"/>
              <w:rPr>
                <w:lang w:val="fr-FR"/>
              </w:rPr>
            </w:pPr>
            <w:bookmarkStart w:id="5" w:name="irecnoe"/>
            <w:bookmarkEnd w:id="5"/>
            <w:r w:rsidRPr="00F37429">
              <w:rPr>
                <w:lang w:val="fr-FR"/>
              </w:rPr>
              <w:lastRenderedPageBreak/>
              <w:t xml:space="preserve">Technical Report ITU-T </w:t>
            </w:r>
            <w:r w:rsidR="00F37429">
              <w:rPr>
                <w:lang w:val="fr-FR"/>
              </w:rPr>
              <w:t>FG-CD-D6</w:t>
            </w:r>
          </w:p>
          <w:p w14:paraId="4FA000BD" w14:textId="6FF345C1" w:rsidR="00B46FF3" w:rsidRPr="002B534E" w:rsidRDefault="00F37429" w:rsidP="00934B4E">
            <w:pPr>
              <w:pStyle w:val="Rectitle"/>
            </w:pPr>
            <w:r w:rsidRPr="001F1D7C">
              <w:t xml:space="preserve">Terminology and </w:t>
            </w:r>
            <w:r w:rsidR="00752C1A" w:rsidRPr="001F1D7C">
              <w:t xml:space="preserve">taxonomy for international </w:t>
            </w:r>
            <w:r w:rsidRPr="001F1D7C">
              <w:t xml:space="preserve">Internet </w:t>
            </w:r>
            <w:r w:rsidR="00752C1A" w:rsidRPr="001F1D7C">
              <w:t>connectivity</w:t>
            </w:r>
          </w:p>
        </w:tc>
      </w:tr>
    </w:tbl>
    <w:p w14:paraId="38D5AC57" w14:textId="77777777" w:rsidR="00B46FF3" w:rsidRPr="002B534E" w:rsidRDefault="00B46FF3"/>
    <w:tbl>
      <w:tblPr>
        <w:tblW w:w="9923" w:type="dxa"/>
        <w:jc w:val="center"/>
        <w:tblLayout w:type="fixed"/>
        <w:tblLook w:val="0020" w:firstRow="1" w:lastRow="0" w:firstColumn="0" w:lastColumn="0" w:noHBand="0" w:noVBand="0"/>
      </w:tblPr>
      <w:tblGrid>
        <w:gridCol w:w="9923"/>
      </w:tblGrid>
      <w:tr w:rsidR="00B46FF3" w:rsidRPr="002B534E" w14:paraId="6ADC5C25" w14:textId="77777777" w:rsidTr="00921A03">
        <w:trPr>
          <w:jc w:val="center"/>
        </w:trPr>
        <w:tc>
          <w:tcPr>
            <w:tcW w:w="9923" w:type="dxa"/>
          </w:tcPr>
          <w:p w14:paraId="7B9BF0C0" w14:textId="7FB80EBC" w:rsidR="00B46FF3" w:rsidRPr="002B534E" w:rsidRDefault="00B46FF3">
            <w:pPr>
              <w:pStyle w:val="Headingb"/>
            </w:pPr>
            <w:bookmarkStart w:id="6" w:name="isume"/>
            <w:r w:rsidRPr="002B534E">
              <w:t>Summary</w:t>
            </w:r>
          </w:p>
          <w:p w14:paraId="286FFA26" w14:textId="51894EC1" w:rsidR="00B46FF3" w:rsidRPr="002B534E" w:rsidRDefault="0064207A" w:rsidP="00021011">
            <w:r w:rsidRPr="0064207A">
              <w:t xml:space="preserve">This Technical Report examines international best practices in cost assessment methodologies, regulatory frameworks and standardization approaches relevant to ensuring affordable data services. It provides an overview of key cost modelling techniques </w:t>
            </w:r>
            <w:r w:rsidR="00B004F0">
              <w:t>–</w:t>
            </w:r>
            <w:r w:rsidRPr="0064207A">
              <w:t xml:space="preserve"> such as long-run incremental cost (LRIC), fully allocated cost (FAC) and hybrid models </w:t>
            </w:r>
            <w:r w:rsidR="00A6114B">
              <w:t>–</w:t>
            </w:r>
            <w:r w:rsidRPr="0064207A">
              <w:t xml:space="preserve"> and their application in different regulatory contexts. The report highlights how accurate cost accounting, supported by transparent and standardized practices, can help balance affordability for consumers with the financial sustainability of service providers. It further emphasizes the need for ongoing research and cross-sector collaboration to adapt cost models to technological advancements and evolving market dynamics, ultimately promoting universal access to affordable data services.</w:t>
            </w:r>
            <w:bookmarkEnd w:id="6"/>
          </w:p>
        </w:tc>
      </w:tr>
      <w:tr w:rsidR="00B46FF3" w:rsidRPr="002B534E" w14:paraId="08DD4479" w14:textId="77777777" w:rsidTr="00921A03">
        <w:trPr>
          <w:jc w:val="center"/>
        </w:trPr>
        <w:tc>
          <w:tcPr>
            <w:tcW w:w="9923" w:type="dxa"/>
          </w:tcPr>
          <w:p w14:paraId="5FAB88A8" w14:textId="77777777" w:rsidR="00076210" w:rsidRDefault="00076210">
            <w:pPr>
              <w:pStyle w:val="Headingb"/>
            </w:pPr>
            <w:bookmarkStart w:id="7" w:name="ikeye"/>
          </w:p>
          <w:p w14:paraId="65F8A68E" w14:textId="723112CF" w:rsidR="00B46FF3" w:rsidRPr="002B534E" w:rsidRDefault="00B46FF3">
            <w:pPr>
              <w:pStyle w:val="Headingb"/>
            </w:pPr>
            <w:r w:rsidRPr="002B534E">
              <w:t>Keywords</w:t>
            </w:r>
          </w:p>
          <w:p w14:paraId="0F1A8E99" w14:textId="7A283B0A" w:rsidR="00B46FF3" w:rsidRPr="002B534E" w:rsidRDefault="0064207A">
            <w:pPr>
              <w:rPr>
                <w:bCs/>
              </w:rPr>
            </w:pPr>
            <w:r w:rsidRPr="004F246B">
              <w:rPr>
                <w:lang w:bidi="ar-DZ"/>
              </w:rPr>
              <w:t>Activity-</w:t>
            </w:r>
            <w:r w:rsidR="00AD4B70" w:rsidRPr="004F246B">
              <w:rPr>
                <w:lang w:bidi="ar-DZ"/>
              </w:rPr>
              <w:t xml:space="preserve">based costing </w:t>
            </w:r>
            <w:r w:rsidRPr="004F246B">
              <w:rPr>
                <w:lang w:bidi="ar-DZ"/>
              </w:rPr>
              <w:t>(ABC)</w:t>
            </w:r>
            <w:r w:rsidR="00AD4B70">
              <w:rPr>
                <w:lang w:bidi="ar-DZ"/>
              </w:rPr>
              <w:t>,</w:t>
            </w:r>
            <w:r w:rsidRPr="004F246B">
              <w:rPr>
                <w:lang w:bidi="ar-DZ"/>
              </w:rPr>
              <w:t xml:space="preserve"> </w:t>
            </w:r>
            <w:r w:rsidR="00AD4B70" w:rsidRPr="004F246B">
              <w:rPr>
                <w:lang w:bidi="ar-DZ"/>
              </w:rPr>
              <w:t xml:space="preserve">affordable </w:t>
            </w:r>
            <w:r w:rsidRPr="004F246B">
              <w:rPr>
                <w:lang w:bidi="ar-DZ"/>
              </w:rPr>
              <w:t>data services</w:t>
            </w:r>
            <w:r w:rsidR="00AD4B70">
              <w:rPr>
                <w:lang w:bidi="ar-DZ"/>
              </w:rPr>
              <w:t>,</w:t>
            </w:r>
            <w:r w:rsidRPr="004F246B">
              <w:rPr>
                <w:lang w:bidi="ar-DZ"/>
              </w:rPr>
              <w:t xml:space="preserve"> FAC/FDC (</w:t>
            </w:r>
            <w:r w:rsidR="00AD4B70" w:rsidRPr="004F246B">
              <w:rPr>
                <w:lang w:bidi="ar-DZ"/>
              </w:rPr>
              <w:t>fully allocated</w:t>
            </w:r>
            <w:r w:rsidR="00AD4B70">
              <w:rPr>
                <w:lang w:bidi="ar-DZ"/>
              </w:rPr>
              <w:t xml:space="preserve"> cost</w:t>
            </w:r>
            <w:r w:rsidRPr="004F246B">
              <w:rPr>
                <w:lang w:bidi="ar-DZ"/>
              </w:rPr>
              <w:t>/</w:t>
            </w:r>
            <w:r w:rsidR="00AD4B70">
              <w:rPr>
                <w:lang w:bidi="ar-DZ"/>
              </w:rPr>
              <w:t xml:space="preserve">fully </w:t>
            </w:r>
            <w:r w:rsidR="00AD4B70" w:rsidRPr="004F246B">
              <w:rPr>
                <w:lang w:bidi="ar-DZ"/>
              </w:rPr>
              <w:t>distributed cost</w:t>
            </w:r>
            <w:r w:rsidRPr="004F246B">
              <w:rPr>
                <w:lang w:bidi="ar-DZ"/>
              </w:rPr>
              <w:t>)</w:t>
            </w:r>
            <w:r w:rsidR="00AD4B70">
              <w:rPr>
                <w:lang w:bidi="ar-DZ"/>
              </w:rPr>
              <w:t>,</w:t>
            </w:r>
            <w:r w:rsidRPr="004F246B">
              <w:rPr>
                <w:lang w:bidi="ar-DZ"/>
              </w:rPr>
              <w:t xml:space="preserve"> </w:t>
            </w:r>
            <w:r w:rsidR="00AD4B70" w:rsidRPr="004F246B">
              <w:rPr>
                <w:lang w:bidi="ar-DZ"/>
              </w:rPr>
              <w:t xml:space="preserve">infrastructure </w:t>
            </w:r>
            <w:r w:rsidRPr="004F246B">
              <w:rPr>
                <w:lang w:bidi="ar-DZ"/>
              </w:rPr>
              <w:t>sharing</w:t>
            </w:r>
            <w:r w:rsidR="00AD4B70">
              <w:rPr>
                <w:lang w:bidi="ar-DZ"/>
              </w:rPr>
              <w:t>,</w:t>
            </w:r>
            <w:r w:rsidRPr="004F246B">
              <w:rPr>
                <w:lang w:bidi="ar-DZ"/>
              </w:rPr>
              <w:t xml:space="preserve"> </w:t>
            </w:r>
            <w:r w:rsidR="00AD4B70" w:rsidRPr="004F246B">
              <w:rPr>
                <w:lang w:bidi="ar-DZ"/>
              </w:rPr>
              <w:t>interconnection</w:t>
            </w:r>
            <w:r w:rsidRPr="004F246B">
              <w:rPr>
                <w:lang w:bidi="ar-DZ"/>
              </w:rPr>
              <w:t xml:space="preserve">; </w:t>
            </w:r>
            <w:r w:rsidR="00AD4B70" w:rsidRPr="004F246B">
              <w:rPr>
                <w:lang w:bidi="ar-DZ"/>
              </w:rPr>
              <w:t>life</w:t>
            </w:r>
            <w:r w:rsidRPr="004F246B">
              <w:rPr>
                <w:lang w:bidi="ar-DZ"/>
              </w:rPr>
              <w:t>-cycle costing (LCC)</w:t>
            </w:r>
            <w:r w:rsidR="00AD4B70">
              <w:rPr>
                <w:lang w:bidi="ar-DZ"/>
              </w:rPr>
              <w:t>,</w:t>
            </w:r>
            <w:r w:rsidRPr="004F246B">
              <w:rPr>
                <w:lang w:bidi="ar-DZ"/>
              </w:rPr>
              <w:t xml:space="preserve"> </w:t>
            </w:r>
            <w:r w:rsidR="00AD4B70" w:rsidRPr="004F246B">
              <w:rPr>
                <w:lang w:bidi="ar-DZ"/>
              </w:rPr>
              <w:t>long</w:t>
            </w:r>
            <w:r w:rsidRPr="004F246B">
              <w:rPr>
                <w:lang w:bidi="ar-DZ"/>
              </w:rPr>
              <w:t>-run average incremental cost (LRAIC)</w:t>
            </w:r>
            <w:r w:rsidR="00AD4B70">
              <w:rPr>
                <w:lang w:bidi="ar-DZ"/>
              </w:rPr>
              <w:t>,</w:t>
            </w:r>
            <w:r w:rsidRPr="004F246B">
              <w:rPr>
                <w:lang w:bidi="ar-DZ"/>
              </w:rPr>
              <w:t xml:space="preserve"> </w:t>
            </w:r>
            <w:r w:rsidR="00AD4B70" w:rsidRPr="004F246B">
              <w:rPr>
                <w:lang w:bidi="ar-DZ"/>
              </w:rPr>
              <w:t>long</w:t>
            </w:r>
            <w:r w:rsidRPr="004F246B">
              <w:rPr>
                <w:lang w:bidi="ar-DZ"/>
              </w:rPr>
              <w:t>-run incremental cost (LRIC)</w:t>
            </w:r>
            <w:r w:rsidR="00AD4B70">
              <w:rPr>
                <w:lang w:bidi="ar-DZ"/>
              </w:rPr>
              <w:t>,</w:t>
            </w:r>
            <w:r w:rsidRPr="004F246B">
              <w:rPr>
                <w:lang w:bidi="ar-DZ"/>
              </w:rPr>
              <w:t xml:space="preserve"> LRIC-plus (LRIC+)</w:t>
            </w:r>
            <w:r w:rsidR="00AD4B70">
              <w:rPr>
                <w:lang w:bidi="ar-DZ"/>
              </w:rPr>
              <w:t>,</w:t>
            </w:r>
            <w:r w:rsidRPr="004F246B">
              <w:rPr>
                <w:lang w:bidi="ar-DZ"/>
              </w:rPr>
              <w:t xml:space="preserve"> </w:t>
            </w:r>
            <w:r w:rsidR="00D40C92">
              <w:rPr>
                <w:lang w:bidi="ar-DZ"/>
              </w:rPr>
              <w:t>r</w:t>
            </w:r>
            <w:r w:rsidR="00D40C92" w:rsidRPr="00D40C92">
              <w:rPr>
                <w:lang w:bidi="ar-DZ"/>
              </w:rPr>
              <w:t xml:space="preserve">eference interconnection offer </w:t>
            </w:r>
            <w:r w:rsidRPr="004F246B">
              <w:rPr>
                <w:lang w:bidi="ar-DZ"/>
              </w:rPr>
              <w:t>(RIO)</w:t>
            </w:r>
            <w:r w:rsidR="00AD4B70">
              <w:rPr>
                <w:lang w:bidi="ar-DZ"/>
              </w:rPr>
              <w:t>,</w:t>
            </w:r>
            <w:r w:rsidRPr="004F246B">
              <w:rPr>
                <w:lang w:bidi="ar-DZ"/>
              </w:rPr>
              <w:t xml:space="preserve"> </w:t>
            </w:r>
            <w:r w:rsidR="00AD4B70" w:rsidRPr="004F246B">
              <w:rPr>
                <w:lang w:bidi="ar-DZ"/>
              </w:rPr>
              <w:t>retail</w:t>
            </w:r>
            <w:r w:rsidRPr="004F246B">
              <w:rPr>
                <w:lang w:bidi="ar-DZ"/>
              </w:rPr>
              <w:t>-minus</w:t>
            </w:r>
            <w:r w:rsidR="00AD4B70">
              <w:rPr>
                <w:lang w:bidi="ar-DZ"/>
              </w:rPr>
              <w:t>,</w:t>
            </w:r>
            <w:r w:rsidRPr="004F246B">
              <w:rPr>
                <w:lang w:bidi="ar-DZ"/>
              </w:rPr>
              <w:t xml:space="preserve"> </w:t>
            </w:r>
            <w:r w:rsidR="00AD4B70" w:rsidRPr="004F246B">
              <w:rPr>
                <w:lang w:bidi="ar-DZ"/>
              </w:rPr>
              <w:t>scorched</w:t>
            </w:r>
            <w:r w:rsidRPr="004F246B">
              <w:rPr>
                <w:lang w:bidi="ar-DZ"/>
              </w:rPr>
              <w:t>-node</w:t>
            </w:r>
            <w:r w:rsidR="00AD4B70">
              <w:rPr>
                <w:lang w:bidi="ar-DZ"/>
              </w:rPr>
              <w:t>,</w:t>
            </w:r>
            <w:r w:rsidRPr="004F246B">
              <w:rPr>
                <w:lang w:bidi="ar-DZ"/>
              </w:rPr>
              <w:t xml:space="preserve"> </w:t>
            </w:r>
            <w:r w:rsidR="00AD4B70" w:rsidRPr="004F246B">
              <w:rPr>
                <w:lang w:bidi="ar-DZ"/>
              </w:rPr>
              <w:t xml:space="preserve">spectrum </w:t>
            </w:r>
            <w:r w:rsidRPr="004F246B">
              <w:rPr>
                <w:lang w:bidi="ar-DZ"/>
              </w:rPr>
              <w:t>policy</w:t>
            </w:r>
            <w:r w:rsidR="00AD4B70">
              <w:rPr>
                <w:lang w:bidi="ar-DZ"/>
              </w:rPr>
              <w:t>,</w:t>
            </w:r>
            <w:r w:rsidRPr="004F246B">
              <w:rPr>
                <w:lang w:bidi="ar-DZ"/>
              </w:rPr>
              <w:t xml:space="preserve"> </w:t>
            </w:r>
            <w:r w:rsidR="00AD4B70" w:rsidRPr="004F246B">
              <w:rPr>
                <w:lang w:bidi="ar-DZ"/>
              </w:rPr>
              <w:t xml:space="preserve">total service </w:t>
            </w:r>
            <w:r w:rsidRPr="004F246B">
              <w:rPr>
                <w:lang w:bidi="ar-DZ"/>
              </w:rPr>
              <w:t>LRIC (TSLRIC/TSLRIC+)</w:t>
            </w:r>
            <w:r w:rsidR="00AD4B70">
              <w:rPr>
                <w:lang w:bidi="ar-DZ"/>
              </w:rPr>
              <w:t>,</w:t>
            </w:r>
            <w:r w:rsidRPr="004F246B">
              <w:rPr>
                <w:lang w:bidi="ar-DZ"/>
              </w:rPr>
              <w:t xml:space="preserve"> </w:t>
            </w:r>
            <w:r w:rsidR="00AD4B70" w:rsidRPr="004F246B">
              <w:rPr>
                <w:lang w:bidi="ar-DZ"/>
              </w:rPr>
              <w:t xml:space="preserve">weighted </w:t>
            </w:r>
            <w:r w:rsidRPr="004F246B">
              <w:rPr>
                <w:lang w:bidi="ar-DZ"/>
              </w:rPr>
              <w:t>average cost of capital (WACC)</w:t>
            </w:r>
            <w:r w:rsidR="00AD4B70">
              <w:rPr>
                <w:lang w:bidi="ar-DZ"/>
              </w:rPr>
              <w:t>,</w:t>
            </w:r>
            <w:r w:rsidRPr="004F246B">
              <w:rPr>
                <w:lang w:bidi="ar-DZ"/>
              </w:rPr>
              <w:t xml:space="preserve"> IP transit, </w:t>
            </w:r>
            <w:r w:rsidR="00AD4B70" w:rsidRPr="004F246B">
              <w:rPr>
                <w:lang w:bidi="ar-DZ"/>
              </w:rPr>
              <w:t xml:space="preserve">last </w:t>
            </w:r>
            <w:r w:rsidRPr="004F246B">
              <w:rPr>
                <w:lang w:bidi="ar-DZ"/>
              </w:rPr>
              <w:t xml:space="preserve">mile, </w:t>
            </w:r>
            <w:r w:rsidR="00AD4B70" w:rsidRPr="004F246B">
              <w:rPr>
                <w:lang w:bidi="ar-DZ"/>
              </w:rPr>
              <w:t xml:space="preserve">first </w:t>
            </w:r>
            <w:r w:rsidRPr="004F246B">
              <w:rPr>
                <w:lang w:bidi="ar-DZ"/>
              </w:rPr>
              <w:t xml:space="preserve">mile, Internet supply chain, </w:t>
            </w:r>
            <w:r w:rsidR="00AD4B70" w:rsidRPr="004F246B">
              <w:rPr>
                <w:lang w:bidi="ar-DZ"/>
              </w:rPr>
              <w:t>middle mile</w:t>
            </w:r>
            <w:r w:rsidRPr="004F246B">
              <w:rPr>
                <w:lang w:bidi="ar-DZ"/>
              </w:rPr>
              <w:t xml:space="preserve">, </w:t>
            </w:r>
            <w:r w:rsidR="00AD4B70" w:rsidRPr="004F246B">
              <w:rPr>
                <w:lang w:bidi="ar-DZ"/>
              </w:rPr>
              <w:t>international mile</w:t>
            </w:r>
            <w:r w:rsidRPr="004F246B">
              <w:rPr>
                <w:lang w:bidi="ar-DZ"/>
              </w:rPr>
              <w:t xml:space="preserve">, </w:t>
            </w:r>
            <w:r w:rsidR="00AD4B70" w:rsidRPr="004F246B">
              <w:rPr>
                <w:lang w:bidi="ar-DZ"/>
              </w:rPr>
              <w:t xml:space="preserve">international </w:t>
            </w:r>
            <w:r w:rsidRPr="004F246B">
              <w:rPr>
                <w:lang w:bidi="ar-DZ"/>
              </w:rPr>
              <w:t xml:space="preserve">transit, bandwidth costs, peering costs, donut peering, </w:t>
            </w:r>
            <w:r w:rsidR="00AD4B70" w:rsidRPr="004F246B">
              <w:rPr>
                <w:lang w:bidi="ar-DZ"/>
              </w:rPr>
              <w:t xml:space="preserve">Internet </w:t>
            </w:r>
            <w:r w:rsidRPr="004F246B">
              <w:rPr>
                <w:lang w:bidi="ar-DZ"/>
              </w:rPr>
              <w:t>exchange point (IXP), submarine cable, satellite broadband, spectrum refarming</w:t>
            </w:r>
            <w:bookmarkEnd w:id="7"/>
            <w:r w:rsidR="00021011">
              <w:t>.</w:t>
            </w:r>
          </w:p>
        </w:tc>
      </w:tr>
    </w:tbl>
    <w:p w14:paraId="5881D574" w14:textId="77777777" w:rsidR="00076210" w:rsidRDefault="00076210" w:rsidP="00EE45E0">
      <w:pPr>
        <w:pStyle w:val="Headingb"/>
      </w:pPr>
    </w:p>
    <w:p w14:paraId="32154938" w14:textId="52A67FCE" w:rsidR="001B5D54" w:rsidRPr="00EE45E0" w:rsidRDefault="001B5D54" w:rsidP="00EE45E0">
      <w:pPr>
        <w:pStyle w:val="Headingb"/>
      </w:pPr>
      <w:r w:rsidRPr="0076675B">
        <w:t>Note</w:t>
      </w:r>
    </w:p>
    <w:p w14:paraId="1302C890" w14:textId="6A9E0282" w:rsidR="001B5D54" w:rsidRDefault="001B5D54" w:rsidP="001822D5">
      <w:r w:rsidRPr="00075625">
        <w:rPr>
          <w:lang w:val="en-US"/>
        </w:rPr>
        <w:t>This is an informative ITU-T publication. Mandatory provisions, such as those found in ITU-T Recommendations, are outside the scope of this publication. This publication should only be referenced bibliographically in ITU-T Recommendations</w:t>
      </w:r>
      <w:r>
        <w:rPr>
          <w:lang w:val="en-US"/>
        </w:rPr>
        <w:t>.</w:t>
      </w:r>
    </w:p>
    <w:p w14:paraId="39376BC8" w14:textId="77777777" w:rsidR="00076210" w:rsidRDefault="00076210" w:rsidP="00934B4E">
      <w:pPr>
        <w:pStyle w:val="Headingb"/>
        <w:jc w:val="both"/>
      </w:pPr>
    </w:p>
    <w:p w14:paraId="06051E31" w14:textId="07E6B842" w:rsidR="00934B4E" w:rsidRPr="002B534E" w:rsidRDefault="00934B4E" w:rsidP="00934B4E">
      <w:pPr>
        <w:pStyle w:val="Headingb"/>
        <w:jc w:val="both"/>
      </w:pPr>
      <w:r>
        <w:t>Change Log</w:t>
      </w:r>
    </w:p>
    <w:p w14:paraId="76EDAD2A" w14:textId="6E0F138F" w:rsidR="00934B4E" w:rsidRDefault="0064207A" w:rsidP="00934B4E">
      <w:r w:rsidRPr="004F246B">
        <w:t xml:space="preserve">This document contains Version 1.0 of the ITU-T Technical Report on </w:t>
      </w:r>
      <w:r>
        <w:t>"</w:t>
      </w:r>
      <w:r w:rsidRPr="004F246B">
        <w:rPr>
          <w:i/>
          <w:iCs/>
        </w:rPr>
        <w:t xml:space="preserve">Terminology and taxonomy for international </w:t>
      </w:r>
      <w:r>
        <w:rPr>
          <w:i/>
          <w:iCs/>
        </w:rPr>
        <w:t>I</w:t>
      </w:r>
      <w:r w:rsidRPr="004F246B">
        <w:rPr>
          <w:i/>
          <w:iCs/>
        </w:rPr>
        <w:t>nternet connectivity</w:t>
      </w:r>
      <w:r w:rsidRPr="0064207A">
        <w:rPr>
          <w:bCs/>
        </w:rPr>
        <w:t>"</w:t>
      </w:r>
      <w:r w:rsidRPr="004F246B">
        <w:rPr>
          <w:i/>
          <w:iCs/>
        </w:rPr>
        <w:t xml:space="preserve"> </w:t>
      </w:r>
      <w:r w:rsidRPr="004F246B">
        <w:t xml:space="preserve">approved at the FG-CD meeting held online on </w:t>
      </w:r>
      <w:r w:rsidRPr="004F246B">
        <w:rPr>
          <w:bCs/>
        </w:rPr>
        <w:t>1</w:t>
      </w:r>
      <w:r>
        <w:rPr>
          <w:bCs/>
        </w:rPr>
        <w:t> </w:t>
      </w:r>
      <w:r w:rsidRPr="004F246B">
        <w:rPr>
          <w:bCs/>
        </w:rPr>
        <w:t>October</w:t>
      </w:r>
      <w:r>
        <w:rPr>
          <w:bCs/>
        </w:rPr>
        <w:t> </w:t>
      </w:r>
      <w:r w:rsidRPr="004F246B">
        <w:rPr>
          <w:bCs/>
        </w:rPr>
        <w:t>2025</w:t>
      </w:r>
      <w:r w:rsidR="000F76BA" w:rsidRPr="000F76BA">
        <w:t>.</w:t>
      </w:r>
    </w:p>
    <w:p w14:paraId="7FB56E4E" w14:textId="77777777" w:rsidR="00076210" w:rsidRDefault="00076210" w:rsidP="002A3258">
      <w:pPr>
        <w:pStyle w:val="Headingb"/>
        <w:jc w:val="both"/>
      </w:pPr>
    </w:p>
    <w:p w14:paraId="392B84F7" w14:textId="1E2EAD27" w:rsidR="00934B4E" w:rsidRDefault="002A3258" w:rsidP="002A3258">
      <w:pPr>
        <w:pStyle w:val="Headingb"/>
        <w:jc w:val="both"/>
      </w:pPr>
      <w:r w:rsidRPr="002A3258">
        <w:t>Acknowledgements</w:t>
      </w:r>
    </w:p>
    <w:p w14:paraId="6DDC36DD" w14:textId="0DBF7CC0" w:rsidR="000F76BA" w:rsidRPr="007976C3" w:rsidRDefault="000C60F6" w:rsidP="000F76BA">
      <w:pPr>
        <w:rPr>
          <w:color w:val="000000"/>
        </w:rPr>
      </w:pPr>
      <w:r w:rsidRPr="004F246B">
        <w:t>This Technical Report was written by the Editor below based on input documents received and outputs of WG 2, as a contribution to the ITU Focus Group on cost models for affordable data services (FG</w:t>
      </w:r>
      <w:r w:rsidR="00D40C92">
        <w:t>-</w:t>
      </w:r>
      <w:r w:rsidRPr="004F246B">
        <w:t xml:space="preserve">CD). If you would like to provide any additional information, please contact Vijay Mauree at </w:t>
      </w:r>
      <w:hyperlink r:id="rId12" w:history="1">
        <w:r w:rsidRPr="004F246B">
          <w:rPr>
            <w:rStyle w:val="Hyperlink"/>
          </w:rPr>
          <w:t>tsbfgcd@itu.int</w:t>
        </w:r>
      </w:hyperlink>
      <w:r w:rsidR="000F76BA" w:rsidRPr="00C3334F">
        <w:rPr>
          <w:color w:val="000000"/>
        </w:rPr>
        <w:t>.</w:t>
      </w:r>
    </w:p>
    <w:p w14:paraId="34319EBE" w14:textId="77777777" w:rsidR="000F76BA" w:rsidRPr="008244D0" w:rsidRDefault="000F76BA" w:rsidP="000F76BA">
      <w:pPr>
        <w:ind w:left="1440"/>
        <w:rPr>
          <w:rFonts w:eastAsia="CG Times"/>
          <w:color w:val="000000"/>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3543"/>
        <w:gridCol w:w="4112"/>
      </w:tblGrid>
      <w:tr w:rsidR="000C60F6" w:rsidRPr="00AD4B70" w14:paraId="33020164" w14:textId="77777777" w:rsidTr="000C60F6">
        <w:tc>
          <w:tcPr>
            <w:tcW w:w="1702" w:type="dxa"/>
          </w:tcPr>
          <w:p w14:paraId="6EA3AC92" w14:textId="10A74775" w:rsidR="000C60F6" w:rsidRPr="00AD4B70" w:rsidRDefault="000C60F6" w:rsidP="000C60F6">
            <w:pPr>
              <w:spacing w:before="60"/>
              <w:jc w:val="left"/>
              <w:rPr>
                <w:b/>
                <w:sz w:val="22"/>
                <w:szCs w:val="22"/>
              </w:rPr>
            </w:pPr>
            <w:r w:rsidRPr="00AD4B70">
              <w:rPr>
                <w:sz w:val="22"/>
                <w:szCs w:val="22"/>
                <w:lang w:bidi="ar-DZ"/>
              </w:rPr>
              <w:lastRenderedPageBreak/>
              <w:br w:type="page"/>
            </w:r>
            <w:r w:rsidRPr="00AD4B70">
              <w:rPr>
                <w:b/>
                <w:bCs/>
                <w:sz w:val="22"/>
                <w:szCs w:val="22"/>
              </w:rPr>
              <w:t>Editor:</w:t>
            </w:r>
          </w:p>
        </w:tc>
        <w:tc>
          <w:tcPr>
            <w:tcW w:w="3543" w:type="dxa"/>
          </w:tcPr>
          <w:p w14:paraId="18205D2B" w14:textId="3FC9ED61" w:rsidR="000C60F6" w:rsidRPr="00AD4B70" w:rsidRDefault="000C60F6" w:rsidP="00AE4B73">
            <w:pPr>
              <w:jc w:val="left"/>
              <w:rPr>
                <w:bCs/>
                <w:sz w:val="22"/>
                <w:szCs w:val="22"/>
              </w:rPr>
            </w:pPr>
            <w:r w:rsidRPr="00AD4B70">
              <w:rPr>
                <w:sz w:val="22"/>
                <w:szCs w:val="22"/>
                <w:lang w:val="it-IT"/>
              </w:rPr>
              <w:t>Prof</w:t>
            </w:r>
            <w:r w:rsidR="00D40C92">
              <w:rPr>
                <w:sz w:val="22"/>
                <w:szCs w:val="22"/>
                <w:lang w:val="it-IT"/>
              </w:rPr>
              <w:t>.</w:t>
            </w:r>
            <w:r w:rsidRPr="00AD4B70">
              <w:rPr>
                <w:sz w:val="22"/>
                <w:szCs w:val="22"/>
                <w:lang w:val="it-IT"/>
              </w:rPr>
              <w:t xml:space="preserve"> Emanuele Giovannetti</w:t>
            </w:r>
            <w:r w:rsidR="00AE4B73" w:rsidRPr="00AD4B70">
              <w:rPr>
                <w:sz w:val="22"/>
                <w:szCs w:val="22"/>
                <w:lang w:val="it-IT"/>
              </w:rPr>
              <w:br/>
            </w:r>
            <w:r w:rsidRPr="00AD4B70">
              <w:rPr>
                <w:sz w:val="22"/>
                <w:szCs w:val="22"/>
                <w:lang w:val="it-IT"/>
              </w:rPr>
              <w:t xml:space="preserve">Anglia Ruskin University and </w:t>
            </w:r>
            <w:r w:rsidR="00AE4B73" w:rsidRPr="00AD4B70">
              <w:rPr>
                <w:sz w:val="22"/>
                <w:szCs w:val="22"/>
                <w:lang w:val="it-IT"/>
              </w:rPr>
              <w:br/>
            </w:r>
            <w:r w:rsidRPr="00AD4B70">
              <w:rPr>
                <w:sz w:val="22"/>
                <w:szCs w:val="22"/>
              </w:rPr>
              <w:t>FG</w:t>
            </w:r>
            <w:r w:rsidR="00D40C92">
              <w:rPr>
                <w:sz w:val="22"/>
                <w:szCs w:val="22"/>
              </w:rPr>
              <w:t>-</w:t>
            </w:r>
            <w:r w:rsidRPr="00AD4B70">
              <w:rPr>
                <w:sz w:val="22"/>
                <w:szCs w:val="22"/>
              </w:rPr>
              <w:t>CD Vice Chair</w:t>
            </w:r>
          </w:p>
        </w:tc>
        <w:tc>
          <w:tcPr>
            <w:tcW w:w="4112" w:type="dxa"/>
          </w:tcPr>
          <w:p w14:paraId="0515DE68" w14:textId="3FED60CC" w:rsidR="000C60F6" w:rsidRPr="00AD4B70" w:rsidRDefault="000C60F6" w:rsidP="000C60F6">
            <w:pPr>
              <w:spacing w:before="60"/>
              <w:jc w:val="left"/>
              <w:rPr>
                <w:sz w:val="22"/>
                <w:szCs w:val="22"/>
                <w:lang w:val="pt-BR"/>
              </w:rPr>
            </w:pPr>
            <w:r w:rsidRPr="00AD4B70">
              <w:rPr>
                <w:sz w:val="22"/>
                <w:szCs w:val="22"/>
              </w:rPr>
              <w:t>Email:</w:t>
            </w:r>
            <w:r w:rsidR="00AD4B70">
              <w:rPr>
                <w:b/>
                <w:bCs/>
                <w:sz w:val="22"/>
                <w:szCs w:val="22"/>
              </w:rPr>
              <w:tab/>
            </w:r>
            <w:hyperlink r:id="rId13" w:history="1">
              <w:r w:rsidRPr="00AD4B70">
                <w:rPr>
                  <w:rStyle w:val="Hyperlink"/>
                  <w:sz w:val="22"/>
                  <w:szCs w:val="22"/>
                </w:rPr>
                <w:t>emanuele.giovannetti@aru.ac.uk</w:t>
              </w:r>
            </w:hyperlink>
          </w:p>
        </w:tc>
      </w:tr>
    </w:tbl>
    <w:p w14:paraId="5ED553A1" w14:textId="77777777" w:rsidR="001B5D54" w:rsidRDefault="001B5D54" w:rsidP="001B5D54">
      <w:pPr>
        <w:jc w:val="center"/>
        <w:rPr>
          <w:sz w:val="22"/>
        </w:rPr>
      </w:pPr>
    </w:p>
    <w:p w14:paraId="24452603" w14:textId="77777777" w:rsidR="001B5D54" w:rsidRDefault="001B5D54" w:rsidP="001B5D54">
      <w:pPr>
        <w:jc w:val="center"/>
        <w:rPr>
          <w:sz w:val="22"/>
        </w:rPr>
      </w:pPr>
    </w:p>
    <w:p w14:paraId="6824BF65" w14:textId="77777777" w:rsidR="00076210" w:rsidRDefault="00076210" w:rsidP="001B5D54">
      <w:pPr>
        <w:jc w:val="center"/>
        <w:rPr>
          <w:sz w:val="22"/>
        </w:rPr>
      </w:pPr>
    </w:p>
    <w:p w14:paraId="26C23C50" w14:textId="77777777" w:rsidR="00076210" w:rsidRDefault="00076210" w:rsidP="001B5D54">
      <w:pPr>
        <w:jc w:val="center"/>
        <w:rPr>
          <w:sz w:val="22"/>
        </w:rPr>
      </w:pPr>
    </w:p>
    <w:p w14:paraId="3AA87AE4" w14:textId="77777777" w:rsidR="00AD4B70" w:rsidRPr="00AD4B70" w:rsidRDefault="00AD4B70" w:rsidP="00AD4B70">
      <w:pPr>
        <w:spacing w:before="0" w:after="120"/>
        <w:jc w:val="center"/>
        <w:rPr>
          <w:rFonts w:eastAsia="Times New Roman"/>
          <w:lang w:val="ru-RU"/>
        </w:rPr>
      </w:pPr>
      <w:r w:rsidRPr="00AD4B70">
        <w:rPr>
          <w:rFonts w:ascii="Symbol" w:eastAsia="Symbol" w:hAnsi="Symbol" w:cs="Symbol"/>
        </w:rPr>
        <w:t></w:t>
      </w:r>
      <w:r w:rsidRPr="00AD4B70">
        <w:rPr>
          <w:rFonts w:eastAsia="Times New Roman"/>
        </w:rPr>
        <w:t> ITU </w:t>
      </w:r>
      <w:bookmarkStart w:id="8" w:name="iiannee"/>
      <w:bookmarkEnd w:id="8"/>
      <w:r w:rsidRPr="00AD4B70">
        <w:rPr>
          <w:rFonts w:eastAsia="Times New Roman"/>
        </w:rPr>
        <w:t>202</w:t>
      </w:r>
      <w:r w:rsidRPr="00AD4B70">
        <w:rPr>
          <w:rFonts w:eastAsia="Times New Roman"/>
          <w:lang w:val="ru-RU"/>
        </w:rPr>
        <w:t>6</w:t>
      </w:r>
    </w:p>
    <w:p w14:paraId="79A581C0" w14:textId="77777777" w:rsidR="00076210" w:rsidRPr="00076210" w:rsidRDefault="00076210" w:rsidP="00076210">
      <w:r w:rsidRPr="00076210">
        <w:t xml:space="preserve">Some rights reserved. This publication is available under the Creative Commons Attribution-Non Commercial-Share Alike 3.0 IGO licence (CC BY-NC-SA 3.0 IGO; https://creativecommons.org/licenses/by-nc-sa/3.0/igo). </w:t>
      </w:r>
    </w:p>
    <w:p w14:paraId="289EE350" w14:textId="5D6F9A09" w:rsidR="00B46FF3" w:rsidRPr="002B534E" w:rsidRDefault="00076210" w:rsidP="00076210">
      <w:pPr>
        <w:rPr>
          <w:b/>
        </w:rPr>
      </w:pPr>
      <w:r w:rsidRPr="00076210">
        <w:t>For any uses of this publication that are not included in this licence, please seek permission from ITU by contacting TSBmail@itu.int.</w:t>
      </w:r>
      <w:r w:rsidR="00B46FF3" w:rsidRPr="002B534E">
        <w:rPr>
          <w:b/>
        </w:rPr>
        <w:br w:type="page"/>
      </w:r>
      <w:r w:rsidR="00B84159" w:rsidRPr="002B534E">
        <w:rPr>
          <w:b/>
        </w:rPr>
        <w:lastRenderedPageBreak/>
        <w:t>Table of Contents</w:t>
      </w:r>
    </w:p>
    <w:p w14:paraId="72834B93" w14:textId="77777777" w:rsidR="00B46FF3" w:rsidRDefault="00B46FF3">
      <w:pPr>
        <w:pStyle w:val="toc0"/>
      </w:pPr>
      <w:r w:rsidRPr="002B534E">
        <w:tab/>
        <w:t>Page</w:t>
      </w:r>
    </w:p>
    <w:p w14:paraId="4CCBA75F" w14:textId="13A76A8C"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1</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Introduction</w:t>
      </w:r>
      <w:r w:rsidRPr="003014F0">
        <w:rPr>
          <w:noProof/>
          <w:webHidden/>
        </w:rPr>
        <w:tab/>
      </w:r>
      <w:r w:rsidRPr="003014F0">
        <w:rPr>
          <w:noProof/>
          <w:webHidden/>
        </w:rPr>
        <w:tab/>
        <w:t>1</w:t>
      </w:r>
    </w:p>
    <w:p w14:paraId="3BE0D429" w14:textId="1A587D6F"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2</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The four (plus one "invisible") miles of the Internet supply chain</w:t>
      </w:r>
      <w:r w:rsidRPr="003014F0">
        <w:rPr>
          <w:noProof/>
          <w:webHidden/>
        </w:rPr>
        <w:tab/>
      </w:r>
      <w:r w:rsidRPr="003014F0">
        <w:rPr>
          <w:noProof/>
          <w:webHidden/>
        </w:rPr>
        <w:tab/>
        <w:t>5</w:t>
      </w:r>
    </w:p>
    <w:p w14:paraId="3B3801E9" w14:textId="09B0F770"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3</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Infrastructure costs</w:t>
      </w:r>
      <w:r w:rsidRPr="003014F0">
        <w:rPr>
          <w:noProof/>
          <w:webHidden/>
        </w:rPr>
        <w:tab/>
      </w:r>
      <w:r w:rsidRPr="003014F0">
        <w:rPr>
          <w:noProof/>
          <w:webHidden/>
        </w:rPr>
        <w:tab/>
        <w:t>6</w:t>
      </w:r>
    </w:p>
    <w:p w14:paraId="6EAE1964" w14:textId="3D18E2D4"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3.1</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Submarine cable infrastructure</w:t>
      </w:r>
      <w:r w:rsidRPr="003014F0">
        <w:rPr>
          <w:noProof/>
          <w:webHidden/>
        </w:rPr>
        <w:tab/>
      </w:r>
      <w:r w:rsidRPr="003014F0">
        <w:rPr>
          <w:noProof/>
          <w:webHidden/>
        </w:rPr>
        <w:tab/>
        <w:t>7</w:t>
      </w:r>
    </w:p>
    <w:p w14:paraId="2810F1B0" w14:textId="1C3C9945"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3.2</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Satellite infrastructure</w:t>
      </w:r>
      <w:r w:rsidRPr="003014F0">
        <w:rPr>
          <w:noProof/>
          <w:webHidden/>
        </w:rPr>
        <w:tab/>
      </w:r>
      <w:r w:rsidRPr="003014F0">
        <w:rPr>
          <w:noProof/>
          <w:webHidden/>
        </w:rPr>
        <w:tab/>
        <w:t>8</w:t>
      </w:r>
    </w:p>
    <w:p w14:paraId="2D14B731" w14:textId="03CA683B"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3.3</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Internet exchange points (IXPs)</w:t>
      </w:r>
      <w:r w:rsidRPr="003014F0">
        <w:rPr>
          <w:noProof/>
          <w:webHidden/>
        </w:rPr>
        <w:tab/>
      </w:r>
      <w:r w:rsidRPr="003014F0">
        <w:rPr>
          <w:noProof/>
          <w:webHidden/>
        </w:rPr>
        <w:tab/>
        <w:t>11</w:t>
      </w:r>
    </w:p>
    <w:p w14:paraId="0EC4ACDE" w14:textId="4493EED4"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3.4</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International Internet routing as digital value chain</w:t>
      </w:r>
      <w:r w:rsidRPr="003014F0">
        <w:rPr>
          <w:noProof/>
          <w:webHidden/>
        </w:rPr>
        <w:tab/>
      </w:r>
      <w:r w:rsidRPr="003014F0">
        <w:rPr>
          <w:noProof/>
          <w:webHidden/>
        </w:rPr>
        <w:tab/>
        <w:t>13</w:t>
      </w:r>
    </w:p>
    <w:p w14:paraId="2A2880DD" w14:textId="2224A994"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3.5</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Bandwidth costs</w:t>
      </w:r>
      <w:r w:rsidRPr="003014F0">
        <w:rPr>
          <w:noProof/>
          <w:webHidden/>
        </w:rPr>
        <w:tab/>
      </w:r>
      <w:r w:rsidRPr="003014F0">
        <w:rPr>
          <w:noProof/>
          <w:webHidden/>
        </w:rPr>
        <w:tab/>
        <w:t>16</w:t>
      </w:r>
    </w:p>
    <w:p w14:paraId="6EE46B4F" w14:textId="03722806"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3.6</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International bandwidth capacity</w:t>
      </w:r>
      <w:r w:rsidRPr="003014F0">
        <w:rPr>
          <w:noProof/>
          <w:webHidden/>
        </w:rPr>
        <w:tab/>
      </w:r>
      <w:r w:rsidRPr="003014F0">
        <w:rPr>
          <w:noProof/>
          <w:webHidden/>
        </w:rPr>
        <w:tab/>
        <w:t>21</w:t>
      </w:r>
    </w:p>
    <w:p w14:paraId="4BF5AB69" w14:textId="0B036F01"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4</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Market demand: international bandwidth usage</w:t>
      </w:r>
      <w:r w:rsidRPr="003014F0">
        <w:rPr>
          <w:noProof/>
          <w:webHidden/>
        </w:rPr>
        <w:tab/>
      </w:r>
      <w:r w:rsidRPr="003014F0">
        <w:rPr>
          <w:noProof/>
          <w:webHidden/>
        </w:rPr>
        <w:tab/>
        <w:t>22</w:t>
      </w:r>
    </w:p>
    <w:p w14:paraId="2ABDC2C6" w14:textId="5ABCDB59"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5</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Market and competitive costs</w:t>
      </w:r>
      <w:r w:rsidRPr="003014F0">
        <w:rPr>
          <w:noProof/>
          <w:webHidden/>
        </w:rPr>
        <w:tab/>
      </w:r>
      <w:r w:rsidRPr="003014F0">
        <w:rPr>
          <w:noProof/>
          <w:webHidden/>
        </w:rPr>
        <w:tab/>
        <w:t>24</w:t>
      </w:r>
    </w:p>
    <w:p w14:paraId="4CE5E16C" w14:textId="1D35E809"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5.1</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National regulation that mandates access to international facilities</w:t>
      </w:r>
      <w:r w:rsidRPr="003014F0">
        <w:rPr>
          <w:noProof/>
          <w:webHidden/>
        </w:rPr>
        <w:tab/>
      </w:r>
      <w:r w:rsidRPr="003014F0">
        <w:rPr>
          <w:noProof/>
          <w:webHidden/>
        </w:rPr>
        <w:tab/>
        <w:t>24</w:t>
      </w:r>
    </w:p>
    <w:p w14:paraId="2A05CE9E" w14:textId="719163EB"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5.2</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Policies to reduce the costs of international connectivity</w:t>
      </w:r>
      <w:r w:rsidRPr="003014F0">
        <w:rPr>
          <w:noProof/>
          <w:webHidden/>
        </w:rPr>
        <w:tab/>
      </w:r>
      <w:r w:rsidRPr="003014F0">
        <w:rPr>
          <w:noProof/>
          <w:webHidden/>
        </w:rPr>
        <w:tab/>
        <w:t>25</w:t>
      </w:r>
    </w:p>
    <w:p w14:paraId="3BD449D5" w14:textId="5AE48052"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5.3</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Dynamic competition</w:t>
      </w:r>
      <w:r w:rsidRPr="003014F0">
        <w:rPr>
          <w:noProof/>
          <w:webHidden/>
        </w:rPr>
        <w:tab/>
      </w:r>
      <w:r w:rsidRPr="003014F0">
        <w:rPr>
          <w:noProof/>
          <w:webHidden/>
        </w:rPr>
        <w:tab/>
        <w:t>26</w:t>
      </w:r>
    </w:p>
    <w:p w14:paraId="5A214053" w14:textId="7E590168"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6</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References</w:t>
      </w:r>
      <w:r w:rsidRPr="003014F0">
        <w:rPr>
          <w:noProof/>
          <w:webHidden/>
        </w:rPr>
        <w:tab/>
      </w:r>
      <w:r w:rsidRPr="003014F0">
        <w:rPr>
          <w:noProof/>
          <w:webHidden/>
        </w:rPr>
        <w:tab/>
        <w:t>26</w:t>
      </w:r>
    </w:p>
    <w:p w14:paraId="48ADA916" w14:textId="10503B86" w:rsidR="003014F0" w:rsidRPr="003014F0" w:rsidRDefault="003014F0">
      <w:pPr>
        <w:pStyle w:val="TOC2"/>
        <w:rPr>
          <w:rFonts w:asciiTheme="minorHAnsi" w:hAnsiTheme="minorHAnsi" w:cstheme="minorBidi"/>
          <w:noProof/>
          <w:kern w:val="2"/>
          <w:szCs w:val="24"/>
          <w:lang w:eastAsia="en-GB"/>
          <w14:ligatures w14:val="standardContextual"/>
        </w:rPr>
      </w:pPr>
      <w:r w:rsidRPr="003014F0">
        <w:rPr>
          <w:rStyle w:val="Hyperlink"/>
          <w:noProof/>
          <w:color w:val="auto"/>
          <w:u w:val="none"/>
        </w:rPr>
        <w:t>6.1</w:t>
      </w:r>
      <w:r w:rsidRPr="003014F0">
        <w:rPr>
          <w:rFonts w:asciiTheme="minorHAnsi" w:hAnsiTheme="minorHAnsi" w:cstheme="minorBidi"/>
          <w:noProof/>
          <w:kern w:val="2"/>
          <w:szCs w:val="24"/>
          <w:lang w:eastAsia="en-GB"/>
          <w14:ligatures w14:val="standardContextual"/>
        </w:rPr>
        <w:tab/>
      </w:r>
      <w:r w:rsidRPr="003014F0">
        <w:rPr>
          <w:rStyle w:val="Hyperlink"/>
          <w:noProof/>
          <w:color w:val="auto"/>
          <w:u w:val="none"/>
        </w:rPr>
        <w:t>Policy references</w:t>
      </w:r>
      <w:r w:rsidRPr="003014F0">
        <w:rPr>
          <w:noProof/>
          <w:webHidden/>
        </w:rPr>
        <w:tab/>
      </w:r>
      <w:r w:rsidRPr="003014F0">
        <w:rPr>
          <w:noProof/>
          <w:webHidden/>
        </w:rPr>
        <w:tab/>
        <w:t>26</w:t>
      </w:r>
    </w:p>
    <w:p w14:paraId="493C9146" w14:textId="42F8145C"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Appendix I</w:t>
      </w:r>
      <w:r w:rsidRPr="003014F0">
        <w:rPr>
          <w:noProof/>
          <w:webHidden/>
        </w:rPr>
        <w:tab/>
      </w:r>
      <w:r w:rsidRPr="003014F0">
        <w:rPr>
          <w:noProof/>
          <w:webHidden/>
        </w:rPr>
        <w:tab/>
        <w:t>27</w:t>
      </w:r>
    </w:p>
    <w:p w14:paraId="339E13EE" w14:textId="6FCAA663" w:rsidR="003014F0" w:rsidRPr="003014F0" w:rsidRDefault="003014F0">
      <w:pPr>
        <w:pStyle w:val="TOC1"/>
        <w:rPr>
          <w:rFonts w:asciiTheme="minorHAnsi" w:hAnsiTheme="minorHAnsi" w:cstheme="minorBidi"/>
          <w:noProof/>
          <w:kern w:val="2"/>
          <w:szCs w:val="24"/>
          <w:lang w:eastAsia="en-GB"/>
          <w14:ligatures w14:val="standardContextual"/>
        </w:rPr>
      </w:pPr>
      <w:r w:rsidRPr="003014F0">
        <w:rPr>
          <w:rStyle w:val="Hyperlink"/>
          <w:noProof/>
          <w:color w:val="auto"/>
          <w:u w:val="none"/>
        </w:rPr>
        <w:t>Bibliography</w:t>
      </w:r>
      <w:r w:rsidRPr="003014F0">
        <w:rPr>
          <w:noProof/>
          <w:webHidden/>
        </w:rPr>
        <w:tab/>
      </w:r>
      <w:r w:rsidRPr="003014F0">
        <w:rPr>
          <w:noProof/>
          <w:webHidden/>
        </w:rPr>
        <w:tab/>
        <w:t>30</w:t>
      </w:r>
    </w:p>
    <w:p w14:paraId="768FE9B5" w14:textId="77777777" w:rsidR="00676F9C" w:rsidRPr="007C62AC" w:rsidRDefault="00676F9C"/>
    <w:p w14:paraId="6B0B2EE3" w14:textId="77777777" w:rsidR="00B46FF3" w:rsidRPr="007C62AC" w:rsidRDefault="00B46FF3">
      <w:pPr>
        <w:rPr>
          <w:b/>
          <w:bCs/>
        </w:rPr>
        <w:sectPr w:rsidR="00B46FF3" w:rsidRPr="007C62AC" w:rsidSect="008F0E27">
          <w:headerReference w:type="default" r:id="rId14"/>
          <w:footerReference w:type="even" r:id="rId15"/>
          <w:footerReference w:type="default" r:id="rId16"/>
          <w:type w:val="oddPage"/>
          <w:pgSz w:w="11907" w:h="16834"/>
          <w:pgMar w:top="1134" w:right="1134" w:bottom="1134" w:left="1134" w:header="567" w:footer="567" w:gutter="0"/>
          <w:paperSrc w:first="15" w:other="15"/>
          <w:pgNumType w:fmt="lowerRoman" w:start="1"/>
          <w:cols w:space="720"/>
          <w:docGrid w:linePitch="326"/>
        </w:sectPr>
      </w:pPr>
    </w:p>
    <w:p w14:paraId="4ABA7913" w14:textId="179D340C" w:rsidR="00934B4E" w:rsidRPr="007C62AC" w:rsidRDefault="00934B4E" w:rsidP="00934B4E">
      <w:pPr>
        <w:pStyle w:val="RecNo"/>
      </w:pPr>
      <w:bookmarkStart w:id="9" w:name="p1rectexte"/>
      <w:bookmarkEnd w:id="9"/>
      <w:r w:rsidRPr="007C62AC">
        <w:lastRenderedPageBreak/>
        <w:t xml:space="preserve">Technical Report ITU-T </w:t>
      </w:r>
      <w:r w:rsidR="00F37429" w:rsidRPr="007C62AC">
        <w:t>FG-CD-D6</w:t>
      </w:r>
    </w:p>
    <w:p w14:paraId="6EC3AE38" w14:textId="661C3AA0" w:rsidR="00934B4E" w:rsidRPr="00CE55A5" w:rsidRDefault="00F37429" w:rsidP="00934B4E">
      <w:pPr>
        <w:pStyle w:val="Rectitle"/>
      </w:pPr>
      <w:r>
        <w:rPr>
          <w:bCs/>
        </w:rPr>
        <w:t xml:space="preserve">Terminology and </w:t>
      </w:r>
      <w:r w:rsidR="00F63630">
        <w:rPr>
          <w:bCs/>
        </w:rPr>
        <w:t>taxonomy for international Internet connectivity</w:t>
      </w:r>
    </w:p>
    <w:p w14:paraId="2DEA52C7" w14:textId="061528D6" w:rsidR="00E52274" w:rsidRPr="00E52274" w:rsidRDefault="00E52274" w:rsidP="00E52274">
      <w:pPr>
        <w:pStyle w:val="Heading1"/>
      </w:pPr>
      <w:bookmarkStart w:id="10" w:name="_Toc210148076"/>
      <w:bookmarkStart w:id="11" w:name="_Toc239238915"/>
      <w:bookmarkStart w:id="12" w:name="_Toc239239740"/>
      <w:bookmarkStart w:id="13" w:name="_Toc239248532"/>
      <w:r>
        <w:t>1</w:t>
      </w:r>
      <w:r>
        <w:tab/>
      </w:r>
      <w:r w:rsidRPr="00E52274">
        <w:t>Introduction</w:t>
      </w:r>
      <w:bookmarkEnd w:id="10"/>
      <w:bookmarkEnd w:id="11"/>
      <w:bookmarkEnd w:id="12"/>
      <w:bookmarkEnd w:id="13"/>
    </w:p>
    <w:p w14:paraId="11766FC4" w14:textId="77777777" w:rsidR="00E52274" w:rsidRPr="004F246B" w:rsidRDefault="00E52274" w:rsidP="00E52274">
      <w:r w:rsidRPr="004F246B">
        <w:t>The costs of international Internet connectivity (IIC) play a vital role in influencing the accessibility and affordability of Internet services around the globe. The International Telecommunication Union (ITU) collects data, indicators and metrics that are a natural starting point for analysis of country and regional differences in their costs of international Internet connectivity.</w:t>
      </w:r>
    </w:p>
    <w:p w14:paraId="07AA7305" w14:textId="7F6A3DC7" w:rsidR="00E52274" w:rsidRPr="004F246B" w:rsidRDefault="00E52274" w:rsidP="00E52274">
      <w:r w:rsidRPr="004F246B">
        <w:t xml:space="preserve">The purpose of this </w:t>
      </w:r>
      <w:r>
        <w:t>report</w:t>
      </w:r>
      <w:r w:rsidRPr="004F246B">
        <w:t xml:space="preserve"> is to clarify terminology and organi</w:t>
      </w:r>
      <w:r>
        <w:t>z</w:t>
      </w:r>
      <w:r w:rsidRPr="004F246B">
        <w:t xml:space="preserve">e a taxonomy relevant for the metrics and indicators that the ITU uses to quantify and evaluate the global costs associated with international </w:t>
      </w:r>
      <w:r w:rsidR="00A95AF8" w:rsidRPr="004F246B">
        <w:t xml:space="preserve">Internet </w:t>
      </w:r>
      <w:r w:rsidRPr="004F246B">
        <w:t>connectivity.</w:t>
      </w:r>
    </w:p>
    <w:p w14:paraId="310B3EDD" w14:textId="77777777" w:rsidR="00E52274" w:rsidRPr="004F246B" w:rsidRDefault="00E52274" w:rsidP="00E52274">
      <w:r w:rsidRPr="004F246B">
        <w:t>Also, when possible, suggestions for improvements, of either the metrics, underlying concepts, or practical data access that make the use of this valuable data easier for policymakers</w:t>
      </w:r>
      <w:r>
        <w:t>, are considered</w:t>
      </w:r>
      <w:r w:rsidRPr="004F246B">
        <w:t>. Hence, some additional metrics and extensions based on external data sets are also proposed, as a relevant step forward to assess the costs of IIC, whenever possible and relevant within the scope of this initial enquiry.</w:t>
      </w:r>
    </w:p>
    <w:p w14:paraId="17777908" w14:textId="11392620" w:rsidR="00E52274" w:rsidRPr="006D57D6" w:rsidRDefault="00E52274" w:rsidP="00E52274">
      <w:pPr>
        <w:rPr>
          <w:szCs w:val="24"/>
        </w:rPr>
      </w:pPr>
      <w:r w:rsidRPr="006D57D6">
        <w:rPr>
          <w:kern w:val="2"/>
          <w:szCs w:val="24"/>
          <w14:ligatures w14:val="standardContextual"/>
        </w:rPr>
        <w:t>The broad cost categories of relevance for Internet connectivity can be grouped into</w:t>
      </w:r>
      <w:r w:rsidRPr="006D57D6">
        <w:rPr>
          <w:i/>
          <w:iCs/>
          <w:kern w:val="2"/>
          <w:szCs w:val="24"/>
          <w14:ligatures w14:val="standardContextual"/>
        </w:rPr>
        <w:t>: infrastructure costs</w:t>
      </w:r>
      <w:r w:rsidRPr="006D57D6">
        <w:rPr>
          <w:kern w:val="2"/>
          <w:szCs w:val="24"/>
          <w14:ligatures w14:val="standardContextual"/>
        </w:rPr>
        <w:t xml:space="preserve">, </w:t>
      </w:r>
      <w:r w:rsidRPr="006D57D6">
        <w:rPr>
          <w:i/>
          <w:iCs/>
          <w:kern w:val="2"/>
          <w:szCs w:val="24"/>
          <w14:ligatures w14:val="standardContextual"/>
        </w:rPr>
        <w:t>bandwidth costs, operational costs,</w:t>
      </w:r>
      <w:r w:rsidRPr="006D57D6">
        <w:rPr>
          <w:kern w:val="2"/>
          <w:szCs w:val="24"/>
          <w14:ligatures w14:val="standardContextual"/>
        </w:rPr>
        <w:t xml:space="preserve"> </w:t>
      </w:r>
      <w:r w:rsidRPr="006D57D6">
        <w:rPr>
          <w:i/>
          <w:iCs/>
          <w:kern w:val="2"/>
          <w:szCs w:val="24"/>
          <w14:ligatures w14:val="standardContextual"/>
        </w:rPr>
        <w:t>regulatory costs,</w:t>
      </w:r>
      <w:r w:rsidRPr="006D57D6">
        <w:rPr>
          <w:kern w:val="2"/>
          <w:szCs w:val="24"/>
          <w14:ligatures w14:val="standardContextual"/>
        </w:rPr>
        <w:t xml:space="preserve"> </w:t>
      </w:r>
      <w:r w:rsidRPr="006D57D6">
        <w:rPr>
          <w:i/>
          <w:iCs/>
          <w:kern w:val="2"/>
          <w:szCs w:val="24"/>
          <w14:ligatures w14:val="standardContextual"/>
        </w:rPr>
        <w:t xml:space="preserve">market and competitive costs, geographic and environmental costs and end-user costs. </w:t>
      </w:r>
      <w:r w:rsidRPr="006D57D6">
        <w:rPr>
          <w:kern w:val="2"/>
          <w:szCs w:val="24"/>
          <w14:ligatures w14:val="standardContextual"/>
        </w:rPr>
        <w:t>In the following, a taxonomy is suggested some of these costs</w:t>
      </w:r>
      <w:r w:rsidR="00582FF1" w:rsidRPr="006D57D6">
        <w:rPr>
          <w:kern w:val="2"/>
          <w:szCs w:val="24"/>
          <w14:ligatures w14:val="standardContextual"/>
        </w:rPr>
        <w:t>'</w:t>
      </w:r>
      <w:r w:rsidRPr="006D57D6">
        <w:rPr>
          <w:kern w:val="2"/>
          <w:szCs w:val="24"/>
          <w14:ligatures w14:val="standardContextual"/>
        </w:rPr>
        <w:t xml:space="preserve"> components are considered and discussed, focusing whenever possible on their relevance for international Internet </w:t>
      </w:r>
      <w:r w:rsidRPr="006D57D6">
        <w:rPr>
          <w:szCs w:val="24"/>
        </w:rPr>
        <w:t>connectivity</w:t>
      </w:r>
      <w:r w:rsidRPr="006D57D6">
        <w:rPr>
          <w:kern w:val="2"/>
          <w:szCs w:val="24"/>
          <w14:ligatures w14:val="standardContextual"/>
        </w:rPr>
        <w:t>.</w:t>
      </w:r>
    </w:p>
    <w:p w14:paraId="5D6AEC17" w14:textId="0E0E0107" w:rsidR="00E52274" w:rsidRPr="006D57D6" w:rsidRDefault="00E52274" w:rsidP="00E52274">
      <w:pPr>
        <w:rPr>
          <w:kern w:val="2"/>
          <w:szCs w:val="24"/>
          <w14:ligatures w14:val="standardContextual"/>
        </w:rPr>
      </w:pPr>
      <w:r w:rsidRPr="006D57D6">
        <w:rPr>
          <w:kern w:val="2"/>
          <w:szCs w:val="24"/>
          <w14:ligatures w14:val="standardContextual"/>
        </w:rPr>
        <w:t>Before exploring the above costs categories in more detail, and while a comprehensive ITU-D (2021) document on modelling cost and guidelines is available</w:t>
      </w:r>
      <w:r w:rsidRPr="006D57D6">
        <w:rPr>
          <w:rStyle w:val="FootnoteReference"/>
        </w:rPr>
        <w:footnoteReference w:id="1"/>
      </w:r>
      <w:r w:rsidRPr="006D57D6">
        <w:rPr>
          <w:kern w:val="2"/>
          <w:szCs w:val="24"/>
          <w14:ligatures w14:val="standardContextual"/>
        </w:rPr>
        <w:t>, we discuss some of the key terms of particular importance on the methodology for assessing connectivity integrating material from ITU</w:t>
      </w:r>
      <w:r w:rsidR="001337E1">
        <w:rPr>
          <w:kern w:val="2"/>
          <w:szCs w:val="24"/>
          <w14:ligatures w14:val="standardContextual"/>
        </w:rPr>
        <w:noBreakHyphen/>
      </w:r>
      <w:r w:rsidRPr="006D57D6">
        <w:rPr>
          <w:kern w:val="2"/>
          <w:szCs w:val="24"/>
          <w14:ligatures w14:val="standardContextual"/>
        </w:rPr>
        <w:t>D (2021) with four contributions, presented by Mr Papa Gorgui TOURE, from [b-Tactikom, 2025-1], [b-Tactikom, 2025-2], [b-Tactikom, 2025-3], [b-Tactikom, 2025-4]</w:t>
      </w:r>
      <w:r w:rsidR="006106B4" w:rsidRPr="006D57D6">
        <w:rPr>
          <w:kern w:val="2"/>
          <w:szCs w:val="24"/>
          <w14:ligatures w14:val="standardContextual"/>
        </w:rPr>
        <w:t xml:space="preserve"> </w:t>
      </w:r>
      <w:r w:rsidRPr="006D57D6">
        <w:rPr>
          <w:kern w:val="2"/>
          <w:szCs w:val="24"/>
          <w14:ligatures w14:val="standardContextual"/>
        </w:rPr>
        <w:t>to this Focus Group</w:t>
      </w:r>
      <w:r w:rsidR="00582FF1" w:rsidRPr="006D57D6">
        <w:rPr>
          <w:kern w:val="2"/>
          <w:szCs w:val="24"/>
          <w14:ligatures w14:val="standardContextual"/>
        </w:rPr>
        <w:t>'</w:t>
      </w:r>
      <w:r w:rsidRPr="006D57D6">
        <w:rPr>
          <w:kern w:val="2"/>
          <w:szCs w:val="24"/>
          <w14:ligatures w14:val="standardContextual"/>
        </w:rPr>
        <w:t xml:space="preserve">s </w:t>
      </w:r>
      <w:r w:rsidRPr="006D57D6">
        <w:rPr>
          <w:szCs w:val="24"/>
        </w:rPr>
        <w:t>Online meeting held on 25 June 2025</w:t>
      </w:r>
      <w:r w:rsidRPr="006D57D6">
        <w:rPr>
          <w:kern w:val="2"/>
          <w:szCs w:val="24"/>
          <w14:ligatures w14:val="standardContextual"/>
        </w:rPr>
        <w:t>.</w:t>
      </w:r>
    </w:p>
    <w:p w14:paraId="69F0136E" w14:textId="4A4A2BB4" w:rsidR="00E52274" w:rsidRPr="006D57D6" w:rsidRDefault="00E52274" w:rsidP="00E52274">
      <w:pPr>
        <w:rPr>
          <w:kern w:val="2"/>
          <w:szCs w:val="24"/>
          <w14:ligatures w14:val="standardContextual"/>
        </w:rPr>
      </w:pPr>
      <w:r w:rsidRPr="006D57D6">
        <w:rPr>
          <w:kern w:val="2"/>
          <w:szCs w:val="24"/>
          <w14:ligatures w14:val="standardContextual"/>
        </w:rPr>
        <w:t xml:space="preserve">These considerations are of specific relevance for sectors moving from a previously monopolised state to a more competitive one. In detail, </w:t>
      </w:r>
      <w:r w:rsidRPr="006D57D6">
        <w:rPr>
          <w:b/>
          <w:bCs/>
          <w:kern w:val="2"/>
          <w:szCs w:val="24"/>
          <w14:ligatures w14:val="standardContextual"/>
        </w:rPr>
        <w:t>ex-ante regulation</w:t>
      </w:r>
      <w:r w:rsidRPr="000150EB">
        <w:rPr>
          <w:kern w:val="2"/>
          <w:szCs w:val="24"/>
          <w14:ligatures w14:val="standardContextual"/>
        </w:rPr>
        <w:t>,</w:t>
      </w:r>
      <w:r w:rsidRPr="006D57D6">
        <w:rPr>
          <w:kern w:val="2"/>
          <w:szCs w:val="24"/>
          <w14:ligatures w14:val="standardContextual"/>
        </w:rPr>
        <w:t xml:space="preserve"> often based on </w:t>
      </w:r>
      <w:r w:rsidRPr="006D57D6">
        <w:rPr>
          <w:b/>
          <w:bCs/>
          <w:kern w:val="2"/>
          <w:szCs w:val="24"/>
          <w14:ligatures w14:val="standardContextual"/>
        </w:rPr>
        <w:t>modern equivalent asset</w:t>
      </w:r>
      <w:r w:rsidRPr="006D57D6">
        <w:rPr>
          <w:kern w:val="2"/>
          <w:szCs w:val="24"/>
          <w14:ligatures w14:val="standardContextual"/>
        </w:rPr>
        <w:t xml:space="preserve"> (MEA), defined by the Independent Regulators Group (IRG)</w:t>
      </w:r>
      <w:r w:rsidRPr="000150EB">
        <w:rPr>
          <w:rStyle w:val="FootnoteReference"/>
        </w:rPr>
        <w:footnoteReference w:id="2"/>
      </w:r>
      <w:r w:rsidR="000150EB">
        <w:rPr>
          <w:kern w:val="2"/>
          <w:szCs w:val="24"/>
          <w14:ligatures w14:val="standardContextual"/>
        </w:rPr>
        <w:t xml:space="preserve"> </w:t>
      </w:r>
      <w:r w:rsidRPr="006D57D6">
        <w:rPr>
          <w:kern w:val="2"/>
          <w:szCs w:val="24"/>
          <w14:ligatures w14:val="standardContextual"/>
        </w:rPr>
        <w:t xml:space="preserve">as </w:t>
      </w:r>
      <w:r w:rsidR="0070360F" w:rsidRPr="006D57D6">
        <w:rPr>
          <w:kern w:val="2"/>
          <w:szCs w:val="24"/>
          <w14:ligatures w14:val="standardContextual"/>
        </w:rPr>
        <w:t>"</w:t>
      </w:r>
      <w:r w:rsidRPr="006D57D6">
        <w:rPr>
          <w:i/>
          <w:iCs/>
          <w:kern w:val="2"/>
          <w:szCs w:val="24"/>
          <w14:ligatures w14:val="standardContextual"/>
        </w:rPr>
        <w:t>The lowest cost asset, providing at least equivalent functionality and output as the asset being valued</w:t>
      </w:r>
      <w:r w:rsidR="00AF1FCB" w:rsidRPr="006D57D6">
        <w:rPr>
          <w:kern w:val="2"/>
          <w:szCs w:val="24"/>
          <w14:ligatures w14:val="standardContextual"/>
        </w:rPr>
        <w:t>"</w:t>
      </w:r>
      <w:r w:rsidRPr="006D57D6">
        <w:rPr>
          <w:kern w:val="2"/>
          <w:szCs w:val="24"/>
          <w14:ligatures w14:val="standardContextual"/>
        </w:rPr>
        <w:t xml:space="preserve"> was essential when there was a simple monopolised operator, to assess relevant costa and prevent excessive markups on these costs.</w:t>
      </w:r>
      <w:r w:rsidR="006106B4" w:rsidRPr="006D57D6">
        <w:rPr>
          <w:kern w:val="2"/>
          <w:szCs w:val="24"/>
          <w14:ligatures w14:val="standardContextual"/>
        </w:rPr>
        <w:t xml:space="preserve"> </w:t>
      </w:r>
      <w:r w:rsidRPr="006D57D6">
        <w:rPr>
          <w:kern w:val="2"/>
          <w:szCs w:val="24"/>
          <w14:ligatures w14:val="standardContextual"/>
        </w:rPr>
        <w:t xml:space="preserve">However, in a more competitive setting, </w:t>
      </w:r>
      <w:r w:rsidRPr="006D57D6">
        <w:rPr>
          <w:b/>
          <w:bCs/>
          <w:kern w:val="2"/>
          <w:szCs w:val="24"/>
          <w14:ligatures w14:val="standardContextual"/>
        </w:rPr>
        <w:t>ex-post regulation</w:t>
      </w:r>
      <w:r w:rsidRPr="006D57D6">
        <w:rPr>
          <w:kern w:val="2"/>
          <w:szCs w:val="24"/>
          <w14:ligatures w14:val="standardContextual"/>
        </w:rPr>
        <w:t xml:space="preserve"> becomes </w:t>
      </w:r>
      <w:r w:rsidR="000150EB" w:rsidRPr="006D57D6">
        <w:rPr>
          <w:kern w:val="2"/>
          <w:szCs w:val="24"/>
          <w14:ligatures w14:val="standardContextual"/>
        </w:rPr>
        <w:t>essential,</w:t>
      </w:r>
      <w:r w:rsidRPr="006D57D6">
        <w:rPr>
          <w:kern w:val="2"/>
          <w:szCs w:val="24"/>
          <w14:ligatures w14:val="standardContextual"/>
        </w:rPr>
        <w:t xml:space="preserve"> and it needs to rely on real data from operators who actively contribute to cost calculations. This collaborative approach, also termed </w:t>
      </w:r>
      <w:r w:rsidRPr="006D57D6">
        <w:rPr>
          <w:b/>
          <w:bCs/>
          <w:kern w:val="2"/>
          <w:szCs w:val="24"/>
          <w14:ligatures w14:val="standardContextual"/>
        </w:rPr>
        <w:t>co-regulation</w:t>
      </w:r>
      <w:r w:rsidRPr="006D57D6">
        <w:rPr>
          <w:kern w:val="2"/>
          <w:szCs w:val="24"/>
          <w14:ligatures w14:val="standardContextual"/>
        </w:rPr>
        <w:t>, aligns regulatory policies with operators' business needs. This requires moving to</w:t>
      </w:r>
      <w:r w:rsidR="006106B4" w:rsidRPr="006D57D6">
        <w:rPr>
          <w:kern w:val="2"/>
          <w:szCs w:val="24"/>
          <w14:ligatures w14:val="standardContextual"/>
        </w:rPr>
        <w:t xml:space="preserve"> </w:t>
      </w:r>
      <w:r w:rsidRPr="006D57D6">
        <w:rPr>
          <w:b/>
          <w:bCs/>
          <w:kern w:val="2"/>
          <w:szCs w:val="24"/>
          <w14:ligatures w14:val="standardContextual"/>
        </w:rPr>
        <w:t>hybrid cost models</w:t>
      </w:r>
      <w:r w:rsidRPr="006D57D6">
        <w:rPr>
          <w:kern w:val="2"/>
          <w:szCs w:val="24"/>
          <w14:ligatures w14:val="standardContextual"/>
        </w:rPr>
        <w:t>, balancing regulatory oversight with support for competitive marketing strategies in increasingly complex market ecosystems [b-Tactikom, 2025-1].</w:t>
      </w:r>
    </w:p>
    <w:p w14:paraId="3A266470" w14:textId="177A6D04" w:rsidR="00E52274" w:rsidRPr="006D57D6" w:rsidRDefault="00E52274" w:rsidP="00E52274">
      <w:pPr>
        <w:rPr>
          <w:kern w:val="2"/>
          <w:szCs w:val="24"/>
          <w14:ligatures w14:val="standardContextual"/>
        </w:rPr>
      </w:pPr>
      <w:r w:rsidRPr="006D57D6">
        <w:rPr>
          <w:kern w:val="2"/>
          <w:szCs w:val="24"/>
          <w14:ligatures w14:val="standardContextual"/>
        </w:rPr>
        <w:t xml:space="preserve">This new context requires an </w:t>
      </w:r>
      <w:r w:rsidRPr="006D57D6">
        <w:rPr>
          <w:b/>
          <w:bCs/>
          <w:kern w:val="2"/>
          <w:szCs w:val="24"/>
          <w14:ligatures w14:val="standardContextual"/>
        </w:rPr>
        <w:t>analytic accounting perspective</w:t>
      </w:r>
      <w:r w:rsidRPr="006D57D6">
        <w:rPr>
          <w:kern w:val="2"/>
          <w:szCs w:val="24"/>
          <w14:ligatures w14:val="standardContextual"/>
        </w:rPr>
        <w:t xml:space="preserve">, whereby </w:t>
      </w:r>
      <w:r w:rsidRPr="006D57D6">
        <w:rPr>
          <w:b/>
          <w:bCs/>
          <w:kern w:val="2"/>
          <w:szCs w:val="24"/>
          <w14:ligatures w14:val="standardContextual"/>
        </w:rPr>
        <w:t>fully allocated costs</w:t>
      </w:r>
      <w:r w:rsidRPr="006D57D6">
        <w:rPr>
          <w:kern w:val="2"/>
          <w:szCs w:val="24"/>
          <w14:ligatures w14:val="standardContextual"/>
        </w:rPr>
        <w:t xml:space="preserve"> (FAC), defined as </w:t>
      </w:r>
      <w:r w:rsidR="0070360F" w:rsidRPr="006D57D6">
        <w:rPr>
          <w:i/>
          <w:iCs/>
          <w:kern w:val="2"/>
          <w:szCs w:val="24"/>
          <w14:ligatures w14:val="standardContextual"/>
        </w:rPr>
        <w:t>"</w:t>
      </w:r>
      <w:r w:rsidRPr="006D57D6">
        <w:rPr>
          <w:i/>
          <w:iCs/>
          <w:kern w:val="2"/>
          <w:szCs w:val="24"/>
          <w14:ligatures w14:val="standardContextual"/>
        </w:rPr>
        <w:t>attributes the costs (including common and joint costs) to services based on each service</w:t>
      </w:r>
      <w:r w:rsidR="00582FF1" w:rsidRPr="006D57D6">
        <w:rPr>
          <w:i/>
          <w:iCs/>
          <w:kern w:val="2"/>
          <w:szCs w:val="24"/>
          <w14:ligatures w14:val="standardContextual"/>
        </w:rPr>
        <w:t>'</w:t>
      </w:r>
      <w:r w:rsidRPr="006D57D6">
        <w:rPr>
          <w:i/>
          <w:iCs/>
          <w:kern w:val="2"/>
          <w:szCs w:val="24"/>
          <w14:ligatures w14:val="standardContextual"/>
        </w:rPr>
        <w:t>s utilization of the different cost elements (i.e.</w:t>
      </w:r>
      <w:r w:rsidR="00773154" w:rsidRPr="006D57D6">
        <w:rPr>
          <w:i/>
          <w:iCs/>
          <w:kern w:val="2"/>
          <w:szCs w:val="24"/>
          <w14:ligatures w14:val="standardContextual"/>
        </w:rPr>
        <w:t>,</w:t>
      </w:r>
      <w:r w:rsidRPr="006D57D6">
        <w:rPr>
          <w:i/>
          <w:iCs/>
          <w:kern w:val="2"/>
          <w:szCs w:val="24"/>
          <w14:ligatures w14:val="standardContextual"/>
        </w:rPr>
        <w:t xml:space="preserve"> table of routing factors)</w:t>
      </w:r>
      <w:r w:rsidR="00AF1FCB" w:rsidRPr="006D57D6">
        <w:rPr>
          <w:i/>
          <w:iCs/>
          <w:kern w:val="2"/>
          <w:szCs w:val="24"/>
          <w14:ligatures w14:val="standardContextual"/>
        </w:rPr>
        <w:t>"</w:t>
      </w:r>
      <w:r w:rsidRPr="006D57D6">
        <w:rPr>
          <w:kern w:val="2"/>
          <w:szCs w:val="24"/>
          <w14:ligatures w14:val="standardContextual"/>
        </w:rPr>
        <w:t xml:space="preserve"> [</w:t>
      </w:r>
      <w:r w:rsidR="00A95AF8">
        <w:rPr>
          <w:kern w:val="2"/>
          <w14:ligatures w14:val="standardContextual"/>
        </w:rPr>
        <w:t>b-</w:t>
      </w:r>
      <w:r w:rsidR="00A95AF8" w:rsidRPr="004F246B">
        <w:rPr>
          <w:kern w:val="2"/>
          <w14:ligatures w14:val="standardContextual"/>
        </w:rPr>
        <w:t>ITU 2021</w:t>
      </w:r>
      <w:r w:rsidRPr="006D57D6">
        <w:rPr>
          <w:kern w:val="2"/>
          <w:szCs w:val="24"/>
          <w14:ligatures w14:val="standardContextual"/>
        </w:rPr>
        <w:t xml:space="preserve">], i.e., are to model </w:t>
      </w:r>
      <w:r w:rsidRPr="006D57D6">
        <w:rPr>
          <w:kern w:val="2"/>
          <w:szCs w:val="24"/>
          <w14:ligatures w14:val="standardContextual"/>
        </w:rPr>
        <w:lastRenderedPageBreak/>
        <w:t>costs, avoiding the inclusion of any cost not specifically related to telecommunication applications and their services.</w:t>
      </w:r>
    </w:p>
    <w:p w14:paraId="6DE7F1BB" w14:textId="6C271914" w:rsidR="00E52274" w:rsidRPr="004F246B" w:rsidRDefault="00E52274" w:rsidP="000150EB">
      <w:r w:rsidRPr="004F246B">
        <w:t>These advanced cost models often incorporate a system termed activity</w:t>
      </w:r>
      <w:r w:rsidRPr="004F246B">
        <w:rPr>
          <w:b/>
          <w:bCs/>
        </w:rPr>
        <w:t>-based costing</w:t>
      </w:r>
      <w:r w:rsidRPr="004F246B">
        <w:t xml:space="preserve"> (ABC),</w:t>
      </w:r>
      <w:r w:rsidRPr="004F246B">
        <w:rPr>
          <w:u w:val="single"/>
        </w:rPr>
        <w:t xml:space="preserve"> particularly</w:t>
      </w:r>
      <w:r w:rsidRPr="004F246B">
        <w:t xml:space="preserve"> suitable with the process of virtualization of network functions which are no longer necessarily tightly associated with dedicated physical infrastructure</w:t>
      </w:r>
      <w:r w:rsidRPr="000150EB">
        <w:t xml:space="preserve">. </w:t>
      </w:r>
      <w:r w:rsidRPr="004F246B">
        <w:t>ABC</w:t>
      </w:r>
      <w:r w:rsidRPr="000150EB">
        <w:rPr>
          <w:rStyle w:val="FootnoteReference"/>
        </w:rPr>
        <w:footnoteReference w:id="3"/>
      </w:r>
      <w:r w:rsidRPr="004F246B">
        <w:t xml:space="preserve"> can be defined as a system to measure the cost and effectiveness of activities, products and services based on the resources used to create the relevant product or service. The ABC therefore estimates the costs of these resources, used or spent in a given process, consisting of the set of activities required to produce products or services. Operationally, these resources are first allocated to the specific activities, followed by a second phase where these activities are allocated to the products. This allocation is made in both cases through their cost drivers. As suggested by [</w:t>
      </w:r>
      <w:r>
        <w:t>b-</w:t>
      </w:r>
      <w:r w:rsidRPr="004F246B">
        <w:t>Tactikom, 2025</w:t>
      </w:r>
      <w:r>
        <w:t>-2</w:t>
      </w:r>
      <w:r w:rsidRPr="004F246B">
        <w:t>]</w:t>
      </w:r>
      <w:r w:rsidRPr="000150EB">
        <w:t xml:space="preserve">, </w:t>
      </w:r>
      <w:r w:rsidRPr="004F246B">
        <w:t xml:space="preserve">when a cost model adopts the </w:t>
      </w:r>
      <w:r w:rsidR="0070360F">
        <w:t>"</w:t>
      </w:r>
      <w:r w:rsidRPr="004F246B">
        <w:t>ABC</w:t>
      </w:r>
      <w:r w:rsidR="00AF1FCB">
        <w:t>"</w:t>
      </w:r>
      <w:r>
        <w:t xml:space="preserve"> system</w:t>
      </w:r>
      <w:r w:rsidRPr="004F246B">
        <w:t>, the best way to go may be full simulation of all activities of the operator, whereby an activity is composed of many tasks, each of which with different characteristics.</w:t>
      </w:r>
    </w:p>
    <w:p w14:paraId="763172FD" w14:textId="03E97957" w:rsidR="00E52274" w:rsidRPr="004F246B" w:rsidRDefault="00E52274" w:rsidP="000150EB">
      <w:pPr>
        <w:rPr>
          <w:b/>
          <w:bCs/>
        </w:rPr>
      </w:pPr>
      <w:r w:rsidRPr="004F246B">
        <w:t>This leads to the relevance of focusing on how the main activities are composed. As discussed below in the report, this involves a clear representation of the network aspects of the relevant services, including access to users, domestic nodes or switches, international nodes or switches, domestic transmission routes, national transmission routes and international transmission routes. Once these activities are identified</w:t>
      </w:r>
      <w:r>
        <w:t>,</w:t>
      </w:r>
      <w:r w:rsidRPr="004F246B">
        <w:t xml:space="preserve"> the next step is to allocate all eligible costs to each of </w:t>
      </w:r>
      <w:r>
        <w:t xml:space="preserve">the </w:t>
      </w:r>
      <w:r w:rsidRPr="004F246B">
        <w:t xml:space="preserve">main activities, calculate the </w:t>
      </w:r>
      <w:r w:rsidRPr="004F246B">
        <w:rPr>
          <w:b/>
          <w:bCs/>
        </w:rPr>
        <w:t>sharing factors</w:t>
      </w:r>
      <w:r w:rsidRPr="004F246B">
        <w:t xml:space="preserve"> of each main activity among the operator</w:t>
      </w:r>
      <w:r w:rsidR="00582FF1">
        <w:t>'</w:t>
      </w:r>
      <w:r w:rsidRPr="004F246B">
        <w:t>s subnetwork, fine</w:t>
      </w:r>
      <w:r>
        <w:t>-</w:t>
      </w:r>
      <w:r w:rsidRPr="004F246B">
        <w:t xml:space="preserve">tune the </w:t>
      </w:r>
      <w:r w:rsidRPr="004F246B">
        <w:rPr>
          <w:b/>
          <w:bCs/>
        </w:rPr>
        <w:t>routing factors</w:t>
      </w:r>
      <w:r w:rsidRPr="004F246B">
        <w:t xml:space="preserve"> of each subnetwork share among services defined on each application, calculate services volumes and, finally, derive the average cost price per service unit</w:t>
      </w:r>
      <w:r w:rsidRPr="001337E1">
        <w:t>.</w:t>
      </w:r>
    </w:p>
    <w:p w14:paraId="62154F04" w14:textId="32EA8E17" w:rsidR="00E52274" w:rsidRPr="004F246B" w:rsidRDefault="00E52274" w:rsidP="000150EB">
      <w:r w:rsidRPr="004F246B">
        <w:t>An analytical allocation of costs is therefore essential for including</w:t>
      </w:r>
      <w:r w:rsidRPr="004F246B">
        <w:rPr>
          <w:b/>
          <w:bCs/>
        </w:rPr>
        <w:t xml:space="preserve"> </w:t>
      </w:r>
      <w:r w:rsidRPr="004F246B">
        <w:t>critical elements such as network virtualization, interoperator cost sharing</w:t>
      </w:r>
      <w:r>
        <w:t xml:space="preserve"> and</w:t>
      </w:r>
      <w:r w:rsidRPr="004F246B">
        <w:t xml:space="preserve"> territorial coverage requirements, all requiring </w:t>
      </w:r>
      <w:r w:rsidRPr="004F246B">
        <w:rPr>
          <w:b/>
          <w:bCs/>
        </w:rPr>
        <w:t>passive infrastructure sharing</w:t>
      </w:r>
      <w:r w:rsidRPr="004F246B">
        <w:t xml:space="preserve"> [</w:t>
      </w:r>
      <w:r>
        <w:t>b-</w:t>
      </w:r>
      <w:r w:rsidRPr="004F246B">
        <w:t>Tactikom, 2025</w:t>
      </w:r>
      <w:r>
        <w:t>-1</w:t>
      </w:r>
      <w:r w:rsidRPr="004F246B">
        <w:t>]</w:t>
      </w:r>
      <w:r>
        <w:t>,</w:t>
      </w:r>
      <w:r w:rsidRPr="004F246B">
        <w:t xml:space="preserve"> since</w:t>
      </w:r>
      <w:r w:rsidRPr="004F246B">
        <w:rPr>
          <w:b/>
          <w:bCs/>
        </w:rPr>
        <w:t xml:space="preserve"> </w:t>
      </w:r>
      <w:r w:rsidRPr="004F246B">
        <w:t xml:space="preserve">entry costs would remain unbearable if they were not allowed to share passive infrastructure of incumbent operator and have interconnection agreement with the latter. </w:t>
      </w:r>
      <w:r>
        <w:t>As stated,</w:t>
      </w:r>
      <w:r w:rsidRPr="004F246B">
        <w:t xml:space="preserve"> </w:t>
      </w:r>
      <w:r w:rsidR="0070360F">
        <w:rPr>
          <w:i/>
          <w:iCs/>
        </w:rPr>
        <w:t>"</w:t>
      </w:r>
      <w:r w:rsidRPr="004F246B">
        <w:rPr>
          <w:i/>
          <w:iCs/>
        </w:rPr>
        <w:t>Passive infrastructure sharing is where non-electronic infrastructure such as towers, poles, ducts and premises are shared but all the active network electronics remains proprietary to the individual network operators</w:t>
      </w:r>
      <w:r w:rsidR="00AF1FCB">
        <w:rPr>
          <w:i/>
          <w:iCs/>
        </w:rPr>
        <w:t>"</w:t>
      </w:r>
      <w:r w:rsidRPr="004F246B">
        <w:t>.</w:t>
      </w:r>
      <w:r w:rsidR="000150EB" w:rsidRPr="000150EB">
        <w:rPr>
          <w:rStyle w:val="FootnoteReference"/>
        </w:rPr>
        <w:footnoteReference w:id="4"/>
      </w:r>
      <w:r w:rsidRPr="004F246B">
        <w:t xml:space="preserve"> Similarly required is the costing of forms of </w:t>
      </w:r>
      <w:r w:rsidRPr="004F246B">
        <w:rPr>
          <w:b/>
          <w:bCs/>
        </w:rPr>
        <w:t>active infrastructure sharing</w:t>
      </w:r>
      <w:r w:rsidRPr="004F246B">
        <w:t xml:space="preserve">, mainly via the introduction of costing mechanisms for national roaming agreements, whereby </w:t>
      </w:r>
      <w:r w:rsidR="0070360F">
        <w:t>"</w:t>
      </w:r>
      <w:r w:rsidRPr="004F246B">
        <w:rPr>
          <w:i/>
          <w:iCs/>
        </w:rPr>
        <w:t>Active sharing includes electronic infrastructure such as switches and radio access nodes as well as passive network elements.</w:t>
      </w:r>
      <w:r w:rsidR="00AF1FCB">
        <w:t>"</w:t>
      </w:r>
      <w:r w:rsidRPr="004F246B">
        <w:t xml:space="preserve"> Active infrastructure sharing can be implemented in alternative ways depending on how deeply the active electronics are shared: </w:t>
      </w:r>
      <w:r w:rsidRPr="004F246B">
        <w:rPr>
          <w:b/>
          <w:bCs/>
        </w:rPr>
        <w:t>multi-operator radio access network</w:t>
      </w:r>
      <w:r w:rsidRPr="004F246B">
        <w:t xml:space="preserve"> (MORAN) where</w:t>
      </w:r>
      <w:r w:rsidRPr="004F246B">
        <w:rPr>
          <w:i/>
          <w:iCs/>
        </w:rPr>
        <w:t xml:space="preserve"> the components of the radio access network are shared, but each operator is assigned its own dedicated radio spectrum, </w:t>
      </w:r>
      <w:r w:rsidRPr="004F246B">
        <w:rPr>
          <w:b/>
          <w:bCs/>
        </w:rPr>
        <w:t>multi operator core network</w:t>
      </w:r>
      <w:r w:rsidRPr="004F246B">
        <w:t xml:space="preserve"> (MOCN), where </w:t>
      </w:r>
      <w:r w:rsidRPr="004F246B">
        <w:rPr>
          <w:i/>
          <w:iCs/>
        </w:rPr>
        <w:t>radio network elements and spectrum are shared, but each operator maintains its own core network</w:t>
      </w:r>
      <w:r>
        <w:rPr>
          <w:i/>
          <w:iCs/>
        </w:rPr>
        <w:t>;</w:t>
      </w:r>
      <w:r w:rsidRPr="004F246B">
        <w:rPr>
          <w:i/>
          <w:iCs/>
        </w:rPr>
        <w:t xml:space="preserve"> </w:t>
      </w:r>
      <w:r w:rsidRPr="004F246B">
        <w:t>and</w:t>
      </w:r>
      <w:r w:rsidRPr="004F246B">
        <w:rPr>
          <w:i/>
          <w:iCs/>
        </w:rPr>
        <w:t xml:space="preserve"> </w:t>
      </w:r>
      <w:r w:rsidRPr="004F246B">
        <w:rPr>
          <w:b/>
          <w:bCs/>
        </w:rPr>
        <w:t>national roaming</w:t>
      </w:r>
      <w:r w:rsidRPr="004F246B">
        <w:t xml:space="preserve"> – where the entire mobile network is shared, for example to extend the service coverage area of a smaller network operator [</w:t>
      </w:r>
      <w:r>
        <w:t>b</w:t>
      </w:r>
      <w:r w:rsidR="001337E1">
        <w:noBreakHyphen/>
      </w:r>
      <w:r w:rsidRPr="004F246B">
        <w:t>ITU</w:t>
      </w:r>
      <w:r w:rsidR="001337E1">
        <w:noBreakHyphen/>
      </w:r>
      <w:r w:rsidRPr="004F246B">
        <w:t>World</w:t>
      </w:r>
      <w:r w:rsidR="001337E1">
        <w:t> </w:t>
      </w:r>
      <w:r w:rsidRPr="004F246B">
        <w:t>Bank</w:t>
      </w:r>
      <w:r w:rsidR="007773AA">
        <w:t> </w:t>
      </w:r>
      <w:r w:rsidRPr="004F246B">
        <w:t>2022].</w:t>
      </w:r>
    </w:p>
    <w:p w14:paraId="66853713" w14:textId="24BD56C8" w:rsidR="00E52274" w:rsidRPr="004F246B" w:rsidRDefault="00E52274" w:rsidP="001822D5">
      <w:r w:rsidRPr="004F246B">
        <w:rPr>
          <w:b/>
          <w:bCs/>
          <w:kern w:val="2"/>
          <w14:ligatures w14:val="standardContextual"/>
        </w:rPr>
        <w:t>Long run incremental costing</w:t>
      </w:r>
      <w:r w:rsidRPr="004F246B">
        <w:rPr>
          <w:kern w:val="2"/>
          <w14:ligatures w14:val="standardContextual"/>
        </w:rPr>
        <w:t>,</w:t>
      </w:r>
      <w:r w:rsidRPr="001822D5">
        <w:t xml:space="preserve"> (LRIC), defined by Ofcom</w:t>
      </w:r>
      <w:r w:rsidRPr="007773AA">
        <w:rPr>
          <w:rStyle w:val="FootnoteReference"/>
        </w:rPr>
        <w:footnoteReference w:id="5"/>
      </w:r>
      <w:r w:rsidRPr="001822D5">
        <w:t xml:space="preserve"> as </w:t>
      </w:r>
      <w:r w:rsidR="0070360F">
        <w:rPr>
          <w:i/>
          <w:iCs/>
        </w:rPr>
        <w:t>"</w:t>
      </w:r>
      <w:r w:rsidRPr="00870629">
        <w:rPr>
          <w:i/>
          <w:iCs/>
        </w:rPr>
        <w:t>a forward-looking approach to costing that values assets on the basis of the cost of replacing or providing them today</w:t>
      </w:r>
      <w:r w:rsidR="00AF1FCB" w:rsidRPr="001822D5">
        <w:t>"</w:t>
      </w:r>
      <w:r w:rsidRPr="001822D5">
        <w:t xml:space="preserve">. In other </w:t>
      </w:r>
      <w:r w:rsidRPr="001822D5">
        <w:lastRenderedPageBreak/>
        <w:t xml:space="preserve">words, LRIC treats the </w:t>
      </w:r>
      <w:r w:rsidRPr="00E52274">
        <w:rPr>
          <w:kern w:val="2"/>
          <w14:ligatures w14:val="standardContextual"/>
        </w:rPr>
        <w:t>cost</w:t>
      </w:r>
      <w:r w:rsidRPr="001822D5">
        <w:t xml:space="preserve"> of a product as the sum of strictly product-specific fixed and variable costs and looks to the cost of replacement or provision in assessing cost</w:t>
      </w:r>
      <w:r w:rsidRPr="007773AA">
        <w:rPr>
          <w:rStyle w:val="FootnoteReference"/>
        </w:rPr>
        <w:footnoteReference w:id="6"/>
      </w:r>
      <w:r w:rsidRPr="001822D5">
        <w:t xml:space="preserve">. These can be further sub-divided </w:t>
      </w:r>
      <w:r w:rsidRPr="004F246B">
        <w:rPr>
          <w:kern w:val="2"/>
          <w14:ligatures w14:val="standardContextual"/>
        </w:rPr>
        <w:t>[</w:t>
      </w:r>
      <w:r>
        <w:rPr>
          <w:kern w:val="2"/>
          <w14:ligatures w14:val="standardContextual"/>
        </w:rPr>
        <w:t>b-</w:t>
      </w:r>
      <w:r w:rsidRPr="004F246B">
        <w:rPr>
          <w:kern w:val="2"/>
          <w14:ligatures w14:val="standardContextual"/>
        </w:rPr>
        <w:t xml:space="preserve">ITU 2021] </w:t>
      </w:r>
      <w:r w:rsidRPr="001822D5">
        <w:t xml:space="preserve">into: </w:t>
      </w:r>
      <w:r w:rsidRPr="004F246B">
        <w:rPr>
          <w:b/>
          <w:bCs/>
        </w:rPr>
        <w:t>pure long-run incremental costs</w:t>
      </w:r>
      <w:r w:rsidRPr="001822D5">
        <w:t xml:space="preserve"> (pure LRIC), </w:t>
      </w:r>
      <w:r w:rsidR="0070360F">
        <w:rPr>
          <w:i/>
          <w:iCs/>
        </w:rPr>
        <w:t>"</w:t>
      </w:r>
      <w:r w:rsidRPr="004F246B">
        <w:rPr>
          <w:i/>
          <w:iCs/>
        </w:rPr>
        <w:t>the costs that would be saved if certain services, groups of services or activities (defined as an increment) were not provided. These incremental costs are aligned with the variable costs in the long run. In this approach, neither common costs nor joint costs are allocated to the services</w:t>
      </w:r>
      <w:r w:rsidR="00AF1FCB">
        <w:rPr>
          <w:i/>
          <w:iCs/>
        </w:rPr>
        <w:t>"</w:t>
      </w:r>
      <w:r w:rsidRPr="001822D5">
        <w:t xml:space="preserve"> and </w:t>
      </w:r>
      <w:r w:rsidRPr="004F246B">
        <w:rPr>
          <w:b/>
          <w:bCs/>
        </w:rPr>
        <w:t>long-run incremental costs plus common costs</w:t>
      </w:r>
      <w:r w:rsidRPr="004F246B">
        <w:t xml:space="preserve"> (LRIC+), that allows for the recovery of common and joint costs that are not incremental to any given service.</w:t>
      </w:r>
    </w:p>
    <w:p w14:paraId="1F9EBFF4" w14:textId="3D8D75B7" w:rsidR="00E52274" w:rsidRPr="004F246B" w:rsidRDefault="00E52274" w:rsidP="007773AA">
      <w:pPr>
        <w:rPr>
          <w:kern w:val="2"/>
          <w14:ligatures w14:val="standardContextual"/>
        </w:rPr>
      </w:pPr>
      <w:r w:rsidRPr="004F246B">
        <w:t>Two alternative cost-modelling approaches are defined in [</w:t>
      </w:r>
      <w:r>
        <w:t>b-</w:t>
      </w:r>
      <w:r w:rsidRPr="004F246B">
        <w:t>ITU 2021]</w:t>
      </w:r>
      <w:r>
        <w:t>:</w:t>
      </w:r>
      <w:r w:rsidRPr="004F246B">
        <w:t xml:space="preserve"> </w:t>
      </w:r>
      <w:r>
        <w:rPr>
          <w:b/>
          <w:bCs/>
        </w:rPr>
        <w:t>t</w:t>
      </w:r>
      <w:r w:rsidRPr="004F246B">
        <w:rPr>
          <w:b/>
          <w:bCs/>
        </w:rPr>
        <w:t>op-down cost models</w:t>
      </w:r>
      <w:r w:rsidRPr="001822D5">
        <w:t xml:space="preserve"> </w:t>
      </w:r>
      <w:r w:rsidRPr="007773AA">
        <w:t>(</w:t>
      </w:r>
      <w:r w:rsidRPr="001822D5">
        <w:t>TD)</w:t>
      </w:r>
      <w:r w:rsidRPr="00870629">
        <w:rPr>
          <w:i/>
          <w:iCs/>
        </w:rPr>
        <w:t xml:space="preserve"> are</w:t>
      </w:r>
      <w:r>
        <w:rPr>
          <w:b/>
          <w:bCs/>
        </w:rPr>
        <w:t xml:space="preserve"> </w:t>
      </w:r>
      <w:r w:rsidRPr="004F246B">
        <w:rPr>
          <w:i/>
          <w:iCs/>
        </w:rPr>
        <w:t>built up starting from an operator</w:t>
      </w:r>
      <w:r w:rsidR="00582FF1">
        <w:rPr>
          <w:i/>
          <w:iCs/>
        </w:rPr>
        <w:t>'</w:t>
      </w:r>
      <w:r w:rsidRPr="004F246B">
        <w:rPr>
          <w:i/>
          <w:iCs/>
        </w:rPr>
        <w:t xml:space="preserve">s balance sheet </w:t>
      </w:r>
      <w:r w:rsidRPr="001822D5">
        <w:t xml:space="preserve">and </w:t>
      </w:r>
      <w:r w:rsidRPr="004F246B">
        <w:rPr>
          <w:b/>
          <w:bCs/>
          <w:kern w:val="2"/>
          <w14:ligatures w14:val="standardContextual"/>
        </w:rPr>
        <w:t>bottom-up cost models</w:t>
      </w:r>
      <w:r w:rsidRPr="004F246B">
        <w:rPr>
          <w:kern w:val="2"/>
          <w14:ligatures w14:val="standardContextual"/>
        </w:rPr>
        <w:t xml:space="preserve"> (BU)</w:t>
      </w:r>
      <w:r>
        <w:rPr>
          <w:kern w:val="2"/>
          <w14:ligatures w14:val="standardContextual"/>
        </w:rPr>
        <w:t xml:space="preserve"> are</w:t>
      </w:r>
      <w:r w:rsidRPr="004F246B">
        <w:rPr>
          <w:kern w:val="2"/>
          <w14:ligatures w14:val="standardContextual"/>
        </w:rPr>
        <w:t xml:space="preserve"> </w:t>
      </w:r>
      <w:r w:rsidRPr="004F246B">
        <w:rPr>
          <w:i/>
          <w:iCs/>
          <w:kern w:val="2"/>
          <w14:ligatures w14:val="standardContextual"/>
        </w:rPr>
        <w:t>built up starting from a set of basic inputs (e.g.</w:t>
      </w:r>
      <w:r w:rsidR="00773154">
        <w:rPr>
          <w:i/>
          <w:iCs/>
          <w:kern w:val="2"/>
          <w14:ligatures w14:val="standardContextual"/>
        </w:rPr>
        <w:t>,</w:t>
      </w:r>
      <w:r w:rsidRPr="004F246B">
        <w:rPr>
          <w:i/>
          <w:iCs/>
          <w:kern w:val="2"/>
          <w14:ligatures w14:val="standardContextual"/>
        </w:rPr>
        <w:t xml:space="preserve"> demand, coverage, geographical and technical information). The network costs are then calculated as the product of the number of network elements and their unit cost.</w:t>
      </w:r>
      <w:r w:rsidR="006106B4">
        <w:rPr>
          <w:kern w:val="2"/>
          <w14:ligatures w14:val="standardContextual"/>
        </w:rPr>
        <w:t xml:space="preserve"> </w:t>
      </w:r>
      <w:r w:rsidRPr="004F246B">
        <w:rPr>
          <w:kern w:val="2"/>
          <w14:ligatures w14:val="standardContextual"/>
        </w:rPr>
        <w:t>BU cost models are especially relevant as being used for setting: interconnection charges, wholesale access costs</w:t>
      </w:r>
      <w:r>
        <w:rPr>
          <w:kern w:val="2"/>
          <w14:ligatures w14:val="standardContextual"/>
        </w:rPr>
        <w:t xml:space="preserve"> and</w:t>
      </w:r>
      <w:r w:rsidRPr="004F246B">
        <w:rPr>
          <w:kern w:val="2"/>
          <w14:ligatures w14:val="standardContextual"/>
        </w:rPr>
        <w:t xml:space="preserve"> international Internet connectivity costing [</w:t>
      </w:r>
      <w:r>
        <w:rPr>
          <w:kern w:val="2"/>
          <w14:ligatures w14:val="standardContextual"/>
        </w:rPr>
        <w:t>b-</w:t>
      </w:r>
      <w:r w:rsidRPr="004F246B">
        <w:rPr>
          <w:kern w:val="2"/>
          <w14:ligatures w14:val="standardContextual"/>
        </w:rPr>
        <w:t>Tactikom, 2025</w:t>
      </w:r>
      <w:r>
        <w:rPr>
          <w:kern w:val="2"/>
          <w14:ligatures w14:val="standardContextual"/>
        </w:rPr>
        <w:t>-3</w:t>
      </w:r>
      <w:r w:rsidRPr="004F246B">
        <w:rPr>
          <w:kern w:val="2"/>
          <w14:ligatures w14:val="standardContextual"/>
        </w:rPr>
        <w:t>]. This approach ensures that cost models reflect technological efficiency but also respect historical/geographical realities of a country</w:t>
      </w:r>
      <w:r w:rsidR="00582FF1">
        <w:rPr>
          <w:kern w:val="2"/>
          <w14:ligatures w14:val="standardContextual"/>
        </w:rPr>
        <w:t>'</w:t>
      </w:r>
      <w:r w:rsidRPr="004F246B">
        <w:rPr>
          <w:kern w:val="2"/>
          <w14:ligatures w14:val="standardContextual"/>
        </w:rPr>
        <w:t>s telecom infrastructure.</w:t>
      </w:r>
      <w:r w:rsidR="006106B4">
        <w:rPr>
          <w:kern w:val="2"/>
          <w14:ligatures w14:val="standardContextual"/>
        </w:rPr>
        <w:t xml:space="preserve"> </w:t>
      </w:r>
      <w:r w:rsidRPr="004F246B">
        <w:rPr>
          <w:kern w:val="2"/>
          <w14:ligatures w14:val="standardContextual"/>
        </w:rPr>
        <w:t>BU requires a whole</w:t>
      </w:r>
      <w:r>
        <w:rPr>
          <w:kern w:val="2"/>
          <w14:ligatures w14:val="standardContextual"/>
        </w:rPr>
        <w:t>-</w:t>
      </w:r>
      <w:r w:rsidRPr="004F246B">
        <w:rPr>
          <w:kern w:val="2"/>
          <w14:ligatures w14:val="standardContextual"/>
        </w:rPr>
        <w:t>network cost modelling, hence a representation of the relevant network topology.</w:t>
      </w:r>
    </w:p>
    <w:p w14:paraId="2836A445" w14:textId="28AEA58D" w:rsidR="00E52274" w:rsidRPr="004F246B" w:rsidRDefault="00E52274" w:rsidP="007773AA">
      <w:r w:rsidRPr="004F246B">
        <w:t xml:space="preserve">There are three common approaches used for network topology design in bottom-up models </w:t>
      </w:r>
      <w:r w:rsidRPr="001822D5">
        <w:t>[</w:t>
      </w:r>
      <w:r w:rsidR="001337E1">
        <w:t>b</w:t>
      </w:r>
      <w:r w:rsidR="001337E1">
        <w:noBreakHyphen/>
      </w:r>
      <w:r w:rsidR="001337E1" w:rsidRPr="004F246B">
        <w:t>ITU</w:t>
      </w:r>
      <w:r w:rsidR="001337E1">
        <w:t> </w:t>
      </w:r>
      <w:r w:rsidR="001337E1" w:rsidRPr="004F246B">
        <w:t>2021</w:t>
      </w:r>
      <w:r w:rsidRPr="001822D5">
        <w:t>]:</w:t>
      </w:r>
      <w:r w:rsidRPr="004F246B">
        <w:t xml:space="preserve"> </w:t>
      </w:r>
      <w:r>
        <w:rPr>
          <w:b/>
          <w:bCs/>
        </w:rPr>
        <w:t>s</w:t>
      </w:r>
      <w:r w:rsidRPr="004F246B">
        <w:rPr>
          <w:b/>
          <w:bCs/>
        </w:rPr>
        <w:t>corched node</w:t>
      </w:r>
      <w:r>
        <w:t>,</w:t>
      </w:r>
      <w:r w:rsidRPr="004F246B">
        <w:t xml:space="preserve"> </w:t>
      </w:r>
      <w:r>
        <w:t>which</w:t>
      </w:r>
      <w:r>
        <w:rPr>
          <w:i/>
          <w:iCs/>
        </w:rPr>
        <w:t xml:space="preserve"> </w:t>
      </w:r>
      <w:r w:rsidRPr="004F246B">
        <w:rPr>
          <w:i/>
          <w:iCs/>
        </w:rPr>
        <w:t>uses the location of existing network nodes</w:t>
      </w:r>
      <w:r>
        <w:t>;</w:t>
      </w:r>
      <w:r w:rsidRPr="004F246B">
        <w:t xml:space="preserve"> </w:t>
      </w:r>
      <w:r>
        <w:rPr>
          <w:b/>
          <w:bCs/>
        </w:rPr>
        <w:t>m</w:t>
      </w:r>
      <w:r w:rsidRPr="004F246B">
        <w:rPr>
          <w:b/>
          <w:bCs/>
        </w:rPr>
        <w:t>odified scorched node</w:t>
      </w:r>
      <w:r w:rsidRPr="004F246B">
        <w:t>, whereby</w:t>
      </w:r>
      <w:r w:rsidRPr="004F246B">
        <w:rPr>
          <w:i/>
          <w:iCs/>
        </w:rPr>
        <w:t xml:space="preserve"> the location of network nodes does not correspond strictly to operators</w:t>
      </w:r>
      <w:r w:rsidR="00582FF1">
        <w:rPr>
          <w:i/>
          <w:iCs/>
        </w:rPr>
        <w:t>'</w:t>
      </w:r>
      <w:r w:rsidRPr="004F246B">
        <w:rPr>
          <w:i/>
          <w:iCs/>
        </w:rPr>
        <w:t xml:space="preserve"> networks but is based on their existing nodes</w:t>
      </w:r>
      <w:r w:rsidRPr="004F246B">
        <w:t xml:space="preserve"> and </w:t>
      </w:r>
      <w:r w:rsidRPr="004F246B">
        <w:rPr>
          <w:b/>
          <w:bCs/>
        </w:rPr>
        <w:t>scorched Earth</w:t>
      </w:r>
      <w:r w:rsidRPr="004F246B">
        <w:t xml:space="preserve">, </w:t>
      </w:r>
      <w:r>
        <w:t>which</w:t>
      </w:r>
      <w:r w:rsidRPr="004F246B">
        <w:t xml:space="preserve"> </w:t>
      </w:r>
      <w:r w:rsidRPr="004F246B">
        <w:rPr>
          <w:i/>
          <w:iCs/>
        </w:rPr>
        <w:t>estimates the locations of an optimized network without the restrictions of the existing network</w:t>
      </w:r>
      <w:r w:rsidRPr="004F246B">
        <w:t>.</w:t>
      </w:r>
    </w:p>
    <w:p w14:paraId="5348C07C" w14:textId="4F11E791" w:rsidR="00E52274" w:rsidRPr="004F246B" w:rsidRDefault="00E52274" w:rsidP="007773AA">
      <w:r w:rsidRPr="004F246B">
        <w:t>The scorched node</w:t>
      </w:r>
      <w:r>
        <w:t>,</w:t>
      </w:r>
      <w:r w:rsidRPr="004F246B">
        <w:t xml:space="preserve"> where existing network node locations, such as switches, exchanges, routers, are kept fixed, but, within this fixed node structure, an entrant is allowed to re-optimize transmission links, capacities and equipment is used by regulators and analysts to estimate fair and efficient costs for interconnection and international connectivity.</w:t>
      </w:r>
    </w:p>
    <w:p w14:paraId="290D3196" w14:textId="3F57201C" w:rsidR="00E52274" w:rsidRPr="004F246B" w:rsidRDefault="00E52274" w:rsidP="00BB7865">
      <w:r w:rsidRPr="004F246B">
        <w:t xml:space="preserve">In order to include different activities, the concept of </w:t>
      </w:r>
      <w:r w:rsidRPr="004F246B">
        <w:rPr>
          <w:b/>
          <w:bCs/>
        </w:rPr>
        <w:t>network slicing</w:t>
      </w:r>
      <w:r w:rsidRPr="004F246B">
        <w:t xml:space="preserve"> (NS) is essential [</w:t>
      </w:r>
      <w:r>
        <w:t>b</w:t>
      </w:r>
      <w:r w:rsidR="001337E1">
        <w:noBreakHyphen/>
      </w:r>
      <w:r w:rsidRPr="004F246B">
        <w:t>Tactikom,</w:t>
      </w:r>
      <w:r w:rsidR="00752C1A">
        <w:t> </w:t>
      </w:r>
      <w:r w:rsidRPr="004F246B">
        <w:t>2025</w:t>
      </w:r>
      <w:r>
        <w:t>-4</w:t>
      </w:r>
      <w:r w:rsidRPr="004F246B">
        <w:t xml:space="preserve">]. NS </w:t>
      </w:r>
      <w:r w:rsidR="0070360F">
        <w:t>"</w:t>
      </w:r>
      <w:r w:rsidRPr="004F246B">
        <w:t xml:space="preserve">Enables multiple logical networks to operate on a shared physical network infrastructure by creating </w:t>
      </w:r>
      <w:r w:rsidR="0070360F">
        <w:t>"</w:t>
      </w:r>
      <w:r w:rsidRPr="004F246B">
        <w:t>slices</w:t>
      </w:r>
      <w:r w:rsidR="00AF1FCB">
        <w:t>"</w:t>
      </w:r>
      <w:r w:rsidRPr="004F246B">
        <w:t xml:space="preserve"> that are logically separated, self-contained, independent and secured. These sliced networks can be independently configured to target specific services or users with distinct needs for speed, latency and reliability</w:t>
      </w:r>
      <w:r w:rsidRPr="004F246B">
        <w:rPr>
          <w:rStyle w:val="FootnoteReference"/>
          <w:i/>
          <w:iCs/>
          <w:kern w:val="2"/>
          <w:sz w:val="22"/>
          <w:szCs w:val="22"/>
          <w14:ligatures w14:val="standardContextual"/>
        </w:rPr>
        <w:footnoteReference w:id="7"/>
      </w:r>
      <w:r w:rsidRPr="004F246B">
        <w:t xml:space="preserve">. Network slicing focuses on the generation of multiple, independent virtual networks on a common physical telecom infrastructure, each optimized for specific services or user requirements. The comparison of resources aggregated under each main activity with the share of those belonging to each </w:t>
      </w:r>
      <w:r w:rsidRPr="004F246B">
        <w:rPr>
          <w:b/>
          <w:bCs/>
        </w:rPr>
        <w:t xml:space="preserve">vertical layer </w:t>
      </w:r>
      <w:r w:rsidRPr="007773AA">
        <w:t>(subnetwork)</w:t>
      </w:r>
      <w:r w:rsidRPr="004F246B">
        <w:t xml:space="preserve"> will result in the calculation of the main activities sharing factors. In this case, the </w:t>
      </w:r>
      <w:r w:rsidRPr="004F246B">
        <w:rPr>
          <w:bCs/>
        </w:rPr>
        <w:t>vertical layer (subnetwork)</w:t>
      </w:r>
      <w:r w:rsidRPr="004F246B">
        <w:t xml:space="preserve"> is a </w:t>
      </w:r>
      <w:r w:rsidRPr="004F246B">
        <w:rPr>
          <w:bCs/>
        </w:rPr>
        <w:t>functional segment of a telecommunications network</w:t>
      </w:r>
      <w:r w:rsidRPr="004F246B">
        <w:t xml:space="preserve"> that represents one stage of the end-to-end transmission chain (such as access, middle mile, core, or international connectivity), typically defined by its role, technology, and position within the overall architecture. It is </w:t>
      </w:r>
      <w:r w:rsidR="0070360F">
        <w:t>"</w:t>
      </w:r>
      <w:r w:rsidRPr="004F246B">
        <w:t>vertical</w:t>
      </w:r>
      <w:r w:rsidR="00AF1FCB">
        <w:t>"</w:t>
      </w:r>
      <w:r w:rsidRPr="004F246B">
        <w:t xml:space="preserve"> in the sense that each layer builds upon the underlying infrastructure to provide progressively higher-level services and it can be defined as a subnetwork, or as</w:t>
      </w:r>
      <w:r w:rsidRPr="004F246B">
        <w:rPr>
          <w:u w:val="single"/>
        </w:rPr>
        <w:t xml:space="preserve"> </w:t>
      </w:r>
      <w:r w:rsidRPr="004F246B">
        <w:t xml:space="preserve">a logical or functional part of the network (e.g., access, </w:t>
      </w:r>
      <w:r w:rsidRPr="004F246B">
        <w:lastRenderedPageBreak/>
        <w:t>aggregation, core, international transit), that is considered as a building block with its own resources (equipment, links, capacity) and the overall costs are first estimated per subnetwork, then attributed to services based on usage within the whole system, with its own topology, nodes, costs, and management responsibilities.</w:t>
      </w:r>
      <w:r w:rsidR="006106B4">
        <w:t xml:space="preserve"> </w:t>
      </w:r>
      <w:r w:rsidRPr="004F246B">
        <w:t xml:space="preserve">Hence, different vertical layers are interconnected, to form the complete </w:t>
      </w:r>
      <w:r w:rsidR="00BE5DE9">
        <w:rPr>
          <w:b/>
          <w:bCs/>
        </w:rPr>
        <w:t>e</w:t>
      </w:r>
      <w:r w:rsidRPr="004F246B">
        <w:rPr>
          <w:b/>
          <w:bCs/>
        </w:rPr>
        <w:t>nd-to-end network</w:t>
      </w:r>
      <w:r w:rsidRPr="004F246B">
        <w:t xml:space="preserve"> (E2E), the entire path between endpoints in a communication, including all network segments, devices, access, core, edge, transport, any intervening network (or cloud/network-cloud segments), up to the user/terminal, and the application. The idea is that from the origin/source device or server to the destination device or server, everything in between affects the service. On each subnetwork, the comparison between resources aggregated under main activities (horizontal layers) on single or grouped applications and those associated with each service defined therein, will result in </w:t>
      </w:r>
      <w:r w:rsidRPr="004F246B">
        <w:rPr>
          <w:b/>
          <w:bCs/>
        </w:rPr>
        <w:t>routing factors</w:t>
      </w:r>
      <w:r w:rsidRPr="004F246B">
        <w:t xml:space="preserve"> (RF) calculations. RF are the coefficients used to translate </w:t>
      </w:r>
      <w:r w:rsidRPr="004F246B">
        <w:rPr>
          <w:bCs/>
        </w:rPr>
        <w:t>resource usage</w:t>
      </w:r>
      <w:r w:rsidRPr="004F246B">
        <w:t xml:space="preserve"> into </w:t>
      </w:r>
      <w:r w:rsidRPr="004F246B">
        <w:rPr>
          <w:bCs/>
        </w:rPr>
        <w:t>service-specific cost allocation</w:t>
      </w:r>
      <w:r w:rsidRPr="004F246B">
        <w:t xml:space="preserve">. Hence RF address the question of </w:t>
      </w:r>
      <w:r w:rsidR="0070360F">
        <w:t>"</w:t>
      </w:r>
      <w:r w:rsidRPr="004F246B">
        <w:t>How much of each subnetwork</w:t>
      </w:r>
      <w:r w:rsidR="00582FF1">
        <w:t>'</w:t>
      </w:r>
      <w:r w:rsidRPr="004F246B">
        <w:t>s resources does a given service consume?</w:t>
      </w:r>
      <w:r w:rsidR="00AF1FCB">
        <w:t>"</w:t>
      </w:r>
      <w:r w:rsidRPr="004F246B">
        <w:t>. Their calculation is based on a multistep process. First, aggregat</w:t>
      </w:r>
      <w:r>
        <w:t>e</w:t>
      </w:r>
      <w:r w:rsidRPr="004F246B">
        <w:t xml:space="preserve"> resources under main activities (horizontal layers) then by distributing the activity resources into subnetworks (vertical view) and finally, allocating these to services using routing factors, given that each service (voice call, broadband, leased line, streaming, etc.) has a different routing path through subnetworks [</w:t>
      </w:r>
      <w:r>
        <w:t>b-</w:t>
      </w:r>
      <w:r w:rsidRPr="004F246B">
        <w:t>Tactikom, 2025</w:t>
      </w:r>
      <w:r>
        <w:t>-2</w:t>
      </w:r>
      <w:r w:rsidRPr="004F246B">
        <w:t>].</w:t>
      </w:r>
    </w:p>
    <w:p w14:paraId="7A34077A" w14:textId="07530998" w:rsidR="00E52274" w:rsidRPr="004F246B" w:rsidRDefault="00E52274" w:rsidP="00BB7865">
      <w:r w:rsidRPr="004F246B">
        <w:t>In conclusion, this report focus</w:t>
      </w:r>
      <w:r>
        <w:t>es</w:t>
      </w:r>
      <w:r w:rsidRPr="004F246B">
        <w:t xml:space="preserve"> on clarifying the terms and proposing a taxonomy underlying the costs of international Internet connectivity, based on causality</w:t>
      </w:r>
      <w:r w:rsidRPr="001337E1">
        <w:t xml:space="preserve"> </w:t>
      </w:r>
      <w:r w:rsidRPr="004F246B">
        <w:t>as the key guiding principle [</w:t>
      </w:r>
      <w:r>
        <w:t>b</w:t>
      </w:r>
      <w:r w:rsidR="001337E1">
        <w:noBreakHyphen/>
      </w:r>
      <w:r w:rsidRPr="004F246B">
        <w:t>Tactikom, 2025</w:t>
      </w:r>
      <w:r>
        <w:t>-2</w:t>
      </w:r>
      <w:r w:rsidRPr="004F246B">
        <w:t>].</w:t>
      </w:r>
      <w:r w:rsidR="006106B4">
        <w:rPr>
          <w:b/>
          <w:bCs/>
        </w:rPr>
        <w:t xml:space="preserve"> </w:t>
      </w:r>
      <w:r w:rsidRPr="004F246B">
        <w:t xml:space="preserve">Causality means that </w:t>
      </w:r>
      <w:r w:rsidRPr="004F246B">
        <w:rPr>
          <w:i/>
          <w:iCs/>
        </w:rPr>
        <w:t>costs should be attributed according to the actual cause-and-effect relationship between resource consumption and service provision</w:t>
      </w:r>
      <w:r w:rsidRPr="004F246B">
        <w:t>; hence</w:t>
      </w:r>
      <w:r>
        <w:t>,</w:t>
      </w:r>
      <w:r w:rsidRPr="004F246B">
        <w:t xml:space="preserve"> a service should bear costs only to the extent it causes them to be incurred and, if a service does not drive the use of a resource, it should not be allocated those costs.</w:t>
      </w:r>
    </w:p>
    <w:p w14:paraId="390FD82B" w14:textId="17A3AE3D" w:rsidR="00E52274" w:rsidRPr="004F246B" w:rsidRDefault="00E52274" w:rsidP="00BB7865">
      <w:r w:rsidRPr="004F246B">
        <w:t xml:space="preserve">The causality principle directly underpins the two structuring rules of analytic accounting: the </w:t>
      </w:r>
      <w:r w:rsidRPr="004F246B">
        <w:rPr>
          <w:b/>
          <w:bCs/>
        </w:rPr>
        <w:t>principle of fairness</w:t>
      </w:r>
      <w:r w:rsidRPr="004F246B">
        <w:t xml:space="preserve"> which is to </w:t>
      </w:r>
      <w:r w:rsidRPr="004F246B">
        <w:rPr>
          <w:i/>
          <w:iCs/>
        </w:rPr>
        <w:t>protect the service provider</w:t>
      </w:r>
      <w:r w:rsidRPr="004F246B">
        <w:t xml:space="preserve"> (appropriate part of any resource used by a service must be charged to the latter) and the </w:t>
      </w:r>
      <w:r w:rsidRPr="004F246B">
        <w:rPr>
          <w:b/>
          <w:bCs/>
        </w:rPr>
        <w:t>principle of justice</w:t>
      </w:r>
      <w:r w:rsidRPr="00BE5DE9">
        <w:t xml:space="preserve">, </w:t>
      </w:r>
      <w:r w:rsidRPr="004F246B">
        <w:t>i.e.</w:t>
      </w:r>
      <w:r>
        <w:t>,</w:t>
      </w:r>
      <w:r w:rsidRPr="004F246B">
        <w:t xml:space="preserve"> </w:t>
      </w:r>
      <w:r w:rsidRPr="004F246B">
        <w:rPr>
          <w:i/>
          <w:iCs/>
        </w:rPr>
        <w:t>to protect the consumer</w:t>
      </w:r>
      <w:r w:rsidRPr="004F246B">
        <w:t xml:space="preserve"> (no part of a resource not used by a service should be charged to the latter). In this setting, the principle of</w:t>
      </w:r>
      <w:r w:rsidR="006106B4">
        <w:t xml:space="preserve"> </w:t>
      </w:r>
      <w:r w:rsidRPr="004F246B">
        <w:t xml:space="preserve">causality ensures that </w:t>
      </w:r>
      <w:r w:rsidRPr="004F246B">
        <w:rPr>
          <w:bCs/>
        </w:rPr>
        <w:t>routing factors</w:t>
      </w:r>
      <w:r w:rsidRPr="004F246B">
        <w:t xml:space="preserve"> (the proportional use of subnetworks/resources by each service) are the mechanism linking </w:t>
      </w:r>
      <w:r w:rsidRPr="004F246B">
        <w:rPr>
          <w:bCs/>
        </w:rPr>
        <w:t>cost origin to cost allocation</w:t>
      </w:r>
      <w:r w:rsidRPr="004F246B">
        <w:t xml:space="preserve">, simultaneously avoiding </w:t>
      </w:r>
      <w:r w:rsidRPr="004F246B">
        <w:rPr>
          <w:u w:val="single"/>
        </w:rPr>
        <w:t>cross-subsidies</w:t>
      </w:r>
      <w:r w:rsidRPr="004F246B">
        <w:t xml:space="preserve">, </w:t>
      </w:r>
      <w:r w:rsidRPr="004F246B">
        <w:rPr>
          <w:i/>
          <w:iCs/>
        </w:rPr>
        <w:t>where one service pays for another</w:t>
      </w:r>
      <w:r w:rsidR="00582FF1">
        <w:rPr>
          <w:i/>
          <w:iCs/>
        </w:rPr>
        <w:t>'</w:t>
      </w:r>
      <w:r w:rsidRPr="004F246B">
        <w:rPr>
          <w:i/>
          <w:iCs/>
        </w:rPr>
        <w:t>s costs</w:t>
      </w:r>
      <w:r w:rsidRPr="004F246B">
        <w:t>,</w:t>
      </w:r>
      <w:r w:rsidR="006106B4">
        <w:t xml:space="preserve"> </w:t>
      </w:r>
      <w:r w:rsidRPr="004F246B">
        <w:t xml:space="preserve">and </w:t>
      </w:r>
      <w:r w:rsidRPr="004F246B">
        <w:rPr>
          <w:b/>
          <w:bCs/>
        </w:rPr>
        <w:t>under-recovery</w:t>
      </w:r>
      <w:r w:rsidRPr="00BE5DE9">
        <w:t xml:space="preserve">, </w:t>
      </w:r>
      <w:r w:rsidRPr="004F246B">
        <w:rPr>
          <w:i/>
          <w:iCs/>
        </w:rPr>
        <w:t>where the operator fails to recover costs for certain services</w:t>
      </w:r>
      <w:r w:rsidRPr="004F246B">
        <w:t>, allowing for a bottom-up Total Service Incremental calculation of resources shares used by each service in all sections of the network.</w:t>
      </w:r>
    </w:p>
    <w:p w14:paraId="2FE4C569" w14:textId="7D601F77" w:rsidR="00E52274" w:rsidRPr="004F246B" w:rsidRDefault="00E52274" w:rsidP="00BB7865">
      <w:r w:rsidRPr="004F246B">
        <w:t>In summary,</w:t>
      </w:r>
      <w:r w:rsidR="006106B4">
        <w:t xml:space="preserve"> </w:t>
      </w:r>
      <w:r w:rsidRPr="004F246B">
        <w:t>according to [</w:t>
      </w:r>
      <w:r>
        <w:t>b-</w:t>
      </w:r>
      <w:r w:rsidRPr="004F246B">
        <w:t>Tactikom, 2025</w:t>
      </w:r>
      <w:r>
        <w:t>-2</w:t>
      </w:r>
      <w:r w:rsidRPr="004F246B">
        <w:t>], the key costing steps, some of which will be expanded upon further in this report, consist in:</w:t>
      </w:r>
      <w:r w:rsidR="006106B4">
        <w:t xml:space="preserve"> </w:t>
      </w:r>
      <w:r w:rsidRPr="004F246B">
        <w:t xml:space="preserve">i) Identify </w:t>
      </w:r>
      <w:r w:rsidRPr="004F246B">
        <w:rPr>
          <w:u w:val="single"/>
        </w:rPr>
        <w:t>subnetworks</w:t>
      </w:r>
      <w:r w:rsidRPr="004F246B">
        <w:t xml:space="preserve">, ii) Identify </w:t>
      </w:r>
      <w:r w:rsidRPr="004F246B">
        <w:rPr>
          <w:u w:val="single"/>
        </w:rPr>
        <w:t>applications</w:t>
      </w:r>
      <w:r w:rsidRPr="004F246B">
        <w:t xml:space="preserve"> (which can also be grouped by categories), iii) Describe the</w:t>
      </w:r>
      <w:r w:rsidR="006106B4">
        <w:t xml:space="preserve"> </w:t>
      </w:r>
      <w:r w:rsidRPr="004F246B">
        <w:rPr>
          <w:u w:val="single"/>
        </w:rPr>
        <w:t>topology of each subnetwork</w:t>
      </w:r>
      <w:r w:rsidRPr="004F246B">
        <w:t xml:space="preserve"> (</w:t>
      </w:r>
      <w:r w:rsidRPr="004F246B">
        <w:rPr>
          <w:u w:val="single"/>
        </w:rPr>
        <w:t>scorched node approach</w:t>
      </w:r>
      <w:r w:rsidRPr="004F246B">
        <w:t xml:space="preserve">), iv) Describe the </w:t>
      </w:r>
      <w:r w:rsidRPr="004F246B">
        <w:rPr>
          <w:u w:val="single"/>
        </w:rPr>
        <w:t>sharing principles</w:t>
      </w:r>
      <w:r w:rsidRPr="004F246B">
        <w:t xml:space="preserve"> of each main activity, v) Define the </w:t>
      </w:r>
      <w:r w:rsidRPr="004F246B">
        <w:rPr>
          <w:u w:val="single"/>
        </w:rPr>
        <w:t>services for each application</w:t>
      </w:r>
      <w:r w:rsidRPr="004F246B">
        <w:t xml:space="preserve"> (or category of applications), vi) Collect the data on </w:t>
      </w:r>
      <w:r w:rsidRPr="004F246B">
        <w:rPr>
          <w:u w:val="single"/>
        </w:rPr>
        <w:t>traffic of each application</w:t>
      </w:r>
      <w:r w:rsidRPr="004F246B">
        <w:t xml:space="preserve"> (or category of applications), vii) </w:t>
      </w:r>
      <w:r w:rsidRPr="004F246B">
        <w:rPr>
          <w:u w:val="single"/>
        </w:rPr>
        <w:t>Test the full path of nodes and routes dimensioning</w:t>
      </w:r>
      <w:r w:rsidRPr="004F246B">
        <w:t xml:space="preserve">, including incremental effect of services on resources; viii) Calculate the main </w:t>
      </w:r>
      <w:r w:rsidRPr="004F246B">
        <w:rPr>
          <w:u w:val="single"/>
        </w:rPr>
        <w:t>activities sharing and subnetworks applications routing factors</w:t>
      </w:r>
      <w:r w:rsidRPr="004F246B">
        <w:t xml:space="preserve">; ix) Proceed with the analytic division of all administrative, technical and commercial support; x) Analytic dumping of administrative charges on commercial and technical activities; xi) </w:t>
      </w:r>
      <w:r w:rsidRPr="004F246B">
        <w:rPr>
          <w:u w:val="single"/>
        </w:rPr>
        <w:t>Affectation and/or allocation</w:t>
      </w:r>
      <w:r w:rsidRPr="004F246B">
        <w:t xml:space="preserve"> of resulting technical and commercial to main activities using, where appropriate, distribution keys taken from technical analysis made above; xii) Calculate and allocate </w:t>
      </w:r>
      <w:r w:rsidRPr="004F246B">
        <w:rPr>
          <w:b/>
          <w:bCs/>
        </w:rPr>
        <w:t>weighted average cost of capital</w:t>
      </w:r>
      <w:r w:rsidRPr="004F246B">
        <w:t xml:space="preserve"> (WACC), whereby </w:t>
      </w:r>
      <w:r w:rsidRPr="004F246B">
        <w:rPr>
          <w:bCs/>
        </w:rPr>
        <w:t>WACC</w:t>
      </w:r>
      <w:r w:rsidRPr="004F246B">
        <w:t xml:space="preserve"> </w:t>
      </w:r>
      <w:r w:rsidRPr="004F246B">
        <w:rPr>
          <w:i/>
          <w:iCs/>
        </w:rPr>
        <w:t>corresponds to the average rate of return that capital providers (equity + debt) require for financing the network</w:t>
      </w:r>
      <w:r w:rsidRPr="004F246B">
        <w:t xml:space="preserve">. Such rate, WACC, is usually applied to the </w:t>
      </w:r>
      <w:r w:rsidRPr="004F246B">
        <w:rPr>
          <w:b/>
          <w:bCs/>
        </w:rPr>
        <w:t>regulatory asset base</w:t>
      </w:r>
      <w:r w:rsidRPr="004F246B">
        <w:t xml:space="preserve"> (RAB) </w:t>
      </w:r>
      <w:r w:rsidR="00BB7865">
        <w:t>–</w:t>
      </w:r>
      <w:r w:rsidRPr="004F246B">
        <w:t xml:space="preserve"> i.e.</w:t>
      </w:r>
      <w:r w:rsidR="00773154">
        <w:t>,</w:t>
      </w:r>
      <w:r w:rsidRPr="004F246B">
        <w:t xml:space="preserve"> </w:t>
      </w:r>
      <w:r w:rsidRPr="004F246B">
        <w:rPr>
          <w:i/>
          <w:iCs/>
        </w:rPr>
        <w:t>the value of the capital invested in the network infrastructure</w:t>
      </w:r>
      <w:r w:rsidRPr="004F246B">
        <w:t>. Its role is to ensure the fair remuneration of invested capital, so that operators can recover both, operating costs (OPEX) and capital costs (CAPEX + financing costs); xiii) Apply sharing and routing factors to the aggregated main activities costs to have total endogenous cost price of each service, and finally, xiv) Calculate the unit cost of each service and of each main activity.</w:t>
      </w:r>
    </w:p>
    <w:p w14:paraId="7676142C" w14:textId="77777777" w:rsidR="00E52274" w:rsidRPr="004F246B" w:rsidRDefault="00E52274" w:rsidP="00BB7865">
      <w:r w:rsidRPr="004F246B">
        <w:lastRenderedPageBreak/>
        <w:t xml:space="preserve">In this way, once the total capital cost (depreciation + WACC × RAB) is known, it must be allocated causally across services. Without causality, WACC-based capital costs could be misapplied, leading to overcharging some services (violating justice) or undercharging others (violating fairness, and possibly deterring efficient investment). In summary, the causal principles discussed earlier (fairness &amp; justice) apply not only to OPEX and resource use, but also to the financial cost of capital (WACC). Practically, this is achieved by mapping </w:t>
      </w:r>
      <w:r w:rsidRPr="004F246B">
        <w:rPr>
          <w:bCs/>
        </w:rPr>
        <w:t>subnetwork assets (with WACC)</w:t>
      </w:r>
      <w:r w:rsidRPr="004F246B">
        <w:t xml:space="preserve"> to </w:t>
      </w:r>
      <w:r w:rsidRPr="004F246B">
        <w:rPr>
          <w:bCs/>
        </w:rPr>
        <w:t>service usage via routing factors</w:t>
      </w:r>
      <w:r w:rsidRPr="004F246B">
        <w:t>.</w:t>
      </w:r>
    </w:p>
    <w:p w14:paraId="2AF0E3AE" w14:textId="77777777" w:rsidR="00E52274" w:rsidRPr="004F246B" w:rsidRDefault="00E52274" w:rsidP="00BB7865">
      <w:r w:rsidRPr="004F246B">
        <w:t>In the following, after having clarified in this introduction the key approach used for the costing of Internet connectivity, we focus on the specific terminology for the different elements and activities underlying the costing for International Internet connectivity.</w:t>
      </w:r>
    </w:p>
    <w:p w14:paraId="765B6240" w14:textId="202D465B" w:rsidR="00E52274" w:rsidRPr="004F246B" w:rsidRDefault="00BE5DE9" w:rsidP="00BE5DE9">
      <w:pPr>
        <w:pStyle w:val="Heading1"/>
      </w:pPr>
      <w:bookmarkStart w:id="14" w:name="_Toc210148077"/>
      <w:bookmarkStart w:id="15" w:name="_Toc239238916"/>
      <w:bookmarkStart w:id="16" w:name="_Toc239239741"/>
      <w:bookmarkStart w:id="17" w:name="_Toc239248533"/>
      <w:r>
        <w:t>2</w:t>
      </w:r>
      <w:r>
        <w:tab/>
      </w:r>
      <w:r w:rsidR="00E52274" w:rsidRPr="004F246B">
        <w:t xml:space="preserve">The four (plus one </w:t>
      </w:r>
      <w:r w:rsidR="0070360F">
        <w:t>"</w:t>
      </w:r>
      <w:r w:rsidR="00E52274" w:rsidRPr="004F246B">
        <w:t>invisible</w:t>
      </w:r>
      <w:r w:rsidR="00AF1FCB">
        <w:t>"</w:t>
      </w:r>
      <w:r w:rsidR="00E52274" w:rsidRPr="004F246B">
        <w:t>) miles of the Internet supply chain</w:t>
      </w:r>
      <w:bookmarkEnd w:id="14"/>
      <w:bookmarkEnd w:id="15"/>
      <w:bookmarkEnd w:id="16"/>
      <w:bookmarkEnd w:id="17"/>
    </w:p>
    <w:p w14:paraId="2AD51B80" w14:textId="4E75C9AD" w:rsidR="00E52274" w:rsidRPr="004F246B" w:rsidRDefault="00E52274" w:rsidP="00BE5DE9">
      <w:r w:rsidRPr="004F246B">
        <w:t xml:space="preserve">The costs of international Internet connectivity results from a complex series of steps through which Internet contents are transmitted from origin to source. These steps, forming the Internet supply chain, are subdivided into different relevant segments, also called </w:t>
      </w:r>
      <w:r w:rsidR="0070360F">
        <w:t>"</w:t>
      </w:r>
      <w:r w:rsidRPr="004F246B">
        <w:t>miles</w:t>
      </w:r>
      <w:r w:rsidR="00AF1FCB">
        <w:t>"</w:t>
      </w:r>
      <w:r w:rsidRPr="004F246B">
        <w:t xml:space="preserve"> each one interacting with the others in a non-necessar</w:t>
      </w:r>
      <w:r>
        <w:t>ily</w:t>
      </w:r>
      <w:r w:rsidRPr="004F246B">
        <w:t xml:space="preserve"> linear way, and each one populated by complex ecosystems of players. While a full description of this, though necessary, goes beyond the scope of this document, here we report some of the key concepts and terms that help in identifying the key steps whereby international Internet costs forms, and can therefore be addressed by policymakers. The ITU workshop on cost models for data services and international </w:t>
      </w:r>
      <w:r w:rsidR="00A95AF8" w:rsidRPr="004F246B">
        <w:t xml:space="preserve">Internet </w:t>
      </w:r>
      <w:r w:rsidRPr="004F246B">
        <w:t>connectivity (8-9 April 2024) addressed some of these issues in different presentations.</w:t>
      </w:r>
    </w:p>
    <w:p w14:paraId="4C8CC6DB" w14:textId="0F16195F" w:rsidR="00E52274" w:rsidRPr="004F246B" w:rsidRDefault="00E52274" w:rsidP="00BB7865">
      <w:r w:rsidRPr="004F246B">
        <w:t xml:space="preserve">The "Internet supply chain" components are characterised by the different steps that range from the first mile to the middle mile and finally to the last mile, based on the original World Bank definition of the four "miles" that form the various segments of telecommunications and </w:t>
      </w:r>
      <w:r w:rsidR="00A95AF8" w:rsidRPr="004F246B">
        <w:t xml:space="preserve">Internet </w:t>
      </w:r>
      <w:r w:rsidRPr="004F246B">
        <w:t>networks</w:t>
      </w:r>
      <w:r w:rsidRPr="004F246B">
        <w:rPr>
          <w:vertAlign w:val="superscript"/>
        </w:rPr>
        <w:footnoteReference w:id="8"/>
      </w:r>
      <w:r w:rsidRPr="004F246B">
        <w:t>.Their definitions are provided below.</w:t>
      </w:r>
    </w:p>
    <w:p w14:paraId="4FB592BA" w14:textId="438BED90" w:rsidR="00E52274" w:rsidRPr="004F246B" w:rsidRDefault="00BE5DE9" w:rsidP="00BE5DE9">
      <w:pPr>
        <w:pStyle w:val="enumlev1"/>
      </w:pPr>
      <w:r w:rsidRPr="00BE5DE9">
        <w:rPr>
          <w:b/>
          <w:bCs/>
        </w:rPr>
        <w:t>•</w:t>
      </w:r>
      <w:r>
        <w:rPr>
          <w:b/>
          <w:bCs/>
        </w:rPr>
        <w:tab/>
      </w:r>
      <w:r w:rsidR="00E52274" w:rsidRPr="004F246B">
        <w:rPr>
          <w:b/>
          <w:bCs/>
        </w:rPr>
        <w:t>International mile</w:t>
      </w:r>
      <w:r w:rsidR="00E52274" w:rsidRPr="004F246B">
        <w:t>: refers to the international connectivity that links a country to the global Internet. This typically involves undersea cables, satellites, and cross-border fibre-optic cables. Importance: This mile is crucial for a country</w:t>
      </w:r>
      <w:r w:rsidR="00582FF1">
        <w:t>'</w:t>
      </w:r>
      <w:r w:rsidR="00E52274" w:rsidRPr="004F246B">
        <w:t xml:space="preserve">s connection to the global information infrastructure, allowing data to flow in and out of the country. It represents the international gateways through which </w:t>
      </w:r>
      <w:r w:rsidR="00A95AF8" w:rsidRPr="004F246B">
        <w:t xml:space="preserve">Internet </w:t>
      </w:r>
      <w:r w:rsidR="00E52274" w:rsidRPr="004F246B">
        <w:t>traffic enters and exits a nation.</w:t>
      </w:r>
    </w:p>
    <w:p w14:paraId="03CADB3E" w14:textId="0E0782DA" w:rsidR="00E52274" w:rsidRPr="004F246B" w:rsidRDefault="00BE5DE9" w:rsidP="00BE5DE9">
      <w:pPr>
        <w:pStyle w:val="enumlev1"/>
      </w:pPr>
      <w:r w:rsidRPr="00BE5DE9">
        <w:rPr>
          <w:b/>
          <w:bCs/>
        </w:rPr>
        <w:t>•</w:t>
      </w:r>
      <w:r>
        <w:rPr>
          <w:b/>
          <w:bCs/>
        </w:rPr>
        <w:tab/>
      </w:r>
      <w:r w:rsidR="00E52274" w:rsidRPr="004F246B">
        <w:rPr>
          <w:b/>
          <w:bCs/>
        </w:rPr>
        <w:t>Middle mile</w:t>
      </w:r>
      <w:r w:rsidR="00E52274" w:rsidRPr="004F246B">
        <w:t xml:space="preserve">: refers to the backbone network and infrastructure that connects the international gateways to regional and national networks within a country. Long-distance fibre-optic cables and other </w:t>
      </w:r>
      <w:r w:rsidR="00E52274" w:rsidRPr="00BE5DE9">
        <w:t>high</w:t>
      </w:r>
      <w:r w:rsidR="00E52274" w:rsidRPr="004F246B">
        <w:t xml:space="preserve">-capacity </w:t>
      </w:r>
      <w:r w:rsidR="00E52274" w:rsidRPr="00BE5DE9">
        <w:t>links</w:t>
      </w:r>
      <w:r w:rsidR="00E52274" w:rsidRPr="004F246B">
        <w:t xml:space="preserve"> typically form the middle mile, ensuring efficient and reliable data transmission across a country. This also include</w:t>
      </w:r>
      <w:r w:rsidR="00E52274">
        <w:t>s</w:t>
      </w:r>
      <w:r w:rsidR="00E52274" w:rsidRPr="004F246B">
        <w:t xml:space="preserve"> critical components such as national backbones, intercity networks, local hosting of content and IXPs.</w:t>
      </w:r>
    </w:p>
    <w:p w14:paraId="18497BB2" w14:textId="22A6849A" w:rsidR="00E52274" w:rsidRPr="004F246B" w:rsidRDefault="00A81124" w:rsidP="00BE5DE9">
      <w:pPr>
        <w:pStyle w:val="enumlev2"/>
      </w:pPr>
      <w:r>
        <w:t>–</w:t>
      </w:r>
      <w:r>
        <w:tab/>
      </w:r>
      <w:r w:rsidR="00E52274" w:rsidRPr="004F246B">
        <w:t xml:space="preserve">A critical component of this mile is formed by the </w:t>
      </w:r>
      <w:r w:rsidR="00E52274" w:rsidRPr="004F246B">
        <w:rPr>
          <w:b/>
          <w:bCs/>
        </w:rPr>
        <w:t>content delivery networks</w:t>
      </w:r>
      <w:r w:rsidR="00E52274" w:rsidRPr="004F246B">
        <w:t xml:space="preserve"> (CDNs). These are essential to cache data in every country, and the denser they are the shorter the chains need to be to access data locally. Only a few countries have a density of caches in tier 2 cities, and, notably, most caches are from private groups such as Google and Meta.</w:t>
      </w:r>
    </w:p>
    <w:p w14:paraId="561B088C" w14:textId="5966DB64" w:rsidR="00E52274" w:rsidRPr="004F246B" w:rsidRDefault="00A81124" w:rsidP="00A81124">
      <w:pPr>
        <w:pStyle w:val="enumlev2"/>
      </w:pPr>
      <w:r w:rsidRPr="00A81124">
        <w:t>–</w:t>
      </w:r>
      <w:r>
        <w:tab/>
      </w:r>
      <w:r w:rsidR="00E52274" w:rsidRPr="004F246B">
        <w:t xml:space="preserve">The second critical </w:t>
      </w:r>
      <w:r w:rsidR="00E52274" w:rsidRPr="00A81124">
        <w:t>component</w:t>
      </w:r>
      <w:r w:rsidR="00E52274" w:rsidRPr="004F246B">
        <w:t xml:space="preserve"> is the fibre cable. With regard to this, the World Bank, in collaboration with the International Telecommunication Union (ITU), developed the </w:t>
      </w:r>
      <w:r w:rsidR="00E52274" w:rsidRPr="004F246B">
        <w:rPr>
          <w:b/>
          <w:bCs/>
        </w:rPr>
        <w:t>open fibre data standard</w:t>
      </w:r>
      <w:r w:rsidR="00E52274" w:rsidRPr="004F246B">
        <w:t xml:space="preserve"> (OFDS) initiative [</w:t>
      </w:r>
      <w:r w:rsidR="00E52274">
        <w:t>b-</w:t>
      </w:r>
      <w:r w:rsidR="00E52274" w:rsidRPr="00057A68">
        <w:t>D</w:t>
      </w:r>
      <w:r w:rsidR="00582FF1">
        <w:t>'</w:t>
      </w:r>
      <w:r w:rsidR="00E52274">
        <w:t>I</w:t>
      </w:r>
      <w:r w:rsidR="00E52274" w:rsidRPr="00057A68">
        <w:t xml:space="preserve">gnazio </w:t>
      </w:r>
      <w:r w:rsidR="00E52274">
        <w:t>2009</w:t>
      </w:r>
      <w:r w:rsidR="00E52274" w:rsidRPr="004F246B">
        <w:t xml:space="preserve">]. This standard provides a framework for collecting, sharing, and utilising data related to fibre-optic infrastructure in a consistent and interoperable manner. By standardising the way data about fibre networks is collected and shared, the OFDS leads to improved </w:t>
      </w:r>
      <w:r w:rsidR="00E52274" w:rsidRPr="00A81124">
        <w:t>transparency</w:t>
      </w:r>
      <w:r w:rsidR="00E52274" w:rsidRPr="004F246B">
        <w:t xml:space="preserve"> and reduced information asymmetry. It supports efficient network planning and deployment and </w:t>
      </w:r>
      <w:r w:rsidR="00E52274" w:rsidRPr="004F246B">
        <w:lastRenderedPageBreak/>
        <w:t>promotes investment by reducing risks associated with infrastructure development. However, the OFDS is also crucial for enhancing the ability of regulators, operators, and governments to effectively monitor and manage telecommunications infrastructure.</w:t>
      </w:r>
      <w:r w:rsidR="006106B4">
        <w:t xml:space="preserve"> </w:t>
      </w:r>
      <w:r w:rsidR="00E52274" w:rsidRPr="004F246B">
        <w:t xml:space="preserve">Interestingly, the OFDS includes data on </w:t>
      </w:r>
      <w:r w:rsidR="00E52274" w:rsidRPr="004F246B">
        <w:rPr>
          <w:b/>
          <w:bCs/>
        </w:rPr>
        <w:t>physical infrastructure</w:t>
      </w:r>
      <w:r w:rsidR="00E52274" w:rsidRPr="004F246B">
        <w:t xml:space="preserve">: information about the physical attributes of the fibre network, such as cable routes, types of cables, and physical locations of nodes; </w:t>
      </w:r>
      <w:r w:rsidR="00E52274" w:rsidRPr="004F246B">
        <w:rPr>
          <w:b/>
          <w:bCs/>
        </w:rPr>
        <w:t>network topology</w:t>
      </w:r>
      <w:r w:rsidR="00E52274" w:rsidRPr="004F246B">
        <w:t xml:space="preserve">: details on how different parts of the network are interconnected, including the relationships between different network elements (e.g., connections between nodes and links); </w:t>
      </w:r>
      <w:r w:rsidR="00E52274" w:rsidRPr="004F246B">
        <w:rPr>
          <w:b/>
          <w:bCs/>
        </w:rPr>
        <w:t>operational data</w:t>
      </w:r>
      <w:r w:rsidR="00E52274" w:rsidRPr="004F246B">
        <w:t xml:space="preserve">: data related to the operational status of the network, such as the capacity of links, traffic data, and performance metrics; </w:t>
      </w:r>
      <w:r w:rsidR="00E52274" w:rsidRPr="004F246B">
        <w:rPr>
          <w:b/>
          <w:bCs/>
        </w:rPr>
        <w:t>ownership and access rights</w:t>
      </w:r>
      <w:r w:rsidR="00E52274" w:rsidRPr="004F246B">
        <w:t xml:space="preserve">: information on who owns different parts of the network and the access rights associated with them; </w:t>
      </w:r>
      <w:r w:rsidR="00E52274" w:rsidRPr="004F246B">
        <w:rPr>
          <w:b/>
          <w:bCs/>
        </w:rPr>
        <w:t>geospatial data</w:t>
      </w:r>
      <w:r w:rsidR="00E52274" w:rsidRPr="004F246B">
        <w:t xml:space="preserve">: geographical data that shows the exact location of fibre-optic cables and infrastructure on maps, using standardised geospatial formats. One of the key features of the OFDS is its focus on interoperability. The standard is designed to be compatible with existing data systems and formats used by different stakeholders, including telecommunications operators, governments, and regulators. </w:t>
      </w:r>
      <w:r w:rsidR="00E52274" w:rsidRPr="004F246B">
        <w:rPr>
          <w:b/>
          <w:bCs/>
        </w:rPr>
        <w:t>Interoperability</w:t>
      </w:r>
      <w:r w:rsidR="00E52274" w:rsidRPr="004F246B">
        <w:t xml:space="preserve"> facilitates the easy sharing and integration of data across various platforms and systems.</w:t>
      </w:r>
    </w:p>
    <w:p w14:paraId="6623B521" w14:textId="716FD02F" w:rsidR="00E52274" w:rsidRPr="001337E1" w:rsidRDefault="00A81124" w:rsidP="001337E1">
      <w:pPr>
        <w:pStyle w:val="enumlev1"/>
      </w:pPr>
      <w:r w:rsidRPr="001337E1">
        <w:t>•</w:t>
      </w:r>
      <w:r w:rsidRPr="001337E1">
        <w:tab/>
      </w:r>
      <w:r w:rsidR="00E52274" w:rsidRPr="001337E1">
        <w:rPr>
          <w:b/>
          <w:bCs/>
        </w:rPr>
        <w:t>Last mile</w:t>
      </w:r>
      <w:r w:rsidR="00E52274" w:rsidRPr="001337E1">
        <w:t xml:space="preserve">: refers to the final segment of the network that connects end-users (households, communities, businesses, and institutions) to the broader telecommunications network. This could involve various technologies, such as fibre-optic lines, DSL, cable, wireless, or even satellite connections, depending on the geography and urbanisation of an area. The </w:t>
      </w:r>
      <w:r w:rsidR="00A95AF8" w:rsidRPr="001337E1">
        <w:t xml:space="preserve">last mile </w:t>
      </w:r>
      <w:r w:rsidR="00E52274" w:rsidRPr="001337E1">
        <w:t>is</w:t>
      </w:r>
      <w:r w:rsidR="006106B4" w:rsidRPr="001337E1">
        <w:t xml:space="preserve"> </w:t>
      </w:r>
      <w:r w:rsidR="00E52274" w:rsidRPr="001337E1">
        <w:t>often the most challenging and expensive segment to develop, especially in remote or rural areas.</w:t>
      </w:r>
    </w:p>
    <w:p w14:paraId="02E89DC4" w14:textId="5F9A8B06" w:rsidR="00E52274" w:rsidRPr="001337E1" w:rsidRDefault="00A81124" w:rsidP="001337E1">
      <w:pPr>
        <w:pStyle w:val="enumlev1"/>
      </w:pPr>
      <w:r w:rsidRPr="001337E1">
        <w:t>•</w:t>
      </w:r>
      <w:r w:rsidRPr="001337E1">
        <w:tab/>
      </w:r>
      <w:r w:rsidR="00E52274" w:rsidRPr="001337E1">
        <w:rPr>
          <w:b/>
          <w:bCs/>
        </w:rPr>
        <w:t>First mile</w:t>
      </w:r>
      <w:r w:rsidR="00E52274" w:rsidRPr="001337E1">
        <w:t>: focuses on the end-user devices and local access networks that connect users to the last mile infrastructure. This includes routers, modems, mobile phones, computers, and local area networks (LANs). The first mile is essential for enabling users to access the Internet. Together, these "miles" describe the entire journey of data from international sources through national infrastructure down to the individual user and their devices. Each mile has its own set of challenges and requirements, and effective network development needs to address all four to ensure affordable access to Internet services.</w:t>
      </w:r>
    </w:p>
    <w:p w14:paraId="30F91576" w14:textId="36A06732" w:rsidR="00E52274" w:rsidRPr="004F246B" w:rsidRDefault="00E52274" w:rsidP="00A81124">
      <w:r w:rsidRPr="004F246B">
        <w:t xml:space="preserve">However, it has been noted that also essential is the notion of a fifth mile, also called invisible, as </w:t>
      </w:r>
      <w:r>
        <w:t xml:space="preserve">it is </w:t>
      </w:r>
      <w:r w:rsidRPr="004F246B">
        <w:t xml:space="preserve">composed </w:t>
      </w:r>
      <w:r>
        <w:t>of</w:t>
      </w:r>
      <w:r w:rsidRPr="004F246B">
        <w:t xml:space="preserve"> an immaterial infrastructure</w:t>
      </w:r>
      <w:r w:rsidRPr="004F246B">
        <w:rPr>
          <w:vertAlign w:val="superscript"/>
        </w:rPr>
        <w:footnoteReference w:id="9"/>
      </w:r>
      <w:r w:rsidRPr="004F246B">
        <w:t>.</w:t>
      </w:r>
    </w:p>
    <w:p w14:paraId="5EB91E9E" w14:textId="49C12318" w:rsidR="00E52274" w:rsidRPr="004F246B" w:rsidRDefault="00A81124" w:rsidP="00A81124">
      <w:pPr>
        <w:pStyle w:val="enumlev1"/>
      </w:pPr>
      <w:r w:rsidRPr="00A81124">
        <w:rPr>
          <w:b/>
          <w:bCs/>
        </w:rPr>
        <w:t>•</w:t>
      </w:r>
      <w:r>
        <w:rPr>
          <w:b/>
          <w:bCs/>
        </w:rPr>
        <w:tab/>
      </w:r>
      <w:r w:rsidR="00E52274" w:rsidRPr="004F246B">
        <w:rPr>
          <w:b/>
          <w:bCs/>
        </w:rPr>
        <w:t>Invisible mile</w:t>
      </w:r>
      <w:r w:rsidR="00E52274" w:rsidRPr="004F246B">
        <w:t>. This refers to aspects of network infrastructure and connectivity that are not physically visible and is used to describe elements like spectrum management, policy and regulatory frameworks, data governance, cybersecurity, and the quality of service that support and enable the physical infrastructure of the network.</w:t>
      </w:r>
      <w:r w:rsidR="006106B4">
        <w:t xml:space="preserve"> </w:t>
      </w:r>
      <w:r w:rsidR="00E52274" w:rsidRPr="004F246B">
        <w:t xml:space="preserve">The invisible mile, therefore, represents the less tangible elements that </w:t>
      </w:r>
      <w:r w:rsidR="00E52274" w:rsidRPr="00A81124">
        <w:t>make</w:t>
      </w:r>
      <w:r w:rsidR="00E52274" w:rsidRPr="004F246B">
        <w:t xml:space="preserve"> networks function effectively. These elements often require strong institutional frameworks, a skilled workforce, and international cooperation, which are critical to the success of the physical infrastructure.</w:t>
      </w:r>
    </w:p>
    <w:p w14:paraId="52C92D77" w14:textId="784C3952" w:rsidR="00E52274" w:rsidRPr="004F246B" w:rsidRDefault="00E52274" w:rsidP="00BB7865">
      <w:r w:rsidRPr="004F246B">
        <w:t xml:space="preserve">In the next </w:t>
      </w:r>
      <w:r>
        <w:t>clauses</w:t>
      </w:r>
      <w:r w:rsidRPr="004F246B">
        <w:t xml:space="preserve">, we shall discuss in more detail some of these terms. However, for the </w:t>
      </w:r>
      <w:r>
        <w:t>purpose</w:t>
      </w:r>
      <w:r w:rsidRPr="004F246B">
        <w:t xml:space="preserve"> of clarifying the relevant terminology, it is helpful to also refer to the full table of OFDS terminology reported in the </w:t>
      </w:r>
      <w:r w:rsidR="001337E1" w:rsidRPr="004F246B">
        <w:t>appendix</w:t>
      </w:r>
      <w:r w:rsidRPr="004F246B">
        <w:t>.</w:t>
      </w:r>
    </w:p>
    <w:p w14:paraId="0AE21290" w14:textId="1E351F78" w:rsidR="00E52274" w:rsidRPr="004F246B" w:rsidRDefault="00A81124" w:rsidP="00A81124">
      <w:pPr>
        <w:pStyle w:val="Heading1"/>
      </w:pPr>
      <w:bookmarkStart w:id="18" w:name="_Toc210148078"/>
      <w:bookmarkStart w:id="19" w:name="_Toc239238917"/>
      <w:bookmarkStart w:id="20" w:name="_Toc239239742"/>
      <w:bookmarkStart w:id="21" w:name="_Toc239248534"/>
      <w:r>
        <w:t>3</w:t>
      </w:r>
      <w:r>
        <w:tab/>
      </w:r>
      <w:r w:rsidR="00E52274" w:rsidRPr="004F246B">
        <w:t>Infrastructure costs</w:t>
      </w:r>
      <w:bookmarkEnd w:id="18"/>
      <w:bookmarkEnd w:id="19"/>
      <w:bookmarkEnd w:id="20"/>
      <w:bookmarkEnd w:id="21"/>
    </w:p>
    <w:p w14:paraId="6F3215B2" w14:textId="33F4F73D" w:rsidR="00E52274" w:rsidRPr="004F246B" w:rsidRDefault="00E52274" w:rsidP="00A81124">
      <w:r w:rsidRPr="004F246B">
        <w:t>International Internet connectivity materiali</w:t>
      </w:r>
      <w:r>
        <w:t>z</w:t>
      </w:r>
      <w:r w:rsidRPr="004F246B">
        <w:t>es as international transfers of Internet protocol (IP) data packets that follow specific and multiple routes from origin to final destination, where these are recomposed to acquire a meaning for the receiver.</w:t>
      </w:r>
      <w:r w:rsidR="006106B4">
        <w:t xml:space="preserve"> </w:t>
      </w:r>
      <w:r w:rsidRPr="004F246B">
        <w:t xml:space="preserve">The origin might be a content hosting site and the </w:t>
      </w:r>
      <w:r w:rsidRPr="004F246B">
        <w:lastRenderedPageBreak/>
        <w:t xml:space="preserve">destination is where the initial request to access a webpage hosted at such a site was done and can be located anywhere in the world. These transfers of Internet protocol (IP) data packets take place along the </w:t>
      </w:r>
      <w:r w:rsidR="00A95AF8" w:rsidRPr="004F246B">
        <w:t xml:space="preserve">Internet </w:t>
      </w:r>
      <w:r w:rsidRPr="004F246B">
        <w:t>infrastructure, and some of their costs are due to technical-cost aspects, while others are related to economic, market and potentially regulatory aspects governing the economic transactions among the different operators that own the relevant components of the infrastructure used for the IP data transfers.</w:t>
      </w:r>
      <w:r w:rsidR="006106B4">
        <w:t xml:space="preserve"> </w:t>
      </w:r>
      <w:r w:rsidRPr="004F246B">
        <w:t>The infrastructure costs for ICC reflect all the steps taken by the IP data packets along the relevant infrastructure.</w:t>
      </w:r>
      <w:r w:rsidR="006106B4">
        <w:t xml:space="preserve"> </w:t>
      </w:r>
      <w:r w:rsidRPr="004F246B">
        <w:t>Contrary to many other network infrastructures, such as water, gas, oil, and railways, the physical infrastructure required to carry IP data packets is very diversified. The key costs associated with each different typology are:</w:t>
      </w:r>
    </w:p>
    <w:p w14:paraId="6F775056" w14:textId="6C39CEF7" w:rsidR="00E52274" w:rsidRPr="004F246B" w:rsidRDefault="00A81124" w:rsidP="00A81124">
      <w:pPr>
        <w:pStyle w:val="Heading2"/>
      </w:pPr>
      <w:bookmarkStart w:id="22" w:name="_Hlk162360180"/>
      <w:bookmarkStart w:id="23" w:name="_Toc239238918"/>
      <w:bookmarkStart w:id="24" w:name="_Toc239239743"/>
      <w:bookmarkStart w:id="25" w:name="_Toc239248535"/>
      <w:r>
        <w:t>3.1</w:t>
      </w:r>
      <w:bookmarkStart w:id="26" w:name="_Toc210148079"/>
      <w:r>
        <w:tab/>
      </w:r>
      <w:r w:rsidR="00E52274" w:rsidRPr="004F246B">
        <w:t>Submarine cable infrastructure</w:t>
      </w:r>
      <w:bookmarkEnd w:id="22"/>
      <w:bookmarkEnd w:id="23"/>
      <w:bookmarkEnd w:id="24"/>
      <w:bookmarkEnd w:id="25"/>
      <w:bookmarkEnd w:id="26"/>
      <w:r w:rsidR="00E52274" w:rsidRPr="004F246B">
        <w:t xml:space="preserve"> </w:t>
      </w:r>
    </w:p>
    <w:p w14:paraId="4F51EB0D" w14:textId="77777777" w:rsidR="00E52274" w:rsidRPr="004F246B" w:rsidRDefault="00E52274" w:rsidP="00A81124">
      <w:r w:rsidRPr="004F246B">
        <w:t>Costs associated with the installation, maintenance, and operation of submarine cables that facilitate international data transmission. Typical data sources for submarine cable infrastructure are industry reports and databases from submarine cable operators</w:t>
      </w:r>
      <w:r w:rsidRPr="00A81124">
        <w:rPr>
          <w:rStyle w:val="FootnoteReference"/>
        </w:rPr>
        <w:footnoteReference w:id="10"/>
      </w:r>
      <w:r>
        <w:t xml:space="preserve"> (see Figure 1)</w:t>
      </w:r>
      <w:r w:rsidRPr="004F246B">
        <w:t>.</w:t>
      </w:r>
    </w:p>
    <w:p w14:paraId="14B33CA6" w14:textId="77777777" w:rsidR="00E52274" w:rsidRPr="004F246B" w:rsidRDefault="00E52274" w:rsidP="00762DE5">
      <w:pPr>
        <w:pStyle w:val="Figure"/>
      </w:pPr>
      <w:r w:rsidRPr="004F246B">
        <w:t xml:space="preserve"> </w:t>
      </w:r>
      <w:r w:rsidRPr="004F246B">
        <w:rPr>
          <w:noProof/>
        </w:rPr>
        <w:drawing>
          <wp:inline distT="0" distB="0" distL="0" distR="0" wp14:anchorId="2C785838" wp14:editId="7E3F1D37">
            <wp:extent cx="5607967" cy="4037911"/>
            <wp:effectExtent l="0" t="0" r="0" b="1270"/>
            <wp:docPr id="701477267" name="Picture 1" descr="Figure 1 – Submarine Cables, Tele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477267" name="Picture 1" descr="Figure 1 – Submarine Cables, Telegeography"/>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67331" cy="4080655"/>
                    </a:xfrm>
                    <a:prstGeom prst="rect">
                      <a:avLst/>
                    </a:prstGeom>
                  </pic:spPr>
                </pic:pic>
              </a:graphicData>
            </a:graphic>
          </wp:inline>
        </w:drawing>
      </w:r>
    </w:p>
    <w:p w14:paraId="3B2A6780" w14:textId="671D903B" w:rsidR="00E52274" w:rsidRDefault="00E52274" w:rsidP="00762DE5">
      <w:pPr>
        <w:pStyle w:val="FigureNoTitle"/>
      </w:pPr>
      <w:bookmarkStart w:id="27" w:name="_Toc210144852"/>
      <w:bookmarkStart w:id="28" w:name="_Toc210148057"/>
      <w:r w:rsidRPr="004F246B">
        <w:t xml:space="preserve">Figure </w:t>
      </w:r>
      <w:r w:rsidRPr="004F246B">
        <w:rPr>
          <w:noProof/>
        </w:rPr>
        <w:t>1</w:t>
      </w:r>
      <w:bookmarkEnd w:id="27"/>
      <w:r w:rsidR="00762DE5">
        <w:t xml:space="preserve"> –</w:t>
      </w:r>
      <w:r w:rsidRPr="004F246B">
        <w:t xml:space="preserve"> Submarine Cables, Telegeography</w:t>
      </w:r>
      <w:bookmarkEnd w:id="28"/>
      <w:r w:rsidR="00762DE5">
        <w:rPr>
          <w:rStyle w:val="FootnoteReference"/>
        </w:rPr>
        <w:footnoteReference w:customMarkFollows="1" w:id="11"/>
        <w:t>*</w:t>
      </w:r>
    </w:p>
    <w:p w14:paraId="3E619F64" w14:textId="6BCD9E79" w:rsidR="00E52274" w:rsidRPr="004F246B" w:rsidRDefault="00E52274" w:rsidP="001337E1">
      <w:pPr>
        <w:pStyle w:val="Normalaftertitle"/>
        <w:keepNext/>
        <w:keepLines/>
      </w:pPr>
      <w:r w:rsidRPr="004F246B">
        <w:rPr>
          <w:kern w:val="2"/>
          <w14:ligatures w14:val="standardContextual"/>
        </w:rPr>
        <w:lastRenderedPageBreak/>
        <w:t xml:space="preserve">There is a necessity to factor into the costs the impact of </w:t>
      </w:r>
      <w:r w:rsidR="0070360F">
        <w:rPr>
          <w:kern w:val="2"/>
          <w14:ligatures w14:val="standardContextual"/>
        </w:rPr>
        <w:t>"</w:t>
      </w:r>
      <w:r w:rsidRPr="001822D5">
        <w:t>single points of failures</w:t>
      </w:r>
      <w:r w:rsidR="00AF1FCB" w:rsidRPr="001822D5">
        <w:t>"</w:t>
      </w:r>
      <w:r w:rsidRPr="001822D5">
        <w:t xml:space="preserve"> such as cable cuts, as subsea cables may take long to repair, </w:t>
      </w:r>
      <w:r w:rsidRPr="004F246B">
        <w:rPr>
          <w:kern w:val="2"/>
          <w14:ligatures w14:val="standardContextual"/>
        </w:rPr>
        <w:t xml:space="preserve">as well as those of </w:t>
      </w:r>
      <w:r w:rsidR="0070360F" w:rsidRPr="001822D5">
        <w:t>"</w:t>
      </w:r>
      <w:r w:rsidRPr="001822D5">
        <w:t>areas of risk</w:t>
      </w:r>
      <w:r w:rsidR="00AF1FCB" w:rsidRPr="001822D5">
        <w:t>"</w:t>
      </w:r>
      <w:r w:rsidRPr="001822D5">
        <w:t xml:space="preserve"> such as corridors that contain multiple subsea cables</w:t>
      </w:r>
      <w:r w:rsidRPr="0099465C">
        <w:rPr>
          <w:rStyle w:val="FootnoteReference"/>
        </w:rPr>
        <w:footnoteReference w:id="12"/>
      </w:r>
      <w:r w:rsidRPr="004F246B">
        <w:t xml:space="preserve">. This leads to the relevance of considering the redundancy costs. </w:t>
      </w:r>
      <w:r w:rsidR="0070360F">
        <w:t>"</w:t>
      </w:r>
      <w:r w:rsidRPr="004F246B">
        <w:t>For resilience and redundancy, it is necessary to have diverse routed transit circuits from a particular country to a particular peering point or alternate peering point.</w:t>
      </w:r>
      <w:r w:rsidR="006106B4">
        <w:t xml:space="preserve"> </w:t>
      </w:r>
      <w:r>
        <w:t>T</w:t>
      </w:r>
      <w:r w:rsidRPr="004F246B">
        <w:t xml:space="preserve">he higher the number of redundant routes, the lower the total impact on available capacity in the event of one route failure. This leads to the necessity to design networks balancing the trade-offs between the price of the long-distance routes and the network resilience by assessing the probability of a fault, the time to repair and the avoidance of any </w:t>
      </w:r>
      <w:r w:rsidR="0070360F">
        <w:t>"</w:t>
      </w:r>
      <w:r w:rsidRPr="004F246B">
        <w:t>single point of failure</w:t>
      </w:r>
      <w:r w:rsidR="00AF1FCB">
        <w:t>"</w:t>
      </w:r>
      <w:r w:rsidRPr="004F246B">
        <w:t xml:space="preserve"> that could affect more than one route due to any fault or event.</w:t>
      </w:r>
    </w:p>
    <w:p w14:paraId="422C9FFC" w14:textId="581306A8" w:rsidR="00E52274" w:rsidRPr="004F246B" w:rsidRDefault="00E52274" w:rsidP="001822D5">
      <w:pPr>
        <w:rPr>
          <w:kern w:val="2"/>
          <w14:ligatures w14:val="standardContextual"/>
        </w:rPr>
      </w:pPr>
      <w:r w:rsidRPr="004F246B">
        <w:t xml:space="preserve">Small Island Developing States (SIDs) face very high costs for redundancy. For example, </w:t>
      </w:r>
      <w:r w:rsidRPr="004F246B">
        <w:rPr>
          <w:kern w:val="2"/>
          <w14:ligatures w14:val="standardContextual"/>
        </w:rPr>
        <w:t xml:space="preserve">the </w:t>
      </w:r>
      <w:r w:rsidRPr="001822D5">
        <w:t>Seychelles was connected to Internet by only one subsea cable running 1</w:t>
      </w:r>
      <w:r w:rsidR="001337E1">
        <w:t> </w:t>
      </w:r>
      <w:r w:rsidRPr="001822D5">
        <w:t>800 km from the islands to the mainland of Africa at Dar es Salaam in Tanzania.</w:t>
      </w:r>
      <w:r w:rsidR="006106B4">
        <w:t xml:space="preserve"> </w:t>
      </w:r>
      <w:r w:rsidRPr="001822D5">
        <w:t>Hence, to increase resilience via redundancy, Seychelles had to invest in a new subsea cable route to Mombasa in Kenya.</w:t>
      </w:r>
      <w:r w:rsidR="006106B4">
        <w:t xml:space="preserve"> </w:t>
      </w:r>
      <w:r w:rsidRPr="001822D5">
        <w:t>Moreover, to cater for the possibility of one of the cables failing, operators may be forced to buy twice as much capacity (on each cable) than they need to deliver services.</w:t>
      </w:r>
      <w:r w:rsidR="006106B4">
        <w:t xml:space="preserve"> </w:t>
      </w:r>
      <w:r w:rsidRPr="001822D5">
        <w:t xml:space="preserve">To counter these challenges faced by SIDs, some Island states, such as Cabo Verde, are positioning themselves as subsea cable </w:t>
      </w:r>
      <w:r w:rsidRPr="00E52274">
        <w:rPr>
          <w:kern w:val="2"/>
          <w14:ligatures w14:val="standardContextual"/>
        </w:rPr>
        <w:t>hubs</w:t>
      </w:r>
      <w:r w:rsidRPr="001822D5">
        <w:t>, linking multiple cables as they transit across oceans</w:t>
      </w:r>
      <w:r w:rsidRPr="0099465C">
        <w:rPr>
          <w:rStyle w:val="FootnoteReference"/>
        </w:rPr>
        <w:footnoteReference w:id="13"/>
      </w:r>
      <w:r w:rsidRPr="001822D5">
        <w:t>. These costs should be included in the costs of longline redundancy, where the cost of purchased bandwidth of each alternative route should be added as the total costs and divided by the actual amount of used bandwidth, to obtain the redundancy costs for used Mbit/s.</w:t>
      </w:r>
    </w:p>
    <w:p w14:paraId="45026C86" w14:textId="6CF345CD" w:rsidR="00E52274" w:rsidRPr="004F246B" w:rsidRDefault="0099465C" w:rsidP="0099465C">
      <w:pPr>
        <w:pStyle w:val="Heading2"/>
      </w:pPr>
      <w:bookmarkStart w:id="29" w:name="_Toc210148080"/>
      <w:bookmarkStart w:id="30" w:name="_Toc239238919"/>
      <w:bookmarkStart w:id="31" w:name="_Toc239239744"/>
      <w:bookmarkStart w:id="32" w:name="_Toc239248536"/>
      <w:r>
        <w:t>3.2</w:t>
      </w:r>
      <w:r>
        <w:tab/>
      </w:r>
      <w:r w:rsidR="00E52274" w:rsidRPr="004F246B">
        <w:t>Satellite infrastructure</w:t>
      </w:r>
      <w:bookmarkEnd w:id="29"/>
      <w:bookmarkEnd w:id="30"/>
      <w:bookmarkEnd w:id="31"/>
      <w:bookmarkEnd w:id="32"/>
    </w:p>
    <w:p w14:paraId="090A32B1" w14:textId="54117A19" w:rsidR="00E52274" w:rsidRDefault="00E52274" w:rsidP="0099465C">
      <w:r w:rsidRPr="004F246B">
        <w:t xml:space="preserve">Costs related to satellite communication systems used for international Internet connectivity, including satellite launches, ground stations and satellite bandwidth. Typical data sources for satellite infrastructure are available from reports from satellite operators. According to the satellite industry report by the </w:t>
      </w:r>
      <w:hyperlink r:id="rId18" w:history="1">
        <w:r w:rsidRPr="001337E1">
          <w:rPr>
            <w:rStyle w:val="Hyperlink"/>
          </w:rPr>
          <w:t>Satellite Industry Association</w:t>
        </w:r>
      </w:hyperlink>
      <w:r w:rsidRPr="004F246B">
        <w:t xml:space="preserve"> </w:t>
      </w:r>
      <w:r w:rsidR="0070360F">
        <w:t>"</w:t>
      </w:r>
      <w:r w:rsidRPr="004F246B">
        <w:t>The first broadband satellite began service in 2008 with a capacity of 10 gigabits per second (Gb</w:t>
      </w:r>
      <w:r>
        <w:t>it/</w:t>
      </w:r>
      <w:r w:rsidRPr="004F246B">
        <w:t>s); 2019 satellites have capacities of up to 260 Gb</w:t>
      </w:r>
      <w:r>
        <w:t>it/</w:t>
      </w:r>
      <w:r w:rsidRPr="004F246B">
        <w:t>s, a number expected to increase to 1 terabit per second or 1</w:t>
      </w:r>
      <w:r w:rsidR="0099465C">
        <w:t> </w:t>
      </w:r>
      <w:r w:rsidRPr="004F246B">
        <w:t>Tb</w:t>
      </w:r>
      <w:r>
        <w:t>it/</w:t>
      </w:r>
      <w:r w:rsidRPr="004F246B">
        <w:t>s in 2023.</w:t>
      </w:r>
      <w:r w:rsidR="006106B4">
        <w:t xml:space="preserve"> </w:t>
      </w:r>
      <w:r w:rsidRPr="004F246B">
        <w:t>These terabit capacity geostationary satellites will provide orders of magnitude capacity increases and resulting consumer broadband benefits, remaining competitive with terrestrial offerings. In addition to these GEO innovations, several companies have already launched or have plans to launch thousands of new high</w:t>
      </w:r>
      <w:r>
        <w:t>-</w:t>
      </w:r>
      <w:r w:rsidRPr="004F246B">
        <w:t>throughput (non-geostationary) satellites in low-Earth and medium-Earth orbits to provide high-speed broadband at low latency levels. Launch, deployment and initial service offerings of the first of these operational satellites have already begun</w:t>
      </w:r>
      <w:r w:rsidR="00AF1FCB">
        <w:t>"</w:t>
      </w:r>
      <w:r>
        <w:t>.</w:t>
      </w:r>
    </w:p>
    <w:p w14:paraId="366A3662" w14:textId="77777777" w:rsidR="00E52274" w:rsidRDefault="00E52274" w:rsidP="0099465C">
      <w:r>
        <w:t>Figure 2 shows how satellite broadband works virtually, while Figure 3 illustrates the orbital launch attempts.</w:t>
      </w:r>
    </w:p>
    <w:p w14:paraId="23B51E4D" w14:textId="77777777" w:rsidR="00E52274" w:rsidRPr="004F246B" w:rsidRDefault="00E52274" w:rsidP="0099465C">
      <w:pPr>
        <w:pStyle w:val="Figure"/>
      </w:pPr>
      <w:r w:rsidRPr="004F246B">
        <w:lastRenderedPageBreak/>
        <w:t xml:space="preserve"> </w:t>
      </w:r>
      <w:r w:rsidRPr="004F246B">
        <w:rPr>
          <w:noProof/>
        </w:rPr>
        <w:drawing>
          <wp:inline distT="0" distB="0" distL="0" distR="0" wp14:anchorId="02E20CDB" wp14:editId="2B4291B2">
            <wp:extent cx="3557174" cy="2751627"/>
            <wp:effectExtent l="0" t="0" r="5715" b="0"/>
            <wp:docPr id="366715268" name="Picture 2" descr="Figure 2 – How satellite broadband 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15268" name="Picture 2" descr="Figure 2 – How satellite broadband work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9398" cy="2768819"/>
                    </a:xfrm>
                    <a:prstGeom prst="rect">
                      <a:avLst/>
                    </a:prstGeom>
                    <a:noFill/>
                    <a:ln>
                      <a:noFill/>
                    </a:ln>
                  </pic:spPr>
                </pic:pic>
              </a:graphicData>
            </a:graphic>
          </wp:inline>
        </w:drawing>
      </w:r>
    </w:p>
    <w:p w14:paraId="76583B7F" w14:textId="2072FBA7" w:rsidR="00E52274" w:rsidRPr="004F246B" w:rsidRDefault="00E52274" w:rsidP="0099465C">
      <w:pPr>
        <w:pStyle w:val="FigureNoTitle"/>
        <w:rPr>
          <w:kern w:val="2"/>
          <w14:ligatures w14:val="standardContextual"/>
        </w:rPr>
      </w:pPr>
      <w:bookmarkStart w:id="33" w:name="_Toc210148058"/>
      <w:bookmarkStart w:id="34" w:name="_Toc210144853"/>
      <w:r w:rsidRPr="004F246B">
        <w:t xml:space="preserve">Figure </w:t>
      </w:r>
      <w:r w:rsidRPr="004F246B">
        <w:rPr>
          <w:noProof/>
        </w:rPr>
        <w:t>2</w:t>
      </w:r>
      <w:r w:rsidR="0099465C">
        <w:t xml:space="preserve"> –</w:t>
      </w:r>
      <w:r w:rsidRPr="004F246B">
        <w:rPr>
          <w:kern w:val="2"/>
          <w14:ligatures w14:val="standardContextual"/>
        </w:rPr>
        <w:t xml:space="preserve"> How satellite broadband works</w:t>
      </w:r>
      <w:bookmarkEnd w:id="33"/>
      <w:r w:rsidRPr="004F246B">
        <w:rPr>
          <w:kern w:val="2"/>
          <w14:ligatures w14:val="standardContextual"/>
        </w:rPr>
        <w:t xml:space="preserve"> </w:t>
      </w:r>
      <w:bookmarkEnd w:id="34"/>
    </w:p>
    <w:p w14:paraId="31EF7AF0" w14:textId="7153B127" w:rsidR="00E52274" w:rsidRPr="00872040" w:rsidRDefault="00E52274" w:rsidP="007F7325">
      <w:pPr>
        <w:pStyle w:val="Figurelegend"/>
      </w:pPr>
      <w:r w:rsidRPr="00872040">
        <w:t>Source</w:t>
      </w:r>
      <w:r w:rsidRPr="004F246B">
        <w:rPr>
          <w:rStyle w:val="FootnoteReference"/>
        </w:rPr>
        <w:footnoteReference w:id="14"/>
      </w:r>
      <w:r w:rsidR="007F7325" w:rsidRPr="00872040">
        <w:t>:</w:t>
      </w:r>
      <w:r w:rsidRPr="00872040">
        <w:t xml:space="preserve"> </w:t>
      </w:r>
      <w:hyperlink r:id="rId20" w:history="1">
        <w:r w:rsidRPr="00872040">
          <w:rPr>
            <w:rStyle w:val="Hyperlink"/>
          </w:rPr>
          <w:t>https://sia.org/satellites-services/broadband-connectivity</w:t>
        </w:r>
      </w:hyperlink>
    </w:p>
    <w:p w14:paraId="401435CE" w14:textId="77777777" w:rsidR="00E52274" w:rsidRPr="004F246B" w:rsidRDefault="00E52274" w:rsidP="007F7325">
      <w:pPr>
        <w:pStyle w:val="Figure"/>
      </w:pPr>
      <w:r w:rsidRPr="004F246B">
        <w:rPr>
          <w:noProof/>
        </w:rPr>
        <w:drawing>
          <wp:inline distT="0" distB="0" distL="0" distR="0" wp14:anchorId="56D52622" wp14:editId="0090BC36">
            <wp:extent cx="3426133" cy="2207286"/>
            <wp:effectExtent l="0" t="0" r="3175" b="2540"/>
            <wp:docPr id="703192221" name="Picture 4" descr="Figure 3 – Orbital launch attem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92221" name="Picture 4" descr="Figure 3 – Orbital launch attempt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7036" cy="2214310"/>
                    </a:xfrm>
                    <a:prstGeom prst="rect">
                      <a:avLst/>
                    </a:prstGeom>
                    <a:noFill/>
                    <a:ln>
                      <a:noFill/>
                    </a:ln>
                  </pic:spPr>
                </pic:pic>
              </a:graphicData>
            </a:graphic>
          </wp:inline>
        </w:drawing>
      </w:r>
    </w:p>
    <w:p w14:paraId="6260FBEC" w14:textId="5F9F32F6" w:rsidR="00E52274" w:rsidRPr="007F7325" w:rsidRDefault="00E52274" w:rsidP="007F7325">
      <w:pPr>
        <w:pStyle w:val="FigureNoTitle"/>
        <w:rPr>
          <w:kern w:val="2"/>
          <w14:ligatures w14:val="standardContextual"/>
        </w:rPr>
      </w:pPr>
      <w:bookmarkStart w:id="35" w:name="_Toc210148059"/>
      <w:r w:rsidRPr="007F7325">
        <w:rPr>
          <w:kern w:val="2"/>
          <w14:ligatures w14:val="standardContextual"/>
        </w:rPr>
        <w:t>Figure 3</w:t>
      </w:r>
      <w:r w:rsidR="007F7325">
        <w:rPr>
          <w:kern w:val="2"/>
          <w14:ligatures w14:val="standardContextual"/>
        </w:rPr>
        <w:t xml:space="preserve"> – </w:t>
      </w:r>
      <w:r w:rsidRPr="007F7325">
        <w:rPr>
          <w:kern w:val="2"/>
          <w14:ligatures w14:val="standardContextual"/>
        </w:rPr>
        <w:t>Orbital launch attempts</w:t>
      </w:r>
      <w:bookmarkEnd w:id="35"/>
    </w:p>
    <w:p w14:paraId="3DAD6FA4" w14:textId="3CF6C1E6" w:rsidR="00E52274" w:rsidRPr="00872040" w:rsidRDefault="00E52274" w:rsidP="007F7325">
      <w:pPr>
        <w:pStyle w:val="Figurelegend"/>
      </w:pPr>
      <w:r w:rsidRPr="00872040">
        <w:t>Source</w:t>
      </w:r>
      <w:r w:rsidR="007F7325" w:rsidRPr="00872040">
        <w:t>:</w:t>
      </w:r>
      <w:r w:rsidRPr="00872040">
        <w:t xml:space="preserve"> </w:t>
      </w:r>
      <w:hyperlink r:id="rId22" w:history="1">
        <w:r w:rsidRPr="00872040">
          <w:rPr>
            <w:rStyle w:val="Hyperlink"/>
          </w:rPr>
          <w:t>https://payloadspace.com/2023-orbital-launches-by-country/</w:t>
        </w:r>
      </w:hyperlink>
    </w:p>
    <w:p w14:paraId="4DA9AA10" w14:textId="6DE8FFBE" w:rsidR="00E52274" w:rsidRPr="004F246B" w:rsidRDefault="00E52274" w:rsidP="00AD4B70">
      <w:pPr>
        <w:pStyle w:val="Normalaftertitle"/>
      </w:pPr>
      <w:r w:rsidRPr="001822D5">
        <w:t xml:space="preserve">Currently Starlink, owned by SpaceX, is one of the dominant global LEO providers; it offers subscription-based satellite Internet services that vary by region. As of mid-2025, monthly service fees in Europe average €65–€85, with higher installation costs in rural zones. In the United States, pricing is significantly higher, at around $120/month, while in developing </w:t>
      </w:r>
      <w:r w:rsidRPr="00E52274">
        <w:rPr>
          <w:kern w:val="2"/>
          <w14:ligatures w14:val="standardContextual"/>
        </w:rPr>
        <w:t>regions</w:t>
      </w:r>
      <w:r w:rsidRPr="004F246B">
        <w:t xml:space="preserve"> such as sub-Saharan Africa or South Asia, Starlink offered discounted plans at $30–$50/month. Latin American countries report average monthly fees of $50–$70. A critical component is, however, the hardware kit, which typically might cost $300–$600 globally, though discounts are occasionally offered in partnership with governments or NGOs.</w:t>
      </w:r>
    </w:p>
    <w:p w14:paraId="00EDFD03" w14:textId="23B24102" w:rsidR="00E52274" w:rsidRDefault="00E52274" w:rsidP="001822D5">
      <w:r w:rsidRPr="004F246B">
        <w:t xml:space="preserve">A </w:t>
      </w:r>
      <w:r w:rsidRPr="004F246B">
        <w:rPr>
          <w:i/>
          <w:iCs/>
        </w:rPr>
        <w:t>Rest of World</w:t>
      </w:r>
      <w:r w:rsidRPr="001822D5">
        <w:t> report, by Khadija Alam and Damilare Dosunmu, (10 January 2025) compared the price of Starlink</w:t>
      </w:r>
      <w:r w:rsidR="003427ED" w:rsidRPr="001822D5">
        <w:t>'</w:t>
      </w:r>
      <w:r w:rsidRPr="001822D5">
        <w:t xml:space="preserve">s residential service to the </w:t>
      </w:r>
      <w:r w:rsidRPr="00E52274">
        <w:rPr>
          <w:kern w:val="2"/>
          <w14:ligatures w14:val="standardContextual"/>
        </w:rPr>
        <w:t>cheapest</w:t>
      </w:r>
      <w:r w:rsidRPr="001822D5">
        <w:t xml:space="preserve"> unlimited fixed </w:t>
      </w:r>
      <w:r w:rsidR="00A95AF8" w:rsidRPr="001822D5">
        <w:t xml:space="preserve">Internet </w:t>
      </w:r>
      <w:r w:rsidRPr="001822D5">
        <w:t xml:space="preserve">plan offered by leading </w:t>
      </w:r>
      <w:r w:rsidR="00A95AF8" w:rsidRPr="001822D5">
        <w:lastRenderedPageBreak/>
        <w:t xml:space="preserve">Internet </w:t>
      </w:r>
      <w:r w:rsidRPr="001822D5">
        <w:t>service providers</w:t>
      </w:r>
      <w:r w:rsidRPr="007F7325">
        <w:rPr>
          <w:rStyle w:val="FootnoteReference"/>
        </w:rPr>
        <w:footnoteReference w:id="15"/>
      </w:r>
      <w:r w:rsidRPr="001822D5">
        <w:t>. The results, reported in Table 1, indicate that in at least five of the 16</w:t>
      </w:r>
      <w:r w:rsidR="007F7325">
        <w:t> </w:t>
      </w:r>
      <w:r w:rsidRPr="001822D5">
        <w:t xml:space="preserve">African countries where the service is available, a monthly Starlink subscription is cheaper than the leading fixed </w:t>
      </w:r>
      <w:r w:rsidR="00A95AF8" w:rsidRPr="001822D5">
        <w:t xml:space="preserve">Internet </w:t>
      </w:r>
      <w:r w:rsidRPr="001822D5">
        <w:t>service provider</w:t>
      </w:r>
      <w:r w:rsidRPr="004F246B">
        <w:t>.</w:t>
      </w:r>
    </w:p>
    <w:p w14:paraId="2E860379" w14:textId="528628C4" w:rsidR="007F7325" w:rsidRPr="004F246B" w:rsidRDefault="007F7325" w:rsidP="00AD4B70">
      <w:pPr>
        <w:pStyle w:val="TableNoTitle"/>
      </w:pPr>
      <w:r w:rsidRPr="007016A5">
        <w:t xml:space="preserve">Table 1 </w:t>
      </w:r>
      <w:r w:rsidRPr="007016A5">
        <w:sym w:font="Symbol" w:char="F02D"/>
      </w:r>
      <w:r>
        <w:t xml:space="preserve"> </w:t>
      </w:r>
      <w:r w:rsidRPr="00870629">
        <w:t>Comparison of Starlink</w:t>
      </w:r>
      <w:r>
        <w:t>'</w:t>
      </w:r>
      <w:r w:rsidRPr="00870629">
        <w:t xml:space="preserve">s residential service price with the cheapest </w:t>
      </w:r>
      <w:r>
        <w:br/>
      </w:r>
      <w:r w:rsidRPr="00870629">
        <w:t xml:space="preserve">unlimited fixed </w:t>
      </w:r>
      <w:r w:rsidR="00A95AF8" w:rsidRPr="00870629">
        <w:t xml:space="preserve">Internet </w:t>
      </w:r>
      <w:r w:rsidRPr="00870629">
        <w:t xml:space="preserve">plans from leading </w:t>
      </w:r>
      <w:r w:rsidR="00A95AF8" w:rsidRPr="00870629">
        <w:t xml:space="preserve">Internet </w:t>
      </w:r>
      <w:r w:rsidRPr="00870629">
        <w:t>service providers</w:t>
      </w:r>
    </w:p>
    <w:tbl>
      <w:tblPr>
        <w:tblStyle w:val="TableGrid"/>
        <w:tblW w:w="9639" w:type="dxa"/>
        <w:jc w:val="center"/>
        <w:tblLook w:val="04A0" w:firstRow="1" w:lastRow="0" w:firstColumn="1" w:lastColumn="0" w:noHBand="0" w:noVBand="1"/>
      </w:tblPr>
      <w:tblGrid>
        <w:gridCol w:w="1595"/>
        <w:gridCol w:w="2790"/>
        <w:gridCol w:w="2298"/>
        <w:gridCol w:w="2956"/>
      </w:tblGrid>
      <w:tr w:rsidR="00E52274" w:rsidRPr="004F246B" w14:paraId="3ACDAF54" w14:textId="77777777" w:rsidTr="00AD4B70">
        <w:trPr>
          <w:trHeight w:val="624"/>
          <w:tblHeader/>
          <w:jc w:val="center"/>
        </w:trPr>
        <w:tc>
          <w:tcPr>
            <w:tcW w:w="1272" w:type="dxa"/>
            <w:tcBorders>
              <w:top w:val="single" w:sz="4" w:space="0" w:color="auto"/>
            </w:tcBorders>
            <w:vAlign w:val="center"/>
            <w:hideMark/>
          </w:tcPr>
          <w:p w14:paraId="30475AC1" w14:textId="77777777" w:rsidR="00E52274" w:rsidRPr="004F246B" w:rsidRDefault="00E52274" w:rsidP="007F7325">
            <w:pPr>
              <w:pStyle w:val="Tablehead"/>
            </w:pPr>
            <w:r w:rsidRPr="004F246B">
              <w:t>Country</w:t>
            </w:r>
          </w:p>
        </w:tc>
        <w:tc>
          <w:tcPr>
            <w:tcW w:w="2409" w:type="dxa"/>
            <w:tcBorders>
              <w:top w:val="single" w:sz="4" w:space="0" w:color="auto"/>
            </w:tcBorders>
            <w:vAlign w:val="center"/>
            <w:hideMark/>
          </w:tcPr>
          <w:p w14:paraId="3C717C60" w14:textId="77777777" w:rsidR="00E52274" w:rsidRPr="004F246B" w:rsidRDefault="00E52274" w:rsidP="007F7325">
            <w:pPr>
              <w:pStyle w:val="Tablehead"/>
            </w:pPr>
            <w:r w:rsidRPr="004F246B">
              <w:t>Cheapest Starlink price per month (USD)</w:t>
            </w:r>
          </w:p>
        </w:tc>
        <w:tc>
          <w:tcPr>
            <w:tcW w:w="1984" w:type="dxa"/>
            <w:tcBorders>
              <w:top w:val="single" w:sz="4" w:space="0" w:color="auto"/>
            </w:tcBorders>
            <w:vAlign w:val="center"/>
            <w:hideMark/>
          </w:tcPr>
          <w:p w14:paraId="68BD35AE" w14:textId="77777777" w:rsidR="00E52274" w:rsidRPr="004F246B" w:rsidRDefault="00E52274" w:rsidP="007F7325">
            <w:pPr>
              <w:pStyle w:val="Tablehead"/>
            </w:pPr>
            <w:r w:rsidRPr="004F246B">
              <w:t>Leading fixed Internet provider</w:t>
            </w:r>
          </w:p>
        </w:tc>
        <w:tc>
          <w:tcPr>
            <w:tcW w:w="2552" w:type="dxa"/>
            <w:tcBorders>
              <w:top w:val="single" w:sz="4" w:space="0" w:color="auto"/>
            </w:tcBorders>
            <w:vAlign w:val="center"/>
            <w:hideMark/>
          </w:tcPr>
          <w:p w14:paraId="3DC14700" w14:textId="77777777" w:rsidR="00E52274" w:rsidRPr="004F246B" w:rsidRDefault="00E52274" w:rsidP="007F7325">
            <w:pPr>
              <w:pStyle w:val="Tablehead"/>
            </w:pPr>
            <w:r w:rsidRPr="004F246B">
              <w:t>Cheapest unlimited fixed Internet price per month (USD)</w:t>
            </w:r>
          </w:p>
        </w:tc>
      </w:tr>
      <w:tr w:rsidR="00E52274" w:rsidRPr="001337E1" w14:paraId="7A2074D6" w14:textId="77777777" w:rsidTr="007F7325">
        <w:trPr>
          <w:trHeight w:val="20"/>
          <w:tblHeader/>
          <w:jc w:val="center"/>
        </w:trPr>
        <w:tc>
          <w:tcPr>
            <w:tcW w:w="1272" w:type="dxa"/>
            <w:hideMark/>
          </w:tcPr>
          <w:p w14:paraId="7FCC0BAB" w14:textId="77777777" w:rsidR="00E52274" w:rsidRPr="001337E1" w:rsidRDefault="00E52274" w:rsidP="007F7325">
            <w:pPr>
              <w:pStyle w:val="Tabletext"/>
              <w:rPr>
                <w:szCs w:val="22"/>
              </w:rPr>
            </w:pPr>
            <w:r w:rsidRPr="001337E1">
              <w:rPr>
                <w:szCs w:val="22"/>
              </w:rPr>
              <w:t>Botswana</w:t>
            </w:r>
          </w:p>
        </w:tc>
        <w:tc>
          <w:tcPr>
            <w:tcW w:w="2409" w:type="dxa"/>
            <w:hideMark/>
          </w:tcPr>
          <w:p w14:paraId="51E89D60" w14:textId="3C6E8683" w:rsidR="00E52274" w:rsidRPr="001337E1" w:rsidRDefault="00E52274" w:rsidP="007F7325">
            <w:pPr>
              <w:pStyle w:val="Tabletext"/>
              <w:jc w:val="center"/>
              <w:rPr>
                <w:szCs w:val="22"/>
              </w:rPr>
            </w:pPr>
            <w:r w:rsidRPr="001337E1">
              <w:rPr>
                <w:szCs w:val="22"/>
              </w:rPr>
              <w:t>28</w:t>
            </w:r>
            <w:r w:rsidR="009E01F9">
              <w:rPr>
                <w:szCs w:val="22"/>
              </w:rPr>
              <w:t>.</w:t>
            </w:r>
            <w:r w:rsidRPr="001337E1">
              <w:rPr>
                <w:szCs w:val="22"/>
              </w:rPr>
              <w:t>54</w:t>
            </w:r>
          </w:p>
        </w:tc>
        <w:tc>
          <w:tcPr>
            <w:tcW w:w="1984" w:type="dxa"/>
            <w:hideMark/>
          </w:tcPr>
          <w:p w14:paraId="63EA4842" w14:textId="77777777" w:rsidR="00E52274" w:rsidRPr="001337E1" w:rsidRDefault="00E52274" w:rsidP="007F7325">
            <w:pPr>
              <w:pStyle w:val="Tabletext"/>
              <w:jc w:val="center"/>
              <w:rPr>
                <w:szCs w:val="22"/>
              </w:rPr>
            </w:pPr>
            <w:r w:rsidRPr="001337E1">
              <w:rPr>
                <w:szCs w:val="22"/>
              </w:rPr>
              <w:t>BTC</w:t>
            </w:r>
          </w:p>
        </w:tc>
        <w:tc>
          <w:tcPr>
            <w:tcW w:w="2552" w:type="dxa"/>
            <w:hideMark/>
          </w:tcPr>
          <w:p w14:paraId="2DE30AC2" w14:textId="13A6FC4A" w:rsidR="00E52274" w:rsidRPr="001337E1" w:rsidRDefault="00E52274" w:rsidP="007F7325">
            <w:pPr>
              <w:pStyle w:val="Tabletext"/>
              <w:jc w:val="center"/>
              <w:rPr>
                <w:szCs w:val="22"/>
              </w:rPr>
            </w:pPr>
            <w:r w:rsidRPr="001337E1">
              <w:rPr>
                <w:szCs w:val="22"/>
              </w:rPr>
              <w:t>27</w:t>
            </w:r>
            <w:r w:rsidR="009E01F9">
              <w:rPr>
                <w:szCs w:val="22"/>
              </w:rPr>
              <w:t>.</w:t>
            </w:r>
            <w:r w:rsidRPr="001337E1">
              <w:rPr>
                <w:szCs w:val="22"/>
              </w:rPr>
              <w:t>05</w:t>
            </w:r>
          </w:p>
        </w:tc>
      </w:tr>
      <w:tr w:rsidR="00E52274" w:rsidRPr="001337E1" w14:paraId="00D8F636" w14:textId="77777777" w:rsidTr="007F7325">
        <w:trPr>
          <w:trHeight w:val="20"/>
          <w:tblHeader/>
          <w:jc w:val="center"/>
        </w:trPr>
        <w:tc>
          <w:tcPr>
            <w:tcW w:w="1272" w:type="dxa"/>
            <w:hideMark/>
          </w:tcPr>
          <w:p w14:paraId="4A2F3711" w14:textId="77777777" w:rsidR="00E52274" w:rsidRPr="001337E1" w:rsidRDefault="00E52274" w:rsidP="007F7325">
            <w:pPr>
              <w:pStyle w:val="Tabletext"/>
              <w:rPr>
                <w:szCs w:val="22"/>
              </w:rPr>
            </w:pPr>
            <w:r w:rsidRPr="001337E1">
              <w:rPr>
                <w:szCs w:val="22"/>
              </w:rPr>
              <w:t>Eswatini</w:t>
            </w:r>
          </w:p>
        </w:tc>
        <w:tc>
          <w:tcPr>
            <w:tcW w:w="2409" w:type="dxa"/>
            <w:hideMark/>
          </w:tcPr>
          <w:p w14:paraId="106074CD" w14:textId="4A605AFB" w:rsidR="00E52274" w:rsidRPr="001337E1" w:rsidRDefault="00E52274" w:rsidP="007F7325">
            <w:pPr>
              <w:pStyle w:val="Tabletext"/>
              <w:jc w:val="center"/>
              <w:rPr>
                <w:szCs w:val="22"/>
              </w:rPr>
            </w:pPr>
            <w:r w:rsidRPr="001337E1">
              <w:rPr>
                <w:szCs w:val="22"/>
              </w:rPr>
              <w:t>50</w:t>
            </w:r>
            <w:r w:rsidR="009E01F9">
              <w:rPr>
                <w:szCs w:val="22"/>
              </w:rPr>
              <w:t>.</w:t>
            </w:r>
            <w:r w:rsidRPr="001337E1">
              <w:rPr>
                <w:szCs w:val="22"/>
              </w:rPr>
              <w:t>18</w:t>
            </w:r>
          </w:p>
        </w:tc>
        <w:tc>
          <w:tcPr>
            <w:tcW w:w="1984" w:type="dxa"/>
            <w:hideMark/>
          </w:tcPr>
          <w:p w14:paraId="5F6D85FB" w14:textId="77777777" w:rsidR="00E52274" w:rsidRPr="001337E1" w:rsidRDefault="00E52274" w:rsidP="007F7325">
            <w:pPr>
              <w:pStyle w:val="Tabletext"/>
              <w:jc w:val="center"/>
              <w:rPr>
                <w:szCs w:val="22"/>
                <w:u w:val="single"/>
              </w:rPr>
            </w:pPr>
            <w:hyperlink r:id="rId23" w:tgtFrame="_blank" w:history="1">
              <w:r w:rsidRPr="001337E1">
                <w:rPr>
                  <w:rStyle w:val="Hyperlink"/>
                  <w:szCs w:val="22"/>
                </w:rPr>
                <w:t>EPTC's Eswatini.net</w:t>
              </w:r>
            </w:hyperlink>
          </w:p>
        </w:tc>
        <w:tc>
          <w:tcPr>
            <w:tcW w:w="2552" w:type="dxa"/>
            <w:hideMark/>
          </w:tcPr>
          <w:p w14:paraId="07B9E027" w14:textId="36CE62FB" w:rsidR="00E52274" w:rsidRPr="001337E1" w:rsidRDefault="00E52274" w:rsidP="007F7325">
            <w:pPr>
              <w:pStyle w:val="Tabletext"/>
              <w:jc w:val="center"/>
              <w:rPr>
                <w:szCs w:val="22"/>
              </w:rPr>
            </w:pPr>
            <w:r w:rsidRPr="001337E1">
              <w:rPr>
                <w:szCs w:val="22"/>
              </w:rPr>
              <w:t>22</w:t>
            </w:r>
            <w:r w:rsidR="009E01F9">
              <w:rPr>
                <w:szCs w:val="22"/>
              </w:rPr>
              <w:t>.</w:t>
            </w:r>
            <w:r w:rsidRPr="001337E1">
              <w:rPr>
                <w:szCs w:val="22"/>
              </w:rPr>
              <w:t>66</w:t>
            </w:r>
          </w:p>
        </w:tc>
      </w:tr>
      <w:tr w:rsidR="00E52274" w:rsidRPr="001337E1" w14:paraId="01F0F098" w14:textId="77777777" w:rsidTr="007F7325">
        <w:trPr>
          <w:trHeight w:val="20"/>
          <w:tblHeader/>
          <w:jc w:val="center"/>
        </w:trPr>
        <w:tc>
          <w:tcPr>
            <w:tcW w:w="1272" w:type="dxa"/>
            <w:hideMark/>
          </w:tcPr>
          <w:p w14:paraId="1E6A3861" w14:textId="77777777" w:rsidR="00E52274" w:rsidRPr="001337E1" w:rsidRDefault="00E52274" w:rsidP="007F7325">
            <w:pPr>
              <w:pStyle w:val="Tabletext"/>
              <w:rPr>
                <w:szCs w:val="22"/>
              </w:rPr>
            </w:pPr>
            <w:r w:rsidRPr="001337E1">
              <w:rPr>
                <w:szCs w:val="22"/>
              </w:rPr>
              <w:t>Ghana</w:t>
            </w:r>
          </w:p>
        </w:tc>
        <w:tc>
          <w:tcPr>
            <w:tcW w:w="2409" w:type="dxa"/>
            <w:hideMark/>
          </w:tcPr>
          <w:p w14:paraId="6C01B502" w14:textId="2B10FB3A" w:rsidR="00E52274" w:rsidRPr="001337E1" w:rsidRDefault="00E52274" w:rsidP="007F7325">
            <w:pPr>
              <w:pStyle w:val="Tabletext"/>
              <w:jc w:val="center"/>
              <w:rPr>
                <w:szCs w:val="22"/>
              </w:rPr>
            </w:pPr>
            <w:r w:rsidRPr="001337E1">
              <w:rPr>
                <w:szCs w:val="22"/>
              </w:rPr>
              <w:t>33</w:t>
            </w:r>
            <w:r w:rsidR="009E01F9">
              <w:rPr>
                <w:szCs w:val="22"/>
              </w:rPr>
              <w:t>.</w:t>
            </w:r>
            <w:r w:rsidRPr="001337E1">
              <w:rPr>
                <w:szCs w:val="22"/>
              </w:rPr>
              <w:t>9</w:t>
            </w:r>
          </w:p>
        </w:tc>
        <w:tc>
          <w:tcPr>
            <w:tcW w:w="1984" w:type="dxa"/>
            <w:hideMark/>
          </w:tcPr>
          <w:p w14:paraId="1889F5EB" w14:textId="77777777" w:rsidR="00E52274" w:rsidRPr="001337E1" w:rsidRDefault="00E52274" w:rsidP="007F7325">
            <w:pPr>
              <w:pStyle w:val="Tabletext"/>
              <w:jc w:val="center"/>
              <w:rPr>
                <w:szCs w:val="22"/>
                <w:lang w:val="it-IT"/>
              </w:rPr>
            </w:pPr>
            <w:r w:rsidRPr="001337E1">
              <w:rPr>
                <w:szCs w:val="22"/>
                <w:lang w:val="it-IT"/>
              </w:rPr>
              <w:t>Telecel Ghana (formerly Vodafone Ghana)</w:t>
            </w:r>
          </w:p>
        </w:tc>
        <w:tc>
          <w:tcPr>
            <w:tcW w:w="2552" w:type="dxa"/>
            <w:hideMark/>
          </w:tcPr>
          <w:p w14:paraId="7FABEEB1" w14:textId="7C415E11" w:rsidR="00E52274" w:rsidRPr="001337E1" w:rsidRDefault="00E52274" w:rsidP="007F7325">
            <w:pPr>
              <w:pStyle w:val="Tabletext"/>
              <w:jc w:val="center"/>
              <w:rPr>
                <w:szCs w:val="22"/>
              </w:rPr>
            </w:pPr>
            <w:r w:rsidRPr="001337E1">
              <w:rPr>
                <w:szCs w:val="22"/>
              </w:rPr>
              <w:t>71</w:t>
            </w:r>
            <w:r w:rsidR="009E01F9">
              <w:rPr>
                <w:szCs w:val="22"/>
              </w:rPr>
              <w:t>.</w:t>
            </w:r>
            <w:r w:rsidRPr="001337E1">
              <w:rPr>
                <w:szCs w:val="22"/>
              </w:rPr>
              <w:t>13</w:t>
            </w:r>
          </w:p>
        </w:tc>
      </w:tr>
      <w:tr w:rsidR="00E52274" w:rsidRPr="001337E1" w14:paraId="4A7FE2BD" w14:textId="77777777" w:rsidTr="007F7325">
        <w:trPr>
          <w:trHeight w:val="20"/>
          <w:tblHeader/>
          <w:jc w:val="center"/>
        </w:trPr>
        <w:tc>
          <w:tcPr>
            <w:tcW w:w="1272" w:type="dxa"/>
            <w:hideMark/>
          </w:tcPr>
          <w:p w14:paraId="134AA71A" w14:textId="77777777" w:rsidR="00E52274" w:rsidRPr="001337E1" w:rsidRDefault="00E52274" w:rsidP="007F7325">
            <w:pPr>
              <w:pStyle w:val="Tabletext"/>
              <w:rPr>
                <w:szCs w:val="22"/>
              </w:rPr>
            </w:pPr>
            <w:r w:rsidRPr="001337E1">
              <w:rPr>
                <w:szCs w:val="22"/>
              </w:rPr>
              <w:t>Zambia</w:t>
            </w:r>
          </w:p>
        </w:tc>
        <w:tc>
          <w:tcPr>
            <w:tcW w:w="2409" w:type="dxa"/>
            <w:hideMark/>
          </w:tcPr>
          <w:p w14:paraId="31F9468C" w14:textId="638DEBA3" w:rsidR="00E52274" w:rsidRPr="001337E1" w:rsidRDefault="00E52274" w:rsidP="007F7325">
            <w:pPr>
              <w:pStyle w:val="Tabletext"/>
              <w:jc w:val="center"/>
              <w:rPr>
                <w:szCs w:val="22"/>
              </w:rPr>
            </w:pPr>
            <w:r w:rsidRPr="001337E1">
              <w:rPr>
                <w:szCs w:val="22"/>
              </w:rPr>
              <w:t>28</w:t>
            </w:r>
            <w:r w:rsidR="009E01F9">
              <w:rPr>
                <w:szCs w:val="22"/>
              </w:rPr>
              <w:t>.</w:t>
            </w:r>
            <w:r w:rsidRPr="001337E1">
              <w:rPr>
                <w:szCs w:val="22"/>
              </w:rPr>
              <w:t>81</w:t>
            </w:r>
          </w:p>
        </w:tc>
        <w:tc>
          <w:tcPr>
            <w:tcW w:w="1984" w:type="dxa"/>
            <w:hideMark/>
          </w:tcPr>
          <w:p w14:paraId="431438E2" w14:textId="77777777" w:rsidR="00E52274" w:rsidRPr="001337E1" w:rsidRDefault="00E52274" w:rsidP="007F7325">
            <w:pPr>
              <w:pStyle w:val="Tabletext"/>
              <w:jc w:val="center"/>
              <w:rPr>
                <w:szCs w:val="22"/>
              </w:rPr>
            </w:pPr>
            <w:r w:rsidRPr="001337E1">
              <w:rPr>
                <w:szCs w:val="22"/>
              </w:rPr>
              <w:t>Zamtel</w:t>
            </w:r>
          </w:p>
        </w:tc>
        <w:tc>
          <w:tcPr>
            <w:tcW w:w="2552" w:type="dxa"/>
            <w:hideMark/>
          </w:tcPr>
          <w:p w14:paraId="79D70FA3" w14:textId="31E32954" w:rsidR="00E52274" w:rsidRPr="001337E1" w:rsidRDefault="00E52274" w:rsidP="007F7325">
            <w:pPr>
              <w:pStyle w:val="Tabletext"/>
              <w:jc w:val="center"/>
              <w:rPr>
                <w:szCs w:val="22"/>
              </w:rPr>
            </w:pPr>
            <w:r w:rsidRPr="001337E1">
              <w:rPr>
                <w:szCs w:val="22"/>
              </w:rPr>
              <w:t>26</w:t>
            </w:r>
            <w:r w:rsidR="009E01F9">
              <w:rPr>
                <w:szCs w:val="22"/>
              </w:rPr>
              <w:t>.</w:t>
            </w:r>
            <w:r w:rsidRPr="001337E1">
              <w:rPr>
                <w:szCs w:val="22"/>
              </w:rPr>
              <w:t>97</w:t>
            </w:r>
          </w:p>
        </w:tc>
      </w:tr>
      <w:tr w:rsidR="00E52274" w:rsidRPr="001337E1" w14:paraId="43EB14E7" w14:textId="77777777" w:rsidTr="007F7325">
        <w:trPr>
          <w:trHeight w:val="20"/>
          <w:tblHeader/>
          <w:jc w:val="center"/>
        </w:trPr>
        <w:tc>
          <w:tcPr>
            <w:tcW w:w="1272" w:type="dxa"/>
            <w:hideMark/>
          </w:tcPr>
          <w:p w14:paraId="272A56AF" w14:textId="77777777" w:rsidR="00E52274" w:rsidRPr="001337E1" w:rsidRDefault="00E52274" w:rsidP="007F7325">
            <w:pPr>
              <w:pStyle w:val="Tabletext"/>
              <w:rPr>
                <w:szCs w:val="22"/>
              </w:rPr>
            </w:pPr>
            <w:r w:rsidRPr="001337E1">
              <w:rPr>
                <w:szCs w:val="22"/>
              </w:rPr>
              <w:t>Kenya</w:t>
            </w:r>
          </w:p>
        </w:tc>
        <w:tc>
          <w:tcPr>
            <w:tcW w:w="2409" w:type="dxa"/>
            <w:hideMark/>
          </w:tcPr>
          <w:p w14:paraId="1E4C523D" w14:textId="0C7DF210" w:rsidR="00E52274" w:rsidRPr="001337E1" w:rsidRDefault="00E52274" w:rsidP="007F7325">
            <w:pPr>
              <w:pStyle w:val="Tabletext"/>
              <w:jc w:val="center"/>
              <w:rPr>
                <w:szCs w:val="22"/>
              </w:rPr>
            </w:pPr>
            <w:r w:rsidRPr="001337E1">
              <w:rPr>
                <w:szCs w:val="22"/>
              </w:rPr>
              <w:t>10</w:t>
            </w:r>
            <w:r w:rsidR="009E01F9">
              <w:rPr>
                <w:szCs w:val="22"/>
              </w:rPr>
              <w:t>.</w:t>
            </w:r>
            <w:r w:rsidRPr="001337E1">
              <w:rPr>
                <w:szCs w:val="22"/>
              </w:rPr>
              <w:t>04</w:t>
            </w:r>
          </w:p>
        </w:tc>
        <w:tc>
          <w:tcPr>
            <w:tcW w:w="1984" w:type="dxa"/>
            <w:hideMark/>
          </w:tcPr>
          <w:p w14:paraId="70FBBFC1" w14:textId="77777777" w:rsidR="00E52274" w:rsidRPr="001337E1" w:rsidRDefault="00E52274" w:rsidP="007F7325">
            <w:pPr>
              <w:pStyle w:val="Tabletext"/>
              <w:jc w:val="center"/>
              <w:rPr>
                <w:szCs w:val="22"/>
              </w:rPr>
            </w:pPr>
            <w:r w:rsidRPr="001337E1">
              <w:rPr>
                <w:szCs w:val="22"/>
              </w:rPr>
              <w:t>Safaricom</w:t>
            </w:r>
          </w:p>
        </w:tc>
        <w:tc>
          <w:tcPr>
            <w:tcW w:w="2552" w:type="dxa"/>
            <w:hideMark/>
          </w:tcPr>
          <w:p w14:paraId="04F847E7" w14:textId="3102DC75" w:rsidR="00E52274" w:rsidRPr="001337E1" w:rsidRDefault="00E52274" w:rsidP="007F7325">
            <w:pPr>
              <w:pStyle w:val="Tabletext"/>
              <w:jc w:val="center"/>
              <w:rPr>
                <w:szCs w:val="22"/>
              </w:rPr>
            </w:pPr>
            <w:r w:rsidRPr="001337E1">
              <w:rPr>
                <w:szCs w:val="22"/>
              </w:rPr>
              <w:t>23</w:t>
            </w:r>
            <w:r w:rsidR="009E01F9">
              <w:rPr>
                <w:szCs w:val="22"/>
              </w:rPr>
              <w:t>.</w:t>
            </w:r>
            <w:r w:rsidRPr="001337E1">
              <w:rPr>
                <w:szCs w:val="22"/>
              </w:rPr>
              <w:t>16</w:t>
            </w:r>
          </w:p>
        </w:tc>
      </w:tr>
      <w:tr w:rsidR="00E52274" w:rsidRPr="001337E1" w14:paraId="109347DE" w14:textId="77777777" w:rsidTr="007F7325">
        <w:trPr>
          <w:trHeight w:val="20"/>
          <w:tblHeader/>
          <w:jc w:val="center"/>
        </w:trPr>
        <w:tc>
          <w:tcPr>
            <w:tcW w:w="1272" w:type="dxa"/>
            <w:hideMark/>
          </w:tcPr>
          <w:p w14:paraId="2C8DAD4C" w14:textId="77777777" w:rsidR="00E52274" w:rsidRPr="001337E1" w:rsidRDefault="00E52274" w:rsidP="007F7325">
            <w:pPr>
              <w:pStyle w:val="Tabletext"/>
              <w:rPr>
                <w:szCs w:val="22"/>
              </w:rPr>
            </w:pPr>
            <w:r w:rsidRPr="001337E1">
              <w:rPr>
                <w:szCs w:val="22"/>
              </w:rPr>
              <w:t>Zimbabwe</w:t>
            </w:r>
          </w:p>
        </w:tc>
        <w:tc>
          <w:tcPr>
            <w:tcW w:w="2409" w:type="dxa"/>
            <w:hideMark/>
          </w:tcPr>
          <w:p w14:paraId="523E0C1C" w14:textId="77777777" w:rsidR="00E52274" w:rsidRPr="001337E1" w:rsidRDefault="00E52274" w:rsidP="007F7325">
            <w:pPr>
              <w:pStyle w:val="Tabletext"/>
              <w:jc w:val="center"/>
              <w:rPr>
                <w:szCs w:val="22"/>
              </w:rPr>
            </w:pPr>
            <w:r w:rsidRPr="001337E1">
              <w:rPr>
                <w:szCs w:val="22"/>
              </w:rPr>
              <w:t>30</w:t>
            </w:r>
          </w:p>
        </w:tc>
        <w:tc>
          <w:tcPr>
            <w:tcW w:w="1984" w:type="dxa"/>
            <w:hideMark/>
          </w:tcPr>
          <w:p w14:paraId="31635D4C" w14:textId="77777777" w:rsidR="00E52274" w:rsidRPr="001337E1" w:rsidRDefault="00E52274" w:rsidP="007F7325">
            <w:pPr>
              <w:pStyle w:val="Tabletext"/>
              <w:jc w:val="center"/>
              <w:rPr>
                <w:szCs w:val="22"/>
              </w:rPr>
            </w:pPr>
            <w:r w:rsidRPr="001337E1">
              <w:rPr>
                <w:szCs w:val="22"/>
              </w:rPr>
              <w:t>Liquid (Econet subsidiary)</w:t>
            </w:r>
          </w:p>
        </w:tc>
        <w:tc>
          <w:tcPr>
            <w:tcW w:w="2552" w:type="dxa"/>
            <w:hideMark/>
          </w:tcPr>
          <w:p w14:paraId="4BFEFF41" w14:textId="30ED7394" w:rsidR="00E52274" w:rsidRPr="001337E1" w:rsidRDefault="00E52274" w:rsidP="007F7325">
            <w:pPr>
              <w:pStyle w:val="Tabletext"/>
              <w:jc w:val="center"/>
              <w:rPr>
                <w:szCs w:val="22"/>
              </w:rPr>
            </w:pPr>
            <w:r w:rsidRPr="001337E1">
              <w:rPr>
                <w:szCs w:val="22"/>
              </w:rPr>
              <w:t>221</w:t>
            </w:r>
            <w:r w:rsidR="009E01F9">
              <w:rPr>
                <w:szCs w:val="22"/>
              </w:rPr>
              <w:t>.</w:t>
            </w:r>
            <w:r w:rsidRPr="001337E1">
              <w:rPr>
                <w:szCs w:val="22"/>
              </w:rPr>
              <w:t>74</w:t>
            </w:r>
          </w:p>
        </w:tc>
      </w:tr>
      <w:tr w:rsidR="00E52274" w:rsidRPr="001337E1" w14:paraId="22EF0AA6" w14:textId="77777777" w:rsidTr="007F7325">
        <w:trPr>
          <w:trHeight w:val="20"/>
          <w:tblHeader/>
          <w:jc w:val="center"/>
        </w:trPr>
        <w:tc>
          <w:tcPr>
            <w:tcW w:w="1272" w:type="dxa"/>
            <w:hideMark/>
          </w:tcPr>
          <w:p w14:paraId="7D38CEA9" w14:textId="77777777" w:rsidR="00E52274" w:rsidRPr="001337E1" w:rsidRDefault="00E52274" w:rsidP="007F7325">
            <w:pPr>
              <w:pStyle w:val="Tabletext"/>
              <w:rPr>
                <w:szCs w:val="22"/>
              </w:rPr>
            </w:pPr>
            <w:r w:rsidRPr="001337E1">
              <w:rPr>
                <w:szCs w:val="22"/>
              </w:rPr>
              <w:t>Mozambique</w:t>
            </w:r>
          </w:p>
        </w:tc>
        <w:tc>
          <w:tcPr>
            <w:tcW w:w="2409" w:type="dxa"/>
            <w:hideMark/>
          </w:tcPr>
          <w:p w14:paraId="075D2062" w14:textId="059202AA" w:rsidR="00E52274" w:rsidRPr="001337E1" w:rsidRDefault="00E52274" w:rsidP="007F7325">
            <w:pPr>
              <w:pStyle w:val="Tabletext"/>
              <w:jc w:val="center"/>
              <w:rPr>
                <w:szCs w:val="22"/>
              </w:rPr>
            </w:pPr>
            <w:r w:rsidRPr="001337E1">
              <w:rPr>
                <w:szCs w:val="22"/>
              </w:rPr>
              <w:t>46</w:t>
            </w:r>
            <w:r w:rsidR="009E01F9">
              <w:rPr>
                <w:szCs w:val="22"/>
              </w:rPr>
              <w:t>.</w:t>
            </w:r>
            <w:r w:rsidRPr="001337E1">
              <w:rPr>
                <w:szCs w:val="22"/>
              </w:rPr>
              <w:t>95</w:t>
            </w:r>
          </w:p>
        </w:tc>
        <w:tc>
          <w:tcPr>
            <w:tcW w:w="1984" w:type="dxa"/>
            <w:hideMark/>
          </w:tcPr>
          <w:p w14:paraId="1AB0142A" w14:textId="77777777" w:rsidR="00E52274" w:rsidRPr="001337E1" w:rsidRDefault="00E52274" w:rsidP="007F7325">
            <w:pPr>
              <w:pStyle w:val="Tabletext"/>
              <w:jc w:val="center"/>
              <w:rPr>
                <w:szCs w:val="22"/>
              </w:rPr>
            </w:pPr>
            <w:r w:rsidRPr="001337E1">
              <w:rPr>
                <w:szCs w:val="22"/>
              </w:rPr>
              <w:t>Vodacom</w:t>
            </w:r>
          </w:p>
        </w:tc>
        <w:tc>
          <w:tcPr>
            <w:tcW w:w="2552" w:type="dxa"/>
            <w:hideMark/>
          </w:tcPr>
          <w:p w14:paraId="70024A73" w14:textId="2A97D786" w:rsidR="00E52274" w:rsidRPr="001337E1" w:rsidRDefault="00E52274" w:rsidP="007F7325">
            <w:pPr>
              <w:pStyle w:val="Tabletext"/>
              <w:jc w:val="center"/>
              <w:rPr>
                <w:szCs w:val="22"/>
              </w:rPr>
            </w:pPr>
            <w:r w:rsidRPr="001337E1">
              <w:rPr>
                <w:szCs w:val="22"/>
              </w:rPr>
              <w:t>54</w:t>
            </w:r>
            <w:r w:rsidR="009E01F9">
              <w:rPr>
                <w:szCs w:val="22"/>
              </w:rPr>
              <w:t>.</w:t>
            </w:r>
            <w:r w:rsidRPr="001337E1">
              <w:rPr>
                <w:szCs w:val="22"/>
              </w:rPr>
              <w:t>75</w:t>
            </w:r>
          </w:p>
        </w:tc>
      </w:tr>
      <w:tr w:rsidR="00E52274" w:rsidRPr="001337E1" w14:paraId="79ED53C0" w14:textId="77777777" w:rsidTr="007F7325">
        <w:trPr>
          <w:trHeight w:val="20"/>
          <w:tblHeader/>
          <w:jc w:val="center"/>
        </w:trPr>
        <w:tc>
          <w:tcPr>
            <w:tcW w:w="1272" w:type="dxa"/>
            <w:hideMark/>
          </w:tcPr>
          <w:p w14:paraId="4778594C" w14:textId="77777777" w:rsidR="00E52274" w:rsidRPr="001337E1" w:rsidRDefault="00E52274" w:rsidP="007F7325">
            <w:pPr>
              <w:pStyle w:val="Tabletext"/>
              <w:rPr>
                <w:szCs w:val="22"/>
              </w:rPr>
            </w:pPr>
            <w:r w:rsidRPr="001337E1">
              <w:rPr>
                <w:szCs w:val="22"/>
              </w:rPr>
              <w:t>Nigeria</w:t>
            </w:r>
          </w:p>
        </w:tc>
        <w:tc>
          <w:tcPr>
            <w:tcW w:w="2409" w:type="dxa"/>
            <w:hideMark/>
          </w:tcPr>
          <w:p w14:paraId="6F068E06" w14:textId="4941972E" w:rsidR="00E52274" w:rsidRPr="001337E1" w:rsidRDefault="00E52274" w:rsidP="007F7325">
            <w:pPr>
              <w:pStyle w:val="Tabletext"/>
              <w:jc w:val="center"/>
              <w:rPr>
                <w:szCs w:val="22"/>
              </w:rPr>
            </w:pPr>
            <w:r w:rsidRPr="001337E1">
              <w:rPr>
                <w:szCs w:val="22"/>
              </w:rPr>
              <w:t>48</w:t>
            </w:r>
            <w:r w:rsidR="009E01F9">
              <w:rPr>
                <w:szCs w:val="22"/>
              </w:rPr>
              <w:t>.</w:t>
            </w:r>
            <w:r w:rsidRPr="001337E1">
              <w:rPr>
                <w:szCs w:val="22"/>
              </w:rPr>
              <w:t>47</w:t>
            </w:r>
          </w:p>
        </w:tc>
        <w:tc>
          <w:tcPr>
            <w:tcW w:w="1984" w:type="dxa"/>
            <w:hideMark/>
          </w:tcPr>
          <w:p w14:paraId="69837F14" w14:textId="77777777" w:rsidR="00E52274" w:rsidRPr="001337E1" w:rsidRDefault="00E52274" w:rsidP="007F7325">
            <w:pPr>
              <w:pStyle w:val="Tabletext"/>
              <w:jc w:val="center"/>
              <w:rPr>
                <w:szCs w:val="22"/>
              </w:rPr>
            </w:pPr>
            <w:r w:rsidRPr="001337E1">
              <w:rPr>
                <w:szCs w:val="22"/>
              </w:rPr>
              <w:t>IPNX</w:t>
            </w:r>
          </w:p>
        </w:tc>
        <w:tc>
          <w:tcPr>
            <w:tcW w:w="2552" w:type="dxa"/>
            <w:hideMark/>
          </w:tcPr>
          <w:p w14:paraId="74AF08B1" w14:textId="4A44A8AF" w:rsidR="00E52274" w:rsidRPr="001337E1" w:rsidRDefault="00E52274" w:rsidP="007F7325">
            <w:pPr>
              <w:pStyle w:val="Tabletext"/>
              <w:jc w:val="center"/>
              <w:rPr>
                <w:szCs w:val="22"/>
              </w:rPr>
            </w:pPr>
            <w:r w:rsidRPr="001337E1">
              <w:rPr>
                <w:szCs w:val="22"/>
              </w:rPr>
              <w:t>9</w:t>
            </w:r>
            <w:r w:rsidR="009E01F9">
              <w:rPr>
                <w:szCs w:val="22"/>
              </w:rPr>
              <w:t>.</w:t>
            </w:r>
            <w:r w:rsidRPr="001337E1">
              <w:rPr>
                <w:szCs w:val="22"/>
              </w:rPr>
              <w:t>59</w:t>
            </w:r>
          </w:p>
        </w:tc>
      </w:tr>
      <w:tr w:rsidR="00E52274" w:rsidRPr="001337E1" w14:paraId="11F2AFC6" w14:textId="77777777" w:rsidTr="007F7325">
        <w:trPr>
          <w:trHeight w:val="20"/>
          <w:tblHeader/>
          <w:jc w:val="center"/>
        </w:trPr>
        <w:tc>
          <w:tcPr>
            <w:tcW w:w="1272" w:type="dxa"/>
            <w:hideMark/>
          </w:tcPr>
          <w:p w14:paraId="20B2EADB" w14:textId="77777777" w:rsidR="00E52274" w:rsidRPr="001337E1" w:rsidRDefault="00E52274" w:rsidP="007F7325">
            <w:pPr>
              <w:pStyle w:val="Tabletext"/>
              <w:rPr>
                <w:szCs w:val="22"/>
              </w:rPr>
            </w:pPr>
            <w:r w:rsidRPr="001337E1">
              <w:rPr>
                <w:szCs w:val="22"/>
              </w:rPr>
              <w:t>Benin</w:t>
            </w:r>
          </w:p>
        </w:tc>
        <w:tc>
          <w:tcPr>
            <w:tcW w:w="2409" w:type="dxa"/>
            <w:hideMark/>
          </w:tcPr>
          <w:p w14:paraId="0AE8A203" w14:textId="71EDD223" w:rsidR="00E52274" w:rsidRPr="001337E1" w:rsidRDefault="00E52274" w:rsidP="007F7325">
            <w:pPr>
              <w:pStyle w:val="Tabletext"/>
              <w:jc w:val="center"/>
              <w:rPr>
                <w:szCs w:val="22"/>
              </w:rPr>
            </w:pPr>
            <w:r w:rsidRPr="001337E1">
              <w:rPr>
                <w:szCs w:val="22"/>
              </w:rPr>
              <w:t>47</w:t>
            </w:r>
            <w:r w:rsidR="009E01F9">
              <w:rPr>
                <w:szCs w:val="22"/>
              </w:rPr>
              <w:t>.</w:t>
            </w:r>
            <w:r w:rsidRPr="001337E1">
              <w:rPr>
                <w:szCs w:val="22"/>
              </w:rPr>
              <w:t>12</w:t>
            </w:r>
          </w:p>
        </w:tc>
        <w:tc>
          <w:tcPr>
            <w:tcW w:w="1984" w:type="dxa"/>
            <w:hideMark/>
          </w:tcPr>
          <w:p w14:paraId="199C0763" w14:textId="77777777" w:rsidR="00E52274" w:rsidRPr="001337E1" w:rsidRDefault="00E52274" w:rsidP="007F7325">
            <w:pPr>
              <w:pStyle w:val="Tabletext"/>
              <w:jc w:val="center"/>
              <w:rPr>
                <w:szCs w:val="22"/>
              </w:rPr>
            </w:pPr>
            <w:r w:rsidRPr="001337E1">
              <w:rPr>
                <w:szCs w:val="22"/>
              </w:rPr>
              <w:t>SBIN</w:t>
            </w:r>
          </w:p>
        </w:tc>
        <w:tc>
          <w:tcPr>
            <w:tcW w:w="2552" w:type="dxa"/>
            <w:hideMark/>
          </w:tcPr>
          <w:p w14:paraId="11D42095" w14:textId="1AF9DB3D" w:rsidR="00E52274" w:rsidRPr="001337E1" w:rsidRDefault="00E52274" w:rsidP="007F7325">
            <w:pPr>
              <w:pStyle w:val="Tabletext"/>
              <w:jc w:val="center"/>
              <w:rPr>
                <w:szCs w:val="22"/>
              </w:rPr>
            </w:pPr>
            <w:r w:rsidRPr="001337E1">
              <w:rPr>
                <w:szCs w:val="22"/>
              </w:rPr>
              <w:t>31</w:t>
            </w:r>
            <w:r w:rsidR="009E01F9">
              <w:rPr>
                <w:szCs w:val="22"/>
              </w:rPr>
              <w:t>.</w:t>
            </w:r>
            <w:r w:rsidRPr="001337E1">
              <w:rPr>
                <w:szCs w:val="22"/>
              </w:rPr>
              <w:t>29</w:t>
            </w:r>
          </w:p>
        </w:tc>
      </w:tr>
      <w:tr w:rsidR="00E52274" w:rsidRPr="001337E1" w14:paraId="47FB704D" w14:textId="77777777" w:rsidTr="007F7325">
        <w:trPr>
          <w:trHeight w:val="20"/>
          <w:tblHeader/>
          <w:jc w:val="center"/>
        </w:trPr>
        <w:tc>
          <w:tcPr>
            <w:tcW w:w="1272" w:type="dxa"/>
            <w:hideMark/>
          </w:tcPr>
          <w:p w14:paraId="264E08E3" w14:textId="77777777" w:rsidR="00E52274" w:rsidRPr="001337E1" w:rsidRDefault="00E52274" w:rsidP="007F7325">
            <w:pPr>
              <w:pStyle w:val="Tabletext"/>
              <w:rPr>
                <w:szCs w:val="22"/>
              </w:rPr>
            </w:pPr>
            <w:r w:rsidRPr="001337E1">
              <w:rPr>
                <w:szCs w:val="22"/>
              </w:rPr>
              <w:t>Rwanda</w:t>
            </w:r>
          </w:p>
        </w:tc>
        <w:tc>
          <w:tcPr>
            <w:tcW w:w="2409" w:type="dxa"/>
            <w:hideMark/>
          </w:tcPr>
          <w:p w14:paraId="1AB7AAA8" w14:textId="57D1BED8" w:rsidR="00E52274" w:rsidRPr="001337E1" w:rsidRDefault="00E52274" w:rsidP="007F7325">
            <w:pPr>
              <w:pStyle w:val="Tabletext"/>
              <w:jc w:val="center"/>
              <w:rPr>
                <w:szCs w:val="22"/>
              </w:rPr>
            </w:pPr>
            <w:r w:rsidRPr="001337E1">
              <w:rPr>
                <w:szCs w:val="22"/>
              </w:rPr>
              <w:t>28</w:t>
            </w:r>
            <w:r w:rsidR="009E01F9">
              <w:rPr>
                <w:szCs w:val="22"/>
              </w:rPr>
              <w:t>.</w:t>
            </w:r>
            <w:r w:rsidRPr="001337E1">
              <w:rPr>
                <w:szCs w:val="22"/>
              </w:rPr>
              <w:t>78</w:t>
            </w:r>
          </w:p>
        </w:tc>
        <w:tc>
          <w:tcPr>
            <w:tcW w:w="1984" w:type="dxa"/>
            <w:hideMark/>
          </w:tcPr>
          <w:p w14:paraId="131ABFBB" w14:textId="77777777" w:rsidR="00E52274" w:rsidRPr="001337E1" w:rsidRDefault="00E52274" w:rsidP="007F7325">
            <w:pPr>
              <w:pStyle w:val="Tabletext"/>
              <w:jc w:val="center"/>
              <w:rPr>
                <w:szCs w:val="22"/>
              </w:rPr>
            </w:pPr>
            <w:r w:rsidRPr="001337E1">
              <w:rPr>
                <w:szCs w:val="22"/>
              </w:rPr>
              <w:t>GVA Rwanda's CanalBox</w:t>
            </w:r>
          </w:p>
        </w:tc>
        <w:tc>
          <w:tcPr>
            <w:tcW w:w="2552" w:type="dxa"/>
            <w:hideMark/>
          </w:tcPr>
          <w:p w14:paraId="043A3477" w14:textId="39AC4EF5" w:rsidR="00E52274" w:rsidRPr="001337E1" w:rsidRDefault="00E52274" w:rsidP="007F7325">
            <w:pPr>
              <w:pStyle w:val="Tabletext"/>
              <w:jc w:val="center"/>
              <w:rPr>
                <w:szCs w:val="22"/>
              </w:rPr>
            </w:pPr>
            <w:r w:rsidRPr="001337E1">
              <w:rPr>
                <w:szCs w:val="22"/>
              </w:rPr>
              <w:t>17</w:t>
            </w:r>
            <w:r w:rsidR="009E01F9">
              <w:rPr>
                <w:szCs w:val="22"/>
              </w:rPr>
              <w:t>.</w:t>
            </w:r>
            <w:r w:rsidRPr="001337E1">
              <w:rPr>
                <w:szCs w:val="22"/>
              </w:rPr>
              <w:t>99</w:t>
            </w:r>
          </w:p>
        </w:tc>
      </w:tr>
      <w:tr w:rsidR="00E52274" w:rsidRPr="001337E1" w14:paraId="10271015" w14:textId="77777777" w:rsidTr="007F7325">
        <w:trPr>
          <w:trHeight w:val="20"/>
          <w:tblHeader/>
          <w:jc w:val="center"/>
        </w:trPr>
        <w:tc>
          <w:tcPr>
            <w:tcW w:w="1272" w:type="dxa"/>
            <w:hideMark/>
          </w:tcPr>
          <w:p w14:paraId="14102739" w14:textId="77777777" w:rsidR="00E52274" w:rsidRPr="001337E1" w:rsidRDefault="00E52274" w:rsidP="007F7325">
            <w:pPr>
              <w:pStyle w:val="Tabletext"/>
              <w:rPr>
                <w:szCs w:val="22"/>
              </w:rPr>
            </w:pPr>
            <w:r w:rsidRPr="001337E1">
              <w:rPr>
                <w:szCs w:val="22"/>
              </w:rPr>
              <w:t>Madagascar</w:t>
            </w:r>
          </w:p>
        </w:tc>
        <w:tc>
          <w:tcPr>
            <w:tcW w:w="2409" w:type="dxa"/>
            <w:hideMark/>
          </w:tcPr>
          <w:p w14:paraId="4ABD62BD" w14:textId="4159BC65" w:rsidR="00E52274" w:rsidRPr="001337E1" w:rsidRDefault="00E52274" w:rsidP="007F7325">
            <w:pPr>
              <w:pStyle w:val="Tabletext"/>
              <w:jc w:val="center"/>
              <w:rPr>
                <w:szCs w:val="22"/>
              </w:rPr>
            </w:pPr>
            <w:r w:rsidRPr="001337E1">
              <w:rPr>
                <w:szCs w:val="22"/>
              </w:rPr>
              <w:t>28</w:t>
            </w:r>
            <w:r w:rsidR="009E01F9">
              <w:rPr>
                <w:szCs w:val="22"/>
              </w:rPr>
              <w:t>.</w:t>
            </w:r>
            <w:r w:rsidRPr="001337E1">
              <w:rPr>
                <w:szCs w:val="22"/>
              </w:rPr>
              <w:t>73</w:t>
            </w:r>
          </w:p>
        </w:tc>
        <w:tc>
          <w:tcPr>
            <w:tcW w:w="1984" w:type="dxa"/>
            <w:hideMark/>
          </w:tcPr>
          <w:p w14:paraId="5E81CCDE" w14:textId="77777777" w:rsidR="00E52274" w:rsidRPr="001337E1" w:rsidRDefault="00E52274" w:rsidP="007F7325">
            <w:pPr>
              <w:pStyle w:val="Tabletext"/>
              <w:jc w:val="center"/>
              <w:rPr>
                <w:szCs w:val="22"/>
              </w:rPr>
            </w:pPr>
            <w:r w:rsidRPr="001337E1">
              <w:rPr>
                <w:szCs w:val="22"/>
              </w:rPr>
              <w:t>Yas (formerly Telma)</w:t>
            </w:r>
          </w:p>
        </w:tc>
        <w:tc>
          <w:tcPr>
            <w:tcW w:w="2552" w:type="dxa"/>
            <w:hideMark/>
          </w:tcPr>
          <w:p w14:paraId="349D432E" w14:textId="05C45149" w:rsidR="00E52274" w:rsidRPr="001337E1" w:rsidRDefault="00E52274" w:rsidP="007F7325">
            <w:pPr>
              <w:pStyle w:val="Tabletext"/>
              <w:jc w:val="center"/>
              <w:rPr>
                <w:szCs w:val="22"/>
              </w:rPr>
            </w:pPr>
            <w:r w:rsidRPr="001337E1">
              <w:rPr>
                <w:szCs w:val="22"/>
              </w:rPr>
              <w:t>10</w:t>
            </w:r>
            <w:r w:rsidR="009E01F9">
              <w:rPr>
                <w:szCs w:val="22"/>
              </w:rPr>
              <w:t>.</w:t>
            </w:r>
            <w:r w:rsidRPr="001337E1">
              <w:rPr>
                <w:szCs w:val="22"/>
              </w:rPr>
              <w:t>39</w:t>
            </w:r>
          </w:p>
        </w:tc>
      </w:tr>
      <w:tr w:rsidR="00E52274" w:rsidRPr="001337E1" w14:paraId="530B605E" w14:textId="77777777" w:rsidTr="007F7325">
        <w:trPr>
          <w:trHeight w:val="20"/>
          <w:tblHeader/>
          <w:jc w:val="center"/>
        </w:trPr>
        <w:tc>
          <w:tcPr>
            <w:tcW w:w="1272" w:type="dxa"/>
            <w:hideMark/>
          </w:tcPr>
          <w:p w14:paraId="45A0BD56" w14:textId="77777777" w:rsidR="00E52274" w:rsidRPr="001337E1" w:rsidRDefault="00E52274" w:rsidP="007F7325">
            <w:pPr>
              <w:pStyle w:val="Tabletext"/>
              <w:rPr>
                <w:szCs w:val="22"/>
              </w:rPr>
            </w:pPr>
            <w:r w:rsidRPr="001337E1">
              <w:rPr>
                <w:szCs w:val="22"/>
              </w:rPr>
              <w:t>Cape Verde</w:t>
            </w:r>
          </w:p>
        </w:tc>
        <w:tc>
          <w:tcPr>
            <w:tcW w:w="2409" w:type="dxa"/>
            <w:hideMark/>
          </w:tcPr>
          <w:p w14:paraId="428C5F90" w14:textId="6F47B753" w:rsidR="00E52274" w:rsidRPr="001337E1" w:rsidRDefault="00E52274" w:rsidP="007F7325">
            <w:pPr>
              <w:pStyle w:val="Tabletext"/>
              <w:jc w:val="center"/>
              <w:rPr>
                <w:szCs w:val="22"/>
              </w:rPr>
            </w:pPr>
            <w:r w:rsidRPr="001337E1">
              <w:rPr>
                <w:szCs w:val="22"/>
              </w:rPr>
              <w:t>32</w:t>
            </w:r>
            <w:r w:rsidR="009E01F9">
              <w:rPr>
                <w:szCs w:val="22"/>
              </w:rPr>
              <w:t>.</w:t>
            </w:r>
            <w:r w:rsidRPr="001337E1">
              <w:rPr>
                <w:szCs w:val="22"/>
              </w:rPr>
              <w:t>7</w:t>
            </w:r>
          </w:p>
        </w:tc>
        <w:tc>
          <w:tcPr>
            <w:tcW w:w="1984" w:type="dxa"/>
            <w:hideMark/>
          </w:tcPr>
          <w:p w14:paraId="1E3AF08E" w14:textId="77777777" w:rsidR="00E52274" w:rsidRPr="001337E1" w:rsidRDefault="00E52274" w:rsidP="007F7325">
            <w:pPr>
              <w:pStyle w:val="Tabletext"/>
              <w:jc w:val="center"/>
              <w:rPr>
                <w:szCs w:val="22"/>
              </w:rPr>
            </w:pPr>
            <w:r w:rsidRPr="001337E1">
              <w:rPr>
                <w:szCs w:val="22"/>
              </w:rPr>
              <w:t>Alou (CVTelecom subsidiary, formerly CVMultimédia)</w:t>
            </w:r>
          </w:p>
        </w:tc>
        <w:tc>
          <w:tcPr>
            <w:tcW w:w="2552" w:type="dxa"/>
            <w:hideMark/>
          </w:tcPr>
          <w:p w14:paraId="562B37E0" w14:textId="5A451FCF" w:rsidR="00E52274" w:rsidRPr="001337E1" w:rsidRDefault="00E52274" w:rsidP="007F7325">
            <w:pPr>
              <w:pStyle w:val="Tabletext"/>
              <w:jc w:val="center"/>
              <w:rPr>
                <w:szCs w:val="22"/>
              </w:rPr>
            </w:pPr>
            <w:r w:rsidRPr="001337E1">
              <w:rPr>
                <w:szCs w:val="22"/>
              </w:rPr>
              <w:t>42</w:t>
            </w:r>
            <w:r w:rsidR="009E01F9">
              <w:rPr>
                <w:szCs w:val="22"/>
              </w:rPr>
              <w:t>.</w:t>
            </w:r>
            <w:r w:rsidRPr="001337E1">
              <w:rPr>
                <w:szCs w:val="22"/>
              </w:rPr>
              <w:t>04</w:t>
            </w:r>
          </w:p>
        </w:tc>
      </w:tr>
    </w:tbl>
    <w:p w14:paraId="767CE7BD" w14:textId="5EC7D335" w:rsidR="00E52274" w:rsidRPr="004F246B" w:rsidRDefault="00E52274" w:rsidP="00337AF3">
      <w:r w:rsidRPr="004F246B">
        <w:t>In 2025, the European Union has intensified efforts to establish sovereign and secure satellite communication infrastructure as an alternative to the growing dominance of non-European providers such as SpaceX</w:t>
      </w:r>
      <w:r w:rsidR="00337AF3">
        <w:t>'</w:t>
      </w:r>
      <w:r w:rsidRPr="004F246B">
        <w:t>s Starlink. At the core of the EU</w:t>
      </w:r>
      <w:r w:rsidR="003427ED">
        <w:t>'</w:t>
      </w:r>
      <w:r w:rsidRPr="004F246B">
        <w:t xml:space="preserve">s ambitions is the </w:t>
      </w:r>
      <w:r w:rsidRPr="004F246B">
        <w:rPr>
          <w:i/>
          <w:iCs/>
        </w:rPr>
        <w:t>infrastructure for resilience, interconnectivity and security by satellite</w:t>
      </w:r>
      <w:r w:rsidRPr="004F246B">
        <w:t xml:space="preserve"> (IRIS)</w:t>
      </w:r>
      <w:r w:rsidRPr="00337AF3">
        <w:rPr>
          <w:rStyle w:val="FootnoteReference"/>
        </w:rPr>
        <w:footnoteReference w:id="16"/>
      </w:r>
      <w:r w:rsidRPr="004F246B">
        <w:t>, a new multi-orbital satellite constellation funded by a public-private partnership. With a planned fleet of 264 low Earth orbit (LEO) satellites and 18</w:t>
      </w:r>
      <w:r w:rsidR="00337AF3">
        <w:t> </w:t>
      </w:r>
      <w:r w:rsidRPr="004F246B">
        <w:t>medium Earth orbit (MEO) satellites, IRIS is designed to serve both governmental and commercial needs, including secure communications, emergency response, and broadband access in underserved areas. The project is based on approximately €6.5 billion in public funding from the EU and the European Space Agency (ESA), and from private partners including Eutelsat, SES, and Hispasat. The first launches are expected in late 2025, with partial service potentially available by 2028 and full operations targeted for 2030. Complementing IRIS, the EU has approved a €3.1 billion merger between Luxembourg-based SES and US</w:t>
      </w:r>
      <w:r>
        <w:t>A</w:t>
      </w:r>
      <w:r w:rsidRPr="004F246B">
        <w:t>-based Intelsat. This consolidation is expected to enhance Europe</w:t>
      </w:r>
      <w:r w:rsidR="003427ED">
        <w:t>'</w:t>
      </w:r>
      <w:r w:rsidRPr="004F246B">
        <w:t xml:space="preserve">s geostationary and LEO communication capabilities, enabling faster deployment of services in critical areas. Finally, to address short-term needs until IRIS becomes operational, the EU is </w:t>
      </w:r>
      <w:r w:rsidRPr="004F246B">
        <w:lastRenderedPageBreak/>
        <w:t xml:space="preserve">coordinating the use of existing governmental satellite assets through the </w:t>
      </w:r>
      <w:r w:rsidRPr="004F246B">
        <w:rPr>
          <w:i/>
          <w:iCs/>
        </w:rPr>
        <w:t>Govsatcom</w:t>
      </w:r>
      <w:r w:rsidRPr="004F246B">
        <w:t xml:space="preserve"> initiative. Starting in 2025, EU Member States can pool available satellite capacity to support crisis response, military operations, and civil protection, thereby providing an early form of strategic autonomy.</w:t>
      </w:r>
    </w:p>
    <w:p w14:paraId="30D32596" w14:textId="0276196D" w:rsidR="00E52274" w:rsidRPr="004F246B" w:rsidRDefault="00337AF3" w:rsidP="00337AF3">
      <w:pPr>
        <w:pStyle w:val="Heading2"/>
      </w:pPr>
      <w:bookmarkStart w:id="36" w:name="_Toc210148081"/>
      <w:bookmarkStart w:id="37" w:name="_Toc239238920"/>
      <w:bookmarkStart w:id="38" w:name="_Toc239239745"/>
      <w:bookmarkStart w:id="39" w:name="_Toc239248537"/>
      <w:r>
        <w:t>3.3</w:t>
      </w:r>
      <w:r>
        <w:tab/>
      </w:r>
      <w:r w:rsidR="00E52274" w:rsidRPr="004F246B">
        <w:t>Internet exchange points (IXPs)</w:t>
      </w:r>
      <w:bookmarkEnd w:id="36"/>
      <w:bookmarkEnd w:id="37"/>
      <w:bookmarkEnd w:id="38"/>
      <w:bookmarkEnd w:id="39"/>
    </w:p>
    <w:p w14:paraId="2F55C2EF" w14:textId="6E137A80" w:rsidR="00E52274" w:rsidRPr="004F246B" w:rsidRDefault="00E52274" w:rsidP="00337AF3">
      <w:r w:rsidRPr="004F246B">
        <w:t xml:space="preserve">Costs associated with the establishment and operation of IXPs, including infrastructure setup, maintenance, and interconnection fees. IXPs are a critical component of the Internet </w:t>
      </w:r>
      <w:r>
        <w:t>n</w:t>
      </w:r>
      <w:r w:rsidRPr="004F246B">
        <w:t>etworks, both for domestic and international connectivity. IXPs are organisations allowing Internet service providers (ISPs) and other members of the Internet ecosystems to share the IXP infrastructure to route their upstream IP packets traffic in a cost-effective and technically efficient way. IXPs provide an example of active infrastructure sharing</w:t>
      </w:r>
      <w:r w:rsidRPr="004F246B">
        <w:rPr>
          <w:vertAlign w:val="superscript"/>
        </w:rPr>
        <w:footnoteReference w:id="17"/>
      </w:r>
      <w:r w:rsidRPr="004F246B">
        <w:t>.</w:t>
      </w:r>
    </w:p>
    <w:p w14:paraId="082423B1" w14:textId="70140DFF" w:rsidR="00E52274" w:rsidRPr="004F246B" w:rsidRDefault="00E52274" w:rsidP="00337AF3">
      <w:r w:rsidRPr="004F246B">
        <w:t xml:space="preserve">Traffic sharing through peering at IXPs is cost effective since, once an ISP is a member of an IXP, it will have no extra interconnection costs for exchanging traffic, neither to reach the peer, as </w:t>
      </w:r>
      <w:r>
        <w:t>the peers</w:t>
      </w:r>
      <w:r w:rsidRPr="004F246B">
        <w:t xml:space="preserve"> are already co-located at the IXPs, nor to pay for the costs of interconnection, as public peering is often free, being based on reciprocity. The key cost-saving feature of IXPs is that every member must deploy just one link, to the IXP, rather than several links equal to the number of premises of all other ISPs. Local traffic stays local instead of being rerouted, possibly over international routes, by upstream transit providers. Quality of service is particularly enhanced by virtue of the reduction of routing and hops and by keeping local traffic exchanges at the local IXP. Benefits like reduced transit costs, reduced investment costs, and improved QoS for consumers are all major success factors in reducing the costs of international </w:t>
      </w:r>
      <w:r w:rsidR="00A95AF8" w:rsidRPr="004F246B">
        <w:t xml:space="preserve">Internet </w:t>
      </w:r>
      <w:r w:rsidRPr="004F246B">
        <w:t>connectivity.</w:t>
      </w:r>
    </w:p>
    <w:p w14:paraId="7C8977C5" w14:textId="16652564" w:rsidR="00E52274" w:rsidRPr="004F246B" w:rsidRDefault="00E52274" w:rsidP="00E52274">
      <w:pPr>
        <w:rPr>
          <w:kern w:val="2"/>
          <w:sz w:val="22"/>
          <w:szCs w:val="22"/>
          <w14:ligatures w14:val="standardContextual"/>
        </w:rPr>
      </w:pPr>
      <w:r w:rsidRPr="001822D5">
        <w:t xml:space="preserve">In LLDCs Local traffic that can be accessed via peering with other local providers, at IXPs, is often the </w:t>
      </w:r>
      <w:r w:rsidR="003427ED" w:rsidRPr="001822D5">
        <w:t>'</w:t>
      </w:r>
      <w:r w:rsidRPr="001822D5">
        <w:t>cheapest</w:t>
      </w:r>
      <w:r w:rsidR="003427ED" w:rsidRPr="001822D5">
        <w:t>'</w:t>
      </w:r>
      <w:r w:rsidRPr="001822D5">
        <w:t xml:space="preserve"> type of traffic, while in some more developed markets, IP transit ports are cheaper than Internet exchange (IXP) ports, and peering yields other benefits. Even for IXPs costs there is a crucial efficiency component, since </w:t>
      </w:r>
      <w:r w:rsidRPr="00E52274">
        <w:rPr>
          <w:kern w:val="2"/>
          <w:sz w:val="22"/>
          <w:szCs w:val="22"/>
          <w14:ligatures w14:val="standardContextual"/>
        </w:rPr>
        <w:t>payment</w:t>
      </w:r>
      <w:r w:rsidRPr="001822D5">
        <w:t xml:space="preserve"> is usually a flat fee for a port of a given amount of Gbit/s, then the effective </w:t>
      </w:r>
      <w:r w:rsidR="0070360F" w:rsidRPr="001822D5">
        <w:t>"</w:t>
      </w:r>
      <w:r w:rsidRPr="001822D5">
        <w:t>cost per Mbit/s</w:t>
      </w:r>
      <w:r w:rsidR="00AF1FCB" w:rsidRPr="001822D5">
        <w:t>"</w:t>
      </w:r>
      <w:r w:rsidRPr="001822D5">
        <w:t xml:space="preserve"> is expensive if only a small amount is utilised. A key aspect is whether global content providers are present at IXPs, so that the value an </w:t>
      </w:r>
      <w:r w:rsidRPr="004F246B">
        <w:rPr>
          <w:i/>
          <w:iCs/>
          <w:sz w:val="22"/>
        </w:rPr>
        <w:t>eyeball network</w:t>
      </w:r>
      <w:r w:rsidRPr="00337AF3">
        <w:rPr>
          <w:rStyle w:val="FootnoteReference"/>
        </w:rPr>
        <w:footnoteReference w:id="18"/>
      </w:r>
      <w:r w:rsidRPr="001822D5">
        <w:t>, can get from the peering port is greater.</w:t>
      </w:r>
      <w:r w:rsidR="006106B4">
        <w:t xml:space="preserve"> </w:t>
      </w:r>
      <w:r w:rsidRPr="001822D5">
        <w:t xml:space="preserve">According to ISOC, by 2019 there were some Internet exchanges in Africa where over 80% of global </w:t>
      </w:r>
      <w:r w:rsidR="00A95AF8" w:rsidRPr="001822D5">
        <w:t xml:space="preserve">Internet </w:t>
      </w:r>
      <w:r w:rsidRPr="001822D5">
        <w:t xml:space="preserve">traffic could be sourced through </w:t>
      </w:r>
      <w:r w:rsidRPr="00E52274">
        <w:rPr>
          <w:kern w:val="2"/>
          <w:sz w:val="22"/>
          <w:szCs w:val="22"/>
          <w14:ligatures w14:val="standardContextual"/>
        </w:rPr>
        <w:t>peering</w:t>
      </w:r>
      <w:r w:rsidRPr="00337AF3">
        <w:rPr>
          <w:rStyle w:val="FootnoteReference"/>
        </w:rPr>
        <w:footnoteReference w:id="19"/>
      </w:r>
      <w:r w:rsidRPr="001822D5">
        <w:t>, however, this can be 10% or less in LLDCs where the local peering ecosystem is less developed.</w:t>
      </w:r>
      <w:r w:rsidR="006106B4">
        <w:t xml:space="preserve"> </w:t>
      </w:r>
      <w:r w:rsidRPr="001822D5">
        <w:t xml:space="preserve">The European </w:t>
      </w:r>
      <w:r w:rsidRPr="00E52274">
        <w:rPr>
          <w:kern w:val="2"/>
          <w:sz w:val="22"/>
          <w:szCs w:val="22"/>
          <w14:ligatures w14:val="standardContextual"/>
        </w:rPr>
        <w:t>Internet</w:t>
      </w:r>
      <w:r w:rsidRPr="001822D5">
        <w:t xml:space="preserve"> Exchanges Association publishes </w:t>
      </w:r>
      <w:hyperlink w:anchor="_8ycuj35lhmcu">
        <w:r w:rsidRPr="001822D5">
          <w:t>live data usage of 13 of the leading African IXPs</w:t>
        </w:r>
        <w:r w:rsidRPr="00337AF3">
          <w:rPr>
            <w:rStyle w:val="FootnoteReference"/>
          </w:rPr>
          <w:footnoteReference w:id="20"/>
        </w:r>
      </w:hyperlink>
      <w:r>
        <w:t>.</w:t>
      </w:r>
    </w:p>
    <w:p w14:paraId="40C4B049" w14:textId="6E6D9F4E" w:rsidR="00E52274" w:rsidRPr="004F246B" w:rsidRDefault="00E52274" w:rsidP="007F4AFD">
      <w:r w:rsidRPr="004F246B">
        <w:t xml:space="preserve">The distribution of IXPs across regions is uneven, as shown by data from the ITU Tariff Policies Survey, in 2021, on the availability of IXPs across regions in Table 2 below. This uneven distribution might be at the source of different connectivity costs, which underlie inequality in affordability across </w:t>
      </w:r>
      <w:r w:rsidRPr="004F246B">
        <w:lastRenderedPageBreak/>
        <w:t xml:space="preserve">regions. Clearly, a detailed country analysis will be useful in better understanding the role of IXPs in determining international </w:t>
      </w:r>
      <w:r w:rsidR="00A95AF8" w:rsidRPr="004F246B">
        <w:t xml:space="preserve">Internet </w:t>
      </w:r>
      <w:r w:rsidRPr="004F246B">
        <w:t>connectivity costs and, therefore, affordability.</w:t>
      </w:r>
    </w:p>
    <w:p w14:paraId="54ABB3C4" w14:textId="5EF67ABD" w:rsidR="00E52274" w:rsidRPr="004F246B" w:rsidRDefault="00E52274" w:rsidP="007F4AFD">
      <w:r w:rsidRPr="004F246B">
        <w:t xml:space="preserve">Another aspect of paramount importance for the functioning of IXP infrastructures is their governance. This can clearly affect the criteria and admissibility of alternative forms of peering, free or paid for, and those underlying the choice to refuse interconnection. Indeed, the interconnection cost might depend on whether IXPs are profit-driven or are cooperative membership-driven infrastructures aimed at maximising benefit for the membership. </w:t>
      </w:r>
      <w:r>
        <w:t>[b-</w:t>
      </w:r>
      <w:r w:rsidRPr="004F246B">
        <w:t>ITU 2021</w:t>
      </w:r>
      <w:r>
        <w:t>]</w:t>
      </w:r>
      <w:r w:rsidRPr="004F246B">
        <w:t xml:space="preserve"> captured the distribution of these governance types across different ITU regions. A further key feature of the governance of this infrastructure-sharing mechanism relates to the issue of whether paid peering is allowed at the IXP. This is important since, as soon as paid peering occurs, the paid transactions at the IXP are like interconnection fees and would then become a possible subject of regulatory relevance. This data on IXPs, shown in Table 2, should be considered together with other data collected by the ITU on the modalities of international Internet connectivity, shown in Table 3, and data on the international </w:t>
      </w:r>
      <w:r w:rsidR="00A95AF8" w:rsidRPr="004F246B">
        <w:t xml:space="preserve">Internet </w:t>
      </w:r>
      <w:r w:rsidRPr="004F246B">
        <w:t>connectivity regulatory policies, shown in Table 4, to study the impact of IXPs on the final costs of countries' costs of ICC, also collected by the ITU.</w:t>
      </w:r>
    </w:p>
    <w:p w14:paraId="5A1C3879" w14:textId="2CFCD70C" w:rsidR="00E52274" w:rsidRPr="004F246B" w:rsidRDefault="007F4AFD" w:rsidP="007F4AFD">
      <w:pPr>
        <w:pStyle w:val="Headingb"/>
      </w:pPr>
      <w:r>
        <w:t>•</w:t>
      </w:r>
      <w:r>
        <w:tab/>
      </w:r>
      <w:r w:rsidR="00E52274" w:rsidRPr="004F246B">
        <w:t>Key limitations for IXPs effectiveness</w:t>
      </w:r>
    </w:p>
    <w:p w14:paraId="07AF64BC" w14:textId="27BE11ED" w:rsidR="00E52274" w:rsidRPr="004F246B" w:rsidRDefault="00E52274" w:rsidP="007F4AFD">
      <w:r w:rsidRPr="004F246B">
        <w:t>IXP members peer based on mutual willingness, as there is no obligation. In essence, the participants place their router at the IXP and advertise the IP routes that they are willing to share with their peers. Since not all members of an IXP will have peering access to all other members</w:t>
      </w:r>
      <w:r w:rsidR="003427ED">
        <w:t>'</w:t>
      </w:r>
      <w:r w:rsidRPr="004F246B">
        <w:t xml:space="preserve"> routes, the effectiveness in reducing ISPs</w:t>
      </w:r>
      <w:r w:rsidR="003427ED">
        <w:t>'</w:t>
      </w:r>
      <w:r w:rsidRPr="004F246B">
        <w:t xml:space="preserve"> (national or international) </w:t>
      </w:r>
      <w:r w:rsidR="00A95AF8" w:rsidRPr="004F246B">
        <w:t xml:space="preserve">Internet </w:t>
      </w:r>
      <w:r w:rsidRPr="004F246B">
        <w:t>connectivity costs will vary depending on members</w:t>
      </w:r>
      <w:r w:rsidR="003427ED">
        <w:t>'</w:t>
      </w:r>
      <w:r w:rsidRPr="004F246B">
        <w:t xml:space="preserve"> mutual willingness to peer. Usually, the decisions about whether to peer or not to peer, which are represented in IXPs Peering Matrices, may depend on the nature of the two operators. These include private ISPs, national research and education networks (NRENs), Internet infrastructure operators, over-the-top (OTT) providers, application service providers (ASPs), online service providers (OSPs), content and application providers (CAPs), and possibly government networks. Moreover, the decisions about whether to peer or not to peer also depend on operators</w:t>
      </w:r>
      <w:r w:rsidR="003427ED">
        <w:t>'</w:t>
      </w:r>
      <w:r w:rsidRPr="004F246B">
        <w:t xml:space="preserve"> sizes, their asymmetry, and their role within the Internet interconnection network.</w:t>
      </w:r>
    </w:p>
    <w:p w14:paraId="6EB82D8D" w14:textId="4A9857EA" w:rsidR="00E52274" w:rsidRPr="004F246B" w:rsidRDefault="00E52274" w:rsidP="007F4AFD">
      <w:r w:rsidRPr="004F246B">
        <w:t xml:space="preserve">IXP can also provide private peering, which still reduces costs as it takes place at an already shared location. While IXPs provide shared infrastructures among different types of members, their relevance in reducing connectivity costs is bound by the amount of peering that is taking place within an IXP </w:t>
      </w:r>
      <w:r>
        <w:t>[b-</w:t>
      </w:r>
      <w:r w:rsidRPr="00057A68">
        <w:t>D</w:t>
      </w:r>
      <w:r w:rsidR="003427ED">
        <w:t>'</w:t>
      </w:r>
      <w:r>
        <w:t>I</w:t>
      </w:r>
      <w:r w:rsidRPr="00057A68">
        <w:t xml:space="preserve">gnazio </w:t>
      </w:r>
      <w:r>
        <w:t>2009] and</w:t>
      </w:r>
      <w:r w:rsidRPr="004F246B">
        <w:t xml:space="preserve"> </w:t>
      </w:r>
      <w:r>
        <w:t>[b-</w:t>
      </w:r>
      <w:r w:rsidRPr="00057A68">
        <w:t>D</w:t>
      </w:r>
      <w:r w:rsidR="003427ED">
        <w:t>'</w:t>
      </w:r>
      <w:r>
        <w:t>I</w:t>
      </w:r>
      <w:r w:rsidRPr="00057A68">
        <w:t xml:space="preserve">gnazio </w:t>
      </w:r>
      <w:r>
        <w:t>2014]</w:t>
      </w:r>
      <w:r w:rsidRPr="004F246B">
        <w:t>. The set of bilateral peering decisions between each member of an IXP can be visualised through their peering matrices. These provide a snapshot of how effective an IXP is in facilitating peering.</w:t>
      </w:r>
    </w:p>
    <w:p w14:paraId="2AB86F56" w14:textId="28E22A6F" w:rsidR="00E52274" w:rsidRDefault="00E52274" w:rsidP="007F4AFD">
      <w:r w:rsidRPr="004F246B">
        <w:t>These data can be collected when they are not publicly available through the different regional IXP associations. Typical data sources</w:t>
      </w:r>
      <w:r w:rsidR="006106B4">
        <w:t xml:space="preserve"> </w:t>
      </w:r>
      <w:r w:rsidRPr="004F246B">
        <w:t>for costs associated to</w:t>
      </w:r>
      <w:r w:rsidR="006106B4">
        <w:t xml:space="preserve"> </w:t>
      </w:r>
      <w:r w:rsidRPr="004F246B">
        <w:rPr>
          <w:b/>
          <w:bCs/>
        </w:rPr>
        <w:t xml:space="preserve">Internet exchange points </w:t>
      </w:r>
      <w:r w:rsidRPr="004F246B">
        <w:t>can be found</w:t>
      </w:r>
      <w:r w:rsidRPr="004F246B">
        <w:rPr>
          <w:b/>
          <w:bCs/>
        </w:rPr>
        <w:t xml:space="preserve"> </w:t>
      </w:r>
      <w:r w:rsidRPr="004F246B">
        <w:t>in</w:t>
      </w:r>
      <w:r w:rsidRPr="004F246B">
        <w:rPr>
          <w:b/>
          <w:bCs/>
        </w:rPr>
        <w:t xml:space="preserve"> </w:t>
      </w:r>
      <w:r w:rsidRPr="004F246B">
        <w:t>Databases and directories of IXPs (</w:t>
      </w:r>
      <w:hyperlink r:id="rId24" w:history="1">
        <w:r w:rsidRPr="00123A60">
          <w:rPr>
            <w:rStyle w:val="Hyperlink"/>
          </w:rPr>
          <w:t>PeeringDB</w:t>
        </w:r>
      </w:hyperlink>
      <w:r w:rsidRPr="004F246B">
        <w:t>),</w:t>
      </w:r>
      <w:r w:rsidR="006106B4">
        <w:t xml:space="preserve"> </w:t>
      </w:r>
      <w:r w:rsidRPr="004F246B">
        <w:t xml:space="preserve">reports from </w:t>
      </w:r>
      <w:r w:rsidR="00A95AF8" w:rsidRPr="004F246B">
        <w:t xml:space="preserve">Internet </w:t>
      </w:r>
      <w:r w:rsidRPr="004F246B">
        <w:t>exchange organizations (e.g</w:t>
      </w:r>
      <w:r w:rsidRPr="00123A60">
        <w:t>.</w:t>
      </w:r>
      <w:r w:rsidR="00773154" w:rsidRPr="00123A60">
        <w:t>,</w:t>
      </w:r>
      <w:r w:rsidR="007F4AFD" w:rsidRPr="00123A60">
        <w:t> </w:t>
      </w:r>
      <w:r w:rsidRPr="00123A60">
        <w:t xml:space="preserve">the </w:t>
      </w:r>
      <w:hyperlink r:id="rId25" w:history="1">
        <w:r w:rsidRPr="00123A60">
          <w:rPr>
            <w:rStyle w:val="Hyperlink"/>
          </w:rPr>
          <w:t>European Internet Exchange Association</w:t>
        </w:r>
      </w:hyperlink>
      <w:r w:rsidRPr="00123A60">
        <w:t xml:space="preserve"> (Euro-</w:t>
      </w:r>
      <w:r w:rsidRPr="004F246B">
        <w:t xml:space="preserve">IX) that gathers 70 IXPs from around the world, or the </w:t>
      </w:r>
      <w:hyperlink r:id="rId26" w:history="1">
        <w:r w:rsidRPr="00123A60">
          <w:rPr>
            <w:rStyle w:val="Hyperlink"/>
          </w:rPr>
          <w:t>Internet Exchange Point Report</w:t>
        </w:r>
      </w:hyperlink>
      <w:r w:rsidRPr="00123A60">
        <w:t xml:space="preserve"> by the Internet Society</w:t>
      </w:r>
      <w:r w:rsidRPr="004F246B">
        <w:t>. The ITU Data hub, also, contains precious data on IXPs and their governance, collected through ITU</w:t>
      </w:r>
      <w:r w:rsidR="003427ED">
        <w:t>'</w:t>
      </w:r>
      <w:r w:rsidRPr="004F246B">
        <w:t>s dedicated questionnaires, from the ITU Tariff Policies Survey</w:t>
      </w:r>
      <w:r w:rsidR="007F4AFD">
        <w:t>.</w:t>
      </w:r>
    </w:p>
    <w:p w14:paraId="6091514D" w14:textId="41E8D1A3" w:rsidR="007F4AFD" w:rsidRPr="004F246B" w:rsidRDefault="007F4AFD" w:rsidP="00CD7E3A">
      <w:pPr>
        <w:pStyle w:val="TableNoTitle"/>
      </w:pPr>
      <w:r w:rsidRPr="00870629">
        <w:lastRenderedPageBreak/>
        <w:t xml:space="preserve">Table </w:t>
      </w:r>
      <w:r w:rsidRPr="00870629">
        <w:rPr>
          <w:noProof/>
        </w:rPr>
        <w:t>2</w:t>
      </w:r>
      <w:r w:rsidRPr="00870629">
        <w:t xml:space="preserve"> </w:t>
      </w:r>
      <w:r w:rsidRPr="00870629">
        <w:sym w:font="Symbol" w:char="F02D"/>
      </w:r>
      <w:r w:rsidRPr="00870629">
        <w:t xml:space="preserve"> IXPs and their governance</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1556"/>
        <w:gridCol w:w="880"/>
        <w:gridCol w:w="915"/>
        <w:gridCol w:w="940"/>
        <w:gridCol w:w="660"/>
        <w:gridCol w:w="1001"/>
        <w:gridCol w:w="1208"/>
        <w:gridCol w:w="826"/>
      </w:tblGrid>
      <w:tr w:rsidR="007F4AFD" w:rsidRPr="007F4AFD" w14:paraId="61BF2525" w14:textId="77777777" w:rsidTr="007F4AFD">
        <w:trPr>
          <w:trHeight w:val="172"/>
          <w:jc w:val="center"/>
        </w:trPr>
        <w:tc>
          <w:tcPr>
            <w:tcW w:w="1653" w:type="dxa"/>
            <w:hideMark/>
          </w:tcPr>
          <w:p w14:paraId="556BD39C" w14:textId="77777777" w:rsidR="007F4AFD" w:rsidRPr="007F4AFD" w:rsidRDefault="007F4AFD" w:rsidP="00CD7E3A">
            <w:pPr>
              <w:pStyle w:val="Tablehead"/>
              <w:keepLines/>
            </w:pPr>
          </w:p>
        </w:tc>
        <w:tc>
          <w:tcPr>
            <w:tcW w:w="1556" w:type="dxa"/>
            <w:hideMark/>
          </w:tcPr>
          <w:p w14:paraId="24A1F5BE" w14:textId="77777777" w:rsidR="007F4AFD" w:rsidRPr="007F4AFD" w:rsidRDefault="007F4AFD" w:rsidP="00CD7E3A">
            <w:pPr>
              <w:pStyle w:val="Tablehead"/>
              <w:keepLines/>
            </w:pPr>
          </w:p>
        </w:tc>
        <w:tc>
          <w:tcPr>
            <w:tcW w:w="6430" w:type="dxa"/>
            <w:gridSpan w:val="7"/>
            <w:vAlign w:val="bottom"/>
            <w:hideMark/>
          </w:tcPr>
          <w:p w14:paraId="745D4D57" w14:textId="77777777" w:rsidR="007F4AFD" w:rsidRPr="007F4AFD" w:rsidRDefault="007F4AFD" w:rsidP="00CD7E3A">
            <w:pPr>
              <w:pStyle w:val="Tablehead"/>
              <w:keepLines/>
            </w:pPr>
            <w:r w:rsidRPr="007F4AFD">
              <w:t>Number of countries/economies</w:t>
            </w:r>
          </w:p>
        </w:tc>
      </w:tr>
      <w:tr w:rsidR="007F4AFD" w:rsidRPr="007F4AFD" w14:paraId="725EE63D" w14:textId="77777777" w:rsidTr="003243DD">
        <w:trPr>
          <w:trHeight w:val="170"/>
          <w:jc w:val="center"/>
        </w:trPr>
        <w:tc>
          <w:tcPr>
            <w:tcW w:w="1653" w:type="dxa"/>
            <w:vAlign w:val="center"/>
            <w:hideMark/>
          </w:tcPr>
          <w:p w14:paraId="7D00E9E9" w14:textId="77777777" w:rsidR="007F4AFD" w:rsidRPr="007F4AFD" w:rsidRDefault="007F4AFD" w:rsidP="00CD7E3A">
            <w:pPr>
              <w:pStyle w:val="Tablehead"/>
              <w:keepLines/>
            </w:pPr>
            <w:r w:rsidRPr="007F4AFD">
              <w:t>Indicator</w:t>
            </w:r>
          </w:p>
        </w:tc>
        <w:tc>
          <w:tcPr>
            <w:tcW w:w="1556" w:type="dxa"/>
            <w:vAlign w:val="center"/>
            <w:hideMark/>
          </w:tcPr>
          <w:p w14:paraId="271A8EF3" w14:textId="77777777" w:rsidR="007F4AFD" w:rsidRPr="007F4AFD" w:rsidRDefault="007F4AFD" w:rsidP="00CD7E3A">
            <w:pPr>
              <w:pStyle w:val="Tablehead"/>
              <w:keepLines/>
            </w:pPr>
            <w:r w:rsidRPr="007F4AFD">
              <w:t> </w:t>
            </w:r>
          </w:p>
        </w:tc>
        <w:tc>
          <w:tcPr>
            <w:tcW w:w="880" w:type="dxa"/>
            <w:vAlign w:val="center"/>
            <w:hideMark/>
          </w:tcPr>
          <w:p w14:paraId="40EACB22" w14:textId="77777777" w:rsidR="007F4AFD" w:rsidRPr="007F4AFD" w:rsidRDefault="007F4AFD" w:rsidP="00CD7E3A">
            <w:pPr>
              <w:pStyle w:val="Tablehead"/>
              <w:keepLines/>
            </w:pPr>
            <w:r w:rsidRPr="007F4AFD">
              <w:t>Africa</w:t>
            </w:r>
          </w:p>
        </w:tc>
        <w:tc>
          <w:tcPr>
            <w:tcW w:w="915" w:type="dxa"/>
            <w:vAlign w:val="center"/>
            <w:hideMark/>
          </w:tcPr>
          <w:p w14:paraId="0A7F9C70" w14:textId="77777777" w:rsidR="007F4AFD" w:rsidRPr="007F4AFD" w:rsidRDefault="007F4AFD" w:rsidP="00CD7E3A">
            <w:pPr>
              <w:pStyle w:val="Tablehead"/>
              <w:keepLines/>
            </w:pPr>
            <w:r w:rsidRPr="007F4AFD">
              <w:t>Arab States</w:t>
            </w:r>
          </w:p>
        </w:tc>
        <w:tc>
          <w:tcPr>
            <w:tcW w:w="940" w:type="dxa"/>
            <w:vAlign w:val="center"/>
            <w:hideMark/>
          </w:tcPr>
          <w:p w14:paraId="5CA13A4B" w14:textId="77777777" w:rsidR="007F4AFD" w:rsidRPr="007F4AFD" w:rsidRDefault="007F4AFD" w:rsidP="00CD7E3A">
            <w:pPr>
              <w:pStyle w:val="Tablehead"/>
              <w:keepLines/>
            </w:pPr>
            <w:r w:rsidRPr="007F4AFD">
              <w:t>Asia &amp; Pacific</w:t>
            </w:r>
          </w:p>
        </w:tc>
        <w:tc>
          <w:tcPr>
            <w:tcW w:w="660" w:type="dxa"/>
            <w:vAlign w:val="center"/>
            <w:hideMark/>
          </w:tcPr>
          <w:p w14:paraId="304645A2" w14:textId="77777777" w:rsidR="007F4AFD" w:rsidRPr="007F4AFD" w:rsidRDefault="007F4AFD" w:rsidP="00CD7E3A">
            <w:pPr>
              <w:pStyle w:val="Tablehead"/>
              <w:keepLines/>
            </w:pPr>
            <w:r w:rsidRPr="007F4AFD">
              <w:t>CIS</w:t>
            </w:r>
          </w:p>
        </w:tc>
        <w:tc>
          <w:tcPr>
            <w:tcW w:w="1001" w:type="dxa"/>
            <w:vAlign w:val="center"/>
            <w:hideMark/>
          </w:tcPr>
          <w:p w14:paraId="12EA3165" w14:textId="77777777" w:rsidR="007F4AFD" w:rsidRPr="007F4AFD" w:rsidRDefault="007F4AFD" w:rsidP="00CD7E3A">
            <w:pPr>
              <w:pStyle w:val="Tablehead"/>
              <w:keepLines/>
            </w:pPr>
            <w:r w:rsidRPr="007F4AFD">
              <w:t>Europe</w:t>
            </w:r>
          </w:p>
        </w:tc>
        <w:tc>
          <w:tcPr>
            <w:tcW w:w="1208" w:type="dxa"/>
            <w:vAlign w:val="center"/>
            <w:hideMark/>
          </w:tcPr>
          <w:p w14:paraId="3D75A57E" w14:textId="77777777" w:rsidR="007F4AFD" w:rsidRPr="007F4AFD" w:rsidRDefault="007F4AFD" w:rsidP="00CD7E3A">
            <w:pPr>
              <w:pStyle w:val="Tablehead"/>
              <w:keepLines/>
            </w:pPr>
            <w:r w:rsidRPr="007F4AFD">
              <w:t>The Americas</w:t>
            </w:r>
          </w:p>
        </w:tc>
        <w:tc>
          <w:tcPr>
            <w:tcW w:w="826" w:type="dxa"/>
            <w:shd w:val="clear" w:color="auto" w:fill="D3D3D3"/>
            <w:vAlign w:val="center"/>
            <w:hideMark/>
          </w:tcPr>
          <w:p w14:paraId="655A9648" w14:textId="77777777" w:rsidR="007F4AFD" w:rsidRPr="007F4AFD" w:rsidRDefault="007F4AFD" w:rsidP="00CD7E3A">
            <w:pPr>
              <w:pStyle w:val="Tablehead"/>
              <w:keepLines/>
            </w:pPr>
            <w:r w:rsidRPr="007F4AFD">
              <w:t>Total</w:t>
            </w:r>
          </w:p>
        </w:tc>
      </w:tr>
      <w:tr w:rsidR="007F4AFD" w:rsidRPr="004F246B" w14:paraId="1236A2E6" w14:textId="77777777" w:rsidTr="00CD7E3A">
        <w:trPr>
          <w:trHeight w:val="513"/>
          <w:jc w:val="center"/>
        </w:trPr>
        <w:tc>
          <w:tcPr>
            <w:tcW w:w="1653" w:type="dxa"/>
            <w:hideMark/>
          </w:tcPr>
          <w:p w14:paraId="3DB3B1EA" w14:textId="77777777" w:rsidR="007F4AFD" w:rsidRPr="004F246B" w:rsidRDefault="007F4AFD" w:rsidP="00CD7E3A">
            <w:pPr>
              <w:pStyle w:val="Tabletext"/>
              <w:keepNext/>
              <w:keepLines/>
              <w:rPr>
                <w:lang w:eastAsia="en-GB"/>
              </w:rPr>
            </w:pPr>
            <w:r w:rsidRPr="004F246B">
              <w:rPr>
                <w:lang w:eastAsia="en-GB"/>
              </w:rPr>
              <w:t>How many Internet Service Providers are connected to each IXP in your country?</w:t>
            </w:r>
          </w:p>
        </w:tc>
        <w:tc>
          <w:tcPr>
            <w:tcW w:w="1556" w:type="dxa"/>
            <w:vAlign w:val="center"/>
            <w:hideMark/>
          </w:tcPr>
          <w:p w14:paraId="31BD2C4F" w14:textId="6A0388E0" w:rsidR="007F4AFD" w:rsidRPr="004F246B" w:rsidRDefault="007F4AFD" w:rsidP="00CD7E3A">
            <w:pPr>
              <w:pStyle w:val="Tabletext"/>
              <w:keepNext/>
              <w:keepLines/>
              <w:jc w:val="center"/>
              <w:rPr>
                <w:lang w:eastAsia="en-GB"/>
              </w:rPr>
            </w:pPr>
          </w:p>
        </w:tc>
        <w:tc>
          <w:tcPr>
            <w:tcW w:w="880" w:type="dxa"/>
            <w:vAlign w:val="center"/>
            <w:hideMark/>
          </w:tcPr>
          <w:p w14:paraId="4159A56C" w14:textId="77777777" w:rsidR="007F4AFD" w:rsidRPr="004F246B" w:rsidRDefault="007F4AFD" w:rsidP="00CD7E3A">
            <w:pPr>
              <w:pStyle w:val="Tabletext"/>
              <w:keepNext/>
              <w:keepLines/>
              <w:jc w:val="center"/>
              <w:rPr>
                <w:lang w:eastAsia="en-GB"/>
              </w:rPr>
            </w:pPr>
            <w:r w:rsidRPr="004F246B">
              <w:rPr>
                <w:lang w:eastAsia="en-GB"/>
              </w:rPr>
              <w:t>21</w:t>
            </w:r>
          </w:p>
        </w:tc>
        <w:tc>
          <w:tcPr>
            <w:tcW w:w="915" w:type="dxa"/>
            <w:vAlign w:val="center"/>
            <w:hideMark/>
          </w:tcPr>
          <w:p w14:paraId="272BE818" w14:textId="77777777" w:rsidR="007F4AFD" w:rsidRPr="004F246B" w:rsidRDefault="007F4AFD" w:rsidP="00CD7E3A">
            <w:pPr>
              <w:pStyle w:val="Tabletext"/>
              <w:keepNext/>
              <w:keepLines/>
              <w:jc w:val="center"/>
              <w:rPr>
                <w:lang w:eastAsia="en-GB"/>
              </w:rPr>
            </w:pPr>
            <w:r w:rsidRPr="004F246B">
              <w:rPr>
                <w:lang w:eastAsia="en-GB"/>
              </w:rPr>
              <w:t>7</w:t>
            </w:r>
          </w:p>
        </w:tc>
        <w:tc>
          <w:tcPr>
            <w:tcW w:w="940" w:type="dxa"/>
            <w:vAlign w:val="center"/>
            <w:hideMark/>
          </w:tcPr>
          <w:p w14:paraId="5A739B9C" w14:textId="77777777" w:rsidR="007F4AFD" w:rsidRPr="004F246B" w:rsidRDefault="007F4AFD" w:rsidP="00CD7E3A">
            <w:pPr>
              <w:pStyle w:val="Tabletext"/>
              <w:keepNext/>
              <w:keepLines/>
              <w:jc w:val="center"/>
              <w:rPr>
                <w:lang w:eastAsia="en-GB"/>
              </w:rPr>
            </w:pPr>
            <w:r w:rsidRPr="004F246B">
              <w:rPr>
                <w:lang w:eastAsia="en-GB"/>
              </w:rPr>
              <w:t>9</w:t>
            </w:r>
          </w:p>
        </w:tc>
        <w:tc>
          <w:tcPr>
            <w:tcW w:w="660" w:type="dxa"/>
            <w:vAlign w:val="center"/>
            <w:hideMark/>
          </w:tcPr>
          <w:p w14:paraId="2025A709" w14:textId="77777777" w:rsidR="007F4AFD" w:rsidRPr="004F246B" w:rsidRDefault="007F4AFD" w:rsidP="00CD7E3A">
            <w:pPr>
              <w:pStyle w:val="Tabletext"/>
              <w:keepNext/>
              <w:keepLines/>
              <w:jc w:val="center"/>
              <w:rPr>
                <w:lang w:eastAsia="en-GB"/>
              </w:rPr>
            </w:pPr>
            <w:r w:rsidRPr="004F246B">
              <w:rPr>
                <w:lang w:eastAsia="en-GB"/>
              </w:rPr>
              <w:t>3</w:t>
            </w:r>
          </w:p>
        </w:tc>
        <w:tc>
          <w:tcPr>
            <w:tcW w:w="1001" w:type="dxa"/>
            <w:vAlign w:val="center"/>
            <w:hideMark/>
          </w:tcPr>
          <w:p w14:paraId="5F85C54E" w14:textId="77777777" w:rsidR="007F4AFD" w:rsidRPr="004F246B" w:rsidRDefault="007F4AFD" w:rsidP="00CD7E3A">
            <w:pPr>
              <w:pStyle w:val="Tabletext"/>
              <w:keepNext/>
              <w:keepLines/>
              <w:jc w:val="center"/>
              <w:rPr>
                <w:lang w:eastAsia="en-GB"/>
              </w:rPr>
            </w:pPr>
            <w:r w:rsidRPr="004F246B">
              <w:rPr>
                <w:lang w:eastAsia="en-GB"/>
              </w:rPr>
              <w:t>12</w:t>
            </w:r>
          </w:p>
        </w:tc>
        <w:tc>
          <w:tcPr>
            <w:tcW w:w="1208" w:type="dxa"/>
            <w:vAlign w:val="center"/>
            <w:hideMark/>
          </w:tcPr>
          <w:p w14:paraId="29EF34A7" w14:textId="77777777" w:rsidR="007F4AFD" w:rsidRPr="004F246B" w:rsidRDefault="007F4AFD" w:rsidP="00CD7E3A">
            <w:pPr>
              <w:pStyle w:val="Tabletext"/>
              <w:keepNext/>
              <w:keepLines/>
              <w:jc w:val="center"/>
              <w:rPr>
                <w:lang w:eastAsia="en-GB"/>
              </w:rPr>
            </w:pPr>
            <w:r w:rsidRPr="004F246B">
              <w:rPr>
                <w:lang w:eastAsia="en-GB"/>
              </w:rPr>
              <w:t>16</w:t>
            </w:r>
          </w:p>
        </w:tc>
        <w:tc>
          <w:tcPr>
            <w:tcW w:w="826" w:type="dxa"/>
            <w:shd w:val="clear" w:color="auto" w:fill="D3D3D3"/>
            <w:vAlign w:val="center"/>
            <w:hideMark/>
          </w:tcPr>
          <w:p w14:paraId="58C3B30C" w14:textId="77777777" w:rsidR="007F4AFD" w:rsidRPr="004F246B" w:rsidRDefault="007F4AFD" w:rsidP="00CD7E3A">
            <w:pPr>
              <w:pStyle w:val="Tabletext"/>
              <w:keepNext/>
              <w:keepLines/>
              <w:jc w:val="center"/>
              <w:rPr>
                <w:b/>
                <w:bCs/>
                <w:lang w:eastAsia="en-GB"/>
              </w:rPr>
            </w:pPr>
            <w:r w:rsidRPr="004F246B">
              <w:rPr>
                <w:b/>
                <w:bCs/>
                <w:lang w:eastAsia="en-GB"/>
              </w:rPr>
              <w:t>68</w:t>
            </w:r>
          </w:p>
        </w:tc>
      </w:tr>
      <w:tr w:rsidR="007F4AFD" w:rsidRPr="004F246B" w14:paraId="3483E3FF" w14:textId="77777777" w:rsidTr="007F4AFD">
        <w:trPr>
          <w:trHeight w:val="172"/>
          <w:jc w:val="center"/>
        </w:trPr>
        <w:tc>
          <w:tcPr>
            <w:tcW w:w="1653" w:type="dxa"/>
            <w:vMerge w:val="restart"/>
            <w:hideMark/>
          </w:tcPr>
          <w:p w14:paraId="551405DB" w14:textId="77777777" w:rsidR="007F4AFD" w:rsidRPr="004F246B" w:rsidRDefault="007F4AFD" w:rsidP="007F4AFD">
            <w:pPr>
              <w:pStyle w:val="Tabletext"/>
              <w:rPr>
                <w:lang w:eastAsia="en-GB"/>
              </w:rPr>
            </w:pPr>
            <w:r w:rsidRPr="004F246B">
              <w:rPr>
                <w:lang w:eastAsia="en-GB"/>
              </w:rPr>
              <w:t>Are IXPs in your country for profit or not for profit? *</w:t>
            </w:r>
          </w:p>
        </w:tc>
        <w:tc>
          <w:tcPr>
            <w:tcW w:w="1556" w:type="dxa"/>
            <w:hideMark/>
          </w:tcPr>
          <w:p w14:paraId="7C317427" w14:textId="77777777" w:rsidR="007F4AFD" w:rsidRPr="004F246B" w:rsidRDefault="007F4AFD" w:rsidP="007F4AFD">
            <w:pPr>
              <w:pStyle w:val="Tabletext"/>
              <w:jc w:val="center"/>
              <w:rPr>
                <w:lang w:eastAsia="en-GB"/>
              </w:rPr>
            </w:pPr>
            <w:r w:rsidRPr="004F246B">
              <w:rPr>
                <w:lang w:eastAsia="en-GB"/>
              </w:rPr>
              <w:t>Profit</w:t>
            </w:r>
          </w:p>
        </w:tc>
        <w:tc>
          <w:tcPr>
            <w:tcW w:w="880" w:type="dxa"/>
            <w:hideMark/>
          </w:tcPr>
          <w:p w14:paraId="1041F4F5" w14:textId="77777777" w:rsidR="007F4AFD" w:rsidRPr="004F246B" w:rsidRDefault="007F4AFD" w:rsidP="007F4AFD">
            <w:pPr>
              <w:pStyle w:val="Tabletext"/>
              <w:jc w:val="center"/>
              <w:rPr>
                <w:lang w:eastAsia="en-GB"/>
              </w:rPr>
            </w:pPr>
            <w:r w:rsidRPr="004F246B">
              <w:rPr>
                <w:lang w:eastAsia="en-GB"/>
              </w:rPr>
              <w:t>5</w:t>
            </w:r>
          </w:p>
        </w:tc>
        <w:tc>
          <w:tcPr>
            <w:tcW w:w="915" w:type="dxa"/>
            <w:hideMark/>
          </w:tcPr>
          <w:p w14:paraId="4D5F06FD" w14:textId="77777777" w:rsidR="007F4AFD" w:rsidRPr="004F246B" w:rsidRDefault="007F4AFD" w:rsidP="007F4AFD">
            <w:pPr>
              <w:pStyle w:val="Tabletext"/>
              <w:jc w:val="center"/>
              <w:rPr>
                <w:lang w:eastAsia="en-GB"/>
              </w:rPr>
            </w:pPr>
            <w:r w:rsidRPr="004F246B">
              <w:rPr>
                <w:lang w:eastAsia="en-GB"/>
              </w:rPr>
              <w:t>2</w:t>
            </w:r>
          </w:p>
        </w:tc>
        <w:tc>
          <w:tcPr>
            <w:tcW w:w="940" w:type="dxa"/>
            <w:hideMark/>
          </w:tcPr>
          <w:p w14:paraId="519BE34A" w14:textId="77777777" w:rsidR="007F4AFD" w:rsidRPr="004F246B" w:rsidRDefault="007F4AFD" w:rsidP="007F4AFD">
            <w:pPr>
              <w:pStyle w:val="Tabletext"/>
              <w:jc w:val="center"/>
              <w:rPr>
                <w:lang w:eastAsia="en-GB"/>
              </w:rPr>
            </w:pPr>
            <w:r w:rsidRPr="004F246B">
              <w:rPr>
                <w:lang w:eastAsia="en-GB"/>
              </w:rPr>
              <w:t>7</w:t>
            </w:r>
          </w:p>
        </w:tc>
        <w:tc>
          <w:tcPr>
            <w:tcW w:w="660" w:type="dxa"/>
            <w:hideMark/>
          </w:tcPr>
          <w:p w14:paraId="646B5D61" w14:textId="77777777" w:rsidR="007F4AFD" w:rsidRPr="004F246B" w:rsidRDefault="007F4AFD" w:rsidP="007F4AFD">
            <w:pPr>
              <w:pStyle w:val="Tabletext"/>
              <w:jc w:val="center"/>
              <w:rPr>
                <w:lang w:eastAsia="en-GB"/>
              </w:rPr>
            </w:pPr>
            <w:r w:rsidRPr="004F246B">
              <w:rPr>
                <w:lang w:eastAsia="en-GB"/>
              </w:rPr>
              <w:t>4</w:t>
            </w:r>
          </w:p>
        </w:tc>
        <w:tc>
          <w:tcPr>
            <w:tcW w:w="1001" w:type="dxa"/>
            <w:hideMark/>
          </w:tcPr>
          <w:p w14:paraId="05EA47BB" w14:textId="77777777" w:rsidR="007F4AFD" w:rsidRPr="004F246B" w:rsidRDefault="007F4AFD" w:rsidP="007F4AFD">
            <w:pPr>
              <w:pStyle w:val="Tabletext"/>
              <w:jc w:val="center"/>
              <w:rPr>
                <w:lang w:eastAsia="en-GB"/>
              </w:rPr>
            </w:pPr>
            <w:r w:rsidRPr="004F246B">
              <w:rPr>
                <w:lang w:eastAsia="en-GB"/>
              </w:rPr>
              <w:t>16</w:t>
            </w:r>
          </w:p>
        </w:tc>
        <w:tc>
          <w:tcPr>
            <w:tcW w:w="1208" w:type="dxa"/>
            <w:hideMark/>
          </w:tcPr>
          <w:p w14:paraId="07CE7D38" w14:textId="77777777" w:rsidR="007F4AFD" w:rsidRPr="004F246B" w:rsidRDefault="007F4AFD" w:rsidP="007F4AFD">
            <w:pPr>
              <w:pStyle w:val="Tabletext"/>
              <w:jc w:val="center"/>
              <w:rPr>
                <w:lang w:eastAsia="en-GB"/>
              </w:rPr>
            </w:pPr>
            <w:r w:rsidRPr="004F246B">
              <w:rPr>
                <w:lang w:eastAsia="en-GB"/>
              </w:rPr>
              <w:t>5</w:t>
            </w:r>
          </w:p>
        </w:tc>
        <w:tc>
          <w:tcPr>
            <w:tcW w:w="826" w:type="dxa"/>
            <w:shd w:val="clear" w:color="auto" w:fill="D3D3D3"/>
            <w:hideMark/>
          </w:tcPr>
          <w:p w14:paraId="17A68E3C" w14:textId="77777777" w:rsidR="007F4AFD" w:rsidRPr="004F246B" w:rsidRDefault="007F4AFD" w:rsidP="007F4AFD">
            <w:pPr>
              <w:pStyle w:val="Tabletext"/>
              <w:jc w:val="center"/>
              <w:rPr>
                <w:b/>
                <w:bCs/>
                <w:lang w:eastAsia="en-GB"/>
              </w:rPr>
            </w:pPr>
            <w:r w:rsidRPr="004F246B">
              <w:rPr>
                <w:b/>
                <w:bCs/>
                <w:lang w:eastAsia="en-GB"/>
              </w:rPr>
              <w:t>39</w:t>
            </w:r>
          </w:p>
        </w:tc>
      </w:tr>
      <w:tr w:rsidR="007F4AFD" w:rsidRPr="004F246B" w14:paraId="3EE44DAA" w14:textId="77777777" w:rsidTr="007F4AFD">
        <w:trPr>
          <w:trHeight w:val="172"/>
          <w:jc w:val="center"/>
        </w:trPr>
        <w:tc>
          <w:tcPr>
            <w:tcW w:w="0" w:type="auto"/>
            <w:vMerge/>
            <w:vAlign w:val="center"/>
            <w:hideMark/>
          </w:tcPr>
          <w:p w14:paraId="42CE8F32" w14:textId="77777777" w:rsidR="007F4AFD" w:rsidRPr="004F246B" w:rsidRDefault="007F4AFD" w:rsidP="007F4AFD">
            <w:pPr>
              <w:pStyle w:val="Tabletext"/>
              <w:rPr>
                <w:lang w:eastAsia="en-GB"/>
              </w:rPr>
            </w:pPr>
          </w:p>
        </w:tc>
        <w:tc>
          <w:tcPr>
            <w:tcW w:w="1556" w:type="dxa"/>
            <w:hideMark/>
          </w:tcPr>
          <w:p w14:paraId="095837AD" w14:textId="77777777" w:rsidR="007F4AFD" w:rsidRPr="004F246B" w:rsidRDefault="007F4AFD" w:rsidP="007F4AFD">
            <w:pPr>
              <w:pStyle w:val="Tabletext"/>
              <w:jc w:val="center"/>
              <w:rPr>
                <w:lang w:eastAsia="en-GB"/>
              </w:rPr>
            </w:pPr>
            <w:r w:rsidRPr="004F246B">
              <w:rPr>
                <w:lang w:eastAsia="en-GB"/>
              </w:rPr>
              <w:t>Not profit</w:t>
            </w:r>
          </w:p>
        </w:tc>
        <w:tc>
          <w:tcPr>
            <w:tcW w:w="880" w:type="dxa"/>
            <w:hideMark/>
          </w:tcPr>
          <w:p w14:paraId="185C9867" w14:textId="77777777" w:rsidR="007F4AFD" w:rsidRPr="004F246B" w:rsidRDefault="007F4AFD" w:rsidP="007F4AFD">
            <w:pPr>
              <w:pStyle w:val="Tabletext"/>
              <w:jc w:val="center"/>
              <w:rPr>
                <w:lang w:eastAsia="en-GB"/>
              </w:rPr>
            </w:pPr>
            <w:r w:rsidRPr="004F246B">
              <w:rPr>
                <w:lang w:eastAsia="en-GB"/>
              </w:rPr>
              <w:t>18</w:t>
            </w:r>
          </w:p>
        </w:tc>
        <w:tc>
          <w:tcPr>
            <w:tcW w:w="915" w:type="dxa"/>
            <w:hideMark/>
          </w:tcPr>
          <w:p w14:paraId="334F75DE" w14:textId="77777777" w:rsidR="007F4AFD" w:rsidRPr="004F246B" w:rsidRDefault="007F4AFD" w:rsidP="007F4AFD">
            <w:pPr>
              <w:pStyle w:val="Tabletext"/>
              <w:jc w:val="center"/>
              <w:rPr>
                <w:lang w:eastAsia="en-GB"/>
              </w:rPr>
            </w:pPr>
            <w:r w:rsidRPr="004F246B">
              <w:rPr>
                <w:lang w:eastAsia="en-GB"/>
              </w:rPr>
              <w:t>9</w:t>
            </w:r>
          </w:p>
        </w:tc>
        <w:tc>
          <w:tcPr>
            <w:tcW w:w="940" w:type="dxa"/>
            <w:hideMark/>
          </w:tcPr>
          <w:p w14:paraId="0A69A64F" w14:textId="77777777" w:rsidR="007F4AFD" w:rsidRPr="004F246B" w:rsidRDefault="007F4AFD" w:rsidP="007F4AFD">
            <w:pPr>
              <w:pStyle w:val="Tabletext"/>
              <w:jc w:val="center"/>
              <w:rPr>
                <w:lang w:eastAsia="en-GB"/>
              </w:rPr>
            </w:pPr>
            <w:r w:rsidRPr="004F246B">
              <w:rPr>
                <w:lang w:eastAsia="en-GB"/>
              </w:rPr>
              <w:t>12</w:t>
            </w:r>
          </w:p>
        </w:tc>
        <w:tc>
          <w:tcPr>
            <w:tcW w:w="660" w:type="dxa"/>
            <w:hideMark/>
          </w:tcPr>
          <w:p w14:paraId="121DE451" w14:textId="77777777" w:rsidR="007F4AFD" w:rsidRPr="004F246B" w:rsidRDefault="007F4AFD" w:rsidP="007F4AFD">
            <w:pPr>
              <w:pStyle w:val="Tabletext"/>
              <w:jc w:val="center"/>
              <w:rPr>
                <w:lang w:eastAsia="en-GB"/>
              </w:rPr>
            </w:pPr>
            <w:r w:rsidRPr="004F246B">
              <w:rPr>
                <w:lang w:eastAsia="en-GB"/>
              </w:rPr>
              <w:t>2</w:t>
            </w:r>
          </w:p>
        </w:tc>
        <w:tc>
          <w:tcPr>
            <w:tcW w:w="1001" w:type="dxa"/>
            <w:hideMark/>
          </w:tcPr>
          <w:p w14:paraId="1FCCB312" w14:textId="77777777" w:rsidR="007F4AFD" w:rsidRPr="004F246B" w:rsidRDefault="007F4AFD" w:rsidP="007F4AFD">
            <w:pPr>
              <w:pStyle w:val="Tabletext"/>
              <w:jc w:val="center"/>
              <w:rPr>
                <w:lang w:eastAsia="en-GB"/>
              </w:rPr>
            </w:pPr>
            <w:r w:rsidRPr="004F246B">
              <w:rPr>
                <w:lang w:eastAsia="en-GB"/>
              </w:rPr>
              <w:t>16</w:t>
            </w:r>
          </w:p>
        </w:tc>
        <w:tc>
          <w:tcPr>
            <w:tcW w:w="1208" w:type="dxa"/>
            <w:hideMark/>
          </w:tcPr>
          <w:p w14:paraId="0AFE837F" w14:textId="77777777" w:rsidR="007F4AFD" w:rsidRPr="004F246B" w:rsidRDefault="007F4AFD" w:rsidP="007F4AFD">
            <w:pPr>
              <w:pStyle w:val="Tabletext"/>
              <w:jc w:val="center"/>
              <w:rPr>
                <w:lang w:eastAsia="en-GB"/>
              </w:rPr>
            </w:pPr>
            <w:r w:rsidRPr="004F246B">
              <w:rPr>
                <w:lang w:eastAsia="en-GB"/>
              </w:rPr>
              <w:t>15</w:t>
            </w:r>
          </w:p>
        </w:tc>
        <w:tc>
          <w:tcPr>
            <w:tcW w:w="826" w:type="dxa"/>
            <w:shd w:val="clear" w:color="auto" w:fill="D3D3D3"/>
            <w:hideMark/>
          </w:tcPr>
          <w:p w14:paraId="61075D53" w14:textId="77777777" w:rsidR="007F4AFD" w:rsidRPr="004F246B" w:rsidRDefault="007F4AFD" w:rsidP="007F4AFD">
            <w:pPr>
              <w:pStyle w:val="Tabletext"/>
              <w:jc w:val="center"/>
              <w:rPr>
                <w:b/>
                <w:bCs/>
                <w:lang w:eastAsia="en-GB"/>
              </w:rPr>
            </w:pPr>
            <w:r w:rsidRPr="004F246B">
              <w:rPr>
                <w:b/>
                <w:bCs/>
                <w:lang w:eastAsia="en-GB"/>
              </w:rPr>
              <w:t>72</w:t>
            </w:r>
          </w:p>
        </w:tc>
      </w:tr>
      <w:tr w:rsidR="007F4AFD" w:rsidRPr="004F246B" w14:paraId="6278D669" w14:textId="77777777" w:rsidTr="007F4AFD">
        <w:trPr>
          <w:trHeight w:val="172"/>
          <w:jc w:val="center"/>
        </w:trPr>
        <w:tc>
          <w:tcPr>
            <w:tcW w:w="0" w:type="auto"/>
            <w:vMerge/>
            <w:vAlign w:val="center"/>
            <w:hideMark/>
          </w:tcPr>
          <w:p w14:paraId="578439A4" w14:textId="77777777" w:rsidR="007F4AFD" w:rsidRPr="004F246B" w:rsidRDefault="007F4AFD" w:rsidP="007F4AFD">
            <w:pPr>
              <w:pStyle w:val="Tabletext"/>
              <w:rPr>
                <w:lang w:eastAsia="en-GB"/>
              </w:rPr>
            </w:pPr>
          </w:p>
        </w:tc>
        <w:tc>
          <w:tcPr>
            <w:tcW w:w="1556" w:type="dxa"/>
            <w:hideMark/>
          </w:tcPr>
          <w:p w14:paraId="06A41BFA" w14:textId="77777777" w:rsidR="007F4AFD" w:rsidRPr="004F246B" w:rsidRDefault="007F4AFD" w:rsidP="007F4AFD">
            <w:pPr>
              <w:pStyle w:val="Tabletext"/>
              <w:jc w:val="center"/>
              <w:rPr>
                <w:lang w:eastAsia="en-GB"/>
              </w:rPr>
            </w:pPr>
            <w:r w:rsidRPr="004F246B">
              <w:rPr>
                <w:lang w:eastAsia="en-GB"/>
              </w:rPr>
              <w:t>Other</w:t>
            </w:r>
          </w:p>
        </w:tc>
        <w:tc>
          <w:tcPr>
            <w:tcW w:w="880" w:type="dxa"/>
            <w:hideMark/>
          </w:tcPr>
          <w:p w14:paraId="60D1FFAA" w14:textId="77777777" w:rsidR="007F4AFD" w:rsidRPr="004F246B" w:rsidRDefault="007F4AFD" w:rsidP="007F4AFD">
            <w:pPr>
              <w:pStyle w:val="Tabletext"/>
              <w:jc w:val="center"/>
              <w:rPr>
                <w:lang w:eastAsia="en-GB"/>
              </w:rPr>
            </w:pPr>
            <w:r w:rsidRPr="004F246B">
              <w:rPr>
                <w:lang w:eastAsia="en-GB"/>
              </w:rPr>
              <w:t>2</w:t>
            </w:r>
          </w:p>
        </w:tc>
        <w:tc>
          <w:tcPr>
            <w:tcW w:w="915" w:type="dxa"/>
            <w:hideMark/>
          </w:tcPr>
          <w:p w14:paraId="7349FF49" w14:textId="77777777" w:rsidR="007F4AFD" w:rsidRPr="004F246B" w:rsidRDefault="007F4AFD" w:rsidP="007F4AFD">
            <w:pPr>
              <w:pStyle w:val="Tabletext"/>
              <w:jc w:val="center"/>
              <w:rPr>
                <w:lang w:eastAsia="en-GB"/>
              </w:rPr>
            </w:pPr>
            <w:r w:rsidRPr="004F246B">
              <w:rPr>
                <w:lang w:eastAsia="en-GB"/>
              </w:rPr>
              <w:t>0</w:t>
            </w:r>
          </w:p>
        </w:tc>
        <w:tc>
          <w:tcPr>
            <w:tcW w:w="940" w:type="dxa"/>
            <w:hideMark/>
          </w:tcPr>
          <w:p w14:paraId="78D38E40" w14:textId="77777777" w:rsidR="007F4AFD" w:rsidRPr="004F246B" w:rsidRDefault="007F4AFD" w:rsidP="007F4AFD">
            <w:pPr>
              <w:pStyle w:val="Tabletext"/>
              <w:jc w:val="center"/>
              <w:rPr>
                <w:lang w:eastAsia="en-GB"/>
              </w:rPr>
            </w:pPr>
            <w:r w:rsidRPr="004F246B">
              <w:rPr>
                <w:lang w:eastAsia="en-GB"/>
              </w:rPr>
              <w:t>1</w:t>
            </w:r>
          </w:p>
        </w:tc>
        <w:tc>
          <w:tcPr>
            <w:tcW w:w="660" w:type="dxa"/>
            <w:hideMark/>
          </w:tcPr>
          <w:p w14:paraId="67051B78" w14:textId="77777777" w:rsidR="007F4AFD" w:rsidRPr="004F246B" w:rsidRDefault="007F4AFD" w:rsidP="007F4AFD">
            <w:pPr>
              <w:pStyle w:val="Tabletext"/>
              <w:jc w:val="center"/>
              <w:rPr>
                <w:lang w:eastAsia="en-GB"/>
              </w:rPr>
            </w:pPr>
            <w:r w:rsidRPr="004F246B">
              <w:rPr>
                <w:lang w:eastAsia="en-GB"/>
              </w:rPr>
              <w:t>0</w:t>
            </w:r>
          </w:p>
        </w:tc>
        <w:tc>
          <w:tcPr>
            <w:tcW w:w="1001" w:type="dxa"/>
            <w:hideMark/>
          </w:tcPr>
          <w:p w14:paraId="49FBABED" w14:textId="77777777" w:rsidR="007F4AFD" w:rsidRPr="004F246B" w:rsidRDefault="007F4AFD" w:rsidP="007F4AFD">
            <w:pPr>
              <w:pStyle w:val="Tabletext"/>
              <w:jc w:val="center"/>
              <w:rPr>
                <w:lang w:eastAsia="en-GB"/>
              </w:rPr>
            </w:pPr>
            <w:r w:rsidRPr="004F246B">
              <w:rPr>
                <w:lang w:eastAsia="en-GB"/>
              </w:rPr>
              <w:t>3</w:t>
            </w:r>
          </w:p>
        </w:tc>
        <w:tc>
          <w:tcPr>
            <w:tcW w:w="1208" w:type="dxa"/>
            <w:hideMark/>
          </w:tcPr>
          <w:p w14:paraId="56FF7B10" w14:textId="77777777" w:rsidR="007F4AFD" w:rsidRPr="004F246B" w:rsidRDefault="007F4AFD" w:rsidP="007F4AFD">
            <w:pPr>
              <w:pStyle w:val="Tabletext"/>
              <w:jc w:val="center"/>
              <w:rPr>
                <w:lang w:eastAsia="en-GB"/>
              </w:rPr>
            </w:pPr>
            <w:r w:rsidRPr="004F246B">
              <w:rPr>
                <w:lang w:eastAsia="en-GB"/>
              </w:rPr>
              <w:t>0</w:t>
            </w:r>
          </w:p>
        </w:tc>
        <w:tc>
          <w:tcPr>
            <w:tcW w:w="826" w:type="dxa"/>
            <w:shd w:val="clear" w:color="auto" w:fill="D3D3D3"/>
            <w:hideMark/>
          </w:tcPr>
          <w:p w14:paraId="2220F818" w14:textId="77777777" w:rsidR="007F4AFD" w:rsidRPr="004F246B" w:rsidRDefault="007F4AFD" w:rsidP="007F4AFD">
            <w:pPr>
              <w:pStyle w:val="Tabletext"/>
              <w:jc w:val="center"/>
              <w:rPr>
                <w:b/>
                <w:bCs/>
                <w:lang w:eastAsia="en-GB"/>
              </w:rPr>
            </w:pPr>
            <w:r w:rsidRPr="004F246B">
              <w:rPr>
                <w:b/>
                <w:bCs/>
                <w:lang w:eastAsia="en-GB"/>
              </w:rPr>
              <w:t>6</w:t>
            </w:r>
          </w:p>
        </w:tc>
      </w:tr>
      <w:tr w:rsidR="007F4AFD" w:rsidRPr="004F246B" w14:paraId="2DDABC5C" w14:textId="77777777" w:rsidTr="007F4AFD">
        <w:trPr>
          <w:trHeight w:val="172"/>
          <w:jc w:val="center"/>
        </w:trPr>
        <w:tc>
          <w:tcPr>
            <w:tcW w:w="1653" w:type="dxa"/>
            <w:vMerge w:val="restart"/>
            <w:hideMark/>
          </w:tcPr>
          <w:p w14:paraId="50C65688" w14:textId="77777777" w:rsidR="007F4AFD" w:rsidRPr="004F246B" w:rsidRDefault="007F4AFD" w:rsidP="007F4AFD">
            <w:pPr>
              <w:pStyle w:val="Tabletext"/>
              <w:rPr>
                <w:lang w:eastAsia="en-GB"/>
              </w:rPr>
            </w:pPr>
            <w:r w:rsidRPr="004F246B">
              <w:rPr>
                <w:lang w:eastAsia="en-GB"/>
              </w:rPr>
              <w:t>Is paid peering allowed at the IXPs in your country?</w:t>
            </w:r>
          </w:p>
        </w:tc>
        <w:tc>
          <w:tcPr>
            <w:tcW w:w="1556" w:type="dxa"/>
            <w:hideMark/>
          </w:tcPr>
          <w:p w14:paraId="63F277D2" w14:textId="77777777" w:rsidR="007F4AFD" w:rsidRPr="004F246B" w:rsidRDefault="007F4AFD" w:rsidP="007F4AFD">
            <w:pPr>
              <w:pStyle w:val="Tabletext"/>
              <w:jc w:val="center"/>
              <w:rPr>
                <w:lang w:eastAsia="en-GB"/>
              </w:rPr>
            </w:pPr>
            <w:r w:rsidRPr="004F246B">
              <w:rPr>
                <w:lang w:eastAsia="en-GB"/>
              </w:rPr>
              <w:t>Yes</w:t>
            </w:r>
          </w:p>
        </w:tc>
        <w:tc>
          <w:tcPr>
            <w:tcW w:w="880" w:type="dxa"/>
            <w:hideMark/>
          </w:tcPr>
          <w:p w14:paraId="67EB9A03" w14:textId="77777777" w:rsidR="007F4AFD" w:rsidRPr="004F246B" w:rsidRDefault="007F4AFD" w:rsidP="007F4AFD">
            <w:pPr>
              <w:pStyle w:val="Tabletext"/>
              <w:jc w:val="center"/>
              <w:rPr>
                <w:lang w:eastAsia="en-GB"/>
              </w:rPr>
            </w:pPr>
            <w:r w:rsidRPr="004F246B">
              <w:rPr>
                <w:lang w:eastAsia="en-GB"/>
              </w:rPr>
              <w:t>3</w:t>
            </w:r>
          </w:p>
        </w:tc>
        <w:tc>
          <w:tcPr>
            <w:tcW w:w="915" w:type="dxa"/>
            <w:hideMark/>
          </w:tcPr>
          <w:p w14:paraId="5480666A" w14:textId="77777777" w:rsidR="007F4AFD" w:rsidRPr="004F246B" w:rsidRDefault="007F4AFD" w:rsidP="007F4AFD">
            <w:pPr>
              <w:pStyle w:val="Tabletext"/>
              <w:jc w:val="center"/>
              <w:rPr>
                <w:lang w:eastAsia="en-GB"/>
              </w:rPr>
            </w:pPr>
            <w:r w:rsidRPr="004F246B">
              <w:rPr>
                <w:lang w:eastAsia="en-GB"/>
              </w:rPr>
              <w:t>4</w:t>
            </w:r>
          </w:p>
        </w:tc>
        <w:tc>
          <w:tcPr>
            <w:tcW w:w="940" w:type="dxa"/>
            <w:hideMark/>
          </w:tcPr>
          <w:p w14:paraId="5CE5DDFA" w14:textId="77777777" w:rsidR="007F4AFD" w:rsidRPr="004F246B" w:rsidRDefault="007F4AFD" w:rsidP="007F4AFD">
            <w:pPr>
              <w:pStyle w:val="Tabletext"/>
              <w:jc w:val="center"/>
              <w:rPr>
                <w:lang w:eastAsia="en-GB"/>
              </w:rPr>
            </w:pPr>
            <w:r w:rsidRPr="004F246B">
              <w:rPr>
                <w:lang w:eastAsia="en-GB"/>
              </w:rPr>
              <w:t>8</w:t>
            </w:r>
          </w:p>
        </w:tc>
        <w:tc>
          <w:tcPr>
            <w:tcW w:w="660" w:type="dxa"/>
            <w:hideMark/>
          </w:tcPr>
          <w:p w14:paraId="7981A81E" w14:textId="77777777" w:rsidR="007F4AFD" w:rsidRPr="004F246B" w:rsidRDefault="007F4AFD" w:rsidP="007F4AFD">
            <w:pPr>
              <w:pStyle w:val="Tabletext"/>
              <w:jc w:val="center"/>
              <w:rPr>
                <w:lang w:eastAsia="en-GB"/>
              </w:rPr>
            </w:pPr>
            <w:r w:rsidRPr="004F246B">
              <w:rPr>
                <w:lang w:eastAsia="en-GB"/>
              </w:rPr>
              <w:t>1</w:t>
            </w:r>
          </w:p>
        </w:tc>
        <w:tc>
          <w:tcPr>
            <w:tcW w:w="1001" w:type="dxa"/>
            <w:hideMark/>
          </w:tcPr>
          <w:p w14:paraId="7E1B811A" w14:textId="77777777" w:rsidR="007F4AFD" w:rsidRPr="004F246B" w:rsidRDefault="007F4AFD" w:rsidP="007F4AFD">
            <w:pPr>
              <w:pStyle w:val="Tabletext"/>
              <w:jc w:val="center"/>
              <w:rPr>
                <w:lang w:eastAsia="en-GB"/>
              </w:rPr>
            </w:pPr>
            <w:r w:rsidRPr="004F246B">
              <w:rPr>
                <w:lang w:eastAsia="en-GB"/>
              </w:rPr>
              <w:t>18</w:t>
            </w:r>
          </w:p>
        </w:tc>
        <w:tc>
          <w:tcPr>
            <w:tcW w:w="1208" w:type="dxa"/>
            <w:hideMark/>
          </w:tcPr>
          <w:p w14:paraId="0034CC8B" w14:textId="77777777" w:rsidR="007F4AFD" w:rsidRPr="004F246B" w:rsidRDefault="007F4AFD" w:rsidP="007F4AFD">
            <w:pPr>
              <w:pStyle w:val="Tabletext"/>
              <w:jc w:val="center"/>
              <w:rPr>
                <w:lang w:eastAsia="en-GB"/>
              </w:rPr>
            </w:pPr>
            <w:r w:rsidRPr="004F246B">
              <w:rPr>
                <w:lang w:eastAsia="en-GB"/>
              </w:rPr>
              <w:t>6</w:t>
            </w:r>
          </w:p>
        </w:tc>
        <w:tc>
          <w:tcPr>
            <w:tcW w:w="826" w:type="dxa"/>
            <w:shd w:val="clear" w:color="auto" w:fill="D3D3D3"/>
            <w:hideMark/>
          </w:tcPr>
          <w:p w14:paraId="04979AFC" w14:textId="77777777" w:rsidR="007F4AFD" w:rsidRPr="004F246B" w:rsidRDefault="007F4AFD" w:rsidP="007F4AFD">
            <w:pPr>
              <w:pStyle w:val="Tabletext"/>
              <w:jc w:val="center"/>
              <w:rPr>
                <w:b/>
                <w:bCs/>
                <w:lang w:eastAsia="en-GB"/>
              </w:rPr>
            </w:pPr>
            <w:r w:rsidRPr="004F246B">
              <w:rPr>
                <w:b/>
                <w:bCs/>
                <w:lang w:eastAsia="en-GB"/>
              </w:rPr>
              <w:t>40</w:t>
            </w:r>
          </w:p>
        </w:tc>
      </w:tr>
      <w:tr w:rsidR="007F4AFD" w:rsidRPr="004F246B" w14:paraId="595E4FCC" w14:textId="77777777" w:rsidTr="00CD7E3A">
        <w:trPr>
          <w:trHeight w:val="20"/>
          <w:jc w:val="center"/>
        </w:trPr>
        <w:tc>
          <w:tcPr>
            <w:tcW w:w="0" w:type="auto"/>
            <w:vMerge/>
            <w:vAlign w:val="center"/>
            <w:hideMark/>
          </w:tcPr>
          <w:p w14:paraId="3B78E0CD" w14:textId="77777777" w:rsidR="007F4AFD" w:rsidRPr="004F246B" w:rsidRDefault="007F4AFD" w:rsidP="007F4AFD">
            <w:pPr>
              <w:pStyle w:val="Tabletext"/>
              <w:rPr>
                <w:lang w:eastAsia="en-GB"/>
              </w:rPr>
            </w:pPr>
          </w:p>
        </w:tc>
        <w:tc>
          <w:tcPr>
            <w:tcW w:w="1556" w:type="dxa"/>
            <w:vAlign w:val="center"/>
            <w:hideMark/>
          </w:tcPr>
          <w:p w14:paraId="2754E7F9" w14:textId="77777777" w:rsidR="007F4AFD" w:rsidRPr="004F246B" w:rsidRDefault="007F4AFD" w:rsidP="007F4AFD">
            <w:pPr>
              <w:pStyle w:val="Tabletext"/>
              <w:jc w:val="center"/>
              <w:rPr>
                <w:lang w:eastAsia="en-GB"/>
              </w:rPr>
            </w:pPr>
            <w:r w:rsidRPr="004F246B">
              <w:rPr>
                <w:lang w:eastAsia="en-GB"/>
              </w:rPr>
              <w:t>No</w:t>
            </w:r>
          </w:p>
        </w:tc>
        <w:tc>
          <w:tcPr>
            <w:tcW w:w="880" w:type="dxa"/>
            <w:vAlign w:val="center"/>
            <w:hideMark/>
          </w:tcPr>
          <w:p w14:paraId="7F540A94" w14:textId="77777777" w:rsidR="007F4AFD" w:rsidRPr="004F246B" w:rsidRDefault="007F4AFD" w:rsidP="007F4AFD">
            <w:pPr>
              <w:pStyle w:val="Tabletext"/>
              <w:jc w:val="center"/>
              <w:rPr>
                <w:lang w:eastAsia="en-GB"/>
              </w:rPr>
            </w:pPr>
            <w:r w:rsidRPr="004F246B">
              <w:rPr>
                <w:lang w:eastAsia="en-GB"/>
              </w:rPr>
              <w:t>16</w:t>
            </w:r>
          </w:p>
        </w:tc>
        <w:tc>
          <w:tcPr>
            <w:tcW w:w="915" w:type="dxa"/>
            <w:vAlign w:val="center"/>
            <w:hideMark/>
          </w:tcPr>
          <w:p w14:paraId="5626C8C6" w14:textId="77777777" w:rsidR="007F4AFD" w:rsidRPr="004F246B" w:rsidRDefault="007F4AFD" w:rsidP="007F4AFD">
            <w:pPr>
              <w:pStyle w:val="Tabletext"/>
              <w:jc w:val="center"/>
              <w:rPr>
                <w:lang w:eastAsia="en-GB"/>
              </w:rPr>
            </w:pPr>
            <w:r w:rsidRPr="004F246B">
              <w:rPr>
                <w:lang w:eastAsia="en-GB"/>
              </w:rPr>
              <w:t>5</w:t>
            </w:r>
          </w:p>
        </w:tc>
        <w:tc>
          <w:tcPr>
            <w:tcW w:w="940" w:type="dxa"/>
            <w:vAlign w:val="center"/>
            <w:hideMark/>
          </w:tcPr>
          <w:p w14:paraId="28F13B42" w14:textId="77777777" w:rsidR="007F4AFD" w:rsidRPr="004F246B" w:rsidRDefault="007F4AFD" w:rsidP="007F4AFD">
            <w:pPr>
              <w:pStyle w:val="Tabletext"/>
              <w:jc w:val="center"/>
              <w:rPr>
                <w:lang w:eastAsia="en-GB"/>
              </w:rPr>
            </w:pPr>
            <w:r w:rsidRPr="004F246B">
              <w:rPr>
                <w:lang w:eastAsia="en-GB"/>
              </w:rPr>
              <w:t>7</w:t>
            </w:r>
          </w:p>
        </w:tc>
        <w:tc>
          <w:tcPr>
            <w:tcW w:w="660" w:type="dxa"/>
            <w:vAlign w:val="center"/>
            <w:hideMark/>
          </w:tcPr>
          <w:p w14:paraId="497B18F6" w14:textId="77777777" w:rsidR="007F4AFD" w:rsidRPr="004F246B" w:rsidRDefault="007F4AFD" w:rsidP="007F4AFD">
            <w:pPr>
              <w:pStyle w:val="Tabletext"/>
              <w:jc w:val="center"/>
              <w:rPr>
                <w:lang w:eastAsia="en-GB"/>
              </w:rPr>
            </w:pPr>
            <w:r w:rsidRPr="004F246B">
              <w:rPr>
                <w:lang w:eastAsia="en-GB"/>
              </w:rPr>
              <w:t>1</w:t>
            </w:r>
          </w:p>
        </w:tc>
        <w:tc>
          <w:tcPr>
            <w:tcW w:w="1001" w:type="dxa"/>
            <w:vAlign w:val="center"/>
            <w:hideMark/>
          </w:tcPr>
          <w:p w14:paraId="127961DF" w14:textId="77777777" w:rsidR="007F4AFD" w:rsidRPr="004F246B" w:rsidRDefault="007F4AFD" w:rsidP="007F4AFD">
            <w:pPr>
              <w:pStyle w:val="Tabletext"/>
              <w:jc w:val="center"/>
              <w:rPr>
                <w:lang w:eastAsia="en-GB"/>
              </w:rPr>
            </w:pPr>
            <w:r w:rsidRPr="004F246B">
              <w:rPr>
                <w:lang w:eastAsia="en-GB"/>
              </w:rPr>
              <w:t>1</w:t>
            </w:r>
          </w:p>
        </w:tc>
        <w:tc>
          <w:tcPr>
            <w:tcW w:w="1208" w:type="dxa"/>
            <w:vAlign w:val="center"/>
            <w:hideMark/>
          </w:tcPr>
          <w:p w14:paraId="55AC6CF2" w14:textId="77777777" w:rsidR="007F4AFD" w:rsidRPr="004F246B" w:rsidRDefault="007F4AFD" w:rsidP="007F4AFD">
            <w:pPr>
              <w:pStyle w:val="Tabletext"/>
              <w:jc w:val="center"/>
              <w:rPr>
                <w:lang w:eastAsia="en-GB"/>
              </w:rPr>
            </w:pPr>
            <w:r w:rsidRPr="004F246B">
              <w:rPr>
                <w:lang w:eastAsia="en-GB"/>
              </w:rPr>
              <w:t>7</w:t>
            </w:r>
          </w:p>
        </w:tc>
        <w:tc>
          <w:tcPr>
            <w:tcW w:w="826" w:type="dxa"/>
            <w:shd w:val="clear" w:color="auto" w:fill="D3D3D3"/>
            <w:vAlign w:val="center"/>
            <w:hideMark/>
          </w:tcPr>
          <w:p w14:paraId="52DC5DF3" w14:textId="77777777" w:rsidR="007F4AFD" w:rsidRPr="004F246B" w:rsidRDefault="007F4AFD" w:rsidP="007F4AFD">
            <w:pPr>
              <w:pStyle w:val="Tabletext"/>
              <w:jc w:val="center"/>
              <w:rPr>
                <w:b/>
                <w:bCs/>
                <w:lang w:eastAsia="en-GB"/>
              </w:rPr>
            </w:pPr>
            <w:r w:rsidRPr="004F246B">
              <w:rPr>
                <w:b/>
                <w:bCs/>
                <w:lang w:eastAsia="en-GB"/>
              </w:rPr>
              <w:t>37</w:t>
            </w:r>
          </w:p>
        </w:tc>
      </w:tr>
      <w:tr w:rsidR="007F4AFD" w:rsidRPr="004F246B" w14:paraId="72108D52" w14:textId="77777777" w:rsidTr="00CD7E3A">
        <w:trPr>
          <w:trHeight w:val="172"/>
          <w:jc w:val="center"/>
        </w:trPr>
        <w:tc>
          <w:tcPr>
            <w:tcW w:w="1653" w:type="dxa"/>
            <w:vMerge w:val="restart"/>
            <w:hideMark/>
          </w:tcPr>
          <w:p w14:paraId="122838E0" w14:textId="77777777" w:rsidR="007F4AFD" w:rsidRPr="004F246B" w:rsidRDefault="007F4AFD" w:rsidP="007F4AFD">
            <w:pPr>
              <w:pStyle w:val="Tabletext"/>
              <w:rPr>
                <w:lang w:eastAsia="en-GB"/>
              </w:rPr>
            </w:pPr>
            <w:r w:rsidRPr="004F246B">
              <w:rPr>
                <w:lang w:eastAsia="en-GB"/>
              </w:rPr>
              <w:t>Is private peering allowed at the IXPs in your country?</w:t>
            </w:r>
          </w:p>
        </w:tc>
        <w:tc>
          <w:tcPr>
            <w:tcW w:w="1556" w:type="dxa"/>
            <w:vAlign w:val="center"/>
            <w:hideMark/>
          </w:tcPr>
          <w:p w14:paraId="2C1AB534" w14:textId="77777777" w:rsidR="007F4AFD" w:rsidRPr="004F246B" w:rsidRDefault="007F4AFD" w:rsidP="007F4AFD">
            <w:pPr>
              <w:pStyle w:val="Tabletext"/>
              <w:jc w:val="center"/>
              <w:rPr>
                <w:lang w:eastAsia="en-GB"/>
              </w:rPr>
            </w:pPr>
            <w:r w:rsidRPr="004F246B">
              <w:rPr>
                <w:lang w:eastAsia="en-GB"/>
              </w:rPr>
              <w:t>Yes</w:t>
            </w:r>
          </w:p>
        </w:tc>
        <w:tc>
          <w:tcPr>
            <w:tcW w:w="880" w:type="dxa"/>
            <w:vAlign w:val="center"/>
            <w:hideMark/>
          </w:tcPr>
          <w:p w14:paraId="17A65ED7" w14:textId="77777777" w:rsidR="007F4AFD" w:rsidRPr="004F246B" w:rsidRDefault="007F4AFD" w:rsidP="007F4AFD">
            <w:pPr>
              <w:pStyle w:val="Tabletext"/>
              <w:jc w:val="center"/>
              <w:rPr>
                <w:lang w:eastAsia="en-GB"/>
              </w:rPr>
            </w:pPr>
            <w:r w:rsidRPr="004F246B">
              <w:rPr>
                <w:lang w:eastAsia="en-GB"/>
              </w:rPr>
              <w:t>6</w:t>
            </w:r>
          </w:p>
        </w:tc>
        <w:tc>
          <w:tcPr>
            <w:tcW w:w="915" w:type="dxa"/>
            <w:vAlign w:val="center"/>
            <w:hideMark/>
          </w:tcPr>
          <w:p w14:paraId="64911480" w14:textId="77777777" w:rsidR="007F4AFD" w:rsidRPr="004F246B" w:rsidRDefault="007F4AFD" w:rsidP="007F4AFD">
            <w:pPr>
              <w:pStyle w:val="Tabletext"/>
              <w:jc w:val="center"/>
              <w:rPr>
                <w:lang w:eastAsia="en-GB"/>
              </w:rPr>
            </w:pPr>
            <w:r w:rsidRPr="004F246B">
              <w:rPr>
                <w:lang w:eastAsia="en-GB"/>
              </w:rPr>
              <w:t>6</w:t>
            </w:r>
          </w:p>
        </w:tc>
        <w:tc>
          <w:tcPr>
            <w:tcW w:w="940" w:type="dxa"/>
            <w:vAlign w:val="center"/>
            <w:hideMark/>
          </w:tcPr>
          <w:p w14:paraId="2CCC6DC2" w14:textId="77777777" w:rsidR="007F4AFD" w:rsidRPr="004F246B" w:rsidRDefault="007F4AFD" w:rsidP="007F4AFD">
            <w:pPr>
              <w:pStyle w:val="Tabletext"/>
              <w:jc w:val="center"/>
              <w:rPr>
                <w:lang w:eastAsia="en-GB"/>
              </w:rPr>
            </w:pPr>
            <w:r w:rsidRPr="004F246B">
              <w:rPr>
                <w:lang w:eastAsia="en-GB"/>
              </w:rPr>
              <w:t>7</w:t>
            </w:r>
          </w:p>
        </w:tc>
        <w:tc>
          <w:tcPr>
            <w:tcW w:w="660" w:type="dxa"/>
            <w:vAlign w:val="center"/>
            <w:hideMark/>
          </w:tcPr>
          <w:p w14:paraId="399B7D99" w14:textId="77777777" w:rsidR="007F4AFD" w:rsidRPr="004F246B" w:rsidRDefault="007F4AFD" w:rsidP="007F4AFD">
            <w:pPr>
              <w:pStyle w:val="Tabletext"/>
              <w:jc w:val="center"/>
              <w:rPr>
                <w:lang w:eastAsia="en-GB"/>
              </w:rPr>
            </w:pPr>
            <w:r w:rsidRPr="004F246B">
              <w:rPr>
                <w:lang w:eastAsia="en-GB"/>
              </w:rPr>
              <w:t>3</w:t>
            </w:r>
          </w:p>
        </w:tc>
        <w:tc>
          <w:tcPr>
            <w:tcW w:w="1001" w:type="dxa"/>
            <w:vAlign w:val="center"/>
            <w:hideMark/>
          </w:tcPr>
          <w:p w14:paraId="1D2E336C" w14:textId="77777777" w:rsidR="007F4AFD" w:rsidRPr="004F246B" w:rsidRDefault="007F4AFD" w:rsidP="007F4AFD">
            <w:pPr>
              <w:pStyle w:val="Tabletext"/>
              <w:jc w:val="center"/>
              <w:rPr>
                <w:lang w:eastAsia="en-GB"/>
              </w:rPr>
            </w:pPr>
            <w:r w:rsidRPr="004F246B">
              <w:rPr>
                <w:lang w:eastAsia="en-GB"/>
              </w:rPr>
              <w:t>15</w:t>
            </w:r>
          </w:p>
        </w:tc>
        <w:tc>
          <w:tcPr>
            <w:tcW w:w="1208" w:type="dxa"/>
            <w:vAlign w:val="center"/>
            <w:hideMark/>
          </w:tcPr>
          <w:p w14:paraId="10776BBD" w14:textId="77777777" w:rsidR="007F4AFD" w:rsidRPr="004F246B" w:rsidRDefault="007F4AFD" w:rsidP="007F4AFD">
            <w:pPr>
              <w:pStyle w:val="Tabletext"/>
              <w:jc w:val="center"/>
              <w:rPr>
                <w:lang w:eastAsia="en-GB"/>
              </w:rPr>
            </w:pPr>
            <w:r w:rsidRPr="004F246B">
              <w:rPr>
                <w:lang w:eastAsia="en-GB"/>
              </w:rPr>
              <w:t>7</w:t>
            </w:r>
          </w:p>
        </w:tc>
        <w:tc>
          <w:tcPr>
            <w:tcW w:w="826" w:type="dxa"/>
            <w:shd w:val="clear" w:color="auto" w:fill="D3D3D3"/>
            <w:vAlign w:val="center"/>
            <w:hideMark/>
          </w:tcPr>
          <w:p w14:paraId="506CD94C" w14:textId="77777777" w:rsidR="007F4AFD" w:rsidRPr="004F246B" w:rsidRDefault="007F4AFD" w:rsidP="007F4AFD">
            <w:pPr>
              <w:pStyle w:val="Tabletext"/>
              <w:jc w:val="center"/>
              <w:rPr>
                <w:b/>
                <w:bCs/>
                <w:lang w:eastAsia="en-GB"/>
              </w:rPr>
            </w:pPr>
            <w:r w:rsidRPr="004F246B">
              <w:rPr>
                <w:b/>
                <w:bCs/>
                <w:lang w:eastAsia="en-GB"/>
              </w:rPr>
              <w:t>44</w:t>
            </w:r>
          </w:p>
        </w:tc>
      </w:tr>
      <w:tr w:rsidR="007F4AFD" w:rsidRPr="004F246B" w14:paraId="16C4A3F6" w14:textId="77777777" w:rsidTr="00CD7E3A">
        <w:trPr>
          <w:trHeight w:val="172"/>
          <w:jc w:val="center"/>
        </w:trPr>
        <w:tc>
          <w:tcPr>
            <w:tcW w:w="0" w:type="auto"/>
            <w:vMerge/>
            <w:vAlign w:val="center"/>
            <w:hideMark/>
          </w:tcPr>
          <w:p w14:paraId="000A68EC" w14:textId="77777777" w:rsidR="007F4AFD" w:rsidRPr="004F246B" w:rsidRDefault="007F4AFD" w:rsidP="007F4AFD">
            <w:pPr>
              <w:pStyle w:val="Tabletext"/>
              <w:rPr>
                <w:lang w:eastAsia="en-GB"/>
              </w:rPr>
            </w:pPr>
          </w:p>
        </w:tc>
        <w:tc>
          <w:tcPr>
            <w:tcW w:w="1556" w:type="dxa"/>
            <w:vAlign w:val="center"/>
            <w:hideMark/>
          </w:tcPr>
          <w:p w14:paraId="2A67C907" w14:textId="77777777" w:rsidR="007F4AFD" w:rsidRPr="004F246B" w:rsidRDefault="007F4AFD" w:rsidP="007F4AFD">
            <w:pPr>
              <w:pStyle w:val="Tabletext"/>
              <w:jc w:val="center"/>
              <w:rPr>
                <w:lang w:eastAsia="en-GB"/>
              </w:rPr>
            </w:pPr>
            <w:r w:rsidRPr="004F246B">
              <w:rPr>
                <w:lang w:eastAsia="en-GB"/>
              </w:rPr>
              <w:t>No</w:t>
            </w:r>
          </w:p>
        </w:tc>
        <w:tc>
          <w:tcPr>
            <w:tcW w:w="880" w:type="dxa"/>
            <w:vAlign w:val="center"/>
            <w:hideMark/>
          </w:tcPr>
          <w:p w14:paraId="6A97DA39" w14:textId="77777777" w:rsidR="007F4AFD" w:rsidRPr="004F246B" w:rsidRDefault="007F4AFD" w:rsidP="007F4AFD">
            <w:pPr>
              <w:pStyle w:val="Tabletext"/>
              <w:jc w:val="center"/>
              <w:rPr>
                <w:lang w:eastAsia="en-GB"/>
              </w:rPr>
            </w:pPr>
            <w:r w:rsidRPr="004F246B">
              <w:rPr>
                <w:lang w:eastAsia="en-GB"/>
              </w:rPr>
              <w:t>11</w:t>
            </w:r>
          </w:p>
        </w:tc>
        <w:tc>
          <w:tcPr>
            <w:tcW w:w="915" w:type="dxa"/>
            <w:vAlign w:val="center"/>
            <w:hideMark/>
          </w:tcPr>
          <w:p w14:paraId="5E9BAB86" w14:textId="77777777" w:rsidR="007F4AFD" w:rsidRPr="004F246B" w:rsidRDefault="007F4AFD" w:rsidP="007F4AFD">
            <w:pPr>
              <w:pStyle w:val="Tabletext"/>
              <w:jc w:val="center"/>
              <w:rPr>
                <w:lang w:eastAsia="en-GB"/>
              </w:rPr>
            </w:pPr>
            <w:r w:rsidRPr="004F246B">
              <w:rPr>
                <w:lang w:eastAsia="en-GB"/>
              </w:rPr>
              <w:t>3</w:t>
            </w:r>
          </w:p>
        </w:tc>
        <w:tc>
          <w:tcPr>
            <w:tcW w:w="940" w:type="dxa"/>
            <w:vAlign w:val="center"/>
            <w:hideMark/>
          </w:tcPr>
          <w:p w14:paraId="15102653" w14:textId="77777777" w:rsidR="007F4AFD" w:rsidRPr="004F246B" w:rsidRDefault="007F4AFD" w:rsidP="007F4AFD">
            <w:pPr>
              <w:pStyle w:val="Tabletext"/>
              <w:jc w:val="center"/>
              <w:rPr>
                <w:lang w:eastAsia="en-GB"/>
              </w:rPr>
            </w:pPr>
            <w:r w:rsidRPr="004F246B">
              <w:rPr>
                <w:lang w:eastAsia="en-GB"/>
              </w:rPr>
              <w:t>7</w:t>
            </w:r>
          </w:p>
        </w:tc>
        <w:tc>
          <w:tcPr>
            <w:tcW w:w="660" w:type="dxa"/>
            <w:vAlign w:val="center"/>
            <w:hideMark/>
          </w:tcPr>
          <w:p w14:paraId="279AEE2F" w14:textId="77777777" w:rsidR="007F4AFD" w:rsidRPr="004F246B" w:rsidRDefault="007F4AFD" w:rsidP="007F4AFD">
            <w:pPr>
              <w:pStyle w:val="Tabletext"/>
              <w:jc w:val="center"/>
              <w:rPr>
                <w:lang w:eastAsia="en-GB"/>
              </w:rPr>
            </w:pPr>
            <w:r w:rsidRPr="004F246B">
              <w:rPr>
                <w:lang w:eastAsia="en-GB"/>
              </w:rPr>
              <w:t>0</w:t>
            </w:r>
          </w:p>
        </w:tc>
        <w:tc>
          <w:tcPr>
            <w:tcW w:w="1001" w:type="dxa"/>
            <w:vAlign w:val="center"/>
            <w:hideMark/>
          </w:tcPr>
          <w:p w14:paraId="7DB0451B" w14:textId="77777777" w:rsidR="007F4AFD" w:rsidRPr="004F246B" w:rsidRDefault="007F4AFD" w:rsidP="007F4AFD">
            <w:pPr>
              <w:pStyle w:val="Tabletext"/>
              <w:jc w:val="center"/>
              <w:rPr>
                <w:lang w:eastAsia="en-GB"/>
              </w:rPr>
            </w:pPr>
            <w:r w:rsidRPr="004F246B">
              <w:rPr>
                <w:lang w:eastAsia="en-GB"/>
              </w:rPr>
              <w:t>1</w:t>
            </w:r>
          </w:p>
        </w:tc>
        <w:tc>
          <w:tcPr>
            <w:tcW w:w="1208" w:type="dxa"/>
            <w:vAlign w:val="center"/>
            <w:hideMark/>
          </w:tcPr>
          <w:p w14:paraId="6E581A50" w14:textId="77777777" w:rsidR="007F4AFD" w:rsidRPr="004F246B" w:rsidRDefault="007F4AFD" w:rsidP="007F4AFD">
            <w:pPr>
              <w:pStyle w:val="Tabletext"/>
              <w:jc w:val="center"/>
              <w:rPr>
                <w:lang w:eastAsia="en-GB"/>
              </w:rPr>
            </w:pPr>
            <w:r w:rsidRPr="004F246B">
              <w:rPr>
                <w:lang w:eastAsia="en-GB"/>
              </w:rPr>
              <w:t>6</w:t>
            </w:r>
          </w:p>
        </w:tc>
        <w:tc>
          <w:tcPr>
            <w:tcW w:w="826" w:type="dxa"/>
            <w:shd w:val="clear" w:color="auto" w:fill="D3D3D3"/>
            <w:vAlign w:val="center"/>
            <w:hideMark/>
          </w:tcPr>
          <w:p w14:paraId="44F6527E" w14:textId="77777777" w:rsidR="007F4AFD" w:rsidRPr="004F246B" w:rsidRDefault="007F4AFD" w:rsidP="007F4AFD">
            <w:pPr>
              <w:pStyle w:val="Tabletext"/>
              <w:jc w:val="center"/>
              <w:rPr>
                <w:b/>
                <w:bCs/>
                <w:lang w:eastAsia="en-GB"/>
              </w:rPr>
            </w:pPr>
            <w:r w:rsidRPr="004F246B">
              <w:rPr>
                <w:b/>
                <w:bCs/>
                <w:lang w:eastAsia="en-GB"/>
              </w:rPr>
              <w:t>28</w:t>
            </w:r>
          </w:p>
        </w:tc>
      </w:tr>
      <w:tr w:rsidR="007F4AFD" w:rsidRPr="004F246B" w14:paraId="519E6EB6" w14:textId="77777777" w:rsidTr="007F4AFD">
        <w:trPr>
          <w:trHeight w:val="172"/>
          <w:jc w:val="center"/>
        </w:trPr>
        <w:tc>
          <w:tcPr>
            <w:tcW w:w="1653" w:type="dxa"/>
            <w:shd w:val="clear" w:color="auto" w:fill="D3D3D3"/>
            <w:hideMark/>
          </w:tcPr>
          <w:p w14:paraId="10D2C3BA" w14:textId="77777777" w:rsidR="007F4AFD" w:rsidRPr="004F246B" w:rsidRDefault="007F4AFD" w:rsidP="007F4AFD">
            <w:pPr>
              <w:pStyle w:val="Tabletext"/>
              <w:rPr>
                <w:b/>
                <w:bCs/>
                <w:lang w:eastAsia="en-GB"/>
              </w:rPr>
            </w:pPr>
            <w:r w:rsidRPr="004F246B">
              <w:rPr>
                <w:b/>
                <w:bCs/>
                <w:lang w:eastAsia="en-GB"/>
              </w:rPr>
              <w:t>Region size</w:t>
            </w:r>
          </w:p>
        </w:tc>
        <w:tc>
          <w:tcPr>
            <w:tcW w:w="1556" w:type="dxa"/>
            <w:shd w:val="clear" w:color="auto" w:fill="D3D3D3"/>
            <w:hideMark/>
          </w:tcPr>
          <w:p w14:paraId="00AB6242" w14:textId="24A6E1AD" w:rsidR="007F4AFD" w:rsidRPr="004F246B" w:rsidRDefault="007F4AFD" w:rsidP="007F4AFD">
            <w:pPr>
              <w:pStyle w:val="Tabletext"/>
              <w:jc w:val="center"/>
              <w:rPr>
                <w:lang w:eastAsia="en-GB"/>
              </w:rPr>
            </w:pPr>
          </w:p>
        </w:tc>
        <w:tc>
          <w:tcPr>
            <w:tcW w:w="880" w:type="dxa"/>
            <w:shd w:val="clear" w:color="auto" w:fill="D3D3D3"/>
            <w:hideMark/>
          </w:tcPr>
          <w:p w14:paraId="49E52D7B" w14:textId="77777777" w:rsidR="007F4AFD" w:rsidRPr="004F246B" w:rsidRDefault="007F4AFD" w:rsidP="007F4AFD">
            <w:pPr>
              <w:pStyle w:val="Tabletext"/>
              <w:jc w:val="center"/>
              <w:rPr>
                <w:b/>
                <w:bCs/>
                <w:lang w:eastAsia="en-GB"/>
              </w:rPr>
            </w:pPr>
            <w:r w:rsidRPr="004F246B">
              <w:rPr>
                <w:b/>
                <w:bCs/>
                <w:lang w:eastAsia="en-GB"/>
              </w:rPr>
              <w:t>44</w:t>
            </w:r>
          </w:p>
        </w:tc>
        <w:tc>
          <w:tcPr>
            <w:tcW w:w="915" w:type="dxa"/>
            <w:shd w:val="clear" w:color="auto" w:fill="D3D3D3"/>
            <w:hideMark/>
          </w:tcPr>
          <w:p w14:paraId="780EA7AA" w14:textId="77777777" w:rsidR="007F4AFD" w:rsidRPr="004F246B" w:rsidRDefault="007F4AFD" w:rsidP="007F4AFD">
            <w:pPr>
              <w:pStyle w:val="Tabletext"/>
              <w:jc w:val="center"/>
              <w:rPr>
                <w:b/>
                <w:bCs/>
                <w:lang w:eastAsia="en-GB"/>
              </w:rPr>
            </w:pPr>
            <w:r w:rsidRPr="004F246B">
              <w:rPr>
                <w:b/>
                <w:bCs/>
                <w:lang w:eastAsia="en-GB"/>
              </w:rPr>
              <w:t>22</w:t>
            </w:r>
          </w:p>
        </w:tc>
        <w:tc>
          <w:tcPr>
            <w:tcW w:w="940" w:type="dxa"/>
            <w:shd w:val="clear" w:color="auto" w:fill="D3D3D3"/>
            <w:hideMark/>
          </w:tcPr>
          <w:p w14:paraId="65432435" w14:textId="77777777" w:rsidR="007F4AFD" w:rsidRPr="004F246B" w:rsidRDefault="007F4AFD" w:rsidP="007F4AFD">
            <w:pPr>
              <w:pStyle w:val="Tabletext"/>
              <w:jc w:val="center"/>
              <w:rPr>
                <w:b/>
                <w:bCs/>
                <w:lang w:eastAsia="en-GB"/>
              </w:rPr>
            </w:pPr>
            <w:r w:rsidRPr="004F246B">
              <w:rPr>
                <w:b/>
                <w:bCs/>
                <w:lang w:eastAsia="en-GB"/>
              </w:rPr>
              <w:t>40</w:t>
            </w:r>
          </w:p>
        </w:tc>
        <w:tc>
          <w:tcPr>
            <w:tcW w:w="660" w:type="dxa"/>
            <w:shd w:val="clear" w:color="auto" w:fill="D3D3D3"/>
            <w:hideMark/>
          </w:tcPr>
          <w:p w14:paraId="5BD10468" w14:textId="77777777" w:rsidR="007F4AFD" w:rsidRPr="004F246B" w:rsidRDefault="007F4AFD" w:rsidP="007F4AFD">
            <w:pPr>
              <w:pStyle w:val="Tabletext"/>
              <w:jc w:val="center"/>
              <w:rPr>
                <w:b/>
                <w:bCs/>
                <w:lang w:eastAsia="en-GB"/>
              </w:rPr>
            </w:pPr>
            <w:r w:rsidRPr="004F246B">
              <w:rPr>
                <w:b/>
                <w:bCs/>
                <w:lang w:eastAsia="en-GB"/>
              </w:rPr>
              <w:t>9</w:t>
            </w:r>
          </w:p>
        </w:tc>
        <w:tc>
          <w:tcPr>
            <w:tcW w:w="1001" w:type="dxa"/>
            <w:shd w:val="clear" w:color="auto" w:fill="D3D3D3"/>
            <w:hideMark/>
          </w:tcPr>
          <w:p w14:paraId="7CA2ECFC" w14:textId="77777777" w:rsidR="007F4AFD" w:rsidRPr="004F246B" w:rsidRDefault="007F4AFD" w:rsidP="007F4AFD">
            <w:pPr>
              <w:pStyle w:val="Tabletext"/>
              <w:jc w:val="center"/>
              <w:rPr>
                <w:b/>
                <w:bCs/>
                <w:lang w:eastAsia="en-GB"/>
              </w:rPr>
            </w:pPr>
            <w:r w:rsidRPr="004F246B">
              <w:rPr>
                <w:b/>
                <w:bCs/>
                <w:lang w:eastAsia="en-GB"/>
              </w:rPr>
              <w:t>46</w:t>
            </w:r>
          </w:p>
        </w:tc>
        <w:tc>
          <w:tcPr>
            <w:tcW w:w="1208" w:type="dxa"/>
            <w:shd w:val="clear" w:color="auto" w:fill="D3D3D3"/>
            <w:hideMark/>
          </w:tcPr>
          <w:p w14:paraId="116A6C45" w14:textId="77777777" w:rsidR="007F4AFD" w:rsidRPr="004F246B" w:rsidRDefault="007F4AFD" w:rsidP="007F4AFD">
            <w:pPr>
              <w:pStyle w:val="Tabletext"/>
              <w:jc w:val="center"/>
              <w:rPr>
                <w:b/>
                <w:bCs/>
                <w:lang w:eastAsia="en-GB"/>
              </w:rPr>
            </w:pPr>
            <w:r w:rsidRPr="004F246B">
              <w:rPr>
                <w:b/>
                <w:bCs/>
                <w:lang w:eastAsia="en-GB"/>
              </w:rPr>
              <w:t>35</w:t>
            </w:r>
          </w:p>
        </w:tc>
        <w:tc>
          <w:tcPr>
            <w:tcW w:w="826" w:type="dxa"/>
            <w:shd w:val="clear" w:color="auto" w:fill="D3D3D3"/>
            <w:hideMark/>
          </w:tcPr>
          <w:p w14:paraId="3AC85C1F" w14:textId="77777777" w:rsidR="007F4AFD" w:rsidRPr="004F246B" w:rsidRDefault="007F4AFD" w:rsidP="007F4AFD">
            <w:pPr>
              <w:pStyle w:val="Tabletext"/>
              <w:jc w:val="center"/>
              <w:rPr>
                <w:b/>
                <w:bCs/>
                <w:lang w:eastAsia="en-GB"/>
              </w:rPr>
            </w:pPr>
            <w:r w:rsidRPr="004F246B">
              <w:rPr>
                <w:b/>
                <w:bCs/>
                <w:lang w:eastAsia="en-GB"/>
              </w:rPr>
              <w:t>196</w:t>
            </w:r>
          </w:p>
        </w:tc>
      </w:tr>
      <w:tr w:rsidR="007F4AFD" w:rsidRPr="004F246B" w14:paraId="19120CC8" w14:textId="77777777" w:rsidTr="00467D2D">
        <w:trPr>
          <w:trHeight w:val="32"/>
          <w:jc w:val="center"/>
        </w:trPr>
        <w:tc>
          <w:tcPr>
            <w:tcW w:w="9639" w:type="dxa"/>
            <w:gridSpan w:val="9"/>
            <w:noWrap/>
            <w:vAlign w:val="bottom"/>
            <w:hideMark/>
          </w:tcPr>
          <w:p w14:paraId="2D56921C" w14:textId="000BDC67" w:rsidR="007F4AFD" w:rsidRDefault="007F4AFD" w:rsidP="00CD7E3A">
            <w:pPr>
              <w:pStyle w:val="Tabletext"/>
              <w:rPr>
                <w:lang w:eastAsia="en-GB"/>
              </w:rPr>
            </w:pPr>
            <w:r w:rsidRPr="004F246B">
              <w:rPr>
                <w:lang w:eastAsia="en-GB"/>
              </w:rPr>
              <w:t>* This indicator allows multiple choice per country/economy</w:t>
            </w:r>
            <w:r>
              <w:rPr>
                <w:lang w:eastAsia="en-GB"/>
              </w:rPr>
              <w:t>.</w:t>
            </w:r>
          </w:p>
          <w:p w14:paraId="43DD0460" w14:textId="14D89BA6" w:rsidR="007F4AFD" w:rsidRPr="007F4AFD" w:rsidRDefault="007F4AFD" w:rsidP="00CD7E3A">
            <w:pPr>
              <w:pStyle w:val="Tabletext"/>
              <w:rPr>
                <w:lang w:eastAsia="en-GB"/>
              </w:rPr>
            </w:pPr>
            <w:r w:rsidRPr="004F246B">
              <w:rPr>
                <w:lang w:eastAsia="en-GB"/>
              </w:rPr>
              <w:t xml:space="preserve">Year: 2021 or latest available data. Source: ITU World Tariff Policies Database Section 9. Part 4: Access to International Facilities (International Connectivity) ITU Tariff Policies Survey </w:t>
            </w:r>
            <w:r w:rsidR="00CD7E3A">
              <w:rPr>
                <w:lang w:eastAsia="en-GB"/>
              </w:rPr>
              <w:t>–</w:t>
            </w:r>
            <w:r w:rsidRPr="004F246B">
              <w:rPr>
                <w:lang w:eastAsia="en-GB"/>
              </w:rPr>
              <w:t xml:space="preserve"> results 2021</w:t>
            </w:r>
            <w:r>
              <w:rPr>
                <w:lang w:eastAsia="en-GB"/>
              </w:rPr>
              <w:t>.</w:t>
            </w:r>
          </w:p>
        </w:tc>
      </w:tr>
    </w:tbl>
    <w:p w14:paraId="723639E2" w14:textId="73945C6E" w:rsidR="00E52274" w:rsidRPr="004F246B" w:rsidRDefault="00CD7E3A" w:rsidP="00CD7E3A">
      <w:pPr>
        <w:pStyle w:val="Heading2"/>
      </w:pPr>
      <w:bookmarkStart w:id="40" w:name="_Toc210148082"/>
      <w:bookmarkStart w:id="41" w:name="_Toc239238921"/>
      <w:bookmarkStart w:id="42" w:name="_Toc239239746"/>
      <w:bookmarkStart w:id="43" w:name="_Toc239248538"/>
      <w:r>
        <w:t>3.4</w:t>
      </w:r>
      <w:r>
        <w:tab/>
      </w:r>
      <w:r w:rsidR="00E52274" w:rsidRPr="004F246B">
        <w:t>International Internet routing as digital value chain</w:t>
      </w:r>
      <w:bookmarkEnd w:id="40"/>
      <w:bookmarkEnd w:id="41"/>
      <w:bookmarkEnd w:id="42"/>
      <w:bookmarkEnd w:id="43"/>
      <w:r w:rsidR="00E52274" w:rsidRPr="004F246B">
        <w:t xml:space="preserve"> </w:t>
      </w:r>
    </w:p>
    <w:p w14:paraId="2A95B647" w14:textId="38C6FC7B" w:rsidR="00E52274" w:rsidRPr="004F246B" w:rsidRDefault="00E52274" w:rsidP="00CD7E3A">
      <w:pPr>
        <w:rPr>
          <w:b/>
          <w:bCs/>
          <w:i/>
          <w:iCs/>
        </w:rPr>
      </w:pPr>
      <w:r w:rsidRPr="004F246B">
        <w:t>IXPs only capture one of the many relevant data points for connectivity. Suppose, for example, that you are a user accessing the Internet via a mobile Internet connection. The key elements in determining the cost of connectivity, both at domestic and international levels, depend on the set of traffic exchange agreements that drive the routing of the IP traffic from the users</w:t>
      </w:r>
      <w:r w:rsidR="001822D5">
        <w:t>'</w:t>
      </w:r>
      <w:r w:rsidRPr="004F246B">
        <w:t xml:space="preserve"> mobile connection to the final destination point, be it a website hosted abroad or the e</w:t>
      </w:r>
      <w:r>
        <w:t>-</w:t>
      </w:r>
      <w:r w:rsidRPr="004F246B">
        <w:t xml:space="preserve">mail address of a colleague located in the same country. Hence, the framework required to analyse the different components forming the cost of international Internet connectivity needs to shift from a simplified linear representation to a complex network scenario. </w:t>
      </w:r>
      <w:r>
        <w:t>F</w:t>
      </w:r>
      <w:r w:rsidRPr="004F246B">
        <w:t>ocusing on the first mile only, the process of reducing costs for a provider from blending the expensive longline international circuits with the local traffic options is represented in the complex network Figure 4, below.</w:t>
      </w:r>
    </w:p>
    <w:p w14:paraId="4C7E7A23" w14:textId="77777777" w:rsidR="00E52274" w:rsidRPr="004F246B" w:rsidRDefault="00E52274" w:rsidP="00CD7E3A">
      <w:pPr>
        <w:pStyle w:val="Figure"/>
      </w:pPr>
      <w:r w:rsidRPr="004F246B">
        <w:rPr>
          <w:noProof/>
        </w:rPr>
        <w:lastRenderedPageBreak/>
        <w:drawing>
          <wp:inline distT="0" distB="0" distL="0" distR="0" wp14:anchorId="7F6983E8" wp14:editId="1B007BAB">
            <wp:extent cx="5476052" cy="2102827"/>
            <wp:effectExtent l="0" t="0" r="0" b="0"/>
            <wp:docPr id="455626720" name="Picture 7" descr="Figure 4 – Complex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26720" name="Picture 7" descr="Figure 4 – Complex networ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84155" cy="2105939"/>
                    </a:xfrm>
                    <a:prstGeom prst="rect">
                      <a:avLst/>
                    </a:prstGeom>
                    <a:noFill/>
                    <a:ln>
                      <a:noFill/>
                    </a:ln>
                  </pic:spPr>
                </pic:pic>
              </a:graphicData>
            </a:graphic>
          </wp:inline>
        </w:drawing>
      </w:r>
    </w:p>
    <w:p w14:paraId="2B208155" w14:textId="6558C264" w:rsidR="00E52274" w:rsidRPr="004F246B" w:rsidRDefault="00E52274" w:rsidP="00CD7E3A">
      <w:pPr>
        <w:pStyle w:val="FigureNoTitle"/>
      </w:pPr>
      <w:bookmarkStart w:id="44" w:name="_Toc210148060"/>
      <w:r w:rsidRPr="004F246B">
        <w:t xml:space="preserve">Figure </w:t>
      </w:r>
      <w:r w:rsidRPr="004F246B">
        <w:rPr>
          <w:noProof/>
        </w:rPr>
        <w:t>4</w:t>
      </w:r>
      <w:r w:rsidR="00CD7E3A">
        <w:t xml:space="preserve"> –</w:t>
      </w:r>
      <w:r w:rsidRPr="004F246B">
        <w:t xml:space="preserve"> Complex network</w:t>
      </w:r>
      <w:bookmarkEnd w:id="44"/>
    </w:p>
    <w:p w14:paraId="190E73F2" w14:textId="7C95218A" w:rsidR="00E52274" w:rsidRDefault="00E52274" w:rsidP="00CD7E3A">
      <w:pPr>
        <w:pStyle w:val="Normalaftertitle"/>
      </w:pPr>
      <w:r w:rsidRPr="001822D5">
        <w:t>Leading to a cost formula that includes the different cost elements of connectivity within a blended complex IP transit model, for the first mile</w:t>
      </w:r>
      <w:r w:rsidRPr="00CD7E3A">
        <w:rPr>
          <w:rStyle w:val="FootnoteReference"/>
        </w:rPr>
        <w:footnoteReference w:id="21"/>
      </w:r>
      <w:r w:rsidRPr="001822D5">
        <w:t>.</w:t>
      </w:r>
    </w:p>
    <w:p w14:paraId="66B77E03" w14:textId="44D0CC81" w:rsidR="00E52274" w:rsidRPr="00CD7E3A" w:rsidRDefault="00E52274" w:rsidP="00CD7E3A">
      <w:pPr>
        <w:pStyle w:val="Equation"/>
        <w:rPr>
          <w:sz w:val="16"/>
          <w:szCs w:val="16"/>
        </w:rPr>
      </w:pPr>
      <m:oMathPara>
        <m:oMath>
          <m:r>
            <w:rPr>
              <w:rFonts w:ascii="Cambria Math" w:hAnsi="Cambria Math"/>
              <w:sz w:val="16"/>
              <w:szCs w:val="16"/>
            </w:rPr>
            <m:t>First</m:t>
          </m:r>
          <m:r>
            <m:rPr>
              <m:sty m:val="p"/>
            </m:rPr>
            <w:rPr>
              <w:rFonts w:ascii="Cambria Math" w:hAnsi="Cambria Math"/>
              <w:sz w:val="16"/>
              <w:szCs w:val="16"/>
            </w:rPr>
            <m:t xml:space="preserve"> </m:t>
          </m:r>
          <m:r>
            <w:rPr>
              <w:rFonts w:ascii="Cambria Math" w:hAnsi="Cambria Math"/>
              <w:sz w:val="16"/>
              <w:szCs w:val="16"/>
            </w:rPr>
            <m:t>Mile</m:t>
          </m:r>
          <m:r>
            <m:rPr>
              <m:sty m:val="p"/>
            </m:rPr>
            <w:rPr>
              <w:rFonts w:ascii="Cambria Math" w:hAnsi="Cambria Math"/>
              <w:sz w:val="16"/>
              <w:szCs w:val="16"/>
            </w:rPr>
            <m:t xml:space="preserve"> </m:t>
          </m:r>
          <m:r>
            <w:rPr>
              <w:rFonts w:ascii="Cambria Math" w:hAnsi="Cambria Math"/>
              <w:sz w:val="16"/>
              <w:szCs w:val="16"/>
            </w:rPr>
            <m:t>Cost</m:t>
          </m:r>
          <m:r>
            <m:rPr>
              <m:sty m:val="p"/>
            </m:rPr>
            <w:rPr>
              <w:rFonts w:ascii="Cambria Math" w:hAnsi="Cambria Math"/>
              <w:sz w:val="16"/>
              <w:szCs w:val="16"/>
            </w:rPr>
            <m:t xml:space="preserve"> </m:t>
          </m:r>
          <m:r>
            <w:rPr>
              <w:rFonts w:ascii="Cambria Math" w:hAnsi="Cambria Math"/>
              <w:sz w:val="16"/>
              <w:szCs w:val="16"/>
            </w:rPr>
            <m:t>per</m:t>
          </m:r>
          <m:r>
            <m:rPr>
              <m:sty m:val="p"/>
            </m:rPr>
            <w:rPr>
              <w:rFonts w:ascii="Cambria Math" w:hAnsi="Cambria Math"/>
              <w:sz w:val="16"/>
              <w:szCs w:val="16"/>
            </w:rPr>
            <m:t xml:space="preserve"> </m:t>
          </m:r>
          <m:r>
            <w:rPr>
              <w:rFonts w:ascii="Cambria Math" w:hAnsi="Cambria Math"/>
              <w:sz w:val="16"/>
              <w:szCs w:val="16"/>
            </w:rPr>
            <m:t>Mbit</m:t>
          </m:r>
          <m:r>
            <m:rPr>
              <m:sty m:val="p"/>
            </m:rPr>
            <w:rPr>
              <w:rFonts w:ascii="Cambria Math" w:hAnsi="Cambria Math"/>
              <w:sz w:val="16"/>
              <w:szCs w:val="16"/>
            </w:rPr>
            <m:t>/</m:t>
          </m:r>
          <m:r>
            <w:rPr>
              <w:rFonts w:ascii="Cambria Math" w:hAnsi="Cambria Math"/>
              <w:sz w:val="16"/>
              <w:szCs w:val="16"/>
            </w:rPr>
            <m:t>s</m:t>
          </m:r>
          <m:r>
            <m:rPr>
              <m:sty m:val="p"/>
            </m:rPr>
            <w:rPr>
              <w:rFonts w:ascii="Cambria Math" w:hAnsi="Cambria Math"/>
              <w:sz w:val="16"/>
              <w:szCs w:val="16"/>
            </w:rPr>
            <m:t xml:space="preserve">= </m:t>
          </m:r>
          <m:f>
            <m:fPr>
              <m:ctrlPr>
                <w:rPr>
                  <w:rFonts w:ascii="Cambria Math" w:hAnsi="Cambria Math"/>
                  <w:sz w:val="16"/>
                  <w:szCs w:val="16"/>
                </w:rPr>
              </m:ctrlPr>
            </m:fPr>
            <m:num>
              <m:r>
                <w:rPr>
                  <w:rFonts w:ascii="Cambria Math" w:hAnsi="Cambria Math"/>
                  <w:sz w:val="16"/>
                  <w:szCs w:val="16"/>
                </w:rPr>
                <m:t>Longline</m:t>
              </m:r>
              <m:r>
                <m:rPr>
                  <m:sty m:val="p"/>
                </m:rPr>
                <w:rPr>
                  <w:rFonts w:ascii="Cambria Math" w:hAnsi="Cambria Math"/>
                  <w:sz w:val="16"/>
                  <w:szCs w:val="16"/>
                </w:rPr>
                <m:t xml:space="preserve"> </m:t>
              </m:r>
              <m:r>
                <w:rPr>
                  <w:rFonts w:ascii="Cambria Math" w:hAnsi="Cambria Math"/>
                  <w:sz w:val="16"/>
                  <w:szCs w:val="16"/>
                </w:rPr>
                <m:t>Cost</m:t>
              </m:r>
              <m:r>
                <m:rPr>
                  <m:sty m:val="p"/>
                </m:rPr>
                <w:rPr>
                  <w:rFonts w:ascii="Cambria Math" w:hAnsi="Cambria Math"/>
                  <w:sz w:val="16"/>
                  <w:szCs w:val="16"/>
                </w:rPr>
                <m:t>+</m:t>
              </m:r>
              <m:r>
                <w:rPr>
                  <w:rFonts w:ascii="Cambria Math" w:hAnsi="Cambria Math"/>
                  <w:sz w:val="16"/>
                  <w:szCs w:val="16"/>
                </w:rPr>
                <m:t>Redundant</m:t>
              </m:r>
              <m:r>
                <m:rPr>
                  <m:sty m:val="p"/>
                </m:rPr>
                <w:rPr>
                  <w:rFonts w:ascii="Cambria Math" w:hAnsi="Cambria Math"/>
                  <w:sz w:val="16"/>
                  <w:szCs w:val="16"/>
                </w:rPr>
                <m:t xml:space="preserve"> </m:t>
              </m:r>
              <m:r>
                <w:rPr>
                  <w:rFonts w:ascii="Cambria Math" w:hAnsi="Cambria Math"/>
                  <w:sz w:val="16"/>
                  <w:szCs w:val="16"/>
                </w:rPr>
                <m:t>Longline</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m:t>
              </m:r>
              <m:r>
                <w:rPr>
                  <w:rFonts w:ascii="Cambria Math" w:hAnsi="Cambria Math"/>
                  <w:sz w:val="16"/>
                  <w:szCs w:val="16"/>
                </w:rPr>
                <m:t>IXP</m:t>
              </m:r>
              <m:r>
                <m:rPr>
                  <m:sty m:val="p"/>
                </m:rPr>
                <w:rPr>
                  <w:rFonts w:ascii="Cambria Math" w:hAnsi="Cambria Math"/>
                  <w:sz w:val="16"/>
                  <w:szCs w:val="16"/>
                </w:rPr>
                <m:t xml:space="preserve"> </m:t>
              </m:r>
              <m:r>
                <w:rPr>
                  <w:rFonts w:ascii="Cambria Math" w:hAnsi="Cambria Math"/>
                  <w:sz w:val="16"/>
                  <w:szCs w:val="16"/>
                </w:rPr>
                <m:t>Caching</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m:t>
              </m:r>
              <m:r>
                <w:rPr>
                  <w:rFonts w:ascii="Cambria Math" w:hAnsi="Cambria Math"/>
                  <w:sz w:val="16"/>
                  <w:szCs w:val="16"/>
                </w:rPr>
                <m:t>PNI</m:t>
              </m:r>
              <m:r>
                <m:rPr>
                  <m:sty m:val="p"/>
                </m:rPr>
                <w:rPr>
                  <w:rFonts w:ascii="Cambria Math" w:hAnsi="Cambria Math"/>
                  <w:sz w:val="16"/>
                  <w:szCs w:val="16"/>
                </w:rPr>
                <m:t xml:space="preserve"> </m:t>
              </m:r>
              <m:r>
                <w:rPr>
                  <w:rFonts w:ascii="Cambria Math" w:hAnsi="Cambria Math"/>
                  <w:sz w:val="16"/>
                  <w:szCs w:val="16"/>
                </w:rPr>
                <m:t>Peering</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m:t>
              </m:r>
              <m:r>
                <w:rPr>
                  <w:rFonts w:ascii="Cambria Math" w:hAnsi="Cambria Math"/>
                  <w:sz w:val="16"/>
                  <w:szCs w:val="16"/>
                </w:rPr>
                <m:t>Caching</m:t>
              </m:r>
              <m:r>
                <m:rPr>
                  <m:sty m:val="p"/>
                </m:rPr>
                <w:rPr>
                  <w:rFonts w:ascii="Cambria Math" w:hAnsi="Cambria Math"/>
                  <w:sz w:val="16"/>
                  <w:szCs w:val="16"/>
                </w:rPr>
                <m:t xml:space="preserve"> </m:t>
              </m:r>
              <m:r>
                <w:rPr>
                  <w:rFonts w:ascii="Cambria Math" w:hAnsi="Cambria Math"/>
                  <w:sz w:val="16"/>
                  <w:szCs w:val="16"/>
                </w:rPr>
                <m:t>Costs</m:t>
              </m:r>
              <m:r>
                <m:rPr>
                  <m:sty m:val="p"/>
                </m:rPr>
                <w:rPr>
                  <w:rFonts w:ascii="Cambria Math" w:hAnsi="Cambria Math"/>
                  <w:sz w:val="16"/>
                  <w:szCs w:val="16"/>
                </w:rPr>
                <m:t xml:space="preserve">+ </m:t>
              </m:r>
              <m:r>
                <w:rPr>
                  <w:rFonts w:ascii="Cambria Math" w:hAnsi="Cambria Math"/>
                  <w:sz w:val="16"/>
                  <w:szCs w:val="16"/>
                </w:rPr>
                <m:t>IP</m:t>
              </m:r>
              <m:r>
                <m:rPr>
                  <m:sty m:val="p"/>
                </m:rPr>
                <w:rPr>
                  <w:rFonts w:ascii="Cambria Math" w:hAnsi="Cambria Math"/>
                  <w:sz w:val="16"/>
                  <w:szCs w:val="16"/>
                </w:rPr>
                <m:t xml:space="preserve"> </m:t>
              </m:r>
              <m:r>
                <w:rPr>
                  <w:rFonts w:ascii="Cambria Math" w:hAnsi="Cambria Math"/>
                  <w:sz w:val="16"/>
                  <w:szCs w:val="16"/>
                </w:rPr>
                <m:t>Transit</m:t>
              </m:r>
              <m:r>
                <m:rPr>
                  <m:sty m:val="p"/>
                </m:rPr>
                <w:rPr>
                  <w:rFonts w:ascii="Cambria Math" w:hAnsi="Cambria Math"/>
                  <w:sz w:val="16"/>
                  <w:szCs w:val="16"/>
                </w:rPr>
                <m:t xml:space="preserve"> </m:t>
              </m:r>
              <m:r>
                <w:rPr>
                  <w:rFonts w:ascii="Cambria Math" w:hAnsi="Cambria Math"/>
                  <w:sz w:val="16"/>
                  <w:szCs w:val="16"/>
                </w:rPr>
                <m:t>Cost</m:t>
              </m:r>
            </m:num>
            <m:den>
              <m:r>
                <w:rPr>
                  <w:rFonts w:ascii="Cambria Math" w:hAnsi="Cambria Math"/>
                  <w:sz w:val="16"/>
                  <w:szCs w:val="16"/>
                </w:rPr>
                <m:t>Used</m:t>
              </m:r>
              <m:r>
                <m:rPr>
                  <m:sty m:val="p"/>
                </m:rPr>
                <w:rPr>
                  <w:rFonts w:ascii="Cambria Math" w:hAnsi="Cambria Math"/>
                  <w:sz w:val="16"/>
                  <w:szCs w:val="16"/>
                </w:rPr>
                <m:t xml:space="preserve"> </m:t>
              </m:r>
              <m:r>
                <w:rPr>
                  <w:rFonts w:ascii="Cambria Math" w:hAnsi="Cambria Math"/>
                  <w:sz w:val="16"/>
                  <w:szCs w:val="16"/>
                </w:rPr>
                <m:t>Bandwidth</m:t>
              </m:r>
              <m:r>
                <m:rPr>
                  <m:sty m:val="p"/>
                </m:rPr>
                <w:rPr>
                  <w:rFonts w:ascii="Cambria Math" w:hAnsi="Cambria Math"/>
                  <w:sz w:val="16"/>
                  <w:szCs w:val="16"/>
                </w:rPr>
                <m:t xml:space="preserve"> (</m:t>
              </m:r>
              <m:r>
                <w:rPr>
                  <w:rFonts w:ascii="Cambria Math" w:hAnsi="Cambria Math"/>
                  <w:sz w:val="16"/>
                  <w:szCs w:val="16"/>
                </w:rPr>
                <m:t>Mbps</m:t>
              </m:r>
              <m:r>
                <m:rPr>
                  <m:sty m:val="p"/>
                </m:rPr>
                <w:rPr>
                  <w:rFonts w:ascii="Cambria Math" w:hAnsi="Cambria Math"/>
                  <w:sz w:val="16"/>
                  <w:szCs w:val="16"/>
                </w:rPr>
                <m:t>)</m:t>
              </m:r>
            </m:den>
          </m:f>
        </m:oMath>
      </m:oMathPara>
    </w:p>
    <w:p w14:paraId="0C925607" w14:textId="7122F494" w:rsidR="00E52274" w:rsidRPr="004F246B" w:rsidRDefault="00E52274" w:rsidP="00CD7E3A">
      <w:r w:rsidRPr="004F246B">
        <w:t>In a complex network model, the network infrastructure design and governance determine the path and modalities for the exchange and transport of Internet protocol (IP) data packets. As for most digital commodities and markets, the key cost in interconnection markets is mainly associated with fixed costs, as actual variable per-byte costs are often negligible. Hence, the key elements underlying the fixed costs are:</w:t>
      </w:r>
    </w:p>
    <w:p w14:paraId="64FAFF11" w14:textId="650DC886" w:rsidR="00E52274" w:rsidRPr="004F246B" w:rsidRDefault="00CD7E3A" w:rsidP="00CD7E3A">
      <w:pPr>
        <w:pStyle w:val="enumlev1"/>
      </w:pPr>
      <w:r>
        <w:t>i</w:t>
      </w:r>
      <w:r w:rsidR="00AD4B70">
        <w:t>)</w:t>
      </w:r>
      <w:r>
        <w:tab/>
      </w:r>
      <w:r w:rsidR="00E52274" w:rsidRPr="004F246B">
        <w:t>The cost is embedded in the contractual conditions defining the terms of each traffic exchange among different providers, or autonomous</w:t>
      </w:r>
      <w:r w:rsidR="00E52274" w:rsidRPr="004F246B">
        <w:rPr>
          <w:b/>
          <w:bCs/>
        </w:rPr>
        <w:t xml:space="preserve"> </w:t>
      </w:r>
      <w:r w:rsidR="00E52274" w:rsidRPr="004F246B">
        <w:t>systems</w:t>
      </w:r>
      <w:r w:rsidR="00E52274" w:rsidRPr="003243DD">
        <w:t xml:space="preserve"> (</w:t>
      </w:r>
      <w:r w:rsidR="00E52274" w:rsidRPr="004F246B">
        <w:t>AS) by suppliers on top of technological costs. These markups on original input costs might add up along the entire sequence of hops in an end-to-end communication path. Some of these hops might have a zero price if they happen through free peering or similar traffic exchange agreements, while others are usually priced in terms of carrying capacity, e.g., based on fixed-price contracts, with traffic capacity ceilings. However, these additional trading costs result from the set of (often confidential) bilateral agreements established among providers.</w:t>
      </w:r>
    </w:p>
    <w:p w14:paraId="0C1815AE" w14:textId="5CD2B922" w:rsidR="00E52274" w:rsidRPr="004F246B" w:rsidRDefault="00CD7E3A" w:rsidP="00CD7E3A">
      <w:pPr>
        <w:pStyle w:val="enumlev1"/>
      </w:pPr>
      <w:r>
        <w:t>ii</w:t>
      </w:r>
      <w:r w:rsidR="00AD4B70">
        <w:t>)</w:t>
      </w:r>
      <w:r>
        <w:tab/>
      </w:r>
      <w:r w:rsidR="00E52274" w:rsidRPr="004F246B">
        <w:t>The actual length, in terms of the number of hops that the end-to-end path needs to go through from the origin to the destination of a traffic exchange, determines the number of implicit and explicit contractual steps required for a successful information transfer. Clearly, this length depends on the properties and design (topology) of the network, in particular its density, average path length, and overall level of network hierarchy.</w:t>
      </w:r>
    </w:p>
    <w:p w14:paraId="13047A46" w14:textId="1B15423E" w:rsidR="00E52274" w:rsidRPr="004F246B" w:rsidRDefault="00E52274" w:rsidP="00CD7E3A">
      <w:r w:rsidRPr="004F246B">
        <w:t>This leads to the relevance of assessing the possible emergence of bottlenecks, or </w:t>
      </w:r>
      <w:r w:rsidRPr="004F246B">
        <w:rPr>
          <w:i/>
          <w:iCs/>
        </w:rPr>
        <w:t>gatekeepers</w:t>
      </w:r>
      <w:r w:rsidRPr="00CD7E3A">
        <w:rPr>
          <w:rStyle w:val="FootnoteReference"/>
        </w:rPr>
        <w:footnoteReference w:id="22"/>
      </w:r>
      <w:r w:rsidRPr="004F246B">
        <w:t xml:space="preserve">, that may control key parts of the interconnection network. Such control, if present, allows for the possibility of increasing markups on the cost of services, and of interconnection, thereby eventually reducing the affordability of international Internet connectivity. The key point is that the structure, concentration, and governance of networks carrying international Internet traffic significantly contribute to differences in local access costs and determine affordability. These routing factors affecting cost determination, however, provide new challenges, as the tools and methods to assess </w:t>
      </w:r>
      <w:r w:rsidRPr="004F246B">
        <w:lastRenderedPageBreak/>
        <w:t>market concentration across the different networks of the Internet are characterized by a lack of data and difficulties in market definitions and require an approach that can identify the key elements of network centrality of particular operators within the entire system.</w:t>
      </w:r>
    </w:p>
    <w:p w14:paraId="2DD37C8A" w14:textId="2ABBA7B5" w:rsidR="00E52274" w:rsidRPr="004F246B" w:rsidRDefault="00E52274" w:rsidP="00A83973">
      <w:r w:rsidRPr="004F246B">
        <w:t xml:space="preserve">This possibility clearly highlights the importance of developing relevant regulatory information based on the </w:t>
      </w:r>
      <w:r w:rsidRPr="004F246B">
        <w:rPr>
          <w:b/>
          <w:bCs/>
        </w:rPr>
        <w:t>scorched node</w:t>
      </w:r>
      <w:r w:rsidRPr="004F246B">
        <w:t xml:space="preserve"> approach discussed in </w:t>
      </w:r>
      <w:r>
        <w:t>clause</w:t>
      </w:r>
      <w:r w:rsidRPr="004F246B">
        <w:t xml:space="preserve"> 1, which focuses on the topological representation of networks. This approach is essential not only for determining access costs and ensuring interoperability, as emphasized by the </w:t>
      </w:r>
      <w:r w:rsidRPr="004F246B">
        <w:rPr>
          <w:b/>
          <w:bCs/>
        </w:rPr>
        <w:t>open fibre data standard</w:t>
      </w:r>
      <w:r w:rsidRPr="004F246B">
        <w:t xml:space="preserve"> (OFDS) initiative, but also for identifying potential price mark-ups related to international </w:t>
      </w:r>
      <w:r w:rsidR="00A95AF8" w:rsidRPr="004F246B">
        <w:t xml:space="preserve">Internet </w:t>
      </w:r>
      <w:r w:rsidRPr="004F246B">
        <w:t>connectivity costs due to established provider network centrality.</w:t>
      </w:r>
    </w:p>
    <w:p w14:paraId="255D7AF3" w14:textId="7BFD97C6" w:rsidR="00E52274" w:rsidRPr="004F246B" w:rsidRDefault="001A724C" w:rsidP="001A724C">
      <w:pPr>
        <w:pStyle w:val="Heading3"/>
      </w:pPr>
      <w:bookmarkStart w:id="45" w:name="_Toc210148083"/>
      <w:r>
        <w:t>3.4.1</w:t>
      </w:r>
      <w:r>
        <w:tab/>
      </w:r>
      <w:r w:rsidR="00E52274" w:rsidRPr="001A724C">
        <w:t>International</w:t>
      </w:r>
      <w:r w:rsidR="00E52274" w:rsidRPr="004F246B">
        <w:t xml:space="preserve"> Internet connectivity network infrastructure from a user</w:t>
      </w:r>
      <w:r w:rsidR="001822D5">
        <w:t>'</w:t>
      </w:r>
      <w:r w:rsidR="00E52274" w:rsidRPr="004F246B">
        <w:t>s perspective</w:t>
      </w:r>
      <w:bookmarkEnd w:id="45"/>
    </w:p>
    <w:p w14:paraId="0E427454" w14:textId="17C1B295" w:rsidR="00E52274" w:rsidRPr="004F246B" w:rsidRDefault="00E52274" w:rsidP="001A724C">
      <w:r w:rsidRPr="004F246B">
        <w:t xml:space="preserve">The representation of the Internet as a complex </w:t>
      </w:r>
      <w:r>
        <w:t>n</w:t>
      </w:r>
      <w:r w:rsidRPr="004F246B">
        <w:t xml:space="preserve">etwork has a long history and dedicated research centres worldwide; see, for example, the centre for applied </w:t>
      </w:r>
      <w:r w:rsidR="00A95AF8" w:rsidRPr="004F246B">
        <w:t xml:space="preserve">Internet </w:t>
      </w:r>
      <w:r w:rsidRPr="004F246B">
        <w:t>data analysis (CAIDA) work</w:t>
      </w:r>
      <w:r w:rsidRPr="003243DD">
        <w:rPr>
          <w:rStyle w:val="FootnoteReference"/>
        </w:rPr>
        <w:footnoteReference w:id="23"/>
      </w:r>
      <w:r w:rsidRPr="004F246B">
        <w:t>. Understanding the full formation of costs requires focusing on exploring the international Internet connectivity network starting from a final user</w:t>
      </w:r>
      <w:r w:rsidR="001822D5">
        <w:t>'</w:t>
      </w:r>
      <w:r w:rsidRPr="004F246B">
        <w:t>s perspective, for example, starting from data collected from users</w:t>
      </w:r>
      <w:r w:rsidR="001822D5">
        <w:t>'</w:t>
      </w:r>
      <w:r w:rsidRPr="004F246B">
        <w:t xml:space="preserve"> mobile handsets and exploring the effects of connectivity bottlenecks all the way along the complex upstream access layers of the Internet, as they all will ultimately affect a user</w:t>
      </w:r>
      <w:r w:rsidR="001822D5">
        <w:t>'</w:t>
      </w:r>
      <w:r w:rsidRPr="004F246B">
        <w:t>s mobile broadband affordability.</w:t>
      </w:r>
    </w:p>
    <w:p w14:paraId="267568E6" w14:textId="02DD037B" w:rsidR="00E52274" w:rsidRPr="004F246B" w:rsidRDefault="00E52274" w:rsidP="001A724C">
      <w:r w:rsidRPr="004F246B">
        <w:rPr>
          <w:b/>
          <w:bCs/>
        </w:rPr>
        <w:t>Traceroute</w:t>
      </w:r>
      <w:r w:rsidRPr="004F246B">
        <w:t xml:space="preserve">, a diagnostic command-line interface command for displaying possible routes (paths) and transit delays of packets across an Internet protocol (IP) network, can be used to explore the complex networks formed by international </w:t>
      </w:r>
      <w:r w:rsidR="00A95AF8" w:rsidRPr="004F246B">
        <w:t xml:space="preserve">Internet </w:t>
      </w:r>
      <w:r w:rsidRPr="004F246B">
        <w:t xml:space="preserve">connectivity, based on the identification of all the steps (hops) of an end-to-end path. These hops display the entire network of possible routes from a mobile user accessing the </w:t>
      </w:r>
      <w:r w:rsidR="00A95AF8" w:rsidRPr="004F246B">
        <w:t xml:space="preserve">Internet </w:t>
      </w:r>
      <w:r w:rsidRPr="004F246B">
        <w:t xml:space="preserve">from a given mobile provider to any destination, domestic or international. Once the network is represented, it becomes possible to identify the operators that serve as key essential nodes within this complex network, potentially acting as "gatekeepers" who may impose higher markups on costs, resulting in increased final international </w:t>
      </w:r>
      <w:r w:rsidR="00A95AF8" w:rsidRPr="004F246B">
        <w:t xml:space="preserve">Internet </w:t>
      </w:r>
      <w:r w:rsidRPr="004F246B">
        <w:t>connectivity prices and reduced affordability.</w:t>
      </w:r>
      <w:r w:rsidRPr="004F246B">
        <w:rPr>
          <w:vertAlign w:val="superscript"/>
        </w:rPr>
        <w:footnoteReference w:id="24"/>
      </w:r>
    </w:p>
    <w:p w14:paraId="014603BE" w14:textId="599CD61F" w:rsidR="00E52274" w:rsidRPr="004F246B" w:rsidRDefault="00962E60" w:rsidP="00962E60">
      <w:pPr>
        <w:pStyle w:val="Headingb"/>
        <w:ind w:left="794" w:hanging="794"/>
        <w:rPr>
          <w:b w:val="0"/>
        </w:rPr>
      </w:pPr>
      <w:r>
        <w:t>•</w:t>
      </w:r>
      <w:r>
        <w:tab/>
      </w:r>
      <w:r w:rsidR="00E52274" w:rsidRPr="004F246B">
        <w:t>Metrics assessing gatekeepers</w:t>
      </w:r>
      <w:r w:rsidR="001A724C">
        <w:t>'</w:t>
      </w:r>
      <w:r w:rsidR="00E52274" w:rsidRPr="004F246B">
        <w:t xml:space="preserve"> </w:t>
      </w:r>
      <w:r w:rsidR="00E52274" w:rsidRPr="001A724C">
        <w:t>centrality</w:t>
      </w:r>
      <w:r w:rsidR="00E52274" w:rsidRPr="004F246B">
        <w:t xml:space="preserve"> and overall hierarchy in international Internet connectivity networks</w:t>
      </w:r>
    </w:p>
    <w:p w14:paraId="760A4EBC" w14:textId="3BFEADA3" w:rsidR="00E52274" w:rsidRPr="004F246B" w:rsidRDefault="00E52274" w:rsidP="001A724C">
      <w:r w:rsidRPr="004F246B">
        <w:t xml:space="preserve">Once the complex network links and nodes are identified, two simple metrics can be used to estimate the level of concentration of these networks and hence the possibility of specific providers charging higher markups, leading to lower affordability in international </w:t>
      </w:r>
      <w:r w:rsidR="00A95AF8" w:rsidRPr="004F246B">
        <w:t xml:space="preserve">Internet </w:t>
      </w:r>
      <w:r w:rsidRPr="004F246B">
        <w:t>connectivity. These are:</w:t>
      </w:r>
    </w:p>
    <w:p w14:paraId="047B83C7" w14:textId="3DCC0D2C" w:rsidR="00E52274" w:rsidRPr="004F246B" w:rsidRDefault="001A724C" w:rsidP="001A724C">
      <w:pPr>
        <w:pStyle w:val="enumlev1"/>
      </w:pPr>
      <w:r>
        <w:rPr>
          <w:b/>
          <w:bCs/>
        </w:rPr>
        <w:t>a)</w:t>
      </w:r>
      <w:r>
        <w:rPr>
          <w:b/>
          <w:bCs/>
        </w:rPr>
        <w:tab/>
      </w:r>
      <w:r w:rsidR="00E52274" w:rsidRPr="004F246B">
        <w:rPr>
          <w:b/>
          <w:bCs/>
        </w:rPr>
        <w:t>Clustering coefficient</w:t>
      </w:r>
      <w:r w:rsidR="00E52274" w:rsidRPr="001A724C">
        <w:t>:</w:t>
      </w:r>
      <w:r w:rsidR="006106B4">
        <w:rPr>
          <w:b/>
          <w:bCs/>
        </w:rPr>
        <w:t xml:space="preserve"> </w:t>
      </w:r>
      <w:r w:rsidR="00E52274" w:rsidRPr="004F246B">
        <w:t>measuring how well-connected a node's neighbours are to each other. See Figure 5, below:</w:t>
      </w:r>
    </w:p>
    <w:p w14:paraId="117B2384" w14:textId="77777777" w:rsidR="00E52274" w:rsidRPr="004F246B" w:rsidRDefault="00E52274" w:rsidP="001A724C">
      <w:pPr>
        <w:pStyle w:val="Figure"/>
      </w:pPr>
      <w:r w:rsidRPr="004F246B">
        <w:rPr>
          <w:noProof/>
        </w:rPr>
        <w:lastRenderedPageBreak/>
        <w:drawing>
          <wp:inline distT="0" distB="0" distL="0" distR="0" wp14:anchorId="413FBD47" wp14:editId="4C178C9D">
            <wp:extent cx="4106545" cy="1454785"/>
            <wp:effectExtent l="0" t="0" r="8255" b="0"/>
            <wp:docPr id="1019198403" name="Picture 4" descr="Figure 5 – The clustering coeffic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98403" name="Picture 4" descr="Figure 5 – The clustering coefficien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06545" cy="1454785"/>
                    </a:xfrm>
                    <a:prstGeom prst="rect">
                      <a:avLst/>
                    </a:prstGeom>
                    <a:noFill/>
                    <a:ln>
                      <a:noFill/>
                    </a:ln>
                  </pic:spPr>
                </pic:pic>
              </a:graphicData>
            </a:graphic>
          </wp:inline>
        </w:drawing>
      </w:r>
    </w:p>
    <w:p w14:paraId="3C0E3799" w14:textId="4C534EE0" w:rsidR="00E52274" w:rsidRPr="004F246B" w:rsidRDefault="00E52274" w:rsidP="001A724C">
      <w:pPr>
        <w:pStyle w:val="FigureNoTitle"/>
        <w:rPr>
          <w:bCs/>
          <w:kern w:val="2"/>
          <w:sz w:val="22"/>
          <w:szCs w:val="22"/>
          <w14:ligatures w14:val="standardContextual"/>
        </w:rPr>
      </w:pPr>
      <w:bookmarkStart w:id="46" w:name="_Toc210148061"/>
      <w:r w:rsidRPr="004F246B">
        <w:t xml:space="preserve">Figure </w:t>
      </w:r>
      <w:r w:rsidRPr="004F246B">
        <w:rPr>
          <w:noProof/>
        </w:rPr>
        <w:t>5</w:t>
      </w:r>
      <w:r w:rsidR="001A724C">
        <w:rPr>
          <w:noProof/>
        </w:rPr>
        <w:t xml:space="preserve"> –</w:t>
      </w:r>
      <w:r w:rsidRPr="004F246B">
        <w:t xml:space="preserve"> The clustering coefficient</w:t>
      </w:r>
      <w:bookmarkEnd w:id="46"/>
    </w:p>
    <w:p w14:paraId="7741E5B2" w14:textId="6C65C274" w:rsidR="00E52274" w:rsidRPr="004F246B" w:rsidRDefault="00962E60" w:rsidP="009E01F9">
      <w:pPr>
        <w:pStyle w:val="enumlev1"/>
        <w:spacing w:before="240"/>
      </w:pPr>
      <w:r>
        <w:rPr>
          <w:b/>
          <w:bCs/>
        </w:rPr>
        <w:t>b)</w:t>
      </w:r>
      <w:r>
        <w:rPr>
          <w:b/>
          <w:bCs/>
        </w:rPr>
        <w:tab/>
        <w:t>E</w:t>
      </w:r>
      <w:r w:rsidR="00E52274" w:rsidRPr="004F246B">
        <w:rPr>
          <w:b/>
          <w:bCs/>
        </w:rPr>
        <w:t>igenvector centrality</w:t>
      </w:r>
      <w:r w:rsidR="00E52274" w:rsidRPr="004F246B">
        <w:t>, a metric to measure a provider</w:t>
      </w:r>
      <w:r w:rsidR="00601551">
        <w:t>'</w:t>
      </w:r>
      <w:r w:rsidR="00E52274">
        <w:t>s</w:t>
      </w:r>
      <w:r w:rsidR="00E52274" w:rsidRPr="004F246B">
        <w:t xml:space="preserve"> (node</w:t>
      </w:r>
      <w:r w:rsidR="00601551">
        <w:t>'</w:t>
      </w:r>
      <w:r w:rsidR="00E52274">
        <w:t>s</w:t>
      </w:r>
      <w:r w:rsidR="00E52274" w:rsidRPr="004F246B">
        <w:t>) direct and indirect power and influence, capturing a node</w:t>
      </w:r>
      <w:r>
        <w:t>'</w:t>
      </w:r>
      <w:r w:rsidR="00E52274">
        <w:t>s</w:t>
      </w:r>
      <w:r w:rsidR="00E52274" w:rsidRPr="004F246B">
        <w:t xml:space="preserve"> network centrality as well as the centrality of its connections, and of their connections</w:t>
      </w:r>
      <w:r w:rsidR="003243DD">
        <w:t>,</w:t>
      </w:r>
      <w:r w:rsidR="00E52274" w:rsidRPr="004F246B">
        <w:t xml:space="preserve"> etc.</w:t>
      </w:r>
    </w:p>
    <w:p w14:paraId="3615C5BE" w14:textId="77777777" w:rsidR="00E52274" w:rsidRPr="004F246B" w:rsidRDefault="00E52274" w:rsidP="001822D5">
      <w:r w:rsidRPr="004F246B">
        <w:t>Clearly, a gatekeeper role emerges, with the risk of increasing the price-cost margins when a provider along the IP packet routing path is very well connected, it has high (eigenvector) centrality, and its direct neighbours are poorly interconnected among themselves so that they are unable to bypass such a central node, for example, to access an international gateway.</w:t>
      </w:r>
    </w:p>
    <w:p w14:paraId="1BE05542" w14:textId="6B39D1E0" w:rsidR="00E52274" w:rsidRPr="004F246B" w:rsidRDefault="00962E60" w:rsidP="00962E60">
      <w:pPr>
        <w:pStyle w:val="Heading2"/>
      </w:pPr>
      <w:bookmarkStart w:id="47" w:name="_Toc210148084"/>
      <w:bookmarkStart w:id="48" w:name="_Toc239238922"/>
      <w:bookmarkStart w:id="49" w:name="_Toc239239747"/>
      <w:bookmarkStart w:id="50" w:name="_Toc239248539"/>
      <w:r>
        <w:t>3.5</w:t>
      </w:r>
      <w:r>
        <w:tab/>
      </w:r>
      <w:r w:rsidR="00E52274" w:rsidRPr="004F246B">
        <w:t>Bandwidth costs</w:t>
      </w:r>
      <w:bookmarkEnd w:id="47"/>
      <w:bookmarkEnd w:id="48"/>
      <w:bookmarkEnd w:id="49"/>
      <w:bookmarkEnd w:id="50"/>
    </w:p>
    <w:p w14:paraId="0833898A" w14:textId="67EC7F56" w:rsidR="00E52274" w:rsidRPr="001822D5" w:rsidRDefault="00E52274" w:rsidP="00E52274">
      <w:r w:rsidRPr="001822D5">
        <w:t xml:space="preserve">These are another critical cost element. The focus here is on </w:t>
      </w:r>
      <w:r w:rsidRPr="004F246B">
        <w:rPr>
          <w:i/>
          <w:iCs/>
          <w:kern w:val="2"/>
          <w:sz w:val="22"/>
          <w:szCs w:val="22"/>
          <w14:ligatures w14:val="standardContextual"/>
        </w:rPr>
        <w:t xml:space="preserve">the portion of access costs to international connection in retail price and </w:t>
      </w:r>
      <w:r w:rsidRPr="001822D5">
        <w:t>can be divided into</w:t>
      </w:r>
      <w:r w:rsidRPr="00962E60">
        <w:rPr>
          <w:kern w:val="2"/>
          <w:sz w:val="22"/>
          <w:szCs w:val="22"/>
          <w14:ligatures w14:val="standardContextual"/>
        </w:rPr>
        <w:t>:</w:t>
      </w:r>
      <w:r w:rsidRPr="004F246B">
        <w:rPr>
          <w:b/>
          <w:bCs/>
          <w:kern w:val="2"/>
          <w:sz w:val="22"/>
          <w:szCs w:val="22"/>
          <w14:ligatures w14:val="standardContextual"/>
        </w:rPr>
        <w:t xml:space="preserve"> </w:t>
      </w:r>
      <w:r w:rsidRPr="004F246B">
        <w:rPr>
          <w:i/>
          <w:iCs/>
          <w:kern w:val="2"/>
          <w:sz w:val="22"/>
          <w:szCs w:val="22"/>
          <w14:ligatures w14:val="standardContextual"/>
        </w:rPr>
        <w:t>international bandwidth prices, peering costs, and</w:t>
      </w:r>
      <w:r w:rsidRPr="001822D5">
        <w:t xml:space="preserve"> </w:t>
      </w:r>
      <w:r w:rsidRPr="004F246B">
        <w:rPr>
          <w:i/>
          <w:iCs/>
          <w:kern w:val="2"/>
          <w:sz w:val="22"/>
          <w:szCs w:val="22"/>
          <w14:ligatures w14:val="standardContextual"/>
        </w:rPr>
        <w:t xml:space="preserve">transit costs. </w:t>
      </w:r>
    </w:p>
    <w:p w14:paraId="3C302E54" w14:textId="44317BDD" w:rsidR="00E52274" w:rsidRPr="004F246B" w:rsidRDefault="00962E60" w:rsidP="00962E60">
      <w:pPr>
        <w:pStyle w:val="Heading3"/>
      </w:pPr>
      <w:bookmarkStart w:id="51" w:name="_Toc210148085"/>
      <w:r>
        <w:t>3.5.1</w:t>
      </w:r>
      <w:r>
        <w:tab/>
      </w:r>
      <w:r w:rsidR="00E52274" w:rsidRPr="00962E60">
        <w:t>Portion</w:t>
      </w:r>
      <w:r w:rsidR="00E52274" w:rsidRPr="004F246B">
        <w:t xml:space="preserve"> of access costs to international connection in retail price</w:t>
      </w:r>
      <w:bookmarkEnd w:id="51"/>
    </w:p>
    <w:p w14:paraId="1F6E1307" w14:textId="3598B653" w:rsidR="00E52274" w:rsidRDefault="00E52274" w:rsidP="00962E60">
      <w:r w:rsidRPr="004F246B">
        <w:t xml:space="preserve">The ITU collects data about the Portion of access costs to international connection in retail price (series </w:t>
      </w:r>
      <w:r>
        <w:t>ID</w:t>
      </w:r>
      <w:r w:rsidRPr="004F246B">
        <w:t xml:space="preserve"> 11901, series code tpInterInternetConn_PortionOfCost). This is a crucial variable to understand the link between international </w:t>
      </w:r>
      <w:r w:rsidR="00A95AF8" w:rsidRPr="004F246B">
        <w:t xml:space="preserve">Internet </w:t>
      </w:r>
      <w:r w:rsidRPr="004F246B">
        <w:t>connectivity and affordability. From this data, the relationship is particularly evident among the 7.65% of countries in the world where access costs represent more than 50% of the total cost. This data also shows that this percentage increases to 15.90% for African countries.</w:t>
      </w:r>
    </w:p>
    <w:p w14:paraId="5CDCA418" w14:textId="77777777" w:rsidR="00E52274" w:rsidRDefault="00E52274" w:rsidP="003243DD">
      <w:r>
        <w:t>Table 3 details the p</w:t>
      </w:r>
      <w:r w:rsidRPr="004F246B">
        <w:t>ortion of access costs to international connection in retail price</w:t>
      </w:r>
      <w:r>
        <w:t>.</w:t>
      </w:r>
    </w:p>
    <w:p w14:paraId="44666511" w14:textId="67B5DD47" w:rsidR="003243DD" w:rsidRPr="004F246B" w:rsidRDefault="003243DD" w:rsidP="003243DD">
      <w:pPr>
        <w:pStyle w:val="TableNoTitle"/>
        <w:rPr>
          <w:bCs/>
        </w:rPr>
      </w:pPr>
      <w:r w:rsidRPr="00870629">
        <w:t xml:space="preserve">Table </w:t>
      </w:r>
      <w:r w:rsidRPr="00870629">
        <w:rPr>
          <w:noProof/>
        </w:rPr>
        <w:t>3</w:t>
      </w:r>
      <w:r w:rsidRPr="00870629">
        <w:t xml:space="preserve"> </w:t>
      </w:r>
      <w:r w:rsidRPr="00870629">
        <w:sym w:font="Symbol" w:char="F02D"/>
      </w:r>
      <w:r w:rsidRPr="00870629">
        <w:t xml:space="preserve"> Portion of access costs to international connection in retail price</w:t>
      </w:r>
    </w:p>
    <w:tbl>
      <w:tblPr>
        <w:tblStyle w:val="TableGrid1"/>
        <w:tblW w:w="9688" w:type="dxa"/>
        <w:jc w:val="center"/>
        <w:tblLook w:val="04A0" w:firstRow="1" w:lastRow="0" w:firstColumn="1" w:lastColumn="0" w:noHBand="0" w:noVBand="1"/>
      </w:tblPr>
      <w:tblGrid>
        <w:gridCol w:w="2830"/>
        <w:gridCol w:w="995"/>
        <w:gridCol w:w="951"/>
        <w:gridCol w:w="951"/>
        <w:gridCol w:w="951"/>
        <w:gridCol w:w="951"/>
        <w:gridCol w:w="951"/>
        <w:gridCol w:w="1108"/>
      </w:tblGrid>
      <w:tr w:rsidR="00E52274" w:rsidRPr="004F246B" w14:paraId="1E57A99C" w14:textId="77777777" w:rsidTr="003243DD">
        <w:trPr>
          <w:trHeight w:val="870"/>
          <w:jc w:val="center"/>
        </w:trPr>
        <w:tc>
          <w:tcPr>
            <w:tcW w:w="2830" w:type="dxa"/>
            <w:tcBorders>
              <w:top w:val="single" w:sz="4" w:space="0" w:color="auto"/>
            </w:tcBorders>
            <w:vAlign w:val="center"/>
            <w:hideMark/>
          </w:tcPr>
          <w:p w14:paraId="231C0F49" w14:textId="7068DA85" w:rsidR="00E52274" w:rsidRPr="004F246B" w:rsidRDefault="00E52274" w:rsidP="003243DD">
            <w:pPr>
              <w:pStyle w:val="Tablehead"/>
              <w:rPr>
                <w:lang w:eastAsia="en-GB"/>
              </w:rPr>
            </w:pPr>
            <w:r w:rsidRPr="004F246B">
              <w:rPr>
                <w:lang w:eastAsia="en-GB"/>
              </w:rPr>
              <w:t xml:space="preserve">Portion of access costs to international connection </w:t>
            </w:r>
            <w:r w:rsidR="003243DD">
              <w:rPr>
                <w:lang w:eastAsia="en-GB"/>
              </w:rPr>
              <w:br/>
            </w:r>
            <w:r w:rsidRPr="004F246B">
              <w:rPr>
                <w:lang w:eastAsia="en-GB"/>
              </w:rPr>
              <w:t>in retail price</w:t>
            </w:r>
          </w:p>
        </w:tc>
        <w:tc>
          <w:tcPr>
            <w:tcW w:w="995" w:type="dxa"/>
            <w:tcBorders>
              <w:top w:val="single" w:sz="4" w:space="0" w:color="auto"/>
            </w:tcBorders>
            <w:noWrap/>
            <w:vAlign w:val="center"/>
            <w:hideMark/>
          </w:tcPr>
          <w:p w14:paraId="068321B7" w14:textId="77777777" w:rsidR="00E52274" w:rsidRPr="004F246B" w:rsidRDefault="00E52274" w:rsidP="003243DD">
            <w:pPr>
              <w:pStyle w:val="Tablehead"/>
              <w:rPr>
                <w:lang w:eastAsia="en-GB"/>
              </w:rPr>
            </w:pPr>
            <w:r w:rsidRPr="004F246B">
              <w:rPr>
                <w:lang w:eastAsia="en-GB"/>
              </w:rPr>
              <w:t xml:space="preserve">World </w:t>
            </w:r>
          </w:p>
        </w:tc>
        <w:tc>
          <w:tcPr>
            <w:tcW w:w="951" w:type="dxa"/>
            <w:tcBorders>
              <w:top w:val="single" w:sz="4" w:space="0" w:color="auto"/>
            </w:tcBorders>
            <w:noWrap/>
            <w:vAlign w:val="center"/>
            <w:hideMark/>
          </w:tcPr>
          <w:p w14:paraId="6FB113D0" w14:textId="77777777" w:rsidR="00E52274" w:rsidRPr="004F246B" w:rsidRDefault="00E52274" w:rsidP="003243DD">
            <w:pPr>
              <w:pStyle w:val="Tablehead"/>
              <w:rPr>
                <w:lang w:eastAsia="en-GB"/>
              </w:rPr>
            </w:pPr>
            <w:r w:rsidRPr="004F246B">
              <w:rPr>
                <w:lang w:eastAsia="en-GB"/>
              </w:rPr>
              <w:t>Africa</w:t>
            </w:r>
          </w:p>
        </w:tc>
        <w:tc>
          <w:tcPr>
            <w:tcW w:w="951" w:type="dxa"/>
            <w:tcBorders>
              <w:top w:val="single" w:sz="4" w:space="0" w:color="auto"/>
            </w:tcBorders>
            <w:noWrap/>
            <w:vAlign w:val="center"/>
            <w:hideMark/>
          </w:tcPr>
          <w:p w14:paraId="77520473" w14:textId="77777777" w:rsidR="00E52274" w:rsidRPr="004F246B" w:rsidRDefault="00E52274" w:rsidP="003243DD">
            <w:pPr>
              <w:pStyle w:val="Tablehead"/>
              <w:rPr>
                <w:lang w:eastAsia="en-GB"/>
              </w:rPr>
            </w:pPr>
            <w:r w:rsidRPr="004F246B">
              <w:rPr>
                <w:lang w:eastAsia="en-GB"/>
              </w:rPr>
              <w:t xml:space="preserve">Arab States </w:t>
            </w:r>
          </w:p>
        </w:tc>
        <w:tc>
          <w:tcPr>
            <w:tcW w:w="951" w:type="dxa"/>
            <w:tcBorders>
              <w:top w:val="single" w:sz="4" w:space="0" w:color="auto"/>
            </w:tcBorders>
            <w:noWrap/>
            <w:vAlign w:val="center"/>
            <w:hideMark/>
          </w:tcPr>
          <w:p w14:paraId="2081B394" w14:textId="77777777" w:rsidR="00E52274" w:rsidRPr="004F246B" w:rsidRDefault="00E52274" w:rsidP="003243DD">
            <w:pPr>
              <w:pStyle w:val="Tablehead"/>
              <w:rPr>
                <w:lang w:eastAsia="en-GB"/>
              </w:rPr>
            </w:pPr>
            <w:r w:rsidRPr="004F246B">
              <w:rPr>
                <w:lang w:eastAsia="en-GB"/>
              </w:rPr>
              <w:t>Asia &amp; Pacific</w:t>
            </w:r>
          </w:p>
        </w:tc>
        <w:tc>
          <w:tcPr>
            <w:tcW w:w="951" w:type="dxa"/>
            <w:tcBorders>
              <w:top w:val="single" w:sz="4" w:space="0" w:color="auto"/>
            </w:tcBorders>
            <w:noWrap/>
            <w:vAlign w:val="center"/>
            <w:hideMark/>
          </w:tcPr>
          <w:p w14:paraId="2AD2FBB9" w14:textId="77777777" w:rsidR="00E52274" w:rsidRPr="004F246B" w:rsidRDefault="00E52274" w:rsidP="003243DD">
            <w:pPr>
              <w:pStyle w:val="Tablehead"/>
              <w:rPr>
                <w:lang w:eastAsia="en-GB"/>
              </w:rPr>
            </w:pPr>
            <w:r w:rsidRPr="004F246B">
              <w:rPr>
                <w:lang w:eastAsia="en-GB"/>
              </w:rPr>
              <w:t>CIS</w:t>
            </w:r>
          </w:p>
        </w:tc>
        <w:tc>
          <w:tcPr>
            <w:tcW w:w="951" w:type="dxa"/>
            <w:tcBorders>
              <w:top w:val="single" w:sz="4" w:space="0" w:color="auto"/>
            </w:tcBorders>
            <w:noWrap/>
            <w:vAlign w:val="center"/>
            <w:hideMark/>
          </w:tcPr>
          <w:p w14:paraId="7B0FC291" w14:textId="77777777" w:rsidR="00E52274" w:rsidRPr="004F246B" w:rsidRDefault="00E52274" w:rsidP="003243DD">
            <w:pPr>
              <w:pStyle w:val="Tablehead"/>
              <w:rPr>
                <w:lang w:eastAsia="en-GB"/>
              </w:rPr>
            </w:pPr>
            <w:r w:rsidRPr="004F246B">
              <w:rPr>
                <w:lang w:eastAsia="en-GB"/>
              </w:rPr>
              <w:t>Europe</w:t>
            </w:r>
          </w:p>
        </w:tc>
        <w:tc>
          <w:tcPr>
            <w:tcW w:w="1108" w:type="dxa"/>
            <w:tcBorders>
              <w:top w:val="single" w:sz="4" w:space="0" w:color="auto"/>
            </w:tcBorders>
            <w:noWrap/>
            <w:vAlign w:val="center"/>
            <w:hideMark/>
          </w:tcPr>
          <w:p w14:paraId="26A83721" w14:textId="77777777" w:rsidR="00E52274" w:rsidRPr="004F246B" w:rsidRDefault="00E52274" w:rsidP="003243DD">
            <w:pPr>
              <w:pStyle w:val="Tablehead"/>
              <w:rPr>
                <w:lang w:eastAsia="en-GB"/>
              </w:rPr>
            </w:pPr>
            <w:r w:rsidRPr="004F246B">
              <w:rPr>
                <w:lang w:eastAsia="en-GB"/>
              </w:rPr>
              <w:t>Americas</w:t>
            </w:r>
          </w:p>
        </w:tc>
      </w:tr>
      <w:tr w:rsidR="00E52274" w:rsidRPr="004F246B" w14:paraId="6B174EAB" w14:textId="77777777" w:rsidTr="003243DD">
        <w:trPr>
          <w:trHeight w:val="290"/>
          <w:jc w:val="center"/>
        </w:trPr>
        <w:tc>
          <w:tcPr>
            <w:tcW w:w="2830" w:type="dxa"/>
            <w:noWrap/>
            <w:hideMark/>
          </w:tcPr>
          <w:p w14:paraId="24127720" w14:textId="77777777" w:rsidR="00E52274" w:rsidRPr="004F246B" w:rsidRDefault="00E52274" w:rsidP="003243DD">
            <w:pPr>
              <w:pStyle w:val="Tabletext"/>
              <w:rPr>
                <w:lang w:eastAsia="en-GB"/>
              </w:rPr>
            </w:pPr>
            <w:r w:rsidRPr="004F246B">
              <w:rPr>
                <w:lang w:eastAsia="en-GB"/>
              </w:rPr>
              <w:t>Above 50%</w:t>
            </w:r>
          </w:p>
        </w:tc>
        <w:tc>
          <w:tcPr>
            <w:tcW w:w="995" w:type="dxa"/>
            <w:noWrap/>
            <w:hideMark/>
          </w:tcPr>
          <w:p w14:paraId="7370DBF7" w14:textId="77777777" w:rsidR="00E52274" w:rsidRPr="004F246B" w:rsidRDefault="00E52274" w:rsidP="003243DD">
            <w:pPr>
              <w:pStyle w:val="Tabletext"/>
              <w:jc w:val="center"/>
              <w:rPr>
                <w:lang w:eastAsia="en-GB"/>
              </w:rPr>
            </w:pPr>
            <w:r w:rsidRPr="004F246B">
              <w:rPr>
                <w:lang w:eastAsia="en-GB"/>
              </w:rPr>
              <w:t>7.65%</w:t>
            </w:r>
          </w:p>
        </w:tc>
        <w:tc>
          <w:tcPr>
            <w:tcW w:w="951" w:type="dxa"/>
            <w:noWrap/>
            <w:hideMark/>
          </w:tcPr>
          <w:p w14:paraId="4BB38EA9" w14:textId="77777777" w:rsidR="00E52274" w:rsidRPr="004F246B" w:rsidRDefault="00E52274" w:rsidP="003243DD">
            <w:pPr>
              <w:pStyle w:val="Tabletext"/>
              <w:jc w:val="center"/>
              <w:rPr>
                <w:lang w:eastAsia="en-GB"/>
              </w:rPr>
            </w:pPr>
            <w:r w:rsidRPr="004F246B">
              <w:rPr>
                <w:lang w:eastAsia="en-GB"/>
              </w:rPr>
              <w:t>15.90%</w:t>
            </w:r>
          </w:p>
        </w:tc>
        <w:tc>
          <w:tcPr>
            <w:tcW w:w="951" w:type="dxa"/>
            <w:noWrap/>
            <w:hideMark/>
          </w:tcPr>
          <w:p w14:paraId="4274D405" w14:textId="77777777" w:rsidR="00E52274" w:rsidRPr="004F246B" w:rsidRDefault="00E52274" w:rsidP="003243DD">
            <w:pPr>
              <w:pStyle w:val="Tabletext"/>
              <w:jc w:val="center"/>
              <w:rPr>
                <w:lang w:eastAsia="en-GB"/>
              </w:rPr>
            </w:pPr>
            <w:r w:rsidRPr="004F246B">
              <w:rPr>
                <w:lang w:eastAsia="en-GB"/>
              </w:rPr>
              <w:t>4.54%</w:t>
            </w:r>
          </w:p>
        </w:tc>
        <w:tc>
          <w:tcPr>
            <w:tcW w:w="951" w:type="dxa"/>
            <w:noWrap/>
            <w:hideMark/>
          </w:tcPr>
          <w:p w14:paraId="16F68981" w14:textId="77777777" w:rsidR="00E52274" w:rsidRPr="004F246B" w:rsidRDefault="00E52274" w:rsidP="003243DD">
            <w:pPr>
              <w:pStyle w:val="Tabletext"/>
              <w:jc w:val="center"/>
              <w:rPr>
                <w:lang w:eastAsia="en-GB"/>
              </w:rPr>
            </w:pPr>
            <w:r w:rsidRPr="004F246B">
              <w:rPr>
                <w:lang w:eastAsia="en-GB"/>
              </w:rPr>
              <w:t>10%</w:t>
            </w:r>
          </w:p>
        </w:tc>
        <w:tc>
          <w:tcPr>
            <w:tcW w:w="951" w:type="dxa"/>
            <w:noWrap/>
            <w:hideMark/>
          </w:tcPr>
          <w:p w14:paraId="0B05CA7F" w14:textId="77777777" w:rsidR="00E52274" w:rsidRPr="004F246B" w:rsidRDefault="00E52274" w:rsidP="003243DD">
            <w:pPr>
              <w:pStyle w:val="Tabletext"/>
              <w:jc w:val="center"/>
              <w:rPr>
                <w:lang w:eastAsia="en-GB"/>
              </w:rPr>
            </w:pPr>
            <w:r w:rsidRPr="004F246B">
              <w:rPr>
                <w:lang w:eastAsia="en-GB"/>
              </w:rPr>
              <w:t>0%</w:t>
            </w:r>
          </w:p>
        </w:tc>
        <w:tc>
          <w:tcPr>
            <w:tcW w:w="951" w:type="dxa"/>
            <w:noWrap/>
            <w:hideMark/>
          </w:tcPr>
          <w:p w14:paraId="78361930" w14:textId="77777777" w:rsidR="00E52274" w:rsidRPr="004F246B" w:rsidRDefault="00E52274" w:rsidP="003243DD">
            <w:pPr>
              <w:pStyle w:val="Tabletext"/>
              <w:jc w:val="center"/>
              <w:rPr>
                <w:lang w:eastAsia="en-GB"/>
              </w:rPr>
            </w:pPr>
            <w:r w:rsidRPr="004F246B">
              <w:rPr>
                <w:lang w:eastAsia="en-GB"/>
              </w:rPr>
              <w:t>4.34%</w:t>
            </w:r>
          </w:p>
        </w:tc>
        <w:tc>
          <w:tcPr>
            <w:tcW w:w="1108" w:type="dxa"/>
            <w:noWrap/>
            <w:hideMark/>
          </w:tcPr>
          <w:p w14:paraId="4E714956" w14:textId="77777777" w:rsidR="00E52274" w:rsidRPr="004F246B" w:rsidRDefault="00E52274" w:rsidP="003243DD">
            <w:pPr>
              <w:pStyle w:val="Tabletext"/>
              <w:jc w:val="center"/>
              <w:rPr>
                <w:lang w:eastAsia="en-GB"/>
              </w:rPr>
            </w:pPr>
            <w:r w:rsidRPr="004F246B">
              <w:rPr>
                <w:lang w:eastAsia="en-GB"/>
              </w:rPr>
              <w:t>2.85%</w:t>
            </w:r>
          </w:p>
        </w:tc>
      </w:tr>
      <w:tr w:rsidR="00E52274" w:rsidRPr="004F246B" w14:paraId="74D23AAB" w14:textId="77777777" w:rsidTr="003243DD">
        <w:trPr>
          <w:trHeight w:val="290"/>
          <w:jc w:val="center"/>
        </w:trPr>
        <w:tc>
          <w:tcPr>
            <w:tcW w:w="2830" w:type="dxa"/>
            <w:noWrap/>
            <w:hideMark/>
          </w:tcPr>
          <w:p w14:paraId="7831DB92" w14:textId="2EB6C678" w:rsidR="00E52274" w:rsidRPr="004F246B" w:rsidRDefault="00E52274" w:rsidP="003243DD">
            <w:pPr>
              <w:pStyle w:val="Tabletext"/>
              <w:rPr>
                <w:lang w:eastAsia="en-GB"/>
              </w:rPr>
            </w:pPr>
            <w:r w:rsidRPr="004F246B">
              <w:rPr>
                <w:lang w:eastAsia="en-GB"/>
              </w:rPr>
              <w:t xml:space="preserve">26% </w:t>
            </w:r>
            <w:r w:rsidR="003243DD">
              <w:rPr>
                <w:lang w:eastAsia="en-GB"/>
              </w:rPr>
              <w:t>–</w:t>
            </w:r>
            <w:r w:rsidRPr="004F246B">
              <w:rPr>
                <w:lang w:eastAsia="en-GB"/>
              </w:rPr>
              <w:t xml:space="preserve"> 50%</w:t>
            </w:r>
          </w:p>
        </w:tc>
        <w:tc>
          <w:tcPr>
            <w:tcW w:w="995" w:type="dxa"/>
            <w:noWrap/>
            <w:hideMark/>
          </w:tcPr>
          <w:p w14:paraId="2BC16E25" w14:textId="77777777" w:rsidR="00E52274" w:rsidRPr="004F246B" w:rsidRDefault="00E52274" w:rsidP="003243DD">
            <w:pPr>
              <w:pStyle w:val="Tabletext"/>
              <w:jc w:val="center"/>
              <w:rPr>
                <w:lang w:eastAsia="en-GB"/>
              </w:rPr>
            </w:pPr>
            <w:r w:rsidRPr="004F246B">
              <w:rPr>
                <w:lang w:eastAsia="en-GB"/>
              </w:rPr>
              <w:t>9.18%</w:t>
            </w:r>
          </w:p>
        </w:tc>
        <w:tc>
          <w:tcPr>
            <w:tcW w:w="951" w:type="dxa"/>
            <w:noWrap/>
            <w:hideMark/>
          </w:tcPr>
          <w:p w14:paraId="36AB4FE4" w14:textId="77777777" w:rsidR="00E52274" w:rsidRPr="004F246B" w:rsidRDefault="00E52274" w:rsidP="003243DD">
            <w:pPr>
              <w:pStyle w:val="Tabletext"/>
              <w:jc w:val="center"/>
              <w:rPr>
                <w:lang w:eastAsia="en-GB"/>
              </w:rPr>
            </w:pPr>
            <w:r w:rsidRPr="004F246B">
              <w:rPr>
                <w:lang w:eastAsia="en-GB"/>
              </w:rPr>
              <w:t>22.70%</w:t>
            </w:r>
          </w:p>
        </w:tc>
        <w:tc>
          <w:tcPr>
            <w:tcW w:w="951" w:type="dxa"/>
            <w:noWrap/>
            <w:hideMark/>
          </w:tcPr>
          <w:p w14:paraId="6524BE7C" w14:textId="77777777" w:rsidR="00E52274" w:rsidRPr="004F246B" w:rsidRDefault="00E52274" w:rsidP="003243DD">
            <w:pPr>
              <w:pStyle w:val="Tabletext"/>
              <w:jc w:val="center"/>
              <w:rPr>
                <w:lang w:eastAsia="en-GB"/>
              </w:rPr>
            </w:pPr>
            <w:r w:rsidRPr="004F246B">
              <w:rPr>
                <w:lang w:eastAsia="en-GB"/>
              </w:rPr>
              <w:t>9.09%</w:t>
            </w:r>
          </w:p>
        </w:tc>
        <w:tc>
          <w:tcPr>
            <w:tcW w:w="951" w:type="dxa"/>
            <w:noWrap/>
            <w:hideMark/>
          </w:tcPr>
          <w:p w14:paraId="4DAC8106" w14:textId="77777777" w:rsidR="00E52274" w:rsidRPr="004F246B" w:rsidRDefault="00E52274" w:rsidP="003243DD">
            <w:pPr>
              <w:pStyle w:val="Tabletext"/>
              <w:jc w:val="center"/>
              <w:rPr>
                <w:lang w:eastAsia="en-GB"/>
              </w:rPr>
            </w:pPr>
            <w:r w:rsidRPr="004F246B">
              <w:rPr>
                <w:lang w:eastAsia="en-GB"/>
              </w:rPr>
              <w:t>7.50%</w:t>
            </w:r>
          </w:p>
        </w:tc>
        <w:tc>
          <w:tcPr>
            <w:tcW w:w="951" w:type="dxa"/>
            <w:noWrap/>
            <w:hideMark/>
          </w:tcPr>
          <w:p w14:paraId="6DDEA52F" w14:textId="77777777" w:rsidR="00E52274" w:rsidRPr="004F246B" w:rsidRDefault="00E52274" w:rsidP="003243DD">
            <w:pPr>
              <w:pStyle w:val="Tabletext"/>
              <w:jc w:val="center"/>
              <w:rPr>
                <w:lang w:eastAsia="en-GB"/>
              </w:rPr>
            </w:pPr>
            <w:r w:rsidRPr="004F246B">
              <w:rPr>
                <w:lang w:eastAsia="en-GB"/>
              </w:rPr>
              <w:t>11.10%</w:t>
            </w:r>
          </w:p>
        </w:tc>
        <w:tc>
          <w:tcPr>
            <w:tcW w:w="951" w:type="dxa"/>
            <w:noWrap/>
            <w:hideMark/>
          </w:tcPr>
          <w:p w14:paraId="1173EC65" w14:textId="77777777" w:rsidR="00E52274" w:rsidRPr="004F246B" w:rsidRDefault="00E52274" w:rsidP="003243DD">
            <w:pPr>
              <w:pStyle w:val="Tabletext"/>
              <w:jc w:val="center"/>
              <w:rPr>
                <w:lang w:eastAsia="en-GB"/>
              </w:rPr>
            </w:pPr>
            <w:r w:rsidRPr="004F246B">
              <w:rPr>
                <w:lang w:eastAsia="en-GB"/>
              </w:rPr>
              <w:t>2.17%</w:t>
            </w:r>
          </w:p>
        </w:tc>
        <w:tc>
          <w:tcPr>
            <w:tcW w:w="1108" w:type="dxa"/>
            <w:noWrap/>
            <w:hideMark/>
          </w:tcPr>
          <w:p w14:paraId="27409CF5" w14:textId="77777777" w:rsidR="00E52274" w:rsidRPr="004F246B" w:rsidRDefault="00E52274" w:rsidP="003243DD">
            <w:pPr>
              <w:pStyle w:val="Tabletext"/>
              <w:jc w:val="center"/>
              <w:rPr>
                <w:lang w:eastAsia="en-GB"/>
              </w:rPr>
            </w:pPr>
            <w:r w:rsidRPr="004F246B">
              <w:rPr>
                <w:lang w:eastAsia="en-GB"/>
              </w:rPr>
              <w:t>2.85%</w:t>
            </w:r>
          </w:p>
        </w:tc>
      </w:tr>
      <w:tr w:rsidR="00E52274" w:rsidRPr="004F246B" w14:paraId="0D9E372D" w14:textId="77777777" w:rsidTr="003243DD">
        <w:trPr>
          <w:trHeight w:val="290"/>
          <w:jc w:val="center"/>
        </w:trPr>
        <w:tc>
          <w:tcPr>
            <w:tcW w:w="2830" w:type="dxa"/>
            <w:noWrap/>
            <w:hideMark/>
          </w:tcPr>
          <w:p w14:paraId="40219FE4" w14:textId="60BDE992" w:rsidR="00E52274" w:rsidRPr="004F246B" w:rsidRDefault="00E52274" w:rsidP="003243DD">
            <w:pPr>
              <w:pStyle w:val="Tabletext"/>
              <w:rPr>
                <w:lang w:eastAsia="en-GB"/>
              </w:rPr>
            </w:pPr>
            <w:r w:rsidRPr="004F246B">
              <w:rPr>
                <w:lang w:eastAsia="en-GB"/>
              </w:rPr>
              <w:t xml:space="preserve">10% </w:t>
            </w:r>
            <w:r w:rsidR="003243DD">
              <w:rPr>
                <w:lang w:eastAsia="en-GB"/>
              </w:rPr>
              <w:t>–</w:t>
            </w:r>
            <w:r w:rsidRPr="004F246B">
              <w:rPr>
                <w:lang w:eastAsia="en-GB"/>
              </w:rPr>
              <w:t xml:space="preserve"> 25%</w:t>
            </w:r>
          </w:p>
        </w:tc>
        <w:tc>
          <w:tcPr>
            <w:tcW w:w="995" w:type="dxa"/>
            <w:noWrap/>
            <w:hideMark/>
          </w:tcPr>
          <w:p w14:paraId="64FFCBB6" w14:textId="77777777" w:rsidR="00E52274" w:rsidRPr="004F246B" w:rsidRDefault="00E52274" w:rsidP="003243DD">
            <w:pPr>
              <w:pStyle w:val="Tabletext"/>
              <w:jc w:val="center"/>
              <w:rPr>
                <w:lang w:eastAsia="en-GB"/>
              </w:rPr>
            </w:pPr>
            <w:r w:rsidRPr="004F246B">
              <w:rPr>
                <w:lang w:eastAsia="en-GB"/>
              </w:rPr>
              <w:t>11.20%</w:t>
            </w:r>
          </w:p>
        </w:tc>
        <w:tc>
          <w:tcPr>
            <w:tcW w:w="951" w:type="dxa"/>
            <w:noWrap/>
            <w:hideMark/>
          </w:tcPr>
          <w:p w14:paraId="4436F5CF" w14:textId="77777777" w:rsidR="00E52274" w:rsidRPr="004F246B" w:rsidRDefault="00E52274" w:rsidP="003243DD">
            <w:pPr>
              <w:pStyle w:val="Tabletext"/>
              <w:jc w:val="center"/>
              <w:rPr>
                <w:lang w:eastAsia="en-GB"/>
              </w:rPr>
            </w:pPr>
            <w:r w:rsidRPr="004F246B">
              <w:rPr>
                <w:lang w:eastAsia="en-GB"/>
              </w:rPr>
              <w:t>20.50%</w:t>
            </w:r>
          </w:p>
        </w:tc>
        <w:tc>
          <w:tcPr>
            <w:tcW w:w="951" w:type="dxa"/>
            <w:noWrap/>
            <w:hideMark/>
          </w:tcPr>
          <w:p w14:paraId="0B80E73C" w14:textId="77777777" w:rsidR="00E52274" w:rsidRPr="004F246B" w:rsidRDefault="00E52274" w:rsidP="003243DD">
            <w:pPr>
              <w:pStyle w:val="Tabletext"/>
              <w:jc w:val="center"/>
              <w:rPr>
                <w:lang w:eastAsia="en-GB"/>
              </w:rPr>
            </w:pPr>
            <w:r w:rsidRPr="004F246B">
              <w:rPr>
                <w:lang w:eastAsia="en-GB"/>
              </w:rPr>
              <w:t>13.60%</w:t>
            </w:r>
          </w:p>
        </w:tc>
        <w:tc>
          <w:tcPr>
            <w:tcW w:w="951" w:type="dxa"/>
            <w:noWrap/>
            <w:hideMark/>
          </w:tcPr>
          <w:p w14:paraId="6B33A4E3" w14:textId="77777777" w:rsidR="00E52274" w:rsidRPr="004F246B" w:rsidRDefault="00E52274" w:rsidP="003243DD">
            <w:pPr>
              <w:pStyle w:val="Tabletext"/>
              <w:jc w:val="center"/>
              <w:rPr>
                <w:lang w:eastAsia="en-GB"/>
              </w:rPr>
            </w:pPr>
            <w:r w:rsidRPr="004F246B">
              <w:rPr>
                <w:lang w:eastAsia="en-GB"/>
              </w:rPr>
              <w:t>15%</w:t>
            </w:r>
          </w:p>
        </w:tc>
        <w:tc>
          <w:tcPr>
            <w:tcW w:w="951" w:type="dxa"/>
            <w:noWrap/>
            <w:hideMark/>
          </w:tcPr>
          <w:p w14:paraId="37498C3B" w14:textId="77777777" w:rsidR="00E52274" w:rsidRPr="004F246B" w:rsidRDefault="00E52274" w:rsidP="003243DD">
            <w:pPr>
              <w:pStyle w:val="Tabletext"/>
              <w:jc w:val="center"/>
              <w:rPr>
                <w:lang w:eastAsia="en-GB"/>
              </w:rPr>
            </w:pPr>
            <w:r w:rsidRPr="004F246B">
              <w:rPr>
                <w:lang w:eastAsia="en-GB"/>
              </w:rPr>
              <w:t>0%</w:t>
            </w:r>
          </w:p>
        </w:tc>
        <w:tc>
          <w:tcPr>
            <w:tcW w:w="951" w:type="dxa"/>
            <w:noWrap/>
            <w:hideMark/>
          </w:tcPr>
          <w:p w14:paraId="1B957F57" w14:textId="77777777" w:rsidR="00E52274" w:rsidRPr="004F246B" w:rsidRDefault="00E52274" w:rsidP="003243DD">
            <w:pPr>
              <w:pStyle w:val="Tabletext"/>
              <w:jc w:val="center"/>
              <w:rPr>
                <w:lang w:eastAsia="en-GB"/>
              </w:rPr>
            </w:pPr>
            <w:r w:rsidRPr="004F246B">
              <w:rPr>
                <w:lang w:eastAsia="en-GB"/>
              </w:rPr>
              <w:t>2.17%</w:t>
            </w:r>
          </w:p>
        </w:tc>
        <w:tc>
          <w:tcPr>
            <w:tcW w:w="1108" w:type="dxa"/>
            <w:noWrap/>
            <w:hideMark/>
          </w:tcPr>
          <w:p w14:paraId="5142E028" w14:textId="77777777" w:rsidR="00E52274" w:rsidRPr="004F246B" w:rsidRDefault="00E52274" w:rsidP="003243DD">
            <w:pPr>
              <w:pStyle w:val="Tabletext"/>
              <w:jc w:val="center"/>
              <w:rPr>
                <w:lang w:eastAsia="en-GB"/>
              </w:rPr>
            </w:pPr>
            <w:r w:rsidRPr="004F246B">
              <w:rPr>
                <w:lang w:eastAsia="en-GB"/>
              </w:rPr>
              <w:t>8.57%</w:t>
            </w:r>
          </w:p>
        </w:tc>
      </w:tr>
      <w:tr w:rsidR="00E52274" w:rsidRPr="004F246B" w14:paraId="691152D3" w14:textId="77777777" w:rsidTr="003243DD">
        <w:trPr>
          <w:trHeight w:val="290"/>
          <w:jc w:val="center"/>
        </w:trPr>
        <w:tc>
          <w:tcPr>
            <w:tcW w:w="2830" w:type="dxa"/>
            <w:noWrap/>
            <w:hideMark/>
          </w:tcPr>
          <w:p w14:paraId="09B76842" w14:textId="242C3700" w:rsidR="00E52274" w:rsidRPr="004F246B" w:rsidRDefault="003243DD" w:rsidP="003243DD">
            <w:pPr>
              <w:pStyle w:val="Tabletext"/>
              <w:rPr>
                <w:lang w:eastAsia="en-GB"/>
              </w:rPr>
            </w:pPr>
            <w:r>
              <w:rPr>
                <w:lang w:eastAsia="en-GB"/>
              </w:rPr>
              <w:t>L</w:t>
            </w:r>
            <w:r w:rsidR="00E52274" w:rsidRPr="004F246B">
              <w:rPr>
                <w:lang w:eastAsia="en-GB"/>
              </w:rPr>
              <w:t>ess than 10%</w:t>
            </w:r>
          </w:p>
        </w:tc>
        <w:tc>
          <w:tcPr>
            <w:tcW w:w="995" w:type="dxa"/>
            <w:noWrap/>
            <w:hideMark/>
          </w:tcPr>
          <w:p w14:paraId="5C275436" w14:textId="77777777" w:rsidR="00E52274" w:rsidRPr="004F246B" w:rsidRDefault="00E52274" w:rsidP="003243DD">
            <w:pPr>
              <w:pStyle w:val="Tabletext"/>
              <w:jc w:val="center"/>
              <w:rPr>
                <w:lang w:eastAsia="en-GB"/>
              </w:rPr>
            </w:pPr>
            <w:r w:rsidRPr="004F246B">
              <w:rPr>
                <w:lang w:eastAsia="en-GB"/>
              </w:rPr>
              <w:t>10.20%</w:t>
            </w:r>
          </w:p>
        </w:tc>
        <w:tc>
          <w:tcPr>
            <w:tcW w:w="951" w:type="dxa"/>
            <w:noWrap/>
            <w:hideMark/>
          </w:tcPr>
          <w:p w14:paraId="6BD68A36" w14:textId="77777777" w:rsidR="00E52274" w:rsidRPr="004F246B" w:rsidRDefault="00E52274" w:rsidP="003243DD">
            <w:pPr>
              <w:pStyle w:val="Tabletext"/>
              <w:jc w:val="center"/>
              <w:rPr>
                <w:lang w:eastAsia="en-GB"/>
              </w:rPr>
            </w:pPr>
            <w:r w:rsidRPr="004F246B">
              <w:rPr>
                <w:lang w:eastAsia="en-GB"/>
              </w:rPr>
              <w:t>2.27%</w:t>
            </w:r>
          </w:p>
        </w:tc>
        <w:tc>
          <w:tcPr>
            <w:tcW w:w="951" w:type="dxa"/>
            <w:noWrap/>
            <w:hideMark/>
          </w:tcPr>
          <w:p w14:paraId="2081175B" w14:textId="77777777" w:rsidR="00E52274" w:rsidRPr="004F246B" w:rsidRDefault="00E52274" w:rsidP="003243DD">
            <w:pPr>
              <w:pStyle w:val="Tabletext"/>
              <w:jc w:val="center"/>
              <w:rPr>
                <w:lang w:eastAsia="en-GB"/>
              </w:rPr>
            </w:pPr>
            <w:r w:rsidRPr="004F246B">
              <w:rPr>
                <w:lang w:eastAsia="en-GB"/>
              </w:rPr>
              <w:t>18.20%</w:t>
            </w:r>
          </w:p>
        </w:tc>
        <w:tc>
          <w:tcPr>
            <w:tcW w:w="951" w:type="dxa"/>
            <w:noWrap/>
            <w:hideMark/>
          </w:tcPr>
          <w:p w14:paraId="1369BA87" w14:textId="77777777" w:rsidR="00E52274" w:rsidRPr="004F246B" w:rsidRDefault="00E52274" w:rsidP="003243DD">
            <w:pPr>
              <w:pStyle w:val="Tabletext"/>
              <w:jc w:val="center"/>
              <w:rPr>
                <w:lang w:eastAsia="en-GB"/>
              </w:rPr>
            </w:pPr>
            <w:r w:rsidRPr="004F246B">
              <w:rPr>
                <w:lang w:eastAsia="en-GB"/>
              </w:rPr>
              <w:t>2.50%</w:t>
            </w:r>
          </w:p>
        </w:tc>
        <w:tc>
          <w:tcPr>
            <w:tcW w:w="951" w:type="dxa"/>
            <w:noWrap/>
            <w:hideMark/>
          </w:tcPr>
          <w:p w14:paraId="5A2596EC" w14:textId="77777777" w:rsidR="00E52274" w:rsidRPr="004F246B" w:rsidRDefault="00E52274" w:rsidP="003243DD">
            <w:pPr>
              <w:pStyle w:val="Tabletext"/>
              <w:jc w:val="center"/>
              <w:rPr>
                <w:lang w:eastAsia="en-GB"/>
              </w:rPr>
            </w:pPr>
            <w:r w:rsidRPr="004F246B">
              <w:rPr>
                <w:lang w:eastAsia="en-GB"/>
              </w:rPr>
              <w:t>22.20%</w:t>
            </w:r>
          </w:p>
        </w:tc>
        <w:tc>
          <w:tcPr>
            <w:tcW w:w="951" w:type="dxa"/>
            <w:noWrap/>
            <w:hideMark/>
          </w:tcPr>
          <w:p w14:paraId="6F1BB951" w14:textId="77777777" w:rsidR="00E52274" w:rsidRPr="004F246B" w:rsidRDefault="00E52274" w:rsidP="003243DD">
            <w:pPr>
              <w:pStyle w:val="Tabletext"/>
              <w:jc w:val="center"/>
              <w:rPr>
                <w:lang w:eastAsia="en-GB"/>
              </w:rPr>
            </w:pPr>
            <w:r w:rsidRPr="004F246B">
              <w:rPr>
                <w:lang w:eastAsia="en-GB"/>
              </w:rPr>
              <w:t>19.60%</w:t>
            </w:r>
          </w:p>
        </w:tc>
        <w:tc>
          <w:tcPr>
            <w:tcW w:w="1108" w:type="dxa"/>
            <w:noWrap/>
            <w:hideMark/>
          </w:tcPr>
          <w:p w14:paraId="15A1539C" w14:textId="77777777" w:rsidR="00E52274" w:rsidRPr="004F246B" w:rsidRDefault="00E52274" w:rsidP="003243DD">
            <w:pPr>
              <w:pStyle w:val="Tabletext"/>
              <w:jc w:val="center"/>
              <w:rPr>
                <w:lang w:eastAsia="en-GB"/>
              </w:rPr>
            </w:pPr>
            <w:r w:rsidRPr="004F246B">
              <w:rPr>
                <w:lang w:eastAsia="en-GB"/>
              </w:rPr>
              <w:t>8.57%</w:t>
            </w:r>
          </w:p>
        </w:tc>
      </w:tr>
      <w:tr w:rsidR="006D0A1B" w:rsidRPr="004F246B" w14:paraId="31B65C2C" w14:textId="77777777" w:rsidTr="00305214">
        <w:trPr>
          <w:trHeight w:val="290"/>
          <w:jc w:val="center"/>
        </w:trPr>
        <w:tc>
          <w:tcPr>
            <w:tcW w:w="9688" w:type="dxa"/>
            <w:gridSpan w:val="8"/>
            <w:noWrap/>
          </w:tcPr>
          <w:p w14:paraId="4D041C16" w14:textId="23DF3FCC" w:rsidR="006D0A1B" w:rsidRPr="006D0A1B" w:rsidRDefault="006D0A1B" w:rsidP="006D0A1B">
            <w:pPr>
              <w:pStyle w:val="Tabletext"/>
              <w:rPr>
                <w:lang w:eastAsia="en-GB"/>
              </w:rPr>
            </w:pPr>
            <w:r w:rsidRPr="006D0A1B">
              <w:t>Source</w:t>
            </w:r>
            <w:r w:rsidR="003F4946">
              <w:t>:</w:t>
            </w:r>
            <w:r w:rsidRPr="006D0A1B">
              <w:t xml:space="preserve"> ITU </w:t>
            </w:r>
            <w:hyperlink r:id="rId29" w:history="1">
              <w:r w:rsidRPr="006D0A1B">
                <w:rPr>
                  <w:rStyle w:val="Hyperlink"/>
                </w:rPr>
                <w:t>https://datahub.itu.int/data/?i=11901</w:t>
              </w:r>
            </w:hyperlink>
          </w:p>
        </w:tc>
      </w:tr>
    </w:tbl>
    <w:p w14:paraId="0C7BBB54" w14:textId="77777777" w:rsidR="00E52274" w:rsidRPr="004F246B" w:rsidRDefault="00E52274" w:rsidP="006D0A1B">
      <w:pPr>
        <w:pStyle w:val="Figure"/>
      </w:pPr>
      <w:r w:rsidRPr="004F246B">
        <w:rPr>
          <w:noProof/>
        </w:rPr>
        <w:lastRenderedPageBreak/>
        <w:drawing>
          <wp:inline distT="0" distB="0" distL="0" distR="0" wp14:anchorId="3A011B58" wp14:editId="13C3DC09">
            <wp:extent cx="5241324" cy="4357652"/>
            <wp:effectExtent l="0" t="0" r="0" b="5080"/>
            <wp:docPr id="16" name="Picture 15" descr="Figure 6 – Map of access costs to international connection in retail price">
              <a:extLst xmlns:a="http://schemas.openxmlformats.org/drawingml/2006/main">
                <a:ext uri="{FF2B5EF4-FFF2-40B4-BE49-F238E27FC236}">
                  <a16:creationId xmlns:a16="http://schemas.microsoft.com/office/drawing/2014/main" id="{9268664A-4C2B-4758-EB7E-77DD8B0FCD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Figure 6 – Map of access costs to international connection in retail price">
                      <a:extLst>
                        <a:ext uri="{FF2B5EF4-FFF2-40B4-BE49-F238E27FC236}">
                          <a16:creationId xmlns:a16="http://schemas.microsoft.com/office/drawing/2014/main" id="{9268664A-4C2B-4758-EB7E-77DD8B0FCDC5}"/>
                        </a:ext>
                      </a:extLst>
                    </pic:cNvPr>
                    <pic:cNvPicPr>
                      <a:picLocks noChangeAspect="1"/>
                    </pic:cNvPicPr>
                  </pic:nvPicPr>
                  <pic:blipFill>
                    <a:blip r:embed="rId30"/>
                    <a:stretch>
                      <a:fillRect/>
                    </a:stretch>
                  </pic:blipFill>
                  <pic:spPr>
                    <a:xfrm>
                      <a:off x="0" y="0"/>
                      <a:ext cx="5241324" cy="4357652"/>
                    </a:xfrm>
                    <a:prstGeom prst="rect">
                      <a:avLst/>
                    </a:prstGeom>
                  </pic:spPr>
                </pic:pic>
              </a:graphicData>
            </a:graphic>
          </wp:inline>
        </w:drawing>
      </w:r>
    </w:p>
    <w:p w14:paraId="01CE35B3" w14:textId="188C1A61" w:rsidR="00E52274" w:rsidRDefault="00E52274" w:rsidP="006D0A1B">
      <w:pPr>
        <w:pStyle w:val="FigureNoTitle"/>
      </w:pPr>
      <w:bookmarkStart w:id="52" w:name="_Toc210148062"/>
      <w:r w:rsidRPr="004F246B">
        <w:t xml:space="preserve">Figure </w:t>
      </w:r>
      <w:r w:rsidRPr="004F246B">
        <w:rPr>
          <w:noProof/>
        </w:rPr>
        <w:t>6</w:t>
      </w:r>
      <w:r w:rsidR="006D0A1B">
        <w:rPr>
          <w:noProof/>
        </w:rPr>
        <w:t xml:space="preserve"> –</w:t>
      </w:r>
      <w:r w:rsidRPr="004F246B">
        <w:t xml:space="preserve"> Map of access costs to international connection in retail price</w:t>
      </w:r>
      <w:bookmarkEnd w:id="52"/>
      <w:r w:rsidR="006D0A1B">
        <w:rPr>
          <w:rStyle w:val="FootnoteReference"/>
        </w:rPr>
        <w:footnoteReference w:customMarkFollows="1" w:id="25"/>
        <w:t>*</w:t>
      </w:r>
    </w:p>
    <w:p w14:paraId="4BF716A4" w14:textId="25D08C25" w:rsidR="00E52274" w:rsidRPr="004F246B" w:rsidRDefault="00A95AF8" w:rsidP="002D4726">
      <w:pPr>
        <w:pStyle w:val="Heading3"/>
      </w:pPr>
      <w:bookmarkStart w:id="53" w:name="_Toc210148086"/>
      <w:r>
        <w:t>3.5.2</w:t>
      </w:r>
      <w:r w:rsidR="00BC7350" w:rsidRPr="004F246B">
        <w:tab/>
      </w:r>
      <w:r w:rsidR="00E52274" w:rsidRPr="004F246B">
        <w:t>International bandwidth prices</w:t>
      </w:r>
      <w:bookmarkEnd w:id="53"/>
    </w:p>
    <w:p w14:paraId="612C7C20" w14:textId="4F0256DA" w:rsidR="00E52274" w:rsidRPr="004F246B" w:rsidRDefault="00E52274" w:rsidP="006D0A1B">
      <w:r w:rsidRPr="004F246B">
        <w:t>These are costs incurred by Internet service providers (ISPs) for purchasing international bandwidth from submarine cable operators or satellite providers for transmitting data across international borders.</w:t>
      </w:r>
      <w:r w:rsidR="006106B4">
        <w:t xml:space="preserve"> </w:t>
      </w:r>
      <w:r w:rsidRPr="004F246B">
        <w:t>Prices are typically expressed in price per</w:t>
      </w:r>
      <w:r>
        <w:t xml:space="preserve"> megabits per second</w:t>
      </w:r>
      <w:r w:rsidRPr="004F246B">
        <w:t xml:space="preserve"> </w:t>
      </w:r>
      <w:r>
        <w:t>(</w:t>
      </w:r>
      <w:r w:rsidRPr="004F246B">
        <w:t>Mb</w:t>
      </w:r>
      <w:r>
        <w:t>it/s</w:t>
      </w:r>
      <w:r w:rsidR="009E01F9">
        <w:t>)</w:t>
      </w:r>
      <w:r w:rsidRPr="004F246B">
        <w:t xml:space="preserve"> or price per </w:t>
      </w:r>
      <w:r>
        <w:t>gigabyte (</w:t>
      </w:r>
      <w:r w:rsidRPr="004F246B">
        <w:t>GB</w:t>
      </w:r>
      <w:r>
        <w:t>)</w:t>
      </w:r>
      <w:r w:rsidRPr="004F246B">
        <w:t xml:space="preserve"> of data transfer.</w:t>
      </w:r>
    </w:p>
    <w:p w14:paraId="02A2BCB5" w14:textId="74E98F74" w:rsidR="00E52274" w:rsidRPr="004F246B" w:rsidRDefault="00E52274" w:rsidP="006D0A1B">
      <w:r w:rsidRPr="004F246B">
        <w:t>While the ITU does not publish this data, it collects the distribution of these alternative modalities to access to international connectivity and international landing points are collected by the ITU. This data is based on 136 countries out of 196 countries, 2021. In addition, data on three, not mutually exclusive, modalities are presented: submarine cable, used by 52.6% of countries</w:t>
      </w:r>
      <w:r>
        <w:t>;</w:t>
      </w:r>
      <w:r w:rsidRPr="004F246B">
        <w:t xml:space="preserve"> fibre used by 46.9% of countries</w:t>
      </w:r>
      <w:r>
        <w:t>;</w:t>
      </w:r>
      <w:r w:rsidRPr="004F246B">
        <w:t xml:space="preserve"> satellite used by 50% of countries and other modalities are used by 5.1% of countries. Limitation of publicly available data: ending years per country are inconsistent across economies. The web-based views are clear; the downloaded files are not user-friendly for policy elaborations and statistical analysis about the different modalities. These are in a downloadable file under the different indicator International Landing points, that seem to be equivalent to the modalities feature of the indicator </w:t>
      </w:r>
      <w:r w:rsidR="0070360F">
        <w:t>"</w:t>
      </w:r>
      <w:r w:rsidRPr="004F246B">
        <w:t>Country access to international connectivity</w:t>
      </w:r>
      <w:r w:rsidR="00AF1FCB">
        <w:t>"</w:t>
      </w:r>
      <w:r w:rsidRPr="004F246B">
        <w:t>.</w:t>
      </w:r>
    </w:p>
    <w:p w14:paraId="382E2081" w14:textId="77777777" w:rsidR="00E52274" w:rsidRDefault="00E52274" w:rsidP="001822D5">
      <w:r w:rsidRPr="004F246B">
        <w:t xml:space="preserve">Table </w:t>
      </w:r>
      <w:r w:rsidRPr="004F246B">
        <w:fldChar w:fldCharType="begin"/>
      </w:r>
      <w:r w:rsidRPr="004F246B">
        <w:instrText xml:space="preserve"> SEQ Table \* ARABIC </w:instrText>
      </w:r>
      <w:r w:rsidRPr="004F246B">
        <w:fldChar w:fldCharType="separate"/>
      </w:r>
      <w:r w:rsidRPr="004F246B">
        <w:rPr>
          <w:noProof/>
        </w:rPr>
        <w:t>4</w:t>
      </w:r>
      <w:r w:rsidRPr="004F246B">
        <w:fldChar w:fldCharType="end"/>
      </w:r>
      <w:r>
        <w:t xml:space="preserve"> shows the m</w:t>
      </w:r>
      <w:r w:rsidRPr="004F246B">
        <w:t>odalities of international Internet connectivity</w:t>
      </w:r>
      <w:r>
        <w:t>.</w:t>
      </w:r>
    </w:p>
    <w:tbl>
      <w:tblPr>
        <w:tblW w:w="9639" w:type="dxa"/>
        <w:jc w:val="center"/>
        <w:tblLook w:val="04A0" w:firstRow="1" w:lastRow="0" w:firstColumn="1" w:lastColumn="0" w:noHBand="0" w:noVBand="1"/>
      </w:tblPr>
      <w:tblGrid>
        <w:gridCol w:w="1773"/>
        <w:gridCol w:w="1216"/>
        <w:gridCol w:w="795"/>
        <w:gridCol w:w="840"/>
        <w:gridCol w:w="494"/>
        <w:gridCol w:w="869"/>
        <w:gridCol w:w="247"/>
        <w:gridCol w:w="608"/>
        <w:gridCol w:w="925"/>
        <w:gridCol w:w="1118"/>
        <w:gridCol w:w="754"/>
      </w:tblGrid>
      <w:tr w:rsidR="00E52274" w:rsidRPr="004F246B" w14:paraId="7E9E0DE9" w14:textId="77777777" w:rsidTr="00FF4447">
        <w:trPr>
          <w:trHeight w:val="158"/>
          <w:jc w:val="center"/>
        </w:trPr>
        <w:tc>
          <w:tcPr>
            <w:tcW w:w="9639" w:type="dxa"/>
            <w:gridSpan w:val="11"/>
            <w:tcBorders>
              <w:top w:val="nil"/>
              <w:left w:val="nil"/>
              <w:bottom w:val="single" w:sz="12" w:space="0" w:color="000000"/>
              <w:right w:val="nil"/>
            </w:tcBorders>
          </w:tcPr>
          <w:p w14:paraId="3766D249" w14:textId="405FA8A3" w:rsidR="00E52274" w:rsidRPr="004F246B" w:rsidRDefault="00E52274" w:rsidP="00FF4447">
            <w:pPr>
              <w:pStyle w:val="TableNoTitle"/>
              <w:rPr>
                <w:color w:val="000000"/>
                <w:sz w:val="16"/>
                <w:szCs w:val="16"/>
                <w:lang w:eastAsia="en-GB"/>
              </w:rPr>
            </w:pPr>
            <w:r w:rsidRPr="00870629">
              <w:lastRenderedPageBreak/>
              <w:t xml:space="preserve">Table </w:t>
            </w:r>
            <w:r w:rsidRPr="00870629">
              <w:rPr>
                <w:noProof/>
              </w:rPr>
              <w:t>4</w:t>
            </w:r>
            <w:r w:rsidRPr="00870629">
              <w:t xml:space="preserve"> </w:t>
            </w:r>
            <w:r w:rsidRPr="00870629">
              <w:sym w:font="Symbol" w:char="F02D"/>
            </w:r>
            <w:r w:rsidR="006106B4">
              <w:t xml:space="preserve"> </w:t>
            </w:r>
            <w:r w:rsidRPr="00870629">
              <w:t>Modalities of international Internet connectivity</w:t>
            </w:r>
          </w:p>
        </w:tc>
      </w:tr>
      <w:tr w:rsidR="00E52274" w:rsidRPr="004F246B" w14:paraId="359C2C8E" w14:textId="77777777" w:rsidTr="00AD4B70">
        <w:trPr>
          <w:trHeight w:val="20"/>
          <w:jc w:val="center"/>
        </w:trPr>
        <w:tc>
          <w:tcPr>
            <w:tcW w:w="1773" w:type="dxa"/>
            <w:tcBorders>
              <w:top w:val="nil"/>
              <w:left w:val="nil"/>
              <w:bottom w:val="single" w:sz="12" w:space="0" w:color="000000"/>
              <w:right w:val="nil"/>
            </w:tcBorders>
            <w:vAlign w:val="center"/>
            <w:hideMark/>
          </w:tcPr>
          <w:p w14:paraId="1088AA38" w14:textId="77777777" w:rsidR="00E52274" w:rsidRPr="00FF4447" w:rsidRDefault="00E52274" w:rsidP="00FF4447">
            <w:pPr>
              <w:pStyle w:val="Tablehead"/>
              <w:rPr>
                <w:sz w:val="20"/>
                <w:lang w:eastAsia="en-GB"/>
              </w:rPr>
            </w:pPr>
            <w:r w:rsidRPr="00FF4447">
              <w:rPr>
                <w:sz w:val="20"/>
                <w:lang w:eastAsia="en-GB"/>
              </w:rPr>
              <w:t>Indicator</w:t>
            </w:r>
          </w:p>
        </w:tc>
        <w:tc>
          <w:tcPr>
            <w:tcW w:w="1216" w:type="dxa"/>
            <w:tcBorders>
              <w:top w:val="nil"/>
              <w:left w:val="nil"/>
              <w:bottom w:val="single" w:sz="12" w:space="0" w:color="000000"/>
              <w:right w:val="nil"/>
            </w:tcBorders>
            <w:vAlign w:val="center"/>
            <w:hideMark/>
          </w:tcPr>
          <w:p w14:paraId="65F6E282" w14:textId="77777777" w:rsidR="00E52274" w:rsidRPr="00FF4447" w:rsidRDefault="00E52274" w:rsidP="00FF4447">
            <w:pPr>
              <w:pStyle w:val="Tablehead"/>
              <w:rPr>
                <w:sz w:val="20"/>
                <w:lang w:eastAsia="en-GB"/>
              </w:rPr>
            </w:pPr>
            <w:r w:rsidRPr="00FF4447">
              <w:rPr>
                <w:sz w:val="20"/>
                <w:lang w:eastAsia="en-GB"/>
              </w:rPr>
              <w:t> </w:t>
            </w:r>
          </w:p>
        </w:tc>
        <w:tc>
          <w:tcPr>
            <w:tcW w:w="795" w:type="dxa"/>
            <w:tcBorders>
              <w:top w:val="nil"/>
              <w:left w:val="nil"/>
              <w:bottom w:val="single" w:sz="12" w:space="0" w:color="000000"/>
              <w:right w:val="nil"/>
            </w:tcBorders>
            <w:vAlign w:val="center"/>
            <w:hideMark/>
          </w:tcPr>
          <w:p w14:paraId="4B5C8FF5" w14:textId="77777777" w:rsidR="00E52274" w:rsidRPr="00FF4447" w:rsidRDefault="00E52274" w:rsidP="00FF4447">
            <w:pPr>
              <w:pStyle w:val="Tablehead"/>
              <w:rPr>
                <w:sz w:val="20"/>
                <w:lang w:eastAsia="en-GB"/>
              </w:rPr>
            </w:pPr>
            <w:r w:rsidRPr="00FF4447">
              <w:rPr>
                <w:sz w:val="20"/>
                <w:lang w:eastAsia="en-GB"/>
              </w:rPr>
              <w:t>Africa</w:t>
            </w:r>
          </w:p>
        </w:tc>
        <w:tc>
          <w:tcPr>
            <w:tcW w:w="840" w:type="dxa"/>
            <w:tcBorders>
              <w:top w:val="nil"/>
              <w:left w:val="nil"/>
              <w:bottom w:val="single" w:sz="12" w:space="0" w:color="000000"/>
              <w:right w:val="nil"/>
            </w:tcBorders>
            <w:vAlign w:val="center"/>
            <w:hideMark/>
          </w:tcPr>
          <w:p w14:paraId="390B9813" w14:textId="77777777" w:rsidR="00E52274" w:rsidRPr="00FF4447" w:rsidRDefault="00E52274" w:rsidP="00FF4447">
            <w:pPr>
              <w:pStyle w:val="Tablehead"/>
              <w:rPr>
                <w:sz w:val="20"/>
                <w:lang w:eastAsia="en-GB"/>
              </w:rPr>
            </w:pPr>
            <w:r w:rsidRPr="00FF4447">
              <w:rPr>
                <w:sz w:val="20"/>
                <w:lang w:eastAsia="en-GB"/>
              </w:rPr>
              <w:t>Arab States</w:t>
            </w:r>
          </w:p>
        </w:tc>
        <w:tc>
          <w:tcPr>
            <w:tcW w:w="494" w:type="dxa"/>
            <w:tcBorders>
              <w:top w:val="nil"/>
              <w:left w:val="nil"/>
              <w:bottom w:val="single" w:sz="12" w:space="0" w:color="000000"/>
              <w:right w:val="nil"/>
            </w:tcBorders>
            <w:vAlign w:val="center"/>
          </w:tcPr>
          <w:p w14:paraId="0CD5E43A" w14:textId="77777777" w:rsidR="00E52274" w:rsidRPr="00FF4447" w:rsidRDefault="00E52274" w:rsidP="00FF4447">
            <w:pPr>
              <w:pStyle w:val="Tablehead"/>
              <w:rPr>
                <w:sz w:val="20"/>
                <w:lang w:eastAsia="en-GB"/>
              </w:rPr>
            </w:pPr>
          </w:p>
        </w:tc>
        <w:tc>
          <w:tcPr>
            <w:tcW w:w="869" w:type="dxa"/>
            <w:tcBorders>
              <w:top w:val="nil"/>
              <w:left w:val="nil"/>
              <w:bottom w:val="single" w:sz="12" w:space="0" w:color="000000"/>
              <w:right w:val="nil"/>
            </w:tcBorders>
            <w:vAlign w:val="center"/>
            <w:hideMark/>
          </w:tcPr>
          <w:p w14:paraId="04A137F3" w14:textId="77777777" w:rsidR="00E52274" w:rsidRPr="00FF4447" w:rsidRDefault="00E52274" w:rsidP="00FF4447">
            <w:pPr>
              <w:pStyle w:val="Tablehead"/>
              <w:rPr>
                <w:sz w:val="20"/>
                <w:lang w:eastAsia="en-GB"/>
              </w:rPr>
            </w:pPr>
            <w:r w:rsidRPr="00FF4447">
              <w:rPr>
                <w:sz w:val="20"/>
                <w:lang w:eastAsia="en-GB"/>
              </w:rPr>
              <w:t>Asia &amp; Pacific</w:t>
            </w:r>
          </w:p>
        </w:tc>
        <w:tc>
          <w:tcPr>
            <w:tcW w:w="247" w:type="dxa"/>
            <w:tcBorders>
              <w:top w:val="nil"/>
              <w:left w:val="nil"/>
              <w:bottom w:val="single" w:sz="12" w:space="0" w:color="000000"/>
              <w:right w:val="nil"/>
            </w:tcBorders>
            <w:vAlign w:val="center"/>
          </w:tcPr>
          <w:p w14:paraId="37EC2591" w14:textId="77777777" w:rsidR="00E52274" w:rsidRPr="00FF4447" w:rsidRDefault="00E52274" w:rsidP="00FF4447">
            <w:pPr>
              <w:pStyle w:val="Tablehead"/>
              <w:rPr>
                <w:sz w:val="20"/>
                <w:lang w:eastAsia="en-GB"/>
              </w:rPr>
            </w:pPr>
          </w:p>
        </w:tc>
        <w:tc>
          <w:tcPr>
            <w:tcW w:w="608" w:type="dxa"/>
            <w:tcBorders>
              <w:top w:val="nil"/>
              <w:left w:val="nil"/>
              <w:bottom w:val="single" w:sz="12" w:space="0" w:color="000000"/>
              <w:right w:val="nil"/>
            </w:tcBorders>
            <w:vAlign w:val="center"/>
            <w:hideMark/>
          </w:tcPr>
          <w:p w14:paraId="7969FFAB" w14:textId="77777777" w:rsidR="00E52274" w:rsidRPr="00FF4447" w:rsidRDefault="00E52274" w:rsidP="00FF4447">
            <w:pPr>
              <w:pStyle w:val="Tablehead"/>
              <w:rPr>
                <w:sz w:val="20"/>
                <w:lang w:eastAsia="en-GB"/>
              </w:rPr>
            </w:pPr>
            <w:r w:rsidRPr="00FF4447">
              <w:rPr>
                <w:sz w:val="20"/>
                <w:lang w:eastAsia="en-GB"/>
              </w:rPr>
              <w:t>CIS</w:t>
            </w:r>
          </w:p>
        </w:tc>
        <w:tc>
          <w:tcPr>
            <w:tcW w:w="925" w:type="dxa"/>
            <w:tcBorders>
              <w:top w:val="nil"/>
              <w:left w:val="nil"/>
              <w:bottom w:val="single" w:sz="12" w:space="0" w:color="000000"/>
              <w:right w:val="nil"/>
            </w:tcBorders>
            <w:vAlign w:val="center"/>
            <w:hideMark/>
          </w:tcPr>
          <w:p w14:paraId="728234B6" w14:textId="77777777" w:rsidR="00E52274" w:rsidRPr="00FF4447" w:rsidRDefault="00E52274" w:rsidP="00FF4447">
            <w:pPr>
              <w:pStyle w:val="Tablehead"/>
              <w:rPr>
                <w:sz w:val="20"/>
                <w:lang w:eastAsia="en-GB"/>
              </w:rPr>
            </w:pPr>
            <w:r w:rsidRPr="00FF4447">
              <w:rPr>
                <w:sz w:val="20"/>
                <w:lang w:eastAsia="en-GB"/>
              </w:rPr>
              <w:t>Europe</w:t>
            </w:r>
          </w:p>
        </w:tc>
        <w:tc>
          <w:tcPr>
            <w:tcW w:w="1118" w:type="dxa"/>
            <w:tcBorders>
              <w:top w:val="nil"/>
              <w:left w:val="nil"/>
              <w:bottom w:val="single" w:sz="12" w:space="0" w:color="000000"/>
              <w:right w:val="nil"/>
            </w:tcBorders>
            <w:vAlign w:val="center"/>
            <w:hideMark/>
          </w:tcPr>
          <w:p w14:paraId="082D120C" w14:textId="77777777" w:rsidR="00E52274" w:rsidRPr="00FF4447" w:rsidRDefault="00E52274" w:rsidP="00FF4447">
            <w:pPr>
              <w:pStyle w:val="Tablehead"/>
              <w:rPr>
                <w:sz w:val="20"/>
                <w:lang w:eastAsia="en-GB"/>
              </w:rPr>
            </w:pPr>
            <w:r w:rsidRPr="00FF4447">
              <w:rPr>
                <w:sz w:val="20"/>
                <w:lang w:eastAsia="en-GB"/>
              </w:rPr>
              <w:t>The Americas</w:t>
            </w:r>
          </w:p>
        </w:tc>
        <w:tc>
          <w:tcPr>
            <w:tcW w:w="754" w:type="dxa"/>
            <w:tcBorders>
              <w:top w:val="nil"/>
              <w:left w:val="nil"/>
              <w:bottom w:val="single" w:sz="12" w:space="0" w:color="000000"/>
              <w:right w:val="nil"/>
            </w:tcBorders>
            <w:shd w:val="clear" w:color="auto" w:fill="D3D3D3"/>
            <w:vAlign w:val="center"/>
            <w:hideMark/>
          </w:tcPr>
          <w:p w14:paraId="441A0770" w14:textId="77777777" w:rsidR="00E52274" w:rsidRPr="00FF4447" w:rsidRDefault="00E52274" w:rsidP="00FF4447">
            <w:pPr>
              <w:pStyle w:val="Tablehead"/>
              <w:rPr>
                <w:bCs/>
                <w:sz w:val="20"/>
                <w:lang w:eastAsia="en-GB"/>
              </w:rPr>
            </w:pPr>
            <w:r w:rsidRPr="00FF4447">
              <w:rPr>
                <w:bCs/>
                <w:sz w:val="20"/>
                <w:lang w:eastAsia="en-GB"/>
              </w:rPr>
              <w:t>Total</w:t>
            </w:r>
          </w:p>
        </w:tc>
      </w:tr>
      <w:tr w:rsidR="00E52274" w:rsidRPr="004F246B" w14:paraId="72087483" w14:textId="77777777" w:rsidTr="00AD4B70">
        <w:trPr>
          <w:trHeight w:val="20"/>
          <w:jc w:val="center"/>
        </w:trPr>
        <w:tc>
          <w:tcPr>
            <w:tcW w:w="1773" w:type="dxa"/>
            <w:vMerge w:val="restart"/>
            <w:tcBorders>
              <w:top w:val="single" w:sz="4" w:space="0" w:color="000000"/>
              <w:left w:val="nil"/>
              <w:bottom w:val="nil"/>
              <w:right w:val="nil"/>
            </w:tcBorders>
            <w:hideMark/>
          </w:tcPr>
          <w:p w14:paraId="43660765" w14:textId="77777777" w:rsidR="00E52274" w:rsidRPr="00FF4447" w:rsidRDefault="00E52274" w:rsidP="00FF4447">
            <w:pPr>
              <w:pStyle w:val="Tabletext"/>
              <w:rPr>
                <w:sz w:val="20"/>
                <w:lang w:eastAsia="en-GB"/>
              </w:rPr>
            </w:pPr>
            <w:r w:rsidRPr="00FF4447">
              <w:rPr>
                <w:sz w:val="20"/>
                <w:lang w:eastAsia="en-GB"/>
              </w:rPr>
              <w:t>Does your country have access to international connectivity?</w:t>
            </w:r>
          </w:p>
        </w:tc>
        <w:tc>
          <w:tcPr>
            <w:tcW w:w="1216" w:type="dxa"/>
            <w:tcBorders>
              <w:top w:val="single" w:sz="4" w:space="0" w:color="000000"/>
              <w:left w:val="nil"/>
              <w:bottom w:val="nil"/>
              <w:right w:val="nil"/>
            </w:tcBorders>
            <w:hideMark/>
          </w:tcPr>
          <w:p w14:paraId="3C36964B" w14:textId="77777777" w:rsidR="00E52274" w:rsidRPr="00FF4447" w:rsidRDefault="00E52274" w:rsidP="00FF4447">
            <w:pPr>
              <w:pStyle w:val="Tabletext"/>
              <w:jc w:val="center"/>
              <w:rPr>
                <w:sz w:val="20"/>
                <w:lang w:eastAsia="en-GB"/>
              </w:rPr>
            </w:pPr>
            <w:r w:rsidRPr="00FF4447">
              <w:rPr>
                <w:sz w:val="20"/>
                <w:lang w:eastAsia="en-GB"/>
              </w:rPr>
              <w:t>Yes</w:t>
            </w:r>
          </w:p>
        </w:tc>
        <w:tc>
          <w:tcPr>
            <w:tcW w:w="795" w:type="dxa"/>
            <w:tcBorders>
              <w:top w:val="single" w:sz="4" w:space="0" w:color="000000"/>
              <w:left w:val="nil"/>
              <w:bottom w:val="nil"/>
              <w:right w:val="nil"/>
            </w:tcBorders>
            <w:hideMark/>
          </w:tcPr>
          <w:p w14:paraId="1530849B" w14:textId="77777777" w:rsidR="00E52274" w:rsidRPr="00FF4447" w:rsidRDefault="00E52274" w:rsidP="00FF4447">
            <w:pPr>
              <w:pStyle w:val="Tabletext"/>
              <w:jc w:val="center"/>
              <w:rPr>
                <w:sz w:val="20"/>
                <w:lang w:eastAsia="en-GB"/>
              </w:rPr>
            </w:pPr>
            <w:r w:rsidRPr="00FF4447">
              <w:rPr>
                <w:sz w:val="20"/>
                <w:lang w:eastAsia="en-GB"/>
              </w:rPr>
              <w:t>40</w:t>
            </w:r>
          </w:p>
        </w:tc>
        <w:tc>
          <w:tcPr>
            <w:tcW w:w="840" w:type="dxa"/>
            <w:tcBorders>
              <w:top w:val="single" w:sz="4" w:space="0" w:color="000000"/>
              <w:left w:val="nil"/>
              <w:bottom w:val="nil"/>
              <w:right w:val="nil"/>
            </w:tcBorders>
            <w:hideMark/>
          </w:tcPr>
          <w:p w14:paraId="015BDB1F" w14:textId="77777777" w:rsidR="00E52274" w:rsidRPr="00FF4447" w:rsidRDefault="00E52274" w:rsidP="00FF4447">
            <w:pPr>
              <w:pStyle w:val="Tabletext"/>
              <w:jc w:val="center"/>
              <w:rPr>
                <w:sz w:val="20"/>
                <w:lang w:eastAsia="en-GB"/>
              </w:rPr>
            </w:pPr>
            <w:r w:rsidRPr="00FF4447">
              <w:rPr>
                <w:sz w:val="20"/>
                <w:lang w:eastAsia="en-GB"/>
              </w:rPr>
              <w:t>17</w:t>
            </w:r>
          </w:p>
        </w:tc>
        <w:tc>
          <w:tcPr>
            <w:tcW w:w="494" w:type="dxa"/>
            <w:tcBorders>
              <w:top w:val="single" w:sz="4" w:space="0" w:color="000000"/>
              <w:left w:val="nil"/>
              <w:bottom w:val="nil"/>
              <w:right w:val="nil"/>
            </w:tcBorders>
          </w:tcPr>
          <w:p w14:paraId="3BF1D934" w14:textId="77777777" w:rsidR="00E52274" w:rsidRPr="00FF4447" w:rsidRDefault="00E52274" w:rsidP="00FF4447">
            <w:pPr>
              <w:pStyle w:val="Tabletext"/>
              <w:jc w:val="center"/>
              <w:rPr>
                <w:sz w:val="20"/>
                <w:lang w:eastAsia="en-GB"/>
              </w:rPr>
            </w:pPr>
          </w:p>
        </w:tc>
        <w:tc>
          <w:tcPr>
            <w:tcW w:w="869" w:type="dxa"/>
            <w:tcBorders>
              <w:top w:val="single" w:sz="4" w:space="0" w:color="000000"/>
              <w:left w:val="nil"/>
              <w:bottom w:val="nil"/>
              <w:right w:val="nil"/>
            </w:tcBorders>
            <w:hideMark/>
          </w:tcPr>
          <w:p w14:paraId="4826686C" w14:textId="77777777" w:rsidR="00E52274" w:rsidRPr="00FF4447" w:rsidRDefault="00E52274" w:rsidP="00FF4447">
            <w:pPr>
              <w:pStyle w:val="Tabletext"/>
              <w:jc w:val="center"/>
              <w:rPr>
                <w:sz w:val="20"/>
                <w:lang w:eastAsia="en-GB"/>
              </w:rPr>
            </w:pPr>
            <w:r w:rsidRPr="00FF4447">
              <w:rPr>
                <w:sz w:val="20"/>
                <w:lang w:eastAsia="en-GB"/>
              </w:rPr>
              <w:t>28</w:t>
            </w:r>
          </w:p>
        </w:tc>
        <w:tc>
          <w:tcPr>
            <w:tcW w:w="247" w:type="dxa"/>
            <w:tcBorders>
              <w:top w:val="single" w:sz="4" w:space="0" w:color="000000"/>
              <w:left w:val="nil"/>
              <w:bottom w:val="nil"/>
              <w:right w:val="nil"/>
            </w:tcBorders>
          </w:tcPr>
          <w:p w14:paraId="0480D5F3" w14:textId="77777777" w:rsidR="00E52274" w:rsidRPr="00FF4447" w:rsidRDefault="00E52274" w:rsidP="00FF4447">
            <w:pPr>
              <w:pStyle w:val="Tabletext"/>
              <w:jc w:val="center"/>
              <w:rPr>
                <w:sz w:val="20"/>
                <w:lang w:eastAsia="en-GB"/>
              </w:rPr>
            </w:pPr>
          </w:p>
        </w:tc>
        <w:tc>
          <w:tcPr>
            <w:tcW w:w="608" w:type="dxa"/>
            <w:tcBorders>
              <w:top w:val="single" w:sz="4" w:space="0" w:color="000000"/>
              <w:left w:val="nil"/>
              <w:bottom w:val="nil"/>
              <w:right w:val="nil"/>
            </w:tcBorders>
            <w:hideMark/>
          </w:tcPr>
          <w:p w14:paraId="5D9C6F2B" w14:textId="77777777" w:rsidR="00E52274" w:rsidRPr="00FF4447" w:rsidRDefault="00E52274" w:rsidP="00FF4447">
            <w:pPr>
              <w:pStyle w:val="Tabletext"/>
              <w:jc w:val="center"/>
              <w:rPr>
                <w:sz w:val="20"/>
                <w:lang w:eastAsia="en-GB"/>
              </w:rPr>
            </w:pPr>
            <w:r w:rsidRPr="00FF4447">
              <w:rPr>
                <w:sz w:val="20"/>
                <w:lang w:eastAsia="en-GB"/>
              </w:rPr>
              <w:t>6</w:t>
            </w:r>
          </w:p>
        </w:tc>
        <w:tc>
          <w:tcPr>
            <w:tcW w:w="925" w:type="dxa"/>
            <w:tcBorders>
              <w:top w:val="single" w:sz="4" w:space="0" w:color="000000"/>
              <w:left w:val="nil"/>
              <w:bottom w:val="nil"/>
              <w:right w:val="nil"/>
            </w:tcBorders>
            <w:hideMark/>
          </w:tcPr>
          <w:p w14:paraId="55619EAF" w14:textId="77777777" w:rsidR="00E52274" w:rsidRPr="00FF4447" w:rsidRDefault="00E52274" w:rsidP="00FF4447">
            <w:pPr>
              <w:pStyle w:val="Tabletext"/>
              <w:jc w:val="center"/>
              <w:rPr>
                <w:sz w:val="20"/>
                <w:lang w:eastAsia="en-GB"/>
              </w:rPr>
            </w:pPr>
            <w:r w:rsidRPr="00FF4447">
              <w:rPr>
                <w:sz w:val="20"/>
                <w:lang w:eastAsia="en-GB"/>
              </w:rPr>
              <w:t>39</w:t>
            </w:r>
          </w:p>
        </w:tc>
        <w:tc>
          <w:tcPr>
            <w:tcW w:w="1118" w:type="dxa"/>
            <w:tcBorders>
              <w:top w:val="single" w:sz="4" w:space="0" w:color="000000"/>
              <w:left w:val="nil"/>
              <w:bottom w:val="nil"/>
              <w:right w:val="nil"/>
            </w:tcBorders>
            <w:hideMark/>
          </w:tcPr>
          <w:p w14:paraId="1D118627" w14:textId="77777777" w:rsidR="00E52274" w:rsidRPr="00FF4447" w:rsidRDefault="00E52274" w:rsidP="00FF4447">
            <w:pPr>
              <w:pStyle w:val="Tabletext"/>
              <w:jc w:val="center"/>
              <w:rPr>
                <w:sz w:val="20"/>
                <w:lang w:eastAsia="en-GB"/>
              </w:rPr>
            </w:pPr>
            <w:r w:rsidRPr="00FF4447">
              <w:rPr>
                <w:sz w:val="20"/>
                <w:lang w:eastAsia="en-GB"/>
              </w:rPr>
              <w:t>31</w:t>
            </w:r>
          </w:p>
        </w:tc>
        <w:tc>
          <w:tcPr>
            <w:tcW w:w="754" w:type="dxa"/>
            <w:tcBorders>
              <w:top w:val="single" w:sz="4" w:space="0" w:color="000000"/>
              <w:left w:val="nil"/>
              <w:bottom w:val="nil"/>
              <w:right w:val="nil"/>
            </w:tcBorders>
            <w:shd w:val="clear" w:color="auto" w:fill="D3D3D3"/>
            <w:hideMark/>
          </w:tcPr>
          <w:p w14:paraId="44545332" w14:textId="77777777" w:rsidR="00E52274" w:rsidRPr="00FF4447" w:rsidRDefault="00E52274" w:rsidP="00FF4447">
            <w:pPr>
              <w:pStyle w:val="Tabletext"/>
              <w:jc w:val="center"/>
              <w:rPr>
                <w:b/>
                <w:bCs/>
                <w:sz w:val="20"/>
                <w:lang w:eastAsia="en-GB"/>
              </w:rPr>
            </w:pPr>
            <w:r w:rsidRPr="00FF4447">
              <w:rPr>
                <w:b/>
                <w:bCs/>
                <w:sz w:val="20"/>
                <w:lang w:eastAsia="en-GB"/>
              </w:rPr>
              <w:t>161</w:t>
            </w:r>
          </w:p>
        </w:tc>
      </w:tr>
      <w:tr w:rsidR="00E52274" w:rsidRPr="004F246B" w14:paraId="231D0498" w14:textId="77777777" w:rsidTr="00AD4B70">
        <w:trPr>
          <w:trHeight w:val="20"/>
          <w:jc w:val="center"/>
        </w:trPr>
        <w:tc>
          <w:tcPr>
            <w:tcW w:w="1773" w:type="dxa"/>
            <w:vMerge/>
            <w:tcBorders>
              <w:top w:val="single" w:sz="4" w:space="0" w:color="000000"/>
              <w:left w:val="nil"/>
              <w:bottom w:val="nil"/>
              <w:right w:val="nil"/>
            </w:tcBorders>
            <w:vAlign w:val="center"/>
            <w:hideMark/>
          </w:tcPr>
          <w:p w14:paraId="496AAD24"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1C81191E" w14:textId="77777777" w:rsidR="00E52274" w:rsidRPr="00FF4447" w:rsidRDefault="00E52274" w:rsidP="00FF4447">
            <w:pPr>
              <w:pStyle w:val="Tabletext"/>
              <w:jc w:val="center"/>
              <w:rPr>
                <w:sz w:val="20"/>
                <w:lang w:eastAsia="en-GB"/>
              </w:rPr>
            </w:pPr>
            <w:r w:rsidRPr="00FF4447">
              <w:rPr>
                <w:sz w:val="20"/>
                <w:lang w:eastAsia="en-GB"/>
              </w:rPr>
              <w:t>No</w:t>
            </w:r>
          </w:p>
        </w:tc>
        <w:tc>
          <w:tcPr>
            <w:tcW w:w="795" w:type="dxa"/>
            <w:tcBorders>
              <w:top w:val="single" w:sz="4" w:space="0" w:color="D3D3D3"/>
              <w:left w:val="nil"/>
              <w:bottom w:val="nil"/>
              <w:right w:val="nil"/>
            </w:tcBorders>
            <w:hideMark/>
          </w:tcPr>
          <w:p w14:paraId="1FAD61FA" w14:textId="77777777" w:rsidR="00E52274" w:rsidRPr="00FF4447" w:rsidRDefault="00E52274" w:rsidP="00FF4447">
            <w:pPr>
              <w:pStyle w:val="Tabletext"/>
              <w:jc w:val="center"/>
              <w:rPr>
                <w:sz w:val="20"/>
                <w:lang w:eastAsia="en-GB"/>
              </w:rPr>
            </w:pPr>
            <w:r w:rsidRPr="00FF4447">
              <w:rPr>
                <w:sz w:val="20"/>
                <w:lang w:eastAsia="en-GB"/>
              </w:rPr>
              <w:t>0</w:t>
            </w:r>
          </w:p>
        </w:tc>
        <w:tc>
          <w:tcPr>
            <w:tcW w:w="840" w:type="dxa"/>
            <w:tcBorders>
              <w:top w:val="single" w:sz="4" w:space="0" w:color="D3D3D3"/>
              <w:left w:val="nil"/>
              <w:bottom w:val="nil"/>
              <w:right w:val="nil"/>
            </w:tcBorders>
            <w:hideMark/>
          </w:tcPr>
          <w:p w14:paraId="599471A3" w14:textId="77777777" w:rsidR="00E52274" w:rsidRPr="00FF4447" w:rsidRDefault="00E52274" w:rsidP="00FF4447">
            <w:pPr>
              <w:pStyle w:val="Tabletext"/>
              <w:jc w:val="center"/>
              <w:rPr>
                <w:sz w:val="20"/>
                <w:lang w:eastAsia="en-GB"/>
              </w:rPr>
            </w:pPr>
            <w:r w:rsidRPr="00FF4447">
              <w:rPr>
                <w:sz w:val="20"/>
                <w:lang w:eastAsia="en-GB"/>
              </w:rPr>
              <w:t>0</w:t>
            </w:r>
          </w:p>
        </w:tc>
        <w:tc>
          <w:tcPr>
            <w:tcW w:w="494" w:type="dxa"/>
            <w:tcBorders>
              <w:top w:val="single" w:sz="4" w:space="0" w:color="D3D3D3"/>
              <w:left w:val="nil"/>
              <w:bottom w:val="nil"/>
              <w:right w:val="nil"/>
            </w:tcBorders>
          </w:tcPr>
          <w:p w14:paraId="2ED84E70"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3B45D875" w14:textId="77777777" w:rsidR="00E52274" w:rsidRPr="00FF4447" w:rsidRDefault="00E52274" w:rsidP="00FF4447">
            <w:pPr>
              <w:pStyle w:val="Tabletext"/>
              <w:jc w:val="center"/>
              <w:rPr>
                <w:sz w:val="20"/>
                <w:lang w:eastAsia="en-GB"/>
              </w:rPr>
            </w:pPr>
            <w:r w:rsidRPr="00FF4447">
              <w:rPr>
                <w:sz w:val="20"/>
                <w:lang w:eastAsia="en-GB"/>
              </w:rPr>
              <w:t>0</w:t>
            </w:r>
          </w:p>
        </w:tc>
        <w:tc>
          <w:tcPr>
            <w:tcW w:w="247" w:type="dxa"/>
            <w:tcBorders>
              <w:top w:val="single" w:sz="4" w:space="0" w:color="D3D3D3"/>
              <w:left w:val="nil"/>
              <w:bottom w:val="nil"/>
              <w:right w:val="nil"/>
            </w:tcBorders>
          </w:tcPr>
          <w:p w14:paraId="018DDC12"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3A4050AB" w14:textId="77777777" w:rsidR="00E52274" w:rsidRPr="00FF4447" w:rsidRDefault="00E52274" w:rsidP="00FF4447">
            <w:pPr>
              <w:pStyle w:val="Tabletext"/>
              <w:jc w:val="center"/>
              <w:rPr>
                <w:sz w:val="20"/>
                <w:lang w:eastAsia="en-GB"/>
              </w:rPr>
            </w:pPr>
            <w:r w:rsidRPr="00FF4447">
              <w:rPr>
                <w:sz w:val="20"/>
                <w:lang w:eastAsia="en-GB"/>
              </w:rPr>
              <w:t>0</w:t>
            </w:r>
          </w:p>
        </w:tc>
        <w:tc>
          <w:tcPr>
            <w:tcW w:w="925" w:type="dxa"/>
            <w:tcBorders>
              <w:top w:val="single" w:sz="4" w:space="0" w:color="D3D3D3"/>
              <w:left w:val="nil"/>
              <w:bottom w:val="nil"/>
              <w:right w:val="nil"/>
            </w:tcBorders>
            <w:hideMark/>
          </w:tcPr>
          <w:p w14:paraId="50637774" w14:textId="77777777" w:rsidR="00E52274" w:rsidRPr="00FF4447" w:rsidRDefault="00E52274" w:rsidP="00FF4447">
            <w:pPr>
              <w:pStyle w:val="Tabletext"/>
              <w:jc w:val="center"/>
              <w:rPr>
                <w:sz w:val="20"/>
                <w:lang w:eastAsia="en-GB"/>
              </w:rPr>
            </w:pPr>
            <w:r w:rsidRPr="00FF4447">
              <w:rPr>
                <w:sz w:val="20"/>
                <w:lang w:eastAsia="en-GB"/>
              </w:rPr>
              <w:t>0</w:t>
            </w:r>
          </w:p>
        </w:tc>
        <w:tc>
          <w:tcPr>
            <w:tcW w:w="1118" w:type="dxa"/>
            <w:tcBorders>
              <w:top w:val="single" w:sz="4" w:space="0" w:color="D3D3D3"/>
              <w:left w:val="nil"/>
              <w:bottom w:val="nil"/>
              <w:right w:val="nil"/>
            </w:tcBorders>
            <w:hideMark/>
          </w:tcPr>
          <w:p w14:paraId="12EA7F73" w14:textId="77777777" w:rsidR="00E52274" w:rsidRPr="00FF4447" w:rsidRDefault="00E52274" w:rsidP="00FF4447">
            <w:pPr>
              <w:pStyle w:val="Tabletext"/>
              <w:jc w:val="center"/>
              <w:rPr>
                <w:sz w:val="20"/>
                <w:lang w:eastAsia="en-GB"/>
              </w:rPr>
            </w:pPr>
            <w:r w:rsidRPr="00FF4447">
              <w:rPr>
                <w:sz w:val="20"/>
                <w:lang w:eastAsia="en-GB"/>
              </w:rPr>
              <w:t>0</w:t>
            </w:r>
          </w:p>
        </w:tc>
        <w:tc>
          <w:tcPr>
            <w:tcW w:w="754" w:type="dxa"/>
            <w:tcBorders>
              <w:top w:val="single" w:sz="4" w:space="0" w:color="D3D3D3"/>
              <w:left w:val="nil"/>
              <w:bottom w:val="nil"/>
              <w:right w:val="nil"/>
            </w:tcBorders>
            <w:shd w:val="clear" w:color="auto" w:fill="D3D3D3"/>
            <w:hideMark/>
          </w:tcPr>
          <w:p w14:paraId="49281E3E" w14:textId="77777777" w:rsidR="00E52274" w:rsidRPr="00FF4447" w:rsidRDefault="00E52274" w:rsidP="00FF4447">
            <w:pPr>
              <w:pStyle w:val="Tabletext"/>
              <w:jc w:val="center"/>
              <w:rPr>
                <w:b/>
                <w:bCs/>
                <w:sz w:val="20"/>
                <w:lang w:eastAsia="en-GB"/>
              </w:rPr>
            </w:pPr>
            <w:r w:rsidRPr="00FF4447">
              <w:rPr>
                <w:b/>
                <w:bCs/>
                <w:sz w:val="20"/>
                <w:lang w:eastAsia="en-GB"/>
              </w:rPr>
              <w:t>0</w:t>
            </w:r>
          </w:p>
        </w:tc>
      </w:tr>
      <w:tr w:rsidR="00E52274" w:rsidRPr="004F246B" w14:paraId="31012529" w14:textId="77777777" w:rsidTr="00AD4B70">
        <w:trPr>
          <w:trHeight w:val="20"/>
          <w:jc w:val="center"/>
        </w:trPr>
        <w:tc>
          <w:tcPr>
            <w:tcW w:w="1773" w:type="dxa"/>
            <w:vMerge w:val="restart"/>
            <w:tcBorders>
              <w:top w:val="single" w:sz="4" w:space="0" w:color="000000"/>
              <w:left w:val="nil"/>
              <w:bottom w:val="nil"/>
              <w:right w:val="nil"/>
            </w:tcBorders>
            <w:hideMark/>
          </w:tcPr>
          <w:p w14:paraId="2B460D6B" w14:textId="103FF41C" w:rsidR="00E52274" w:rsidRPr="00FF4447" w:rsidRDefault="00E52274" w:rsidP="00FF4447">
            <w:pPr>
              <w:pStyle w:val="Tabletext"/>
              <w:rPr>
                <w:sz w:val="20"/>
                <w:lang w:eastAsia="en-GB"/>
              </w:rPr>
            </w:pPr>
            <w:r w:rsidRPr="00FF4447">
              <w:rPr>
                <w:sz w:val="20"/>
                <w:lang w:eastAsia="en-GB"/>
              </w:rPr>
              <w:t>If yes, by which modes?*</w:t>
            </w:r>
          </w:p>
        </w:tc>
        <w:tc>
          <w:tcPr>
            <w:tcW w:w="1216" w:type="dxa"/>
            <w:tcBorders>
              <w:top w:val="single" w:sz="4" w:space="0" w:color="000000"/>
              <w:left w:val="nil"/>
              <w:bottom w:val="nil"/>
              <w:right w:val="nil"/>
            </w:tcBorders>
            <w:hideMark/>
          </w:tcPr>
          <w:p w14:paraId="397D7F50" w14:textId="77777777" w:rsidR="00E52274" w:rsidRPr="00FF4447" w:rsidRDefault="00E52274" w:rsidP="00FF4447">
            <w:pPr>
              <w:pStyle w:val="Tabletext"/>
              <w:jc w:val="center"/>
              <w:rPr>
                <w:sz w:val="20"/>
                <w:lang w:eastAsia="en-GB"/>
              </w:rPr>
            </w:pPr>
            <w:r w:rsidRPr="00FF4447">
              <w:rPr>
                <w:sz w:val="20"/>
                <w:lang w:eastAsia="en-GB"/>
              </w:rPr>
              <w:t>Submarine cable</w:t>
            </w:r>
          </w:p>
        </w:tc>
        <w:tc>
          <w:tcPr>
            <w:tcW w:w="795" w:type="dxa"/>
            <w:tcBorders>
              <w:top w:val="single" w:sz="4" w:space="0" w:color="000000"/>
              <w:left w:val="nil"/>
              <w:bottom w:val="nil"/>
              <w:right w:val="nil"/>
            </w:tcBorders>
            <w:hideMark/>
          </w:tcPr>
          <w:p w14:paraId="1E89F7CE" w14:textId="77777777" w:rsidR="00E52274" w:rsidRPr="00FF4447" w:rsidRDefault="00E52274" w:rsidP="00FF4447">
            <w:pPr>
              <w:pStyle w:val="Tabletext"/>
              <w:jc w:val="center"/>
              <w:rPr>
                <w:sz w:val="20"/>
                <w:lang w:eastAsia="en-GB"/>
              </w:rPr>
            </w:pPr>
            <w:r w:rsidRPr="00FF4447">
              <w:rPr>
                <w:sz w:val="20"/>
                <w:lang w:eastAsia="en-GB"/>
              </w:rPr>
              <w:t>33</w:t>
            </w:r>
          </w:p>
        </w:tc>
        <w:tc>
          <w:tcPr>
            <w:tcW w:w="840" w:type="dxa"/>
            <w:tcBorders>
              <w:top w:val="single" w:sz="4" w:space="0" w:color="000000"/>
              <w:left w:val="nil"/>
              <w:bottom w:val="nil"/>
              <w:right w:val="nil"/>
            </w:tcBorders>
            <w:hideMark/>
          </w:tcPr>
          <w:p w14:paraId="2DF46836" w14:textId="77777777" w:rsidR="00E52274" w:rsidRPr="00FF4447" w:rsidRDefault="00E52274" w:rsidP="00FF4447">
            <w:pPr>
              <w:pStyle w:val="Tabletext"/>
              <w:jc w:val="center"/>
              <w:rPr>
                <w:sz w:val="20"/>
                <w:lang w:eastAsia="en-GB"/>
              </w:rPr>
            </w:pPr>
            <w:r w:rsidRPr="00FF4447">
              <w:rPr>
                <w:sz w:val="20"/>
                <w:lang w:eastAsia="en-GB"/>
              </w:rPr>
              <w:t>16</w:t>
            </w:r>
          </w:p>
        </w:tc>
        <w:tc>
          <w:tcPr>
            <w:tcW w:w="494" w:type="dxa"/>
            <w:tcBorders>
              <w:top w:val="single" w:sz="4" w:space="0" w:color="000000"/>
              <w:left w:val="nil"/>
              <w:bottom w:val="nil"/>
              <w:right w:val="nil"/>
            </w:tcBorders>
          </w:tcPr>
          <w:p w14:paraId="144EB94F" w14:textId="77777777" w:rsidR="00E52274" w:rsidRPr="00FF4447" w:rsidRDefault="00E52274" w:rsidP="00FF4447">
            <w:pPr>
              <w:pStyle w:val="Tabletext"/>
              <w:jc w:val="center"/>
              <w:rPr>
                <w:sz w:val="20"/>
                <w:lang w:eastAsia="en-GB"/>
              </w:rPr>
            </w:pPr>
          </w:p>
        </w:tc>
        <w:tc>
          <w:tcPr>
            <w:tcW w:w="869" w:type="dxa"/>
            <w:tcBorders>
              <w:top w:val="single" w:sz="4" w:space="0" w:color="000000"/>
              <w:left w:val="nil"/>
              <w:bottom w:val="nil"/>
              <w:right w:val="nil"/>
            </w:tcBorders>
            <w:hideMark/>
          </w:tcPr>
          <w:p w14:paraId="2B27CF70" w14:textId="77777777" w:rsidR="00E52274" w:rsidRPr="00FF4447" w:rsidRDefault="00E52274" w:rsidP="00FF4447">
            <w:pPr>
              <w:pStyle w:val="Tabletext"/>
              <w:jc w:val="center"/>
              <w:rPr>
                <w:sz w:val="20"/>
                <w:lang w:eastAsia="en-GB"/>
              </w:rPr>
            </w:pPr>
            <w:r w:rsidRPr="00FF4447">
              <w:rPr>
                <w:sz w:val="20"/>
                <w:lang w:eastAsia="en-GB"/>
              </w:rPr>
              <w:t>22</w:t>
            </w:r>
          </w:p>
        </w:tc>
        <w:tc>
          <w:tcPr>
            <w:tcW w:w="247" w:type="dxa"/>
            <w:tcBorders>
              <w:top w:val="single" w:sz="4" w:space="0" w:color="000000"/>
              <w:left w:val="nil"/>
              <w:bottom w:val="nil"/>
              <w:right w:val="nil"/>
            </w:tcBorders>
          </w:tcPr>
          <w:p w14:paraId="314DB6F5" w14:textId="77777777" w:rsidR="00E52274" w:rsidRPr="00FF4447" w:rsidRDefault="00E52274" w:rsidP="00FF4447">
            <w:pPr>
              <w:pStyle w:val="Tabletext"/>
              <w:jc w:val="center"/>
              <w:rPr>
                <w:sz w:val="20"/>
                <w:lang w:eastAsia="en-GB"/>
              </w:rPr>
            </w:pPr>
          </w:p>
        </w:tc>
        <w:tc>
          <w:tcPr>
            <w:tcW w:w="608" w:type="dxa"/>
            <w:tcBorders>
              <w:top w:val="single" w:sz="4" w:space="0" w:color="000000"/>
              <w:left w:val="nil"/>
              <w:bottom w:val="nil"/>
              <w:right w:val="nil"/>
            </w:tcBorders>
            <w:hideMark/>
          </w:tcPr>
          <w:p w14:paraId="0D70A27C" w14:textId="77777777" w:rsidR="00E52274" w:rsidRPr="00FF4447" w:rsidRDefault="00E52274" w:rsidP="00FF4447">
            <w:pPr>
              <w:pStyle w:val="Tabletext"/>
              <w:jc w:val="center"/>
              <w:rPr>
                <w:sz w:val="20"/>
                <w:lang w:eastAsia="en-GB"/>
              </w:rPr>
            </w:pPr>
            <w:r w:rsidRPr="00FF4447">
              <w:rPr>
                <w:sz w:val="20"/>
                <w:lang w:eastAsia="en-GB"/>
              </w:rPr>
              <w:t>1</w:t>
            </w:r>
          </w:p>
        </w:tc>
        <w:tc>
          <w:tcPr>
            <w:tcW w:w="925" w:type="dxa"/>
            <w:tcBorders>
              <w:top w:val="single" w:sz="4" w:space="0" w:color="000000"/>
              <w:left w:val="nil"/>
              <w:bottom w:val="nil"/>
              <w:right w:val="nil"/>
            </w:tcBorders>
            <w:hideMark/>
          </w:tcPr>
          <w:p w14:paraId="35161B7B" w14:textId="77777777" w:rsidR="00E52274" w:rsidRPr="00FF4447" w:rsidRDefault="00E52274" w:rsidP="00FF4447">
            <w:pPr>
              <w:pStyle w:val="Tabletext"/>
              <w:jc w:val="center"/>
              <w:rPr>
                <w:sz w:val="20"/>
                <w:lang w:eastAsia="en-GB"/>
              </w:rPr>
            </w:pPr>
            <w:r w:rsidRPr="00FF4447">
              <w:rPr>
                <w:sz w:val="20"/>
                <w:lang w:eastAsia="en-GB"/>
              </w:rPr>
              <w:t>23</w:t>
            </w:r>
          </w:p>
        </w:tc>
        <w:tc>
          <w:tcPr>
            <w:tcW w:w="1118" w:type="dxa"/>
            <w:tcBorders>
              <w:top w:val="single" w:sz="4" w:space="0" w:color="000000"/>
              <w:left w:val="nil"/>
              <w:bottom w:val="nil"/>
              <w:right w:val="nil"/>
            </w:tcBorders>
            <w:hideMark/>
          </w:tcPr>
          <w:p w14:paraId="2C290C82" w14:textId="77777777" w:rsidR="00E52274" w:rsidRPr="00FF4447" w:rsidRDefault="00E52274" w:rsidP="00FF4447">
            <w:pPr>
              <w:pStyle w:val="Tabletext"/>
              <w:jc w:val="center"/>
              <w:rPr>
                <w:sz w:val="20"/>
                <w:lang w:eastAsia="en-GB"/>
              </w:rPr>
            </w:pPr>
            <w:r w:rsidRPr="00FF4447">
              <w:rPr>
                <w:sz w:val="20"/>
                <w:lang w:eastAsia="en-GB"/>
              </w:rPr>
              <w:t>30</w:t>
            </w:r>
          </w:p>
        </w:tc>
        <w:tc>
          <w:tcPr>
            <w:tcW w:w="754" w:type="dxa"/>
            <w:tcBorders>
              <w:top w:val="single" w:sz="4" w:space="0" w:color="000000"/>
              <w:left w:val="nil"/>
              <w:bottom w:val="nil"/>
              <w:right w:val="nil"/>
            </w:tcBorders>
            <w:shd w:val="clear" w:color="auto" w:fill="D3D3D3"/>
            <w:hideMark/>
          </w:tcPr>
          <w:p w14:paraId="3DD1B45D" w14:textId="77777777" w:rsidR="00E52274" w:rsidRPr="00FF4447" w:rsidRDefault="00E52274" w:rsidP="00FF4447">
            <w:pPr>
              <w:pStyle w:val="Tabletext"/>
              <w:jc w:val="center"/>
              <w:rPr>
                <w:b/>
                <w:bCs/>
                <w:sz w:val="20"/>
                <w:lang w:eastAsia="en-GB"/>
              </w:rPr>
            </w:pPr>
            <w:r w:rsidRPr="00FF4447">
              <w:rPr>
                <w:b/>
                <w:bCs/>
                <w:sz w:val="20"/>
                <w:lang w:eastAsia="en-GB"/>
              </w:rPr>
              <w:t>125</w:t>
            </w:r>
          </w:p>
        </w:tc>
      </w:tr>
      <w:tr w:rsidR="00E52274" w:rsidRPr="004F246B" w14:paraId="4EB09B98" w14:textId="77777777" w:rsidTr="00AD4B70">
        <w:trPr>
          <w:trHeight w:val="20"/>
          <w:jc w:val="center"/>
        </w:trPr>
        <w:tc>
          <w:tcPr>
            <w:tcW w:w="1773" w:type="dxa"/>
            <w:vMerge/>
            <w:tcBorders>
              <w:top w:val="single" w:sz="4" w:space="0" w:color="000000"/>
              <w:left w:val="nil"/>
              <w:bottom w:val="nil"/>
              <w:right w:val="nil"/>
            </w:tcBorders>
            <w:vAlign w:val="center"/>
            <w:hideMark/>
          </w:tcPr>
          <w:p w14:paraId="13FB536A"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2BBBC1DB" w14:textId="77777777" w:rsidR="00E52274" w:rsidRPr="00FF4447" w:rsidRDefault="00E52274" w:rsidP="00FF4447">
            <w:pPr>
              <w:pStyle w:val="Tabletext"/>
              <w:jc w:val="center"/>
              <w:rPr>
                <w:sz w:val="20"/>
                <w:lang w:eastAsia="en-GB"/>
              </w:rPr>
            </w:pPr>
            <w:r w:rsidRPr="00FF4447">
              <w:rPr>
                <w:sz w:val="20"/>
                <w:lang w:eastAsia="en-GB"/>
              </w:rPr>
              <w:t>Satellite</w:t>
            </w:r>
          </w:p>
        </w:tc>
        <w:tc>
          <w:tcPr>
            <w:tcW w:w="795" w:type="dxa"/>
            <w:tcBorders>
              <w:top w:val="single" w:sz="4" w:space="0" w:color="D3D3D3"/>
              <w:left w:val="nil"/>
              <w:bottom w:val="nil"/>
              <w:right w:val="nil"/>
            </w:tcBorders>
            <w:hideMark/>
          </w:tcPr>
          <w:p w14:paraId="5D08B8D0" w14:textId="77777777" w:rsidR="00E52274" w:rsidRPr="00FF4447" w:rsidRDefault="00E52274" w:rsidP="00FF4447">
            <w:pPr>
              <w:pStyle w:val="Tabletext"/>
              <w:jc w:val="center"/>
              <w:rPr>
                <w:sz w:val="20"/>
                <w:lang w:eastAsia="en-GB"/>
              </w:rPr>
            </w:pPr>
            <w:r w:rsidRPr="00FF4447">
              <w:rPr>
                <w:sz w:val="20"/>
                <w:lang w:eastAsia="en-GB"/>
              </w:rPr>
              <w:t>32</w:t>
            </w:r>
          </w:p>
        </w:tc>
        <w:tc>
          <w:tcPr>
            <w:tcW w:w="840" w:type="dxa"/>
            <w:tcBorders>
              <w:top w:val="single" w:sz="4" w:space="0" w:color="D3D3D3"/>
              <w:left w:val="nil"/>
              <w:bottom w:val="nil"/>
              <w:right w:val="nil"/>
            </w:tcBorders>
            <w:hideMark/>
          </w:tcPr>
          <w:p w14:paraId="32A6DDA1" w14:textId="77777777" w:rsidR="00E52274" w:rsidRPr="00FF4447" w:rsidRDefault="00E52274" w:rsidP="00FF4447">
            <w:pPr>
              <w:pStyle w:val="Tabletext"/>
              <w:jc w:val="center"/>
              <w:rPr>
                <w:sz w:val="20"/>
                <w:lang w:eastAsia="en-GB"/>
              </w:rPr>
            </w:pPr>
            <w:r w:rsidRPr="00FF4447">
              <w:rPr>
                <w:sz w:val="20"/>
                <w:lang w:eastAsia="en-GB"/>
              </w:rPr>
              <w:t>14</w:t>
            </w:r>
          </w:p>
        </w:tc>
        <w:tc>
          <w:tcPr>
            <w:tcW w:w="494" w:type="dxa"/>
            <w:tcBorders>
              <w:top w:val="single" w:sz="4" w:space="0" w:color="D3D3D3"/>
              <w:left w:val="nil"/>
              <w:bottom w:val="nil"/>
              <w:right w:val="nil"/>
            </w:tcBorders>
          </w:tcPr>
          <w:p w14:paraId="469129B4"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49F9AB6B" w14:textId="77777777" w:rsidR="00E52274" w:rsidRPr="00FF4447" w:rsidRDefault="00E52274" w:rsidP="00FF4447">
            <w:pPr>
              <w:pStyle w:val="Tabletext"/>
              <w:jc w:val="center"/>
              <w:rPr>
                <w:sz w:val="20"/>
                <w:lang w:eastAsia="en-GB"/>
              </w:rPr>
            </w:pPr>
            <w:r w:rsidRPr="00FF4447">
              <w:rPr>
                <w:sz w:val="20"/>
                <w:lang w:eastAsia="en-GB"/>
              </w:rPr>
              <w:t>26</w:t>
            </w:r>
          </w:p>
        </w:tc>
        <w:tc>
          <w:tcPr>
            <w:tcW w:w="247" w:type="dxa"/>
            <w:tcBorders>
              <w:top w:val="single" w:sz="4" w:space="0" w:color="D3D3D3"/>
              <w:left w:val="nil"/>
              <w:bottom w:val="nil"/>
              <w:right w:val="nil"/>
            </w:tcBorders>
          </w:tcPr>
          <w:p w14:paraId="0A31F739"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39E606E5" w14:textId="77777777" w:rsidR="00E52274" w:rsidRPr="00FF4447" w:rsidRDefault="00E52274" w:rsidP="00FF4447">
            <w:pPr>
              <w:pStyle w:val="Tabletext"/>
              <w:jc w:val="center"/>
              <w:rPr>
                <w:sz w:val="20"/>
                <w:lang w:eastAsia="en-GB"/>
              </w:rPr>
            </w:pPr>
            <w:r w:rsidRPr="00FF4447">
              <w:rPr>
                <w:sz w:val="20"/>
                <w:lang w:eastAsia="en-GB"/>
              </w:rPr>
              <w:t>4</w:t>
            </w:r>
          </w:p>
        </w:tc>
        <w:tc>
          <w:tcPr>
            <w:tcW w:w="925" w:type="dxa"/>
            <w:tcBorders>
              <w:top w:val="single" w:sz="4" w:space="0" w:color="D3D3D3"/>
              <w:left w:val="nil"/>
              <w:bottom w:val="nil"/>
              <w:right w:val="nil"/>
            </w:tcBorders>
            <w:hideMark/>
          </w:tcPr>
          <w:p w14:paraId="48A35A14" w14:textId="77777777" w:rsidR="00E52274" w:rsidRPr="00FF4447" w:rsidRDefault="00E52274" w:rsidP="00FF4447">
            <w:pPr>
              <w:pStyle w:val="Tabletext"/>
              <w:jc w:val="center"/>
              <w:rPr>
                <w:sz w:val="20"/>
                <w:lang w:eastAsia="en-GB"/>
              </w:rPr>
            </w:pPr>
            <w:r w:rsidRPr="00FF4447">
              <w:rPr>
                <w:sz w:val="20"/>
                <w:lang w:eastAsia="en-GB"/>
              </w:rPr>
              <w:t>25</w:t>
            </w:r>
          </w:p>
        </w:tc>
        <w:tc>
          <w:tcPr>
            <w:tcW w:w="1118" w:type="dxa"/>
            <w:tcBorders>
              <w:top w:val="single" w:sz="4" w:space="0" w:color="D3D3D3"/>
              <w:left w:val="nil"/>
              <w:bottom w:val="nil"/>
              <w:right w:val="nil"/>
            </w:tcBorders>
            <w:hideMark/>
          </w:tcPr>
          <w:p w14:paraId="3DC397C5" w14:textId="77777777" w:rsidR="00E52274" w:rsidRPr="00FF4447" w:rsidRDefault="00E52274" w:rsidP="00FF4447">
            <w:pPr>
              <w:pStyle w:val="Tabletext"/>
              <w:jc w:val="center"/>
              <w:rPr>
                <w:sz w:val="20"/>
                <w:lang w:eastAsia="en-GB"/>
              </w:rPr>
            </w:pPr>
            <w:r w:rsidRPr="00FF4447">
              <w:rPr>
                <w:sz w:val="20"/>
                <w:lang w:eastAsia="en-GB"/>
              </w:rPr>
              <w:t>21</w:t>
            </w:r>
          </w:p>
        </w:tc>
        <w:tc>
          <w:tcPr>
            <w:tcW w:w="754" w:type="dxa"/>
            <w:tcBorders>
              <w:top w:val="single" w:sz="4" w:space="0" w:color="D3D3D3"/>
              <w:left w:val="nil"/>
              <w:bottom w:val="nil"/>
              <w:right w:val="nil"/>
            </w:tcBorders>
            <w:shd w:val="clear" w:color="auto" w:fill="D3D3D3"/>
            <w:hideMark/>
          </w:tcPr>
          <w:p w14:paraId="13A226A1" w14:textId="77777777" w:rsidR="00E52274" w:rsidRPr="00FF4447" w:rsidRDefault="00E52274" w:rsidP="00FF4447">
            <w:pPr>
              <w:pStyle w:val="Tabletext"/>
              <w:jc w:val="center"/>
              <w:rPr>
                <w:b/>
                <w:bCs/>
                <w:sz w:val="20"/>
                <w:lang w:eastAsia="en-GB"/>
              </w:rPr>
            </w:pPr>
            <w:r w:rsidRPr="00FF4447">
              <w:rPr>
                <w:b/>
                <w:bCs/>
                <w:sz w:val="20"/>
                <w:lang w:eastAsia="en-GB"/>
              </w:rPr>
              <w:t>122</w:t>
            </w:r>
          </w:p>
        </w:tc>
      </w:tr>
      <w:tr w:rsidR="00E52274" w:rsidRPr="004F246B" w14:paraId="7CF8F02D" w14:textId="77777777" w:rsidTr="00AD4B70">
        <w:trPr>
          <w:trHeight w:val="20"/>
          <w:jc w:val="center"/>
        </w:trPr>
        <w:tc>
          <w:tcPr>
            <w:tcW w:w="1773" w:type="dxa"/>
            <w:vMerge/>
            <w:tcBorders>
              <w:top w:val="single" w:sz="4" w:space="0" w:color="000000"/>
              <w:left w:val="nil"/>
              <w:bottom w:val="nil"/>
              <w:right w:val="nil"/>
            </w:tcBorders>
            <w:vAlign w:val="center"/>
            <w:hideMark/>
          </w:tcPr>
          <w:p w14:paraId="684DFD65"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12FEEA1B" w14:textId="77777777" w:rsidR="00E52274" w:rsidRPr="00FF4447" w:rsidRDefault="00E52274" w:rsidP="00FF4447">
            <w:pPr>
              <w:pStyle w:val="Tabletext"/>
              <w:jc w:val="center"/>
              <w:rPr>
                <w:sz w:val="20"/>
                <w:lang w:eastAsia="en-GB"/>
              </w:rPr>
            </w:pPr>
            <w:r w:rsidRPr="00FF4447">
              <w:rPr>
                <w:sz w:val="20"/>
                <w:lang w:eastAsia="en-GB"/>
              </w:rPr>
              <w:t>Fibre</w:t>
            </w:r>
          </w:p>
        </w:tc>
        <w:tc>
          <w:tcPr>
            <w:tcW w:w="795" w:type="dxa"/>
            <w:tcBorders>
              <w:top w:val="single" w:sz="4" w:space="0" w:color="D3D3D3"/>
              <w:left w:val="nil"/>
              <w:bottom w:val="nil"/>
              <w:right w:val="nil"/>
            </w:tcBorders>
            <w:hideMark/>
          </w:tcPr>
          <w:p w14:paraId="5867BC30" w14:textId="77777777" w:rsidR="00E52274" w:rsidRPr="00FF4447" w:rsidRDefault="00E52274" w:rsidP="00FF4447">
            <w:pPr>
              <w:pStyle w:val="Tabletext"/>
              <w:jc w:val="center"/>
              <w:rPr>
                <w:sz w:val="20"/>
                <w:lang w:eastAsia="en-GB"/>
              </w:rPr>
            </w:pPr>
            <w:r w:rsidRPr="00FF4447">
              <w:rPr>
                <w:sz w:val="20"/>
                <w:lang w:eastAsia="en-GB"/>
              </w:rPr>
              <w:t>30</w:t>
            </w:r>
          </w:p>
        </w:tc>
        <w:tc>
          <w:tcPr>
            <w:tcW w:w="840" w:type="dxa"/>
            <w:tcBorders>
              <w:top w:val="single" w:sz="4" w:space="0" w:color="D3D3D3"/>
              <w:left w:val="nil"/>
              <w:bottom w:val="nil"/>
              <w:right w:val="nil"/>
            </w:tcBorders>
            <w:hideMark/>
          </w:tcPr>
          <w:p w14:paraId="1EAB67FD" w14:textId="77777777" w:rsidR="00E52274" w:rsidRPr="00FF4447" w:rsidRDefault="00E52274" w:rsidP="00FF4447">
            <w:pPr>
              <w:pStyle w:val="Tabletext"/>
              <w:jc w:val="center"/>
              <w:rPr>
                <w:sz w:val="20"/>
                <w:lang w:eastAsia="en-GB"/>
              </w:rPr>
            </w:pPr>
            <w:r w:rsidRPr="00FF4447">
              <w:rPr>
                <w:sz w:val="20"/>
                <w:lang w:eastAsia="en-GB"/>
              </w:rPr>
              <w:t>12</w:t>
            </w:r>
          </w:p>
        </w:tc>
        <w:tc>
          <w:tcPr>
            <w:tcW w:w="494" w:type="dxa"/>
            <w:tcBorders>
              <w:top w:val="single" w:sz="4" w:space="0" w:color="D3D3D3"/>
              <w:left w:val="nil"/>
              <w:bottom w:val="nil"/>
              <w:right w:val="nil"/>
            </w:tcBorders>
          </w:tcPr>
          <w:p w14:paraId="30C113A0"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7A1ABC3C" w14:textId="77777777" w:rsidR="00E52274" w:rsidRPr="00FF4447" w:rsidRDefault="00E52274" w:rsidP="00FF4447">
            <w:pPr>
              <w:pStyle w:val="Tabletext"/>
              <w:jc w:val="center"/>
              <w:rPr>
                <w:sz w:val="20"/>
                <w:lang w:eastAsia="en-GB"/>
              </w:rPr>
            </w:pPr>
            <w:r w:rsidRPr="00FF4447">
              <w:rPr>
                <w:sz w:val="20"/>
                <w:lang w:eastAsia="en-GB"/>
              </w:rPr>
              <w:t>16</w:t>
            </w:r>
          </w:p>
        </w:tc>
        <w:tc>
          <w:tcPr>
            <w:tcW w:w="247" w:type="dxa"/>
            <w:tcBorders>
              <w:top w:val="single" w:sz="4" w:space="0" w:color="D3D3D3"/>
              <w:left w:val="nil"/>
              <w:bottom w:val="nil"/>
              <w:right w:val="nil"/>
            </w:tcBorders>
          </w:tcPr>
          <w:p w14:paraId="6EB44534"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14CFBC07" w14:textId="77777777" w:rsidR="00E52274" w:rsidRPr="00FF4447" w:rsidRDefault="00E52274" w:rsidP="00FF4447">
            <w:pPr>
              <w:pStyle w:val="Tabletext"/>
              <w:jc w:val="center"/>
              <w:rPr>
                <w:sz w:val="20"/>
                <w:lang w:eastAsia="en-GB"/>
              </w:rPr>
            </w:pPr>
            <w:r w:rsidRPr="00FF4447">
              <w:rPr>
                <w:sz w:val="20"/>
                <w:lang w:eastAsia="en-GB"/>
              </w:rPr>
              <w:t>6</w:t>
            </w:r>
          </w:p>
        </w:tc>
        <w:tc>
          <w:tcPr>
            <w:tcW w:w="925" w:type="dxa"/>
            <w:tcBorders>
              <w:top w:val="single" w:sz="4" w:space="0" w:color="D3D3D3"/>
              <w:left w:val="nil"/>
              <w:bottom w:val="nil"/>
              <w:right w:val="nil"/>
            </w:tcBorders>
            <w:hideMark/>
          </w:tcPr>
          <w:p w14:paraId="006D0DD2" w14:textId="77777777" w:rsidR="00E52274" w:rsidRPr="00FF4447" w:rsidRDefault="00E52274" w:rsidP="00FF4447">
            <w:pPr>
              <w:pStyle w:val="Tabletext"/>
              <w:jc w:val="center"/>
              <w:rPr>
                <w:sz w:val="20"/>
                <w:lang w:eastAsia="en-GB"/>
              </w:rPr>
            </w:pPr>
            <w:r w:rsidRPr="00FF4447">
              <w:rPr>
                <w:sz w:val="20"/>
                <w:lang w:eastAsia="en-GB"/>
              </w:rPr>
              <w:t>32</w:t>
            </w:r>
          </w:p>
        </w:tc>
        <w:tc>
          <w:tcPr>
            <w:tcW w:w="1118" w:type="dxa"/>
            <w:tcBorders>
              <w:top w:val="single" w:sz="4" w:space="0" w:color="D3D3D3"/>
              <w:left w:val="nil"/>
              <w:bottom w:val="nil"/>
              <w:right w:val="nil"/>
            </w:tcBorders>
            <w:hideMark/>
          </w:tcPr>
          <w:p w14:paraId="72B7EA62" w14:textId="77777777" w:rsidR="00E52274" w:rsidRPr="00FF4447" w:rsidRDefault="00E52274" w:rsidP="00FF4447">
            <w:pPr>
              <w:pStyle w:val="Tabletext"/>
              <w:jc w:val="center"/>
              <w:rPr>
                <w:sz w:val="20"/>
                <w:lang w:eastAsia="en-GB"/>
              </w:rPr>
            </w:pPr>
            <w:r w:rsidRPr="00FF4447">
              <w:rPr>
                <w:sz w:val="20"/>
                <w:lang w:eastAsia="en-GB"/>
              </w:rPr>
              <w:t>20</w:t>
            </w:r>
          </w:p>
        </w:tc>
        <w:tc>
          <w:tcPr>
            <w:tcW w:w="754" w:type="dxa"/>
            <w:tcBorders>
              <w:top w:val="single" w:sz="4" w:space="0" w:color="D3D3D3"/>
              <w:left w:val="nil"/>
              <w:bottom w:val="nil"/>
              <w:right w:val="nil"/>
            </w:tcBorders>
            <w:shd w:val="clear" w:color="auto" w:fill="D3D3D3"/>
            <w:hideMark/>
          </w:tcPr>
          <w:p w14:paraId="14A79B2E" w14:textId="77777777" w:rsidR="00E52274" w:rsidRPr="00FF4447" w:rsidRDefault="00E52274" w:rsidP="00FF4447">
            <w:pPr>
              <w:pStyle w:val="Tabletext"/>
              <w:jc w:val="center"/>
              <w:rPr>
                <w:b/>
                <w:bCs/>
                <w:sz w:val="20"/>
                <w:lang w:eastAsia="en-GB"/>
              </w:rPr>
            </w:pPr>
            <w:r w:rsidRPr="00FF4447">
              <w:rPr>
                <w:b/>
                <w:bCs/>
                <w:sz w:val="20"/>
                <w:lang w:eastAsia="en-GB"/>
              </w:rPr>
              <w:t>116</w:t>
            </w:r>
          </w:p>
        </w:tc>
      </w:tr>
      <w:tr w:rsidR="00E52274" w:rsidRPr="004F246B" w14:paraId="16DE2B0C" w14:textId="77777777" w:rsidTr="00AD4B70">
        <w:trPr>
          <w:trHeight w:val="20"/>
          <w:jc w:val="center"/>
        </w:trPr>
        <w:tc>
          <w:tcPr>
            <w:tcW w:w="1773" w:type="dxa"/>
            <w:vMerge/>
            <w:tcBorders>
              <w:top w:val="single" w:sz="4" w:space="0" w:color="000000"/>
              <w:left w:val="nil"/>
              <w:bottom w:val="nil"/>
              <w:right w:val="nil"/>
            </w:tcBorders>
            <w:vAlign w:val="center"/>
            <w:hideMark/>
          </w:tcPr>
          <w:p w14:paraId="7522DE96"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55C22497" w14:textId="77777777" w:rsidR="00E52274" w:rsidRPr="00FF4447" w:rsidRDefault="00E52274" w:rsidP="00FF4447">
            <w:pPr>
              <w:pStyle w:val="Tabletext"/>
              <w:jc w:val="center"/>
              <w:rPr>
                <w:sz w:val="20"/>
                <w:lang w:eastAsia="en-GB"/>
              </w:rPr>
            </w:pPr>
            <w:r w:rsidRPr="00FF4447">
              <w:rPr>
                <w:sz w:val="20"/>
                <w:lang w:eastAsia="en-GB"/>
              </w:rPr>
              <w:t>Other</w:t>
            </w:r>
          </w:p>
        </w:tc>
        <w:tc>
          <w:tcPr>
            <w:tcW w:w="795" w:type="dxa"/>
            <w:tcBorders>
              <w:top w:val="single" w:sz="4" w:space="0" w:color="D3D3D3"/>
              <w:left w:val="nil"/>
              <w:bottom w:val="nil"/>
              <w:right w:val="nil"/>
            </w:tcBorders>
            <w:hideMark/>
          </w:tcPr>
          <w:p w14:paraId="140297B0" w14:textId="77777777" w:rsidR="00E52274" w:rsidRPr="00FF4447" w:rsidRDefault="00E52274" w:rsidP="00FF4447">
            <w:pPr>
              <w:pStyle w:val="Tabletext"/>
              <w:jc w:val="center"/>
              <w:rPr>
                <w:sz w:val="20"/>
                <w:lang w:eastAsia="en-GB"/>
              </w:rPr>
            </w:pPr>
            <w:r w:rsidRPr="00FF4447">
              <w:rPr>
                <w:sz w:val="20"/>
                <w:lang w:eastAsia="en-GB"/>
              </w:rPr>
              <w:t>2</w:t>
            </w:r>
          </w:p>
        </w:tc>
        <w:tc>
          <w:tcPr>
            <w:tcW w:w="840" w:type="dxa"/>
            <w:tcBorders>
              <w:top w:val="single" w:sz="4" w:space="0" w:color="D3D3D3"/>
              <w:left w:val="nil"/>
              <w:bottom w:val="nil"/>
              <w:right w:val="nil"/>
            </w:tcBorders>
            <w:hideMark/>
          </w:tcPr>
          <w:p w14:paraId="428204D1" w14:textId="77777777" w:rsidR="00E52274" w:rsidRPr="00FF4447" w:rsidRDefault="00E52274" w:rsidP="00FF4447">
            <w:pPr>
              <w:pStyle w:val="Tabletext"/>
              <w:jc w:val="center"/>
              <w:rPr>
                <w:sz w:val="20"/>
                <w:lang w:eastAsia="en-GB"/>
              </w:rPr>
            </w:pPr>
            <w:r w:rsidRPr="00FF4447">
              <w:rPr>
                <w:sz w:val="20"/>
                <w:lang w:eastAsia="en-GB"/>
              </w:rPr>
              <w:t>1</w:t>
            </w:r>
          </w:p>
        </w:tc>
        <w:tc>
          <w:tcPr>
            <w:tcW w:w="494" w:type="dxa"/>
            <w:tcBorders>
              <w:top w:val="single" w:sz="4" w:space="0" w:color="D3D3D3"/>
              <w:left w:val="nil"/>
              <w:bottom w:val="nil"/>
              <w:right w:val="nil"/>
            </w:tcBorders>
          </w:tcPr>
          <w:p w14:paraId="10FFA384"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3A30AD69" w14:textId="77777777" w:rsidR="00E52274" w:rsidRPr="00FF4447" w:rsidRDefault="00E52274" w:rsidP="00FF4447">
            <w:pPr>
              <w:pStyle w:val="Tabletext"/>
              <w:jc w:val="center"/>
              <w:rPr>
                <w:sz w:val="20"/>
                <w:lang w:eastAsia="en-GB"/>
              </w:rPr>
            </w:pPr>
            <w:r w:rsidRPr="00FF4447">
              <w:rPr>
                <w:sz w:val="20"/>
                <w:lang w:eastAsia="en-GB"/>
              </w:rPr>
              <w:t>3</w:t>
            </w:r>
          </w:p>
        </w:tc>
        <w:tc>
          <w:tcPr>
            <w:tcW w:w="247" w:type="dxa"/>
            <w:tcBorders>
              <w:top w:val="single" w:sz="4" w:space="0" w:color="D3D3D3"/>
              <w:left w:val="nil"/>
              <w:bottom w:val="nil"/>
              <w:right w:val="nil"/>
            </w:tcBorders>
          </w:tcPr>
          <w:p w14:paraId="7879604B"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63702491" w14:textId="77777777" w:rsidR="00E52274" w:rsidRPr="00FF4447" w:rsidRDefault="00E52274" w:rsidP="00FF4447">
            <w:pPr>
              <w:pStyle w:val="Tabletext"/>
              <w:jc w:val="center"/>
              <w:rPr>
                <w:sz w:val="20"/>
                <w:lang w:eastAsia="en-GB"/>
              </w:rPr>
            </w:pPr>
            <w:r w:rsidRPr="00FF4447">
              <w:rPr>
                <w:sz w:val="20"/>
                <w:lang w:eastAsia="en-GB"/>
              </w:rPr>
              <w:t>0</w:t>
            </w:r>
          </w:p>
        </w:tc>
        <w:tc>
          <w:tcPr>
            <w:tcW w:w="925" w:type="dxa"/>
            <w:tcBorders>
              <w:top w:val="single" w:sz="4" w:space="0" w:color="D3D3D3"/>
              <w:left w:val="nil"/>
              <w:bottom w:val="nil"/>
              <w:right w:val="nil"/>
            </w:tcBorders>
            <w:hideMark/>
          </w:tcPr>
          <w:p w14:paraId="6037AA50" w14:textId="77777777" w:rsidR="00E52274" w:rsidRPr="00FF4447" w:rsidRDefault="00E52274" w:rsidP="00FF4447">
            <w:pPr>
              <w:pStyle w:val="Tabletext"/>
              <w:jc w:val="center"/>
              <w:rPr>
                <w:sz w:val="20"/>
                <w:lang w:eastAsia="en-GB"/>
              </w:rPr>
            </w:pPr>
            <w:r w:rsidRPr="00FF4447">
              <w:rPr>
                <w:sz w:val="20"/>
                <w:lang w:eastAsia="en-GB"/>
              </w:rPr>
              <w:t>7</w:t>
            </w:r>
          </w:p>
        </w:tc>
        <w:tc>
          <w:tcPr>
            <w:tcW w:w="1118" w:type="dxa"/>
            <w:tcBorders>
              <w:top w:val="single" w:sz="4" w:space="0" w:color="D3D3D3"/>
              <w:left w:val="nil"/>
              <w:bottom w:val="nil"/>
              <w:right w:val="nil"/>
            </w:tcBorders>
            <w:hideMark/>
          </w:tcPr>
          <w:p w14:paraId="528D9E85" w14:textId="77777777" w:rsidR="00E52274" w:rsidRPr="00FF4447" w:rsidRDefault="00E52274" w:rsidP="00FF4447">
            <w:pPr>
              <w:pStyle w:val="Tabletext"/>
              <w:jc w:val="center"/>
              <w:rPr>
                <w:sz w:val="20"/>
                <w:lang w:eastAsia="en-GB"/>
              </w:rPr>
            </w:pPr>
            <w:r w:rsidRPr="00FF4447">
              <w:rPr>
                <w:sz w:val="20"/>
                <w:lang w:eastAsia="en-GB"/>
              </w:rPr>
              <w:t>1</w:t>
            </w:r>
          </w:p>
        </w:tc>
        <w:tc>
          <w:tcPr>
            <w:tcW w:w="754" w:type="dxa"/>
            <w:tcBorders>
              <w:top w:val="single" w:sz="4" w:space="0" w:color="D3D3D3"/>
              <w:left w:val="nil"/>
              <w:bottom w:val="nil"/>
              <w:right w:val="nil"/>
            </w:tcBorders>
            <w:shd w:val="clear" w:color="auto" w:fill="D3D3D3"/>
            <w:hideMark/>
          </w:tcPr>
          <w:p w14:paraId="1E073DE5" w14:textId="77777777" w:rsidR="00E52274" w:rsidRPr="00FF4447" w:rsidRDefault="00E52274" w:rsidP="00FF4447">
            <w:pPr>
              <w:pStyle w:val="Tabletext"/>
              <w:jc w:val="center"/>
              <w:rPr>
                <w:b/>
                <w:bCs/>
                <w:sz w:val="20"/>
                <w:lang w:eastAsia="en-GB"/>
              </w:rPr>
            </w:pPr>
            <w:r w:rsidRPr="00FF4447">
              <w:rPr>
                <w:b/>
                <w:bCs/>
                <w:sz w:val="20"/>
                <w:lang w:eastAsia="en-GB"/>
              </w:rPr>
              <w:t>14</w:t>
            </w:r>
          </w:p>
        </w:tc>
      </w:tr>
      <w:tr w:rsidR="00E52274" w:rsidRPr="004F246B" w14:paraId="6E8EAC14" w14:textId="77777777" w:rsidTr="00AD4B70">
        <w:trPr>
          <w:trHeight w:val="20"/>
          <w:jc w:val="center"/>
        </w:trPr>
        <w:tc>
          <w:tcPr>
            <w:tcW w:w="1773" w:type="dxa"/>
            <w:vMerge w:val="restart"/>
            <w:tcBorders>
              <w:top w:val="single" w:sz="4" w:space="0" w:color="000000"/>
              <w:left w:val="nil"/>
              <w:bottom w:val="nil"/>
              <w:right w:val="nil"/>
            </w:tcBorders>
            <w:hideMark/>
          </w:tcPr>
          <w:p w14:paraId="64262F51" w14:textId="00848382" w:rsidR="00E52274" w:rsidRPr="00FF4447" w:rsidRDefault="00E52274" w:rsidP="00FF4447">
            <w:pPr>
              <w:pStyle w:val="Tabletext"/>
              <w:rPr>
                <w:sz w:val="20"/>
                <w:lang w:eastAsia="en-GB"/>
              </w:rPr>
            </w:pPr>
            <w:r w:rsidRPr="00FF4447">
              <w:rPr>
                <w:sz w:val="20"/>
                <w:lang w:eastAsia="en-GB"/>
              </w:rPr>
              <w:t>How many international landing stations do you have in your country? Please indicate the number of points per type.*</w:t>
            </w:r>
          </w:p>
        </w:tc>
        <w:tc>
          <w:tcPr>
            <w:tcW w:w="1216" w:type="dxa"/>
            <w:tcBorders>
              <w:top w:val="single" w:sz="4" w:space="0" w:color="000000"/>
              <w:left w:val="nil"/>
              <w:bottom w:val="nil"/>
              <w:right w:val="nil"/>
            </w:tcBorders>
            <w:hideMark/>
          </w:tcPr>
          <w:p w14:paraId="27F22CF7" w14:textId="77777777" w:rsidR="00E52274" w:rsidRPr="00FF4447" w:rsidRDefault="00E52274" w:rsidP="00FF4447">
            <w:pPr>
              <w:pStyle w:val="Tabletext"/>
              <w:jc w:val="center"/>
              <w:rPr>
                <w:sz w:val="20"/>
                <w:lang w:eastAsia="en-GB"/>
              </w:rPr>
            </w:pPr>
            <w:r w:rsidRPr="00FF4447">
              <w:rPr>
                <w:sz w:val="20"/>
                <w:lang w:eastAsia="en-GB"/>
              </w:rPr>
              <w:t>Submarine cable</w:t>
            </w:r>
          </w:p>
        </w:tc>
        <w:tc>
          <w:tcPr>
            <w:tcW w:w="795" w:type="dxa"/>
            <w:tcBorders>
              <w:top w:val="single" w:sz="4" w:space="0" w:color="000000"/>
              <w:left w:val="nil"/>
              <w:bottom w:val="nil"/>
              <w:right w:val="nil"/>
            </w:tcBorders>
            <w:hideMark/>
          </w:tcPr>
          <w:p w14:paraId="10B3C0D9" w14:textId="77777777" w:rsidR="00E52274" w:rsidRPr="00FF4447" w:rsidRDefault="00E52274" w:rsidP="00FF4447">
            <w:pPr>
              <w:pStyle w:val="Tabletext"/>
              <w:jc w:val="center"/>
              <w:rPr>
                <w:sz w:val="20"/>
                <w:lang w:eastAsia="en-GB"/>
              </w:rPr>
            </w:pPr>
            <w:r w:rsidRPr="00FF4447">
              <w:rPr>
                <w:sz w:val="20"/>
                <w:lang w:eastAsia="en-GB"/>
              </w:rPr>
              <w:t>26</w:t>
            </w:r>
          </w:p>
        </w:tc>
        <w:tc>
          <w:tcPr>
            <w:tcW w:w="840" w:type="dxa"/>
            <w:tcBorders>
              <w:top w:val="single" w:sz="4" w:space="0" w:color="000000"/>
              <w:left w:val="nil"/>
              <w:bottom w:val="nil"/>
              <w:right w:val="nil"/>
            </w:tcBorders>
            <w:hideMark/>
          </w:tcPr>
          <w:p w14:paraId="5AF9F263" w14:textId="77777777" w:rsidR="00E52274" w:rsidRPr="00FF4447" w:rsidRDefault="00E52274" w:rsidP="00FF4447">
            <w:pPr>
              <w:pStyle w:val="Tabletext"/>
              <w:jc w:val="center"/>
              <w:rPr>
                <w:sz w:val="20"/>
                <w:lang w:eastAsia="en-GB"/>
              </w:rPr>
            </w:pPr>
            <w:r w:rsidRPr="00FF4447">
              <w:rPr>
                <w:sz w:val="20"/>
                <w:lang w:eastAsia="en-GB"/>
              </w:rPr>
              <w:t>15</w:t>
            </w:r>
          </w:p>
        </w:tc>
        <w:tc>
          <w:tcPr>
            <w:tcW w:w="494" w:type="dxa"/>
            <w:tcBorders>
              <w:top w:val="single" w:sz="4" w:space="0" w:color="000000"/>
              <w:left w:val="nil"/>
              <w:bottom w:val="nil"/>
              <w:right w:val="nil"/>
            </w:tcBorders>
          </w:tcPr>
          <w:p w14:paraId="41D4AA97" w14:textId="77777777" w:rsidR="00E52274" w:rsidRPr="00FF4447" w:rsidRDefault="00E52274" w:rsidP="00FF4447">
            <w:pPr>
              <w:pStyle w:val="Tabletext"/>
              <w:jc w:val="center"/>
              <w:rPr>
                <w:sz w:val="20"/>
                <w:lang w:eastAsia="en-GB"/>
              </w:rPr>
            </w:pPr>
          </w:p>
        </w:tc>
        <w:tc>
          <w:tcPr>
            <w:tcW w:w="869" w:type="dxa"/>
            <w:tcBorders>
              <w:top w:val="single" w:sz="4" w:space="0" w:color="000000"/>
              <w:left w:val="nil"/>
              <w:bottom w:val="nil"/>
              <w:right w:val="nil"/>
            </w:tcBorders>
            <w:hideMark/>
          </w:tcPr>
          <w:p w14:paraId="16A1288B" w14:textId="77777777" w:rsidR="00E52274" w:rsidRPr="00FF4447" w:rsidRDefault="00E52274" w:rsidP="00FF4447">
            <w:pPr>
              <w:pStyle w:val="Tabletext"/>
              <w:jc w:val="center"/>
              <w:rPr>
                <w:sz w:val="20"/>
                <w:lang w:eastAsia="en-GB"/>
              </w:rPr>
            </w:pPr>
            <w:r w:rsidRPr="00FF4447">
              <w:rPr>
                <w:sz w:val="20"/>
                <w:lang w:eastAsia="en-GB"/>
              </w:rPr>
              <w:t>21</w:t>
            </w:r>
          </w:p>
        </w:tc>
        <w:tc>
          <w:tcPr>
            <w:tcW w:w="247" w:type="dxa"/>
            <w:tcBorders>
              <w:top w:val="single" w:sz="4" w:space="0" w:color="000000"/>
              <w:left w:val="nil"/>
              <w:bottom w:val="nil"/>
              <w:right w:val="nil"/>
            </w:tcBorders>
          </w:tcPr>
          <w:p w14:paraId="3F9D0D20" w14:textId="77777777" w:rsidR="00E52274" w:rsidRPr="00FF4447" w:rsidRDefault="00E52274" w:rsidP="00FF4447">
            <w:pPr>
              <w:pStyle w:val="Tabletext"/>
              <w:jc w:val="center"/>
              <w:rPr>
                <w:sz w:val="20"/>
                <w:lang w:eastAsia="en-GB"/>
              </w:rPr>
            </w:pPr>
          </w:p>
        </w:tc>
        <w:tc>
          <w:tcPr>
            <w:tcW w:w="608" w:type="dxa"/>
            <w:tcBorders>
              <w:top w:val="single" w:sz="4" w:space="0" w:color="000000"/>
              <w:left w:val="nil"/>
              <w:bottom w:val="nil"/>
              <w:right w:val="nil"/>
            </w:tcBorders>
            <w:hideMark/>
          </w:tcPr>
          <w:p w14:paraId="070D5A0C" w14:textId="77777777" w:rsidR="00E52274" w:rsidRPr="00FF4447" w:rsidRDefault="00E52274" w:rsidP="00FF4447">
            <w:pPr>
              <w:pStyle w:val="Tabletext"/>
              <w:jc w:val="center"/>
              <w:rPr>
                <w:sz w:val="20"/>
                <w:lang w:eastAsia="en-GB"/>
              </w:rPr>
            </w:pPr>
            <w:r w:rsidRPr="00FF4447">
              <w:rPr>
                <w:sz w:val="20"/>
                <w:lang w:eastAsia="en-GB"/>
              </w:rPr>
              <w:t>1</w:t>
            </w:r>
          </w:p>
        </w:tc>
        <w:tc>
          <w:tcPr>
            <w:tcW w:w="925" w:type="dxa"/>
            <w:tcBorders>
              <w:top w:val="single" w:sz="4" w:space="0" w:color="000000"/>
              <w:left w:val="nil"/>
              <w:bottom w:val="nil"/>
              <w:right w:val="nil"/>
            </w:tcBorders>
            <w:hideMark/>
          </w:tcPr>
          <w:p w14:paraId="26443489" w14:textId="77777777" w:rsidR="00E52274" w:rsidRPr="00FF4447" w:rsidRDefault="00E52274" w:rsidP="00FF4447">
            <w:pPr>
              <w:pStyle w:val="Tabletext"/>
              <w:jc w:val="center"/>
              <w:rPr>
                <w:sz w:val="20"/>
                <w:lang w:eastAsia="en-GB"/>
              </w:rPr>
            </w:pPr>
            <w:r w:rsidRPr="00FF4447">
              <w:rPr>
                <w:sz w:val="20"/>
                <w:lang w:eastAsia="en-GB"/>
              </w:rPr>
              <w:t>11</w:t>
            </w:r>
          </w:p>
        </w:tc>
        <w:tc>
          <w:tcPr>
            <w:tcW w:w="1118" w:type="dxa"/>
            <w:tcBorders>
              <w:top w:val="single" w:sz="4" w:space="0" w:color="000000"/>
              <w:left w:val="nil"/>
              <w:bottom w:val="nil"/>
              <w:right w:val="nil"/>
            </w:tcBorders>
            <w:hideMark/>
          </w:tcPr>
          <w:p w14:paraId="21A02BC3" w14:textId="77777777" w:rsidR="00E52274" w:rsidRPr="00FF4447" w:rsidRDefault="00E52274" w:rsidP="00FF4447">
            <w:pPr>
              <w:pStyle w:val="Tabletext"/>
              <w:jc w:val="center"/>
              <w:rPr>
                <w:sz w:val="20"/>
                <w:lang w:eastAsia="en-GB"/>
              </w:rPr>
            </w:pPr>
            <w:r w:rsidRPr="00FF4447">
              <w:rPr>
                <w:sz w:val="20"/>
                <w:lang w:eastAsia="en-GB"/>
              </w:rPr>
              <w:t>22</w:t>
            </w:r>
          </w:p>
        </w:tc>
        <w:tc>
          <w:tcPr>
            <w:tcW w:w="754" w:type="dxa"/>
            <w:tcBorders>
              <w:top w:val="single" w:sz="4" w:space="0" w:color="000000"/>
              <w:left w:val="nil"/>
              <w:bottom w:val="nil"/>
              <w:right w:val="nil"/>
            </w:tcBorders>
            <w:shd w:val="clear" w:color="auto" w:fill="D3D3D3"/>
            <w:hideMark/>
          </w:tcPr>
          <w:p w14:paraId="18BB8FF7" w14:textId="77777777" w:rsidR="00E52274" w:rsidRPr="00FF4447" w:rsidRDefault="00E52274" w:rsidP="00FF4447">
            <w:pPr>
              <w:pStyle w:val="Tabletext"/>
              <w:jc w:val="center"/>
              <w:rPr>
                <w:b/>
                <w:bCs/>
                <w:sz w:val="20"/>
                <w:lang w:eastAsia="en-GB"/>
              </w:rPr>
            </w:pPr>
            <w:r w:rsidRPr="00FF4447">
              <w:rPr>
                <w:b/>
                <w:bCs/>
                <w:sz w:val="20"/>
                <w:lang w:eastAsia="en-GB"/>
              </w:rPr>
              <w:t>96</w:t>
            </w:r>
          </w:p>
        </w:tc>
      </w:tr>
      <w:tr w:rsidR="00E52274" w:rsidRPr="004F246B" w14:paraId="795EF408" w14:textId="77777777" w:rsidTr="00AD4B70">
        <w:trPr>
          <w:trHeight w:val="20"/>
          <w:jc w:val="center"/>
        </w:trPr>
        <w:tc>
          <w:tcPr>
            <w:tcW w:w="1773" w:type="dxa"/>
            <w:vMerge/>
            <w:tcBorders>
              <w:top w:val="single" w:sz="4" w:space="0" w:color="000000"/>
              <w:left w:val="nil"/>
              <w:bottom w:val="nil"/>
              <w:right w:val="nil"/>
            </w:tcBorders>
            <w:vAlign w:val="center"/>
            <w:hideMark/>
          </w:tcPr>
          <w:p w14:paraId="726C61B1"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42ECA8D4" w14:textId="77777777" w:rsidR="00E52274" w:rsidRPr="00FF4447" w:rsidRDefault="00E52274" w:rsidP="00FF4447">
            <w:pPr>
              <w:pStyle w:val="Tabletext"/>
              <w:jc w:val="center"/>
              <w:rPr>
                <w:sz w:val="20"/>
                <w:lang w:eastAsia="en-GB"/>
              </w:rPr>
            </w:pPr>
            <w:r w:rsidRPr="00FF4447">
              <w:rPr>
                <w:sz w:val="20"/>
                <w:lang w:eastAsia="en-GB"/>
              </w:rPr>
              <w:t>Satellite</w:t>
            </w:r>
          </w:p>
        </w:tc>
        <w:tc>
          <w:tcPr>
            <w:tcW w:w="795" w:type="dxa"/>
            <w:tcBorders>
              <w:top w:val="single" w:sz="4" w:space="0" w:color="D3D3D3"/>
              <w:left w:val="nil"/>
              <w:bottom w:val="nil"/>
              <w:right w:val="nil"/>
            </w:tcBorders>
            <w:hideMark/>
          </w:tcPr>
          <w:p w14:paraId="0C15ABA7" w14:textId="77777777" w:rsidR="00E52274" w:rsidRPr="00FF4447" w:rsidRDefault="00E52274" w:rsidP="00FF4447">
            <w:pPr>
              <w:pStyle w:val="Tabletext"/>
              <w:jc w:val="center"/>
              <w:rPr>
                <w:sz w:val="20"/>
                <w:lang w:eastAsia="en-GB"/>
              </w:rPr>
            </w:pPr>
            <w:r w:rsidRPr="00FF4447">
              <w:rPr>
                <w:sz w:val="20"/>
                <w:lang w:eastAsia="en-GB"/>
              </w:rPr>
              <w:t>24</w:t>
            </w:r>
          </w:p>
        </w:tc>
        <w:tc>
          <w:tcPr>
            <w:tcW w:w="840" w:type="dxa"/>
            <w:tcBorders>
              <w:top w:val="single" w:sz="4" w:space="0" w:color="D3D3D3"/>
              <w:left w:val="nil"/>
              <w:bottom w:val="nil"/>
              <w:right w:val="nil"/>
            </w:tcBorders>
            <w:hideMark/>
          </w:tcPr>
          <w:p w14:paraId="3666E8F4" w14:textId="77777777" w:rsidR="00E52274" w:rsidRPr="00FF4447" w:rsidRDefault="00E52274" w:rsidP="00FF4447">
            <w:pPr>
              <w:pStyle w:val="Tabletext"/>
              <w:jc w:val="center"/>
              <w:rPr>
                <w:sz w:val="20"/>
                <w:lang w:eastAsia="en-GB"/>
              </w:rPr>
            </w:pPr>
            <w:r w:rsidRPr="00FF4447">
              <w:rPr>
                <w:sz w:val="20"/>
                <w:lang w:eastAsia="en-GB"/>
              </w:rPr>
              <w:t>11</w:t>
            </w:r>
          </w:p>
        </w:tc>
        <w:tc>
          <w:tcPr>
            <w:tcW w:w="494" w:type="dxa"/>
            <w:tcBorders>
              <w:top w:val="single" w:sz="4" w:space="0" w:color="D3D3D3"/>
              <w:left w:val="nil"/>
              <w:bottom w:val="nil"/>
              <w:right w:val="nil"/>
            </w:tcBorders>
          </w:tcPr>
          <w:p w14:paraId="2503B6D4"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1A89A2DB" w14:textId="77777777" w:rsidR="00E52274" w:rsidRPr="00FF4447" w:rsidRDefault="00E52274" w:rsidP="00FF4447">
            <w:pPr>
              <w:pStyle w:val="Tabletext"/>
              <w:jc w:val="center"/>
              <w:rPr>
                <w:sz w:val="20"/>
                <w:lang w:eastAsia="en-GB"/>
              </w:rPr>
            </w:pPr>
            <w:r w:rsidRPr="00FF4447">
              <w:rPr>
                <w:sz w:val="20"/>
                <w:lang w:eastAsia="en-GB"/>
              </w:rPr>
              <w:t>21</w:t>
            </w:r>
          </w:p>
        </w:tc>
        <w:tc>
          <w:tcPr>
            <w:tcW w:w="247" w:type="dxa"/>
            <w:tcBorders>
              <w:top w:val="single" w:sz="4" w:space="0" w:color="D3D3D3"/>
              <w:left w:val="nil"/>
              <w:bottom w:val="nil"/>
              <w:right w:val="nil"/>
            </w:tcBorders>
          </w:tcPr>
          <w:p w14:paraId="2D397C1C"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115AFBC4" w14:textId="77777777" w:rsidR="00E52274" w:rsidRPr="00FF4447" w:rsidRDefault="00E52274" w:rsidP="00FF4447">
            <w:pPr>
              <w:pStyle w:val="Tabletext"/>
              <w:jc w:val="center"/>
              <w:rPr>
                <w:sz w:val="20"/>
                <w:lang w:eastAsia="en-GB"/>
              </w:rPr>
            </w:pPr>
            <w:r w:rsidRPr="00FF4447">
              <w:rPr>
                <w:sz w:val="20"/>
                <w:lang w:eastAsia="en-GB"/>
              </w:rPr>
              <w:t>3</w:t>
            </w:r>
          </w:p>
        </w:tc>
        <w:tc>
          <w:tcPr>
            <w:tcW w:w="925" w:type="dxa"/>
            <w:tcBorders>
              <w:top w:val="single" w:sz="4" w:space="0" w:color="D3D3D3"/>
              <w:left w:val="nil"/>
              <w:bottom w:val="nil"/>
              <w:right w:val="nil"/>
            </w:tcBorders>
            <w:hideMark/>
          </w:tcPr>
          <w:p w14:paraId="6A794D84" w14:textId="77777777" w:rsidR="00E52274" w:rsidRPr="00FF4447" w:rsidRDefault="00E52274" w:rsidP="00FF4447">
            <w:pPr>
              <w:pStyle w:val="Tabletext"/>
              <w:jc w:val="center"/>
              <w:rPr>
                <w:sz w:val="20"/>
                <w:lang w:eastAsia="en-GB"/>
              </w:rPr>
            </w:pPr>
            <w:r w:rsidRPr="00FF4447">
              <w:rPr>
                <w:sz w:val="20"/>
                <w:lang w:eastAsia="en-GB"/>
              </w:rPr>
              <w:t>6</w:t>
            </w:r>
          </w:p>
        </w:tc>
        <w:tc>
          <w:tcPr>
            <w:tcW w:w="1118" w:type="dxa"/>
            <w:tcBorders>
              <w:top w:val="single" w:sz="4" w:space="0" w:color="D3D3D3"/>
              <w:left w:val="nil"/>
              <w:bottom w:val="nil"/>
              <w:right w:val="nil"/>
            </w:tcBorders>
            <w:hideMark/>
          </w:tcPr>
          <w:p w14:paraId="4A9FAD73" w14:textId="77777777" w:rsidR="00E52274" w:rsidRPr="00FF4447" w:rsidRDefault="00E52274" w:rsidP="00FF4447">
            <w:pPr>
              <w:pStyle w:val="Tabletext"/>
              <w:jc w:val="center"/>
              <w:rPr>
                <w:sz w:val="20"/>
                <w:lang w:eastAsia="en-GB"/>
              </w:rPr>
            </w:pPr>
            <w:r w:rsidRPr="00FF4447">
              <w:rPr>
                <w:sz w:val="20"/>
                <w:lang w:eastAsia="en-GB"/>
              </w:rPr>
              <w:t>12</w:t>
            </w:r>
          </w:p>
        </w:tc>
        <w:tc>
          <w:tcPr>
            <w:tcW w:w="754" w:type="dxa"/>
            <w:tcBorders>
              <w:top w:val="single" w:sz="4" w:space="0" w:color="D3D3D3"/>
              <w:left w:val="nil"/>
              <w:bottom w:val="nil"/>
              <w:right w:val="nil"/>
            </w:tcBorders>
            <w:shd w:val="clear" w:color="auto" w:fill="D3D3D3"/>
            <w:hideMark/>
          </w:tcPr>
          <w:p w14:paraId="6ACDEF37" w14:textId="77777777" w:rsidR="00E52274" w:rsidRPr="00FF4447" w:rsidRDefault="00E52274" w:rsidP="00FF4447">
            <w:pPr>
              <w:pStyle w:val="Tabletext"/>
              <w:jc w:val="center"/>
              <w:rPr>
                <w:b/>
                <w:bCs/>
                <w:sz w:val="20"/>
                <w:lang w:eastAsia="en-GB"/>
              </w:rPr>
            </w:pPr>
            <w:r w:rsidRPr="00FF4447">
              <w:rPr>
                <w:b/>
                <w:bCs/>
                <w:sz w:val="20"/>
                <w:lang w:eastAsia="en-GB"/>
              </w:rPr>
              <w:t>77</w:t>
            </w:r>
          </w:p>
        </w:tc>
      </w:tr>
      <w:tr w:rsidR="00E52274" w:rsidRPr="004F246B" w14:paraId="5228CD16" w14:textId="77777777" w:rsidTr="00AD4B70">
        <w:trPr>
          <w:trHeight w:val="20"/>
          <w:jc w:val="center"/>
        </w:trPr>
        <w:tc>
          <w:tcPr>
            <w:tcW w:w="1773" w:type="dxa"/>
            <w:vMerge/>
            <w:tcBorders>
              <w:top w:val="single" w:sz="4" w:space="0" w:color="000000"/>
              <w:left w:val="nil"/>
              <w:bottom w:val="nil"/>
              <w:right w:val="nil"/>
            </w:tcBorders>
            <w:vAlign w:val="center"/>
            <w:hideMark/>
          </w:tcPr>
          <w:p w14:paraId="4AC4DC34"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7D40961F" w14:textId="77777777" w:rsidR="00E52274" w:rsidRPr="00FF4447" w:rsidRDefault="00E52274" w:rsidP="00FF4447">
            <w:pPr>
              <w:pStyle w:val="Tabletext"/>
              <w:jc w:val="center"/>
              <w:rPr>
                <w:sz w:val="20"/>
                <w:lang w:eastAsia="en-GB"/>
              </w:rPr>
            </w:pPr>
            <w:r w:rsidRPr="00FF4447">
              <w:rPr>
                <w:sz w:val="20"/>
                <w:lang w:eastAsia="en-GB"/>
              </w:rPr>
              <w:t>Fibre</w:t>
            </w:r>
          </w:p>
        </w:tc>
        <w:tc>
          <w:tcPr>
            <w:tcW w:w="795" w:type="dxa"/>
            <w:tcBorders>
              <w:top w:val="single" w:sz="4" w:space="0" w:color="D3D3D3"/>
              <w:left w:val="nil"/>
              <w:bottom w:val="nil"/>
              <w:right w:val="nil"/>
            </w:tcBorders>
            <w:hideMark/>
          </w:tcPr>
          <w:p w14:paraId="31CC1E4C" w14:textId="77777777" w:rsidR="00E52274" w:rsidRPr="00FF4447" w:rsidRDefault="00E52274" w:rsidP="00FF4447">
            <w:pPr>
              <w:pStyle w:val="Tabletext"/>
              <w:jc w:val="center"/>
              <w:rPr>
                <w:sz w:val="20"/>
                <w:lang w:eastAsia="en-GB"/>
              </w:rPr>
            </w:pPr>
            <w:r w:rsidRPr="00FF4447">
              <w:rPr>
                <w:sz w:val="20"/>
                <w:lang w:eastAsia="en-GB"/>
              </w:rPr>
              <w:t>22</w:t>
            </w:r>
          </w:p>
        </w:tc>
        <w:tc>
          <w:tcPr>
            <w:tcW w:w="840" w:type="dxa"/>
            <w:tcBorders>
              <w:top w:val="single" w:sz="4" w:space="0" w:color="D3D3D3"/>
              <w:left w:val="nil"/>
              <w:bottom w:val="nil"/>
              <w:right w:val="nil"/>
            </w:tcBorders>
            <w:hideMark/>
          </w:tcPr>
          <w:p w14:paraId="7EB306F9" w14:textId="77777777" w:rsidR="00E52274" w:rsidRPr="00FF4447" w:rsidRDefault="00E52274" w:rsidP="00FF4447">
            <w:pPr>
              <w:pStyle w:val="Tabletext"/>
              <w:jc w:val="center"/>
              <w:rPr>
                <w:sz w:val="20"/>
                <w:lang w:eastAsia="en-GB"/>
              </w:rPr>
            </w:pPr>
            <w:r w:rsidRPr="00FF4447">
              <w:rPr>
                <w:sz w:val="20"/>
                <w:lang w:eastAsia="en-GB"/>
              </w:rPr>
              <w:t>13</w:t>
            </w:r>
          </w:p>
        </w:tc>
        <w:tc>
          <w:tcPr>
            <w:tcW w:w="494" w:type="dxa"/>
            <w:tcBorders>
              <w:top w:val="single" w:sz="4" w:space="0" w:color="D3D3D3"/>
              <w:left w:val="nil"/>
              <w:bottom w:val="nil"/>
              <w:right w:val="nil"/>
            </w:tcBorders>
          </w:tcPr>
          <w:p w14:paraId="351F7598"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12EF1ADE" w14:textId="77777777" w:rsidR="00E52274" w:rsidRPr="00FF4447" w:rsidRDefault="00E52274" w:rsidP="00FF4447">
            <w:pPr>
              <w:pStyle w:val="Tabletext"/>
              <w:jc w:val="center"/>
              <w:rPr>
                <w:sz w:val="20"/>
                <w:lang w:eastAsia="en-GB"/>
              </w:rPr>
            </w:pPr>
            <w:r w:rsidRPr="00FF4447">
              <w:rPr>
                <w:sz w:val="20"/>
                <w:lang w:eastAsia="en-GB"/>
              </w:rPr>
              <w:t>11</w:t>
            </w:r>
          </w:p>
        </w:tc>
        <w:tc>
          <w:tcPr>
            <w:tcW w:w="247" w:type="dxa"/>
            <w:tcBorders>
              <w:top w:val="single" w:sz="4" w:space="0" w:color="D3D3D3"/>
              <w:left w:val="nil"/>
              <w:bottom w:val="nil"/>
              <w:right w:val="nil"/>
            </w:tcBorders>
          </w:tcPr>
          <w:p w14:paraId="79E67788"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1984A826" w14:textId="77777777" w:rsidR="00E52274" w:rsidRPr="00FF4447" w:rsidRDefault="00E52274" w:rsidP="00FF4447">
            <w:pPr>
              <w:pStyle w:val="Tabletext"/>
              <w:jc w:val="center"/>
              <w:rPr>
                <w:sz w:val="20"/>
                <w:lang w:eastAsia="en-GB"/>
              </w:rPr>
            </w:pPr>
            <w:r w:rsidRPr="00FF4447">
              <w:rPr>
                <w:sz w:val="20"/>
                <w:lang w:eastAsia="en-GB"/>
              </w:rPr>
              <w:t>5</w:t>
            </w:r>
          </w:p>
        </w:tc>
        <w:tc>
          <w:tcPr>
            <w:tcW w:w="925" w:type="dxa"/>
            <w:tcBorders>
              <w:top w:val="single" w:sz="4" w:space="0" w:color="D3D3D3"/>
              <w:left w:val="nil"/>
              <w:bottom w:val="nil"/>
              <w:right w:val="nil"/>
            </w:tcBorders>
            <w:hideMark/>
          </w:tcPr>
          <w:p w14:paraId="11338A81" w14:textId="77777777" w:rsidR="00E52274" w:rsidRPr="00FF4447" w:rsidRDefault="00E52274" w:rsidP="00FF4447">
            <w:pPr>
              <w:pStyle w:val="Tabletext"/>
              <w:jc w:val="center"/>
              <w:rPr>
                <w:sz w:val="20"/>
                <w:lang w:eastAsia="en-GB"/>
              </w:rPr>
            </w:pPr>
            <w:r w:rsidRPr="00FF4447">
              <w:rPr>
                <w:sz w:val="20"/>
                <w:lang w:eastAsia="en-GB"/>
              </w:rPr>
              <w:t>9</w:t>
            </w:r>
          </w:p>
        </w:tc>
        <w:tc>
          <w:tcPr>
            <w:tcW w:w="1118" w:type="dxa"/>
            <w:tcBorders>
              <w:top w:val="single" w:sz="4" w:space="0" w:color="D3D3D3"/>
              <w:left w:val="nil"/>
              <w:bottom w:val="nil"/>
              <w:right w:val="nil"/>
            </w:tcBorders>
            <w:hideMark/>
          </w:tcPr>
          <w:p w14:paraId="01554265" w14:textId="77777777" w:rsidR="00E52274" w:rsidRPr="00FF4447" w:rsidRDefault="00E52274" w:rsidP="00FF4447">
            <w:pPr>
              <w:pStyle w:val="Tabletext"/>
              <w:jc w:val="center"/>
              <w:rPr>
                <w:sz w:val="20"/>
                <w:lang w:eastAsia="en-GB"/>
              </w:rPr>
            </w:pPr>
            <w:r w:rsidRPr="00FF4447">
              <w:rPr>
                <w:sz w:val="20"/>
                <w:lang w:eastAsia="en-GB"/>
              </w:rPr>
              <w:t>11</w:t>
            </w:r>
          </w:p>
        </w:tc>
        <w:tc>
          <w:tcPr>
            <w:tcW w:w="754" w:type="dxa"/>
            <w:tcBorders>
              <w:top w:val="single" w:sz="4" w:space="0" w:color="D3D3D3"/>
              <w:left w:val="nil"/>
              <w:bottom w:val="nil"/>
              <w:right w:val="nil"/>
            </w:tcBorders>
            <w:shd w:val="clear" w:color="auto" w:fill="D3D3D3"/>
            <w:hideMark/>
          </w:tcPr>
          <w:p w14:paraId="3EE0D3C4" w14:textId="77777777" w:rsidR="00E52274" w:rsidRPr="00FF4447" w:rsidRDefault="00E52274" w:rsidP="00FF4447">
            <w:pPr>
              <w:pStyle w:val="Tabletext"/>
              <w:jc w:val="center"/>
              <w:rPr>
                <w:b/>
                <w:bCs/>
                <w:sz w:val="20"/>
                <w:lang w:eastAsia="en-GB"/>
              </w:rPr>
            </w:pPr>
            <w:r w:rsidRPr="00FF4447">
              <w:rPr>
                <w:b/>
                <w:bCs/>
                <w:sz w:val="20"/>
                <w:lang w:eastAsia="en-GB"/>
              </w:rPr>
              <w:t>71</w:t>
            </w:r>
          </w:p>
        </w:tc>
      </w:tr>
      <w:tr w:rsidR="00E52274" w:rsidRPr="004F246B" w14:paraId="211DBAB3" w14:textId="77777777" w:rsidTr="00AD4B70">
        <w:trPr>
          <w:trHeight w:val="20"/>
          <w:jc w:val="center"/>
        </w:trPr>
        <w:tc>
          <w:tcPr>
            <w:tcW w:w="1773" w:type="dxa"/>
            <w:vMerge/>
            <w:tcBorders>
              <w:top w:val="single" w:sz="4" w:space="0" w:color="000000"/>
              <w:left w:val="nil"/>
              <w:bottom w:val="nil"/>
              <w:right w:val="nil"/>
            </w:tcBorders>
            <w:vAlign w:val="center"/>
            <w:hideMark/>
          </w:tcPr>
          <w:p w14:paraId="0250A3DB"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6AAABA62" w14:textId="77777777" w:rsidR="00E52274" w:rsidRPr="00FF4447" w:rsidRDefault="00E52274" w:rsidP="00FF4447">
            <w:pPr>
              <w:pStyle w:val="Tabletext"/>
              <w:jc w:val="center"/>
              <w:rPr>
                <w:sz w:val="20"/>
                <w:lang w:eastAsia="en-GB"/>
              </w:rPr>
            </w:pPr>
            <w:r w:rsidRPr="00FF4447">
              <w:rPr>
                <w:sz w:val="20"/>
                <w:lang w:eastAsia="en-GB"/>
              </w:rPr>
              <w:t>Other</w:t>
            </w:r>
          </w:p>
        </w:tc>
        <w:tc>
          <w:tcPr>
            <w:tcW w:w="795" w:type="dxa"/>
            <w:tcBorders>
              <w:top w:val="single" w:sz="4" w:space="0" w:color="D3D3D3"/>
              <w:left w:val="nil"/>
              <w:bottom w:val="nil"/>
              <w:right w:val="nil"/>
            </w:tcBorders>
            <w:hideMark/>
          </w:tcPr>
          <w:p w14:paraId="32BD39CA" w14:textId="77777777" w:rsidR="00E52274" w:rsidRPr="00FF4447" w:rsidRDefault="00E52274" w:rsidP="00FF4447">
            <w:pPr>
              <w:pStyle w:val="Tabletext"/>
              <w:jc w:val="center"/>
              <w:rPr>
                <w:sz w:val="20"/>
                <w:lang w:eastAsia="en-GB"/>
              </w:rPr>
            </w:pPr>
            <w:r w:rsidRPr="00FF4447">
              <w:rPr>
                <w:sz w:val="20"/>
                <w:lang w:eastAsia="en-GB"/>
              </w:rPr>
              <w:t>4</w:t>
            </w:r>
          </w:p>
        </w:tc>
        <w:tc>
          <w:tcPr>
            <w:tcW w:w="840" w:type="dxa"/>
            <w:tcBorders>
              <w:top w:val="single" w:sz="4" w:space="0" w:color="D3D3D3"/>
              <w:left w:val="nil"/>
              <w:bottom w:val="nil"/>
              <w:right w:val="nil"/>
            </w:tcBorders>
            <w:hideMark/>
          </w:tcPr>
          <w:p w14:paraId="205ED25A" w14:textId="77777777" w:rsidR="00E52274" w:rsidRPr="00FF4447" w:rsidRDefault="00E52274" w:rsidP="00FF4447">
            <w:pPr>
              <w:pStyle w:val="Tabletext"/>
              <w:jc w:val="center"/>
              <w:rPr>
                <w:sz w:val="20"/>
                <w:lang w:eastAsia="en-GB"/>
              </w:rPr>
            </w:pPr>
            <w:r w:rsidRPr="00FF4447">
              <w:rPr>
                <w:sz w:val="20"/>
                <w:lang w:eastAsia="en-GB"/>
              </w:rPr>
              <w:t>0</w:t>
            </w:r>
          </w:p>
        </w:tc>
        <w:tc>
          <w:tcPr>
            <w:tcW w:w="494" w:type="dxa"/>
            <w:tcBorders>
              <w:top w:val="single" w:sz="4" w:space="0" w:color="D3D3D3"/>
              <w:left w:val="nil"/>
              <w:bottom w:val="nil"/>
              <w:right w:val="nil"/>
            </w:tcBorders>
          </w:tcPr>
          <w:p w14:paraId="70B8839C"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719DEB5C" w14:textId="77777777" w:rsidR="00E52274" w:rsidRPr="00FF4447" w:rsidRDefault="00E52274" w:rsidP="00FF4447">
            <w:pPr>
              <w:pStyle w:val="Tabletext"/>
              <w:jc w:val="center"/>
              <w:rPr>
                <w:sz w:val="20"/>
                <w:lang w:eastAsia="en-GB"/>
              </w:rPr>
            </w:pPr>
            <w:r w:rsidRPr="00FF4447">
              <w:rPr>
                <w:sz w:val="20"/>
                <w:lang w:eastAsia="en-GB"/>
              </w:rPr>
              <w:t>1</w:t>
            </w:r>
          </w:p>
        </w:tc>
        <w:tc>
          <w:tcPr>
            <w:tcW w:w="247" w:type="dxa"/>
            <w:tcBorders>
              <w:top w:val="single" w:sz="4" w:space="0" w:color="D3D3D3"/>
              <w:left w:val="nil"/>
              <w:bottom w:val="nil"/>
              <w:right w:val="nil"/>
            </w:tcBorders>
          </w:tcPr>
          <w:p w14:paraId="525B13A5"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0B0D7816" w14:textId="77777777" w:rsidR="00E52274" w:rsidRPr="00FF4447" w:rsidRDefault="00E52274" w:rsidP="00FF4447">
            <w:pPr>
              <w:pStyle w:val="Tabletext"/>
              <w:jc w:val="center"/>
              <w:rPr>
                <w:sz w:val="20"/>
                <w:lang w:eastAsia="en-GB"/>
              </w:rPr>
            </w:pPr>
            <w:r w:rsidRPr="00FF4447">
              <w:rPr>
                <w:sz w:val="20"/>
                <w:lang w:eastAsia="en-GB"/>
              </w:rPr>
              <w:t>0</w:t>
            </w:r>
          </w:p>
        </w:tc>
        <w:tc>
          <w:tcPr>
            <w:tcW w:w="925" w:type="dxa"/>
            <w:tcBorders>
              <w:top w:val="single" w:sz="4" w:space="0" w:color="D3D3D3"/>
              <w:left w:val="nil"/>
              <w:bottom w:val="nil"/>
              <w:right w:val="nil"/>
            </w:tcBorders>
            <w:hideMark/>
          </w:tcPr>
          <w:p w14:paraId="1EC4A0FC" w14:textId="77777777" w:rsidR="00E52274" w:rsidRPr="00FF4447" w:rsidRDefault="00E52274" w:rsidP="00FF4447">
            <w:pPr>
              <w:pStyle w:val="Tabletext"/>
              <w:jc w:val="center"/>
              <w:rPr>
                <w:sz w:val="20"/>
                <w:lang w:eastAsia="en-GB"/>
              </w:rPr>
            </w:pPr>
            <w:r w:rsidRPr="00FF4447">
              <w:rPr>
                <w:sz w:val="20"/>
                <w:lang w:eastAsia="en-GB"/>
              </w:rPr>
              <w:t>4</w:t>
            </w:r>
          </w:p>
        </w:tc>
        <w:tc>
          <w:tcPr>
            <w:tcW w:w="1118" w:type="dxa"/>
            <w:tcBorders>
              <w:top w:val="single" w:sz="4" w:space="0" w:color="D3D3D3"/>
              <w:left w:val="nil"/>
              <w:bottom w:val="nil"/>
              <w:right w:val="nil"/>
            </w:tcBorders>
            <w:hideMark/>
          </w:tcPr>
          <w:p w14:paraId="7860B7D7" w14:textId="77777777" w:rsidR="00E52274" w:rsidRPr="00FF4447" w:rsidRDefault="00E52274" w:rsidP="00FF4447">
            <w:pPr>
              <w:pStyle w:val="Tabletext"/>
              <w:jc w:val="center"/>
              <w:rPr>
                <w:sz w:val="20"/>
                <w:lang w:eastAsia="en-GB"/>
              </w:rPr>
            </w:pPr>
            <w:r w:rsidRPr="00FF4447">
              <w:rPr>
                <w:sz w:val="20"/>
                <w:lang w:eastAsia="en-GB"/>
              </w:rPr>
              <w:t>1</w:t>
            </w:r>
          </w:p>
        </w:tc>
        <w:tc>
          <w:tcPr>
            <w:tcW w:w="754" w:type="dxa"/>
            <w:tcBorders>
              <w:top w:val="single" w:sz="4" w:space="0" w:color="D3D3D3"/>
              <w:left w:val="nil"/>
              <w:bottom w:val="nil"/>
              <w:right w:val="nil"/>
            </w:tcBorders>
            <w:shd w:val="clear" w:color="auto" w:fill="D3D3D3"/>
            <w:hideMark/>
          </w:tcPr>
          <w:p w14:paraId="31799A35" w14:textId="77777777" w:rsidR="00E52274" w:rsidRPr="00FF4447" w:rsidRDefault="00E52274" w:rsidP="00FF4447">
            <w:pPr>
              <w:pStyle w:val="Tabletext"/>
              <w:jc w:val="center"/>
              <w:rPr>
                <w:b/>
                <w:bCs/>
                <w:sz w:val="20"/>
                <w:lang w:eastAsia="en-GB"/>
              </w:rPr>
            </w:pPr>
            <w:r w:rsidRPr="00FF4447">
              <w:rPr>
                <w:b/>
                <w:bCs/>
                <w:sz w:val="20"/>
                <w:lang w:eastAsia="en-GB"/>
              </w:rPr>
              <w:t>10</w:t>
            </w:r>
          </w:p>
        </w:tc>
      </w:tr>
      <w:tr w:rsidR="00E52274" w:rsidRPr="004F246B" w14:paraId="6FB62CAA" w14:textId="77777777" w:rsidTr="00AD4B70">
        <w:trPr>
          <w:trHeight w:val="20"/>
          <w:jc w:val="center"/>
        </w:trPr>
        <w:tc>
          <w:tcPr>
            <w:tcW w:w="1773" w:type="dxa"/>
            <w:vMerge w:val="restart"/>
            <w:tcBorders>
              <w:top w:val="single" w:sz="4" w:space="0" w:color="000000"/>
              <w:left w:val="nil"/>
              <w:bottom w:val="nil"/>
              <w:right w:val="nil"/>
            </w:tcBorders>
            <w:hideMark/>
          </w:tcPr>
          <w:p w14:paraId="0C901788" w14:textId="76B5C194" w:rsidR="00E52274" w:rsidRPr="00FF4447" w:rsidRDefault="00E52274" w:rsidP="00FF4447">
            <w:pPr>
              <w:pStyle w:val="Tabletext"/>
              <w:rPr>
                <w:sz w:val="20"/>
                <w:lang w:eastAsia="en-GB"/>
              </w:rPr>
            </w:pPr>
            <w:r w:rsidRPr="00FF4447">
              <w:rPr>
                <w:sz w:val="20"/>
                <w:lang w:eastAsia="en-GB"/>
              </w:rPr>
              <w:t>Who has control over the landing points in your country?*</w:t>
            </w:r>
          </w:p>
        </w:tc>
        <w:tc>
          <w:tcPr>
            <w:tcW w:w="1216" w:type="dxa"/>
            <w:tcBorders>
              <w:top w:val="single" w:sz="4" w:space="0" w:color="000000"/>
              <w:left w:val="nil"/>
              <w:bottom w:val="nil"/>
              <w:right w:val="nil"/>
            </w:tcBorders>
            <w:hideMark/>
          </w:tcPr>
          <w:p w14:paraId="0EE38038" w14:textId="77777777" w:rsidR="00E52274" w:rsidRPr="00FF4447" w:rsidRDefault="00E52274" w:rsidP="00FF4447">
            <w:pPr>
              <w:pStyle w:val="Tabletext"/>
              <w:jc w:val="center"/>
              <w:rPr>
                <w:sz w:val="20"/>
                <w:lang w:eastAsia="en-GB"/>
              </w:rPr>
            </w:pPr>
            <w:r w:rsidRPr="00FF4447">
              <w:rPr>
                <w:sz w:val="20"/>
                <w:lang w:eastAsia="en-GB"/>
              </w:rPr>
              <w:t>Incumbent operator</w:t>
            </w:r>
          </w:p>
        </w:tc>
        <w:tc>
          <w:tcPr>
            <w:tcW w:w="795" w:type="dxa"/>
            <w:tcBorders>
              <w:top w:val="single" w:sz="4" w:space="0" w:color="000000"/>
              <w:left w:val="nil"/>
              <w:bottom w:val="nil"/>
              <w:right w:val="nil"/>
            </w:tcBorders>
            <w:hideMark/>
          </w:tcPr>
          <w:p w14:paraId="48BAA695" w14:textId="77777777" w:rsidR="00E52274" w:rsidRPr="00FF4447" w:rsidRDefault="00E52274" w:rsidP="00FF4447">
            <w:pPr>
              <w:pStyle w:val="Tabletext"/>
              <w:jc w:val="center"/>
              <w:rPr>
                <w:sz w:val="20"/>
                <w:lang w:eastAsia="en-GB"/>
              </w:rPr>
            </w:pPr>
            <w:r w:rsidRPr="00FF4447">
              <w:rPr>
                <w:sz w:val="20"/>
                <w:lang w:eastAsia="en-GB"/>
              </w:rPr>
              <w:t>19</w:t>
            </w:r>
          </w:p>
        </w:tc>
        <w:tc>
          <w:tcPr>
            <w:tcW w:w="840" w:type="dxa"/>
            <w:tcBorders>
              <w:top w:val="single" w:sz="4" w:space="0" w:color="000000"/>
              <w:left w:val="nil"/>
              <w:bottom w:val="nil"/>
              <w:right w:val="nil"/>
            </w:tcBorders>
            <w:hideMark/>
          </w:tcPr>
          <w:p w14:paraId="3B956B7C" w14:textId="77777777" w:rsidR="00E52274" w:rsidRPr="00FF4447" w:rsidRDefault="00E52274" w:rsidP="00FF4447">
            <w:pPr>
              <w:pStyle w:val="Tabletext"/>
              <w:jc w:val="center"/>
              <w:rPr>
                <w:sz w:val="20"/>
                <w:lang w:eastAsia="en-GB"/>
              </w:rPr>
            </w:pPr>
            <w:r w:rsidRPr="00FF4447">
              <w:rPr>
                <w:sz w:val="20"/>
                <w:lang w:eastAsia="en-GB"/>
              </w:rPr>
              <w:t>13</w:t>
            </w:r>
          </w:p>
        </w:tc>
        <w:tc>
          <w:tcPr>
            <w:tcW w:w="494" w:type="dxa"/>
            <w:tcBorders>
              <w:top w:val="single" w:sz="4" w:space="0" w:color="000000"/>
              <w:left w:val="nil"/>
              <w:bottom w:val="nil"/>
              <w:right w:val="nil"/>
            </w:tcBorders>
          </w:tcPr>
          <w:p w14:paraId="6E494737" w14:textId="77777777" w:rsidR="00E52274" w:rsidRPr="00FF4447" w:rsidRDefault="00E52274" w:rsidP="00FF4447">
            <w:pPr>
              <w:pStyle w:val="Tabletext"/>
              <w:jc w:val="center"/>
              <w:rPr>
                <w:sz w:val="20"/>
                <w:lang w:eastAsia="en-GB"/>
              </w:rPr>
            </w:pPr>
          </w:p>
        </w:tc>
        <w:tc>
          <w:tcPr>
            <w:tcW w:w="869" w:type="dxa"/>
            <w:tcBorders>
              <w:top w:val="single" w:sz="4" w:space="0" w:color="000000"/>
              <w:left w:val="nil"/>
              <w:bottom w:val="nil"/>
              <w:right w:val="nil"/>
            </w:tcBorders>
            <w:hideMark/>
          </w:tcPr>
          <w:p w14:paraId="0C3DFAA6" w14:textId="77777777" w:rsidR="00E52274" w:rsidRPr="00FF4447" w:rsidRDefault="00E52274" w:rsidP="00FF4447">
            <w:pPr>
              <w:pStyle w:val="Tabletext"/>
              <w:jc w:val="center"/>
              <w:rPr>
                <w:sz w:val="20"/>
                <w:lang w:eastAsia="en-GB"/>
              </w:rPr>
            </w:pPr>
            <w:r w:rsidRPr="00FF4447">
              <w:rPr>
                <w:sz w:val="20"/>
                <w:lang w:eastAsia="en-GB"/>
              </w:rPr>
              <w:t>20</w:t>
            </w:r>
          </w:p>
        </w:tc>
        <w:tc>
          <w:tcPr>
            <w:tcW w:w="247" w:type="dxa"/>
            <w:tcBorders>
              <w:top w:val="single" w:sz="4" w:space="0" w:color="000000"/>
              <w:left w:val="nil"/>
              <w:bottom w:val="nil"/>
              <w:right w:val="nil"/>
            </w:tcBorders>
          </w:tcPr>
          <w:p w14:paraId="40C57AE9" w14:textId="77777777" w:rsidR="00E52274" w:rsidRPr="00FF4447" w:rsidRDefault="00E52274" w:rsidP="00FF4447">
            <w:pPr>
              <w:pStyle w:val="Tabletext"/>
              <w:jc w:val="center"/>
              <w:rPr>
                <w:sz w:val="20"/>
                <w:lang w:eastAsia="en-GB"/>
              </w:rPr>
            </w:pPr>
          </w:p>
        </w:tc>
        <w:tc>
          <w:tcPr>
            <w:tcW w:w="608" w:type="dxa"/>
            <w:tcBorders>
              <w:top w:val="single" w:sz="4" w:space="0" w:color="000000"/>
              <w:left w:val="nil"/>
              <w:bottom w:val="nil"/>
              <w:right w:val="nil"/>
            </w:tcBorders>
            <w:hideMark/>
          </w:tcPr>
          <w:p w14:paraId="730916DB" w14:textId="77777777" w:rsidR="00E52274" w:rsidRPr="00FF4447" w:rsidRDefault="00E52274" w:rsidP="00FF4447">
            <w:pPr>
              <w:pStyle w:val="Tabletext"/>
              <w:jc w:val="center"/>
              <w:rPr>
                <w:sz w:val="20"/>
                <w:lang w:eastAsia="en-GB"/>
              </w:rPr>
            </w:pPr>
            <w:r w:rsidRPr="00FF4447">
              <w:rPr>
                <w:sz w:val="20"/>
                <w:lang w:eastAsia="en-GB"/>
              </w:rPr>
              <w:t>4</w:t>
            </w:r>
          </w:p>
        </w:tc>
        <w:tc>
          <w:tcPr>
            <w:tcW w:w="925" w:type="dxa"/>
            <w:tcBorders>
              <w:top w:val="single" w:sz="4" w:space="0" w:color="000000"/>
              <w:left w:val="nil"/>
              <w:bottom w:val="nil"/>
              <w:right w:val="nil"/>
            </w:tcBorders>
            <w:hideMark/>
          </w:tcPr>
          <w:p w14:paraId="3EBEC413" w14:textId="77777777" w:rsidR="00E52274" w:rsidRPr="00FF4447" w:rsidRDefault="00E52274" w:rsidP="00FF4447">
            <w:pPr>
              <w:pStyle w:val="Tabletext"/>
              <w:jc w:val="center"/>
              <w:rPr>
                <w:sz w:val="20"/>
                <w:lang w:eastAsia="en-GB"/>
              </w:rPr>
            </w:pPr>
            <w:r w:rsidRPr="00FF4447">
              <w:rPr>
                <w:sz w:val="20"/>
                <w:lang w:eastAsia="en-GB"/>
              </w:rPr>
              <w:t>19</w:t>
            </w:r>
          </w:p>
        </w:tc>
        <w:tc>
          <w:tcPr>
            <w:tcW w:w="1118" w:type="dxa"/>
            <w:tcBorders>
              <w:top w:val="single" w:sz="4" w:space="0" w:color="000000"/>
              <w:left w:val="nil"/>
              <w:bottom w:val="nil"/>
              <w:right w:val="nil"/>
            </w:tcBorders>
            <w:hideMark/>
          </w:tcPr>
          <w:p w14:paraId="3774D1C3" w14:textId="77777777" w:rsidR="00E52274" w:rsidRPr="00FF4447" w:rsidRDefault="00E52274" w:rsidP="00FF4447">
            <w:pPr>
              <w:pStyle w:val="Tabletext"/>
              <w:jc w:val="center"/>
              <w:rPr>
                <w:sz w:val="20"/>
                <w:lang w:eastAsia="en-GB"/>
              </w:rPr>
            </w:pPr>
            <w:r w:rsidRPr="00FF4447">
              <w:rPr>
                <w:sz w:val="20"/>
                <w:lang w:eastAsia="en-GB"/>
              </w:rPr>
              <w:t>17</w:t>
            </w:r>
          </w:p>
        </w:tc>
        <w:tc>
          <w:tcPr>
            <w:tcW w:w="754" w:type="dxa"/>
            <w:tcBorders>
              <w:top w:val="single" w:sz="4" w:space="0" w:color="000000"/>
              <w:left w:val="nil"/>
              <w:bottom w:val="nil"/>
              <w:right w:val="nil"/>
            </w:tcBorders>
            <w:shd w:val="clear" w:color="auto" w:fill="D3D3D3"/>
            <w:hideMark/>
          </w:tcPr>
          <w:p w14:paraId="179FFCE9" w14:textId="77777777" w:rsidR="00E52274" w:rsidRPr="00FF4447" w:rsidRDefault="00E52274" w:rsidP="00FF4447">
            <w:pPr>
              <w:pStyle w:val="Tabletext"/>
              <w:jc w:val="center"/>
              <w:rPr>
                <w:b/>
                <w:bCs/>
                <w:sz w:val="20"/>
                <w:lang w:eastAsia="en-GB"/>
              </w:rPr>
            </w:pPr>
            <w:r w:rsidRPr="00FF4447">
              <w:rPr>
                <w:b/>
                <w:bCs/>
                <w:sz w:val="20"/>
                <w:lang w:eastAsia="en-GB"/>
              </w:rPr>
              <w:t>92</w:t>
            </w:r>
          </w:p>
        </w:tc>
      </w:tr>
      <w:tr w:rsidR="00E52274" w:rsidRPr="004F246B" w14:paraId="0663A5CE" w14:textId="77777777" w:rsidTr="00AD4B70">
        <w:trPr>
          <w:trHeight w:val="20"/>
          <w:jc w:val="center"/>
        </w:trPr>
        <w:tc>
          <w:tcPr>
            <w:tcW w:w="1773" w:type="dxa"/>
            <w:vMerge/>
            <w:tcBorders>
              <w:top w:val="single" w:sz="4" w:space="0" w:color="000000"/>
              <w:left w:val="nil"/>
              <w:bottom w:val="nil"/>
              <w:right w:val="nil"/>
            </w:tcBorders>
            <w:vAlign w:val="center"/>
            <w:hideMark/>
          </w:tcPr>
          <w:p w14:paraId="3ADC748A"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366F927F" w14:textId="77777777" w:rsidR="00E52274" w:rsidRPr="00FF4447" w:rsidRDefault="00E52274" w:rsidP="00FF4447">
            <w:pPr>
              <w:pStyle w:val="Tabletext"/>
              <w:jc w:val="center"/>
              <w:rPr>
                <w:sz w:val="20"/>
                <w:lang w:eastAsia="en-GB"/>
              </w:rPr>
            </w:pPr>
            <w:r w:rsidRPr="00FF4447">
              <w:rPr>
                <w:sz w:val="20"/>
                <w:lang w:eastAsia="en-GB"/>
              </w:rPr>
              <w:t>Government</w:t>
            </w:r>
          </w:p>
        </w:tc>
        <w:tc>
          <w:tcPr>
            <w:tcW w:w="795" w:type="dxa"/>
            <w:tcBorders>
              <w:top w:val="single" w:sz="4" w:space="0" w:color="D3D3D3"/>
              <w:left w:val="nil"/>
              <w:bottom w:val="nil"/>
              <w:right w:val="nil"/>
            </w:tcBorders>
            <w:hideMark/>
          </w:tcPr>
          <w:p w14:paraId="7153ED19" w14:textId="77777777" w:rsidR="00E52274" w:rsidRPr="00FF4447" w:rsidRDefault="00E52274" w:rsidP="00FF4447">
            <w:pPr>
              <w:pStyle w:val="Tabletext"/>
              <w:jc w:val="center"/>
              <w:rPr>
                <w:sz w:val="20"/>
                <w:lang w:eastAsia="en-GB"/>
              </w:rPr>
            </w:pPr>
            <w:r w:rsidRPr="00FF4447">
              <w:rPr>
                <w:sz w:val="20"/>
                <w:lang w:eastAsia="en-GB"/>
              </w:rPr>
              <w:t>11</w:t>
            </w:r>
          </w:p>
        </w:tc>
        <w:tc>
          <w:tcPr>
            <w:tcW w:w="840" w:type="dxa"/>
            <w:tcBorders>
              <w:top w:val="single" w:sz="4" w:space="0" w:color="D3D3D3"/>
              <w:left w:val="nil"/>
              <w:bottom w:val="nil"/>
              <w:right w:val="nil"/>
            </w:tcBorders>
            <w:hideMark/>
          </w:tcPr>
          <w:p w14:paraId="3BBBC58E" w14:textId="77777777" w:rsidR="00E52274" w:rsidRPr="00FF4447" w:rsidRDefault="00E52274" w:rsidP="00FF4447">
            <w:pPr>
              <w:pStyle w:val="Tabletext"/>
              <w:jc w:val="center"/>
              <w:rPr>
                <w:sz w:val="20"/>
                <w:lang w:eastAsia="en-GB"/>
              </w:rPr>
            </w:pPr>
            <w:r w:rsidRPr="00FF4447">
              <w:rPr>
                <w:sz w:val="20"/>
                <w:lang w:eastAsia="en-GB"/>
              </w:rPr>
              <w:t>4</w:t>
            </w:r>
          </w:p>
        </w:tc>
        <w:tc>
          <w:tcPr>
            <w:tcW w:w="494" w:type="dxa"/>
            <w:tcBorders>
              <w:top w:val="single" w:sz="4" w:space="0" w:color="D3D3D3"/>
              <w:left w:val="nil"/>
              <w:bottom w:val="nil"/>
              <w:right w:val="nil"/>
            </w:tcBorders>
          </w:tcPr>
          <w:p w14:paraId="2D969A99"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05B5BA66" w14:textId="77777777" w:rsidR="00E52274" w:rsidRPr="00FF4447" w:rsidRDefault="00E52274" w:rsidP="00FF4447">
            <w:pPr>
              <w:pStyle w:val="Tabletext"/>
              <w:jc w:val="center"/>
              <w:rPr>
                <w:sz w:val="20"/>
                <w:lang w:eastAsia="en-GB"/>
              </w:rPr>
            </w:pPr>
            <w:r w:rsidRPr="00FF4447">
              <w:rPr>
                <w:sz w:val="20"/>
                <w:lang w:eastAsia="en-GB"/>
              </w:rPr>
              <w:t>6</w:t>
            </w:r>
          </w:p>
        </w:tc>
        <w:tc>
          <w:tcPr>
            <w:tcW w:w="247" w:type="dxa"/>
            <w:tcBorders>
              <w:top w:val="single" w:sz="4" w:space="0" w:color="D3D3D3"/>
              <w:left w:val="nil"/>
              <w:bottom w:val="nil"/>
              <w:right w:val="nil"/>
            </w:tcBorders>
          </w:tcPr>
          <w:p w14:paraId="27BC943A"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088F3F41" w14:textId="77777777" w:rsidR="00E52274" w:rsidRPr="00FF4447" w:rsidRDefault="00E52274" w:rsidP="00FF4447">
            <w:pPr>
              <w:pStyle w:val="Tabletext"/>
              <w:jc w:val="center"/>
              <w:rPr>
                <w:sz w:val="20"/>
                <w:lang w:eastAsia="en-GB"/>
              </w:rPr>
            </w:pPr>
            <w:r w:rsidRPr="00FF4447">
              <w:rPr>
                <w:sz w:val="20"/>
                <w:lang w:eastAsia="en-GB"/>
              </w:rPr>
              <w:t>2</w:t>
            </w:r>
          </w:p>
        </w:tc>
        <w:tc>
          <w:tcPr>
            <w:tcW w:w="925" w:type="dxa"/>
            <w:tcBorders>
              <w:top w:val="single" w:sz="4" w:space="0" w:color="D3D3D3"/>
              <w:left w:val="nil"/>
              <w:bottom w:val="nil"/>
              <w:right w:val="nil"/>
            </w:tcBorders>
            <w:hideMark/>
          </w:tcPr>
          <w:p w14:paraId="7A7A4D58" w14:textId="77777777" w:rsidR="00E52274" w:rsidRPr="00FF4447" w:rsidRDefault="00E52274" w:rsidP="00FF4447">
            <w:pPr>
              <w:pStyle w:val="Tabletext"/>
              <w:jc w:val="center"/>
              <w:rPr>
                <w:sz w:val="20"/>
                <w:lang w:eastAsia="en-GB"/>
              </w:rPr>
            </w:pPr>
            <w:r w:rsidRPr="00FF4447">
              <w:rPr>
                <w:sz w:val="20"/>
                <w:lang w:eastAsia="en-GB"/>
              </w:rPr>
              <w:t>3</w:t>
            </w:r>
          </w:p>
        </w:tc>
        <w:tc>
          <w:tcPr>
            <w:tcW w:w="1118" w:type="dxa"/>
            <w:tcBorders>
              <w:top w:val="single" w:sz="4" w:space="0" w:color="D3D3D3"/>
              <w:left w:val="nil"/>
              <w:bottom w:val="nil"/>
              <w:right w:val="nil"/>
            </w:tcBorders>
            <w:hideMark/>
          </w:tcPr>
          <w:p w14:paraId="40F613AB" w14:textId="77777777" w:rsidR="00E52274" w:rsidRPr="00FF4447" w:rsidRDefault="00E52274" w:rsidP="00FF4447">
            <w:pPr>
              <w:pStyle w:val="Tabletext"/>
              <w:jc w:val="center"/>
              <w:rPr>
                <w:sz w:val="20"/>
                <w:lang w:eastAsia="en-GB"/>
              </w:rPr>
            </w:pPr>
            <w:r w:rsidRPr="00FF4447">
              <w:rPr>
                <w:sz w:val="20"/>
                <w:lang w:eastAsia="en-GB"/>
              </w:rPr>
              <w:t>4</w:t>
            </w:r>
          </w:p>
        </w:tc>
        <w:tc>
          <w:tcPr>
            <w:tcW w:w="754" w:type="dxa"/>
            <w:tcBorders>
              <w:top w:val="single" w:sz="4" w:space="0" w:color="D3D3D3"/>
              <w:left w:val="nil"/>
              <w:bottom w:val="nil"/>
              <w:right w:val="nil"/>
            </w:tcBorders>
            <w:shd w:val="clear" w:color="auto" w:fill="D3D3D3"/>
            <w:hideMark/>
          </w:tcPr>
          <w:p w14:paraId="3B5D53C6" w14:textId="77777777" w:rsidR="00E52274" w:rsidRPr="00FF4447" w:rsidRDefault="00E52274" w:rsidP="00FF4447">
            <w:pPr>
              <w:pStyle w:val="Tabletext"/>
              <w:jc w:val="center"/>
              <w:rPr>
                <w:b/>
                <w:bCs/>
                <w:sz w:val="20"/>
                <w:lang w:eastAsia="en-GB"/>
              </w:rPr>
            </w:pPr>
            <w:r w:rsidRPr="00FF4447">
              <w:rPr>
                <w:b/>
                <w:bCs/>
                <w:sz w:val="20"/>
                <w:lang w:eastAsia="en-GB"/>
              </w:rPr>
              <w:t>30</w:t>
            </w:r>
          </w:p>
        </w:tc>
      </w:tr>
      <w:tr w:rsidR="00E52274" w:rsidRPr="004F246B" w14:paraId="39DBD6F0" w14:textId="77777777" w:rsidTr="00AD4B70">
        <w:trPr>
          <w:trHeight w:val="20"/>
          <w:jc w:val="center"/>
        </w:trPr>
        <w:tc>
          <w:tcPr>
            <w:tcW w:w="1773" w:type="dxa"/>
            <w:vMerge/>
            <w:tcBorders>
              <w:top w:val="single" w:sz="4" w:space="0" w:color="000000"/>
              <w:left w:val="nil"/>
              <w:bottom w:val="nil"/>
              <w:right w:val="nil"/>
            </w:tcBorders>
            <w:vAlign w:val="center"/>
            <w:hideMark/>
          </w:tcPr>
          <w:p w14:paraId="37DC7F44"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210B2CB8" w14:textId="77777777" w:rsidR="00E52274" w:rsidRPr="00FF4447" w:rsidRDefault="00E52274" w:rsidP="00FF4447">
            <w:pPr>
              <w:pStyle w:val="Tabletext"/>
              <w:jc w:val="center"/>
              <w:rPr>
                <w:sz w:val="20"/>
                <w:lang w:eastAsia="en-GB"/>
              </w:rPr>
            </w:pPr>
            <w:r w:rsidRPr="00FF4447">
              <w:rPr>
                <w:sz w:val="20"/>
                <w:lang w:eastAsia="en-GB"/>
              </w:rPr>
              <w:t>Private and Public Partnership (PPP)</w:t>
            </w:r>
          </w:p>
        </w:tc>
        <w:tc>
          <w:tcPr>
            <w:tcW w:w="795" w:type="dxa"/>
            <w:tcBorders>
              <w:top w:val="single" w:sz="4" w:space="0" w:color="D3D3D3"/>
              <w:left w:val="nil"/>
              <w:bottom w:val="nil"/>
              <w:right w:val="nil"/>
            </w:tcBorders>
            <w:hideMark/>
          </w:tcPr>
          <w:p w14:paraId="44BF6097" w14:textId="77777777" w:rsidR="00E52274" w:rsidRPr="00FF4447" w:rsidRDefault="00E52274" w:rsidP="00FF4447">
            <w:pPr>
              <w:pStyle w:val="Tabletext"/>
              <w:jc w:val="center"/>
              <w:rPr>
                <w:sz w:val="20"/>
                <w:lang w:eastAsia="en-GB"/>
              </w:rPr>
            </w:pPr>
            <w:r w:rsidRPr="00FF4447">
              <w:rPr>
                <w:sz w:val="20"/>
                <w:lang w:eastAsia="en-GB"/>
              </w:rPr>
              <w:t>12</w:t>
            </w:r>
          </w:p>
        </w:tc>
        <w:tc>
          <w:tcPr>
            <w:tcW w:w="840" w:type="dxa"/>
            <w:tcBorders>
              <w:top w:val="single" w:sz="4" w:space="0" w:color="D3D3D3"/>
              <w:left w:val="nil"/>
              <w:bottom w:val="nil"/>
              <w:right w:val="nil"/>
            </w:tcBorders>
            <w:hideMark/>
          </w:tcPr>
          <w:p w14:paraId="7CE96136" w14:textId="77777777" w:rsidR="00E52274" w:rsidRPr="00FF4447" w:rsidRDefault="00E52274" w:rsidP="00FF4447">
            <w:pPr>
              <w:pStyle w:val="Tabletext"/>
              <w:jc w:val="center"/>
              <w:rPr>
                <w:sz w:val="20"/>
                <w:lang w:eastAsia="en-GB"/>
              </w:rPr>
            </w:pPr>
            <w:r w:rsidRPr="00FF4447">
              <w:rPr>
                <w:sz w:val="20"/>
                <w:lang w:eastAsia="en-GB"/>
              </w:rPr>
              <w:t>1</w:t>
            </w:r>
          </w:p>
        </w:tc>
        <w:tc>
          <w:tcPr>
            <w:tcW w:w="494" w:type="dxa"/>
            <w:tcBorders>
              <w:top w:val="single" w:sz="4" w:space="0" w:color="D3D3D3"/>
              <w:left w:val="nil"/>
              <w:bottom w:val="nil"/>
              <w:right w:val="nil"/>
            </w:tcBorders>
          </w:tcPr>
          <w:p w14:paraId="20434516"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4FBE2932" w14:textId="77777777" w:rsidR="00E52274" w:rsidRPr="00FF4447" w:rsidRDefault="00E52274" w:rsidP="00FF4447">
            <w:pPr>
              <w:pStyle w:val="Tabletext"/>
              <w:jc w:val="center"/>
              <w:rPr>
                <w:sz w:val="20"/>
                <w:lang w:eastAsia="en-GB"/>
              </w:rPr>
            </w:pPr>
            <w:r w:rsidRPr="00FF4447">
              <w:rPr>
                <w:sz w:val="20"/>
                <w:lang w:eastAsia="en-GB"/>
              </w:rPr>
              <w:t>3</w:t>
            </w:r>
          </w:p>
        </w:tc>
        <w:tc>
          <w:tcPr>
            <w:tcW w:w="247" w:type="dxa"/>
            <w:tcBorders>
              <w:top w:val="single" w:sz="4" w:space="0" w:color="D3D3D3"/>
              <w:left w:val="nil"/>
              <w:bottom w:val="nil"/>
              <w:right w:val="nil"/>
            </w:tcBorders>
          </w:tcPr>
          <w:p w14:paraId="4D3F3296"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0C849304" w14:textId="77777777" w:rsidR="00E52274" w:rsidRPr="00FF4447" w:rsidRDefault="00E52274" w:rsidP="00FF4447">
            <w:pPr>
              <w:pStyle w:val="Tabletext"/>
              <w:jc w:val="center"/>
              <w:rPr>
                <w:sz w:val="20"/>
                <w:lang w:eastAsia="en-GB"/>
              </w:rPr>
            </w:pPr>
            <w:r w:rsidRPr="00FF4447">
              <w:rPr>
                <w:sz w:val="20"/>
                <w:lang w:eastAsia="en-GB"/>
              </w:rPr>
              <w:t>1</w:t>
            </w:r>
          </w:p>
        </w:tc>
        <w:tc>
          <w:tcPr>
            <w:tcW w:w="925" w:type="dxa"/>
            <w:tcBorders>
              <w:top w:val="single" w:sz="4" w:space="0" w:color="D3D3D3"/>
              <w:left w:val="nil"/>
              <w:bottom w:val="nil"/>
              <w:right w:val="nil"/>
            </w:tcBorders>
            <w:hideMark/>
          </w:tcPr>
          <w:p w14:paraId="5508B0DB" w14:textId="77777777" w:rsidR="00E52274" w:rsidRPr="00FF4447" w:rsidRDefault="00E52274" w:rsidP="00FF4447">
            <w:pPr>
              <w:pStyle w:val="Tabletext"/>
              <w:jc w:val="center"/>
              <w:rPr>
                <w:sz w:val="20"/>
                <w:lang w:eastAsia="en-GB"/>
              </w:rPr>
            </w:pPr>
            <w:r w:rsidRPr="00FF4447">
              <w:rPr>
                <w:sz w:val="20"/>
                <w:lang w:eastAsia="en-GB"/>
              </w:rPr>
              <w:t>8</w:t>
            </w:r>
          </w:p>
        </w:tc>
        <w:tc>
          <w:tcPr>
            <w:tcW w:w="1118" w:type="dxa"/>
            <w:tcBorders>
              <w:top w:val="single" w:sz="4" w:space="0" w:color="D3D3D3"/>
              <w:left w:val="nil"/>
              <w:bottom w:val="nil"/>
              <w:right w:val="nil"/>
            </w:tcBorders>
            <w:hideMark/>
          </w:tcPr>
          <w:p w14:paraId="4975A86F" w14:textId="77777777" w:rsidR="00E52274" w:rsidRPr="00FF4447" w:rsidRDefault="00E52274" w:rsidP="00FF4447">
            <w:pPr>
              <w:pStyle w:val="Tabletext"/>
              <w:jc w:val="center"/>
              <w:rPr>
                <w:sz w:val="20"/>
                <w:lang w:eastAsia="en-GB"/>
              </w:rPr>
            </w:pPr>
            <w:r w:rsidRPr="00FF4447">
              <w:rPr>
                <w:sz w:val="20"/>
                <w:lang w:eastAsia="en-GB"/>
              </w:rPr>
              <w:t>2</w:t>
            </w:r>
          </w:p>
        </w:tc>
        <w:tc>
          <w:tcPr>
            <w:tcW w:w="754" w:type="dxa"/>
            <w:tcBorders>
              <w:top w:val="single" w:sz="4" w:space="0" w:color="D3D3D3"/>
              <w:left w:val="nil"/>
              <w:bottom w:val="nil"/>
              <w:right w:val="nil"/>
            </w:tcBorders>
            <w:shd w:val="clear" w:color="auto" w:fill="D3D3D3"/>
            <w:hideMark/>
          </w:tcPr>
          <w:p w14:paraId="41CB9339" w14:textId="77777777" w:rsidR="00E52274" w:rsidRPr="00FF4447" w:rsidRDefault="00E52274" w:rsidP="00FF4447">
            <w:pPr>
              <w:pStyle w:val="Tabletext"/>
              <w:jc w:val="center"/>
              <w:rPr>
                <w:b/>
                <w:bCs/>
                <w:sz w:val="20"/>
                <w:lang w:eastAsia="en-GB"/>
              </w:rPr>
            </w:pPr>
            <w:r w:rsidRPr="00FF4447">
              <w:rPr>
                <w:b/>
                <w:bCs/>
                <w:sz w:val="20"/>
                <w:lang w:eastAsia="en-GB"/>
              </w:rPr>
              <w:t>27</w:t>
            </w:r>
          </w:p>
        </w:tc>
      </w:tr>
      <w:tr w:rsidR="00E52274" w:rsidRPr="004F246B" w14:paraId="56354424" w14:textId="77777777" w:rsidTr="00AD4B70">
        <w:trPr>
          <w:trHeight w:val="20"/>
          <w:jc w:val="center"/>
        </w:trPr>
        <w:tc>
          <w:tcPr>
            <w:tcW w:w="1773" w:type="dxa"/>
            <w:vMerge/>
            <w:tcBorders>
              <w:top w:val="single" w:sz="4" w:space="0" w:color="000000"/>
              <w:left w:val="nil"/>
              <w:bottom w:val="nil"/>
              <w:right w:val="nil"/>
            </w:tcBorders>
            <w:vAlign w:val="center"/>
            <w:hideMark/>
          </w:tcPr>
          <w:p w14:paraId="41D177E0"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1BF0992E" w14:textId="77777777" w:rsidR="00E52274" w:rsidRPr="00FF4447" w:rsidRDefault="00E52274" w:rsidP="00FF4447">
            <w:pPr>
              <w:pStyle w:val="Tabletext"/>
              <w:jc w:val="center"/>
              <w:rPr>
                <w:sz w:val="20"/>
                <w:lang w:eastAsia="en-GB"/>
              </w:rPr>
            </w:pPr>
            <w:r w:rsidRPr="00FF4447">
              <w:rPr>
                <w:sz w:val="20"/>
                <w:lang w:eastAsia="en-GB"/>
              </w:rPr>
              <w:t>Consortium of alternative operators</w:t>
            </w:r>
          </w:p>
        </w:tc>
        <w:tc>
          <w:tcPr>
            <w:tcW w:w="795" w:type="dxa"/>
            <w:tcBorders>
              <w:top w:val="single" w:sz="4" w:space="0" w:color="D3D3D3"/>
              <w:left w:val="nil"/>
              <w:bottom w:val="nil"/>
              <w:right w:val="nil"/>
            </w:tcBorders>
            <w:hideMark/>
          </w:tcPr>
          <w:p w14:paraId="78313427" w14:textId="77777777" w:rsidR="00E52274" w:rsidRPr="00FF4447" w:rsidRDefault="00E52274" w:rsidP="00FF4447">
            <w:pPr>
              <w:pStyle w:val="Tabletext"/>
              <w:jc w:val="center"/>
              <w:rPr>
                <w:sz w:val="20"/>
                <w:lang w:eastAsia="en-GB"/>
              </w:rPr>
            </w:pPr>
            <w:r w:rsidRPr="00FF4447">
              <w:rPr>
                <w:sz w:val="20"/>
                <w:lang w:eastAsia="en-GB"/>
              </w:rPr>
              <w:t>5</w:t>
            </w:r>
          </w:p>
        </w:tc>
        <w:tc>
          <w:tcPr>
            <w:tcW w:w="840" w:type="dxa"/>
            <w:tcBorders>
              <w:top w:val="single" w:sz="4" w:space="0" w:color="D3D3D3"/>
              <w:left w:val="nil"/>
              <w:bottom w:val="nil"/>
              <w:right w:val="nil"/>
            </w:tcBorders>
            <w:hideMark/>
          </w:tcPr>
          <w:p w14:paraId="12AAB016" w14:textId="77777777" w:rsidR="00E52274" w:rsidRPr="00FF4447" w:rsidRDefault="00E52274" w:rsidP="00FF4447">
            <w:pPr>
              <w:pStyle w:val="Tabletext"/>
              <w:jc w:val="center"/>
              <w:rPr>
                <w:sz w:val="20"/>
                <w:lang w:eastAsia="en-GB"/>
              </w:rPr>
            </w:pPr>
            <w:r w:rsidRPr="00FF4447">
              <w:rPr>
                <w:sz w:val="20"/>
                <w:lang w:eastAsia="en-GB"/>
              </w:rPr>
              <w:t>3</w:t>
            </w:r>
          </w:p>
        </w:tc>
        <w:tc>
          <w:tcPr>
            <w:tcW w:w="494" w:type="dxa"/>
            <w:tcBorders>
              <w:top w:val="single" w:sz="4" w:space="0" w:color="D3D3D3"/>
              <w:left w:val="nil"/>
              <w:bottom w:val="nil"/>
              <w:right w:val="nil"/>
            </w:tcBorders>
          </w:tcPr>
          <w:p w14:paraId="3931EF78"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4BBCA044" w14:textId="77777777" w:rsidR="00E52274" w:rsidRPr="00FF4447" w:rsidRDefault="00E52274" w:rsidP="00FF4447">
            <w:pPr>
              <w:pStyle w:val="Tabletext"/>
              <w:jc w:val="center"/>
              <w:rPr>
                <w:sz w:val="20"/>
                <w:lang w:eastAsia="en-GB"/>
              </w:rPr>
            </w:pPr>
            <w:r w:rsidRPr="00FF4447">
              <w:rPr>
                <w:sz w:val="20"/>
                <w:lang w:eastAsia="en-GB"/>
              </w:rPr>
              <w:t>4</w:t>
            </w:r>
          </w:p>
        </w:tc>
        <w:tc>
          <w:tcPr>
            <w:tcW w:w="247" w:type="dxa"/>
            <w:tcBorders>
              <w:top w:val="single" w:sz="4" w:space="0" w:color="D3D3D3"/>
              <w:left w:val="nil"/>
              <w:bottom w:val="nil"/>
              <w:right w:val="nil"/>
            </w:tcBorders>
          </w:tcPr>
          <w:p w14:paraId="1E5D2A18"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7724A8F1" w14:textId="77777777" w:rsidR="00E52274" w:rsidRPr="00FF4447" w:rsidRDefault="00E52274" w:rsidP="00FF4447">
            <w:pPr>
              <w:pStyle w:val="Tabletext"/>
              <w:jc w:val="center"/>
              <w:rPr>
                <w:sz w:val="20"/>
                <w:lang w:eastAsia="en-GB"/>
              </w:rPr>
            </w:pPr>
            <w:r w:rsidRPr="00FF4447">
              <w:rPr>
                <w:sz w:val="20"/>
                <w:lang w:eastAsia="en-GB"/>
              </w:rPr>
              <w:t>0</w:t>
            </w:r>
          </w:p>
        </w:tc>
        <w:tc>
          <w:tcPr>
            <w:tcW w:w="925" w:type="dxa"/>
            <w:tcBorders>
              <w:top w:val="single" w:sz="4" w:space="0" w:color="D3D3D3"/>
              <w:left w:val="nil"/>
              <w:bottom w:val="nil"/>
              <w:right w:val="nil"/>
            </w:tcBorders>
            <w:hideMark/>
          </w:tcPr>
          <w:p w14:paraId="547217AA" w14:textId="77777777" w:rsidR="00E52274" w:rsidRPr="00FF4447" w:rsidRDefault="00E52274" w:rsidP="00FF4447">
            <w:pPr>
              <w:pStyle w:val="Tabletext"/>
              <w:jc w:val="center"/>
              <w:rPr>
                <w:sz w:val="20"/>
                <w:lang w:eastAsia="en-GB"/>
              </w:rPr>
            </w:pPr>
            <w:r w:rsidRPr="00FF4447">
              <w:rPr>
                <w:sz w:val="20"/>
                <w:lang w:eastAsia="en-GB"/>
              </w:rPr>
              <w:t>3</w:t>
            </w:r>
          </w:p>
        </w:tc>
        <w:tc>
          <w:tcPr>
            <w:tcW w:w="1118" w:type="dxa"/>
            <w:tcBorders>
              <w:top w:val="single" w:sz="4" w:space="0" w:color="D3D3D3"/>
              <w:left w:val="nil"/>
              <w:bottom w:val="nil"/>
              <w:right w:val="nil"/>
            </w:tcBorders>
            <w:hideMark/>
          </w:tcPr>
          <w:p w14:paraId="3802C72D" w14:textId="77777777" w:rsidR="00E52274" w:rsidRPr="00FF4447" w:rsidRDefault="00E52274" w:rsidP="00FF4447">
            <w:pPr>
              <w:pStyle w:val="Tabletext"/>
              <w:jc w:val="center"/>
              <w:rPr>
                <w:sz w:val="20"/>
                <w:lang w:eastAsia="en-GB"/>
              </w:rPr>
            </w:pPr>
            <w:r w:rsidRPr="00FF4447">
              <w:rPr>
                <w:sz w:val="20"/>
                <w:lang w:eastAsia="en-GB"/>
              </w:rPr>
              <w:t>4</w:t>
            </w:r>
          </w:p>
        </w:tc>
        <w:tc>
          <w:tcPr>
            <w:tcW w:w="754" w:type="dxa"/>
            <w:tcBorders>
              <w:top w:val="single" w:sz="4" w:space="0" w:color="D3D3D3"/>
              <w:left w:val="nil"/>
              <w:bottom w:val="nil"/>
              <w:right w:val="nil"/>
            </w:tcBorders>
            <w:shd w:val="clear" w:color="auto" w:fill="D3D3D3"/>
            <w:hideMark/>
          </w:tcPr>
          <w:p w14:paraId="5D9FCAD5" w14:textId="77777777" w:rsidR="00E52274" w:rsidRPr="00FF4447" w:rsidRDefault="00E52274" w:rsidP="00FF4447">
            <w:pPr>
              <w:pStyle w:val="Tabletext"/>
              <w:jc w:val="center"/>
              <w:rPr>
                <w:b/>
                <w:bCs/>
                <w:sz w:val="20"/>
                <w:lang w:eastAsia="en-GB"/>
              </w:rPr>
            </w:pPr>
            <w:r w:rsidRPr="00FF4447">
              <w:rPr>
                <w:b/>
                <w:bCs/>
                <w:sz w:val="20"/>
                <w:lang w:eastAsia="en-GB"/>
              </w:rPr>
              <w:t>19</w:t>
            </w:r>
          </w:p>
        </w:tc>
      </w:tr>
      <w:tr w:rsidR="00E52274" w:rsidRPr="004F246B" w14:paraId="552B465C" w14:textId="77777777" w:rsidTr="00AD4B70">
        <w:trPr>
          <w:trHeight w:val="20"/>
          <w:jc w:val="center"/>
        </w:trPr>
        <w:tc>
          <w:tcPr>
            <w:tcW w:w="1773" w:type="dxa"/>
            <w:vMerge/>
            <w:tcBorders>
              <w:top w:val="single" w:sz="4" w:space="0" w:color="000000"/>
              <w:left w:val="nil"/>
              <w:bottom w:val="nil"/>
              <w:right w:val="nil"/>
            </w:tcBorders>
            <w:vAlign w:val="center"/>
            <w:hideMark/>
          </w:tcPr>
          <w:p w14:paraId="5483EF18" w14:textId="77777777" w:rsidR="00E52274" w:rsidRPr="00FF4447" w:rsidRDefault="00E52274" w:rsidP="00FF4447">
            <w:pPr>
              <w:pStyle w:val="Tabletext"/>
              <w:rPr>
                <w:sz w:val="20"/>
                <w:lang w:eastAsia="en-GB"/>
              </w:rPr>
            </w:pPr>
          </w:p>
        </w:tc>
        <w:tc>
          <w:tcPr>
            <w:tcW w:w="1216" w:type="dxa"/>
            <w:tcBorders>
              <w:top w:val="single" w:sz="4" w:space="0" w:color="D3D3D3"/>
              <w:left w:val="nil"/>
              <w:bottom w:val="nil"/>
              <w:right w:val="nil"/>
            </w:tcBorders>
            <w:hideMark/>
          </w:tcPr>
          <w:p w14:paraId="647859A3" w14:textId="77777777" w:rsidR="00E52274" w:rsidRPr="00FF4447" w:rsidRDefault="00E52274" w:rsidP="00FF4447">
            <w:pPr>
              <w:pStyle w:val="Tabletext"/>
              <w:jc w:val="center"/>
              <w:rPr>
                <w:sz w:val="20"/>
                <w:lang w:eastAsia="en-GB"/>
              </w:rPr>
            </w:pPr>
            <w:r w:rsidRPr="00FF4447">
              <w:rPr>
                <w:sz w:val="20"/>
                <w:lang w:eastAsia="en-GB"/>
              </w:rPr>
              <w:t>Other</w:t>
            </w:r>
          </w:p>
        </w:tc>
        <w:tc>
          <w:tcPr>
            <w:tcW w:w="795" w:type="dxa"/>
            <w:tcBorders>
              <w:top w:val="single" w:sz="4" w:space="0" w:color="D3D3D3"/>
              <w:left w:val="nil"/>
              <w:bottom w:val="nil"/>
              <w:right w:val="nil"/>
            </w:tcBorders>
            <w:hideMark/>
          </w:tcPr>
          <w:p w14:paraId="7813ADF5" w14:textId="77777777" w:rsidR="00E52274" w:rsidRPr="00FF4447" w:rsidRDefault="00E52274" w:rsidP="00FF4447">
            <w:pPr>
              <w:pStyle w:val="Tabletext"/>
              <w:jc w:val="center"/>
              <w:rPr>
                <w:sz w:val="20"/>
                <w:lang w:eastAsia="en-GB"/>
              </w:rPr>
            </w:pPr>
            <w:r w:rsidRPr="00FF4447">
              <w:rPr>
                <w:sz w:val="20"/>
                <w:lang w:eastAsia="en-GB"/>
              </w:rPr>
              <w:t>10</w:t>
            </w:r>
          </w:p>
        </w:tc>
        <w:tc>
          <w:tcPr>
            <w:tcW w:w="840" w:type="dxa"/>
            <w:tcBorders>
              <w:top w:val="single" w:sz="4" w:space="0" w:color="D3D3D3"/>
              <w:left w:val="nil"/>
              <w:bottom w:val="nil"/>
              <w:right w:val="nil"/>
            </w:tcBorders>
            <w:hideMark/>
          </w:tcPr>
          <w:p w14:paraId="260597DA" w14:textId="77777777" w:rsidR="00E52274" w:rsidRPr="00FF4447" w:rsidRDefault="00E52274" w:rsidP="00FF4447">
            <w:pPr>
              <w:pStyle w:val="Tabletext"/>
              <w:jc w:val="center"/>
              <w:rPr>
                <w:sz w:val="20"/>
                <w:lang w:eastAsia="en-GB"/>
              </w:rPr>
            </w:pPr>
            <w:r w:rsidRPr="00FF4447">
              <w:rPr>
                <w:sz w:val="20"/>
                <w:lang w:eastAsia="en-GB"/>
              </w:rPr>
              <w:t>6</w:t>
            </w:r>
          </w:p>
        </w:tc>
        <w:tc>
          <w:tcPr>
            <w:tcW w:w="494" w:type="dxa"/>
            <w:tcBorders>
              <w:top w:val="single" w:sz="4" w:space="0" w:color="D3D3D3"/>
              <w:left w:val="nil"/>
              <w:bottom w:val="nil"/>
              <w:right w:val="nil"/>
            </w:tcBorders>
          </w:tcPr>
          <w:p w14:paraId="3F9F45CF" w14:textId="77777777" w:rsidR="00E52274" w:rsidRPr="00FF4447" w:rsidRDefault="00E52274" w:rsidP="00FF4447">
            <w:pPr>
              <w:pStyle w:val="Tabletext"/>
              <w:jc w:val="center"/>
              <w:rPr>
                <w:sz w:val="20"/>
                <w:lang w:eastAsia="en-GB"/>
              </w:rPr>
            </w:pPr>
          </w:p>
        </w:tc>
        <w:tc>
          <w:tcPr>
            <w:tcW w:w="869" w:type="dxa"/>
            <w:tcBorders>
              <w:top w:val="single" w:sz="4" w:space="0" w:color="D3D3D3"/>
              <w:left w:val="nil"/>
              <w:bottom w:val="nil"/>
              <w:right w:val="nil"/>
            </w:tcBorders>
            <w:hideMark/>
          </w:tcPr>
          <w:p w14:paraId="5C45F834" w14:textId="77777777" w:rsidR="00E52274" w:rsidRPr="00FF4447" w:rsidRDefault="00E52274" w:rsidP="00FF4447">
            <w:pPr>
              <w:pStyle w:val="Tabletext"/>
              <w:jc w:val="center"/>
              <w:rPr>
                <w:sz w:val="20"/>
                <w:lang w:eastAsia="en-GB"/>
              </w:rPr>
            </w:pPr>
            <w:r w:rsidRPr="00FF4447">
              <w:rPr>
                <w:sz w:val="20"/>
                <w:lang w:eastAsia="en-GB"/>
              </w:rPr>
              <w:t>11</w:t>
            </w:r>
          </w:p>
        </w:tc>
        <w:tc>
          <w:tcPr>
            <w:tcW w:w="247" w:type="dxa"/>
            <w:tcBorders>
              <w:top w:val="single" w:sz="4" w:space="0" w:color="D3D3D3"/>
              <w:left w:val="nil"/>
              <w:bottom w:val="nil"/>
              <w:right w:val="nil"/>
            </w:tcBorders>
          </w:tcPr>
          <w:p w14:paraId="034FD336" w14:textId="77777777" w:rsidR="00E52274" w:rsidRPr="00FF4447" w:rsidRDefault="00E52274" w:rsidP="00FF4447">
            <w:pPr>
              <w:pStyle w:val="Tabletext"/>
              <w:jc w:val="center"/>
              <w:rPr>
                <w:sz w:val="20"/>
                <w:lang w:eastAsia="en-GB"/>
              </w:rPr>
            </w:pPr>
          </w:p>
        </w:tc>
        <w:tc>
          <w:tcPr>
            <w:tcW w:w="608" w:type="dxa"/>
            <w:tcBorders>
              <w:top w:val="single" w:sz="4" w:space="0" w:color="D3D3D3"/>
              <w:left w:val="nil"/>
              <w:bottom w:val="nil"/>
              <w:right w:val="nil"/>
            </w:tcBorders>
            <w:hideMark/>
          </w:tcPr>
          <w:p w14:paraId="28667CCF" w14:textId="77777777" w:rsidR="00E52274" w:rsidRPr="00FF4447" w:rsidRDefault="00E52274" w:rsidP="00FF4447">
            <w:pPr>
              <w:pStyle w:val="Tabletext"/>
              <w:jc w:val="center"/>
              <w:rPr>
                <w:sz w:val="20"/>
                <w:lang w:eastAsia="en-GB"/>
              </w:rPr>
            </w:pPr>
            <w:r w:rsidRPr="00FF4447">
              <w:rPr>
                <w:sz w:val="20"/>
                <w:lang w:eastAsia="en-GB"/>
              </w:rPr>
              <w:t>2</w:t>
            </w:r>
          </w:p>
        </w:tc>
        <w:tc>
          <w:tcPr>
            <w:tcW w:w="925" w:type="dxa"/>
            <w:tcBorders>
              <w:top w:val="single" w:sz="4" w:space="0" w:color="D3D3D3"/>
              <w:left w:val="nil"/>
              <w:bottom w:val="nil"/>
              <w:right w:val="nil"/>
            </w:tcBorders>
            <w:hideMark/>
          </w:tcPr>
          <w:p w14:paraId="7ECEE1E5" w14:textId="77777777" w:rsidR="00E52274" w:rsidRPr="00FF4447" w:rsidRDefault="00E52274" w:rsidP="00FF4447">
            <w:pPr>
              <w:pStyle w:val="Tabletext"/>
              <w:jc w:val="center"/>
              <w:rPr>
                <w:sz w:val="20"/>
                <w:lang w:eastAsia="en-GB"/>
              </w:rPr>
            </w:pPr>
            <w:r w:rsidRPr="00FF4447">
              <w:rPr>
                <w:sz w:val="20"/>
                <w:lang w:eastAsia="en-GB"/>
              </w:rPr>
              <w:t>20</w:t>
            </w:r>
          </w:p>
        </w:tc>
        <w:tc>
          <w:tcPr>
            <w:tcW w:w="1118" w:type="dxa"/>
            <w:tcBorders>
              <w:top w:val="single" w:sz="4" w:space="0" w:color="D3D3D3"/>
              <w:left w:val="nil"/>
              <w:bottom w:val="nil"/>
              <w:right w:val="nil"/>
            </w:tcBorders>
            <w:hideMark/>
          </w:tcPr>
          <w:p w14:paraId="61BD1715" w14:textId="77777777" w:rsidR="00E52274" w:rsidRPr="00FF4447" w:rsidRDefault="00E52274" w:rsidP="00FF4447">
            <w:pPr>
              <w:pStyle w:val="Tabletext"/>
              <w:jc w:val="center"/>
              <w:rPr>
                <w:sz w:val="20"/>
                <w:lang w:eastAsia="en-GB"/>
              </w:rPr>
            </w:pPr>
            <w:r w:rsidRPr="00FF4447">
              <w:rPr>
                <w:sz w:val="20"/>
                <w:lang w:eastAsia="en-GB"/>
              </w:rPr>
              <w:t>15</w:t>
            </w:r>
          </w:p>
        </w:tc>
        <w:tc>
          <w:tcPr>
            <w:tcW w:w="754" w:type="dxa"/>
            <w:tcBorders>
              <w:top w:val="single" w:sz="4" w:space="0" w:color="D3D3D3"/>
              <w:left w:val="nil"/>
              <w:bottom w:val="nil"/>
              <w:right w:val="nil"/>
            </w:tcBorders>
            <w:shd w:val="clear" w:color="auto" w:fill="D3D3D3"/>
            <w:hideMark/>
          </w:tcPr>
          <w:p w14:paraId="2E2B7B70" w14:textId="77777777" w:rsidR="00E52274" w:rsidRPr="00FF4447" w:rsidRDefault="00E52274" w:rsidP="00FF4447">
            <w:pPr>
              <w:pStyle w:val="Tabletext"/>
              <w:jc w:val="center"/>
              <w:rPr>
                <w:b/>
                <w:bCs/>
                <w:sz w:val="20"/>
                <w:lang w:eastAsia="en-GB"/>
              </w:rPr>
            </w:pPr>
            <w:r w:rsidRPr="00FF4447">
              <w:rPr>
                <w:b/>
                <w:bCs/>
                <w:sz w:val="20"/>
                <w:lang w:eastAsia="en-GB"/>
              </w:rPr>
              <w:t>64</w:t>
            </w:r>
          </w:p>
        </w:tc>
      </w:tr>
      <w:tr w:rsidR="00E52274" w:rsidRPr="004F246B" w14:paraId="52E2B525" w14:textId="77777777" w:rsidTr="00AD4B70">
        <w:trPr>
          <w:trHeight w:val="20"/>
          <w:jc w:val="center"/>
        </w:trPr>
        <w:tc>
          <w:tcPr>
            <w:tcW w:w="1773" w:type="dxa"/>
            <w:tcBorders>
              <w:top w:val="single" w:sz="4" w:space="0" w:color="000000"/>
              <w:left w:val="nil"/>
              <w:bottom w:val="single" w:sz="4" w:space="0" w:color="000000"/>
              <w:right w:val="nil"/>
            </w:tcBorders>
            <w:shd w:val="clear" w:color="auto" w:fill="D3D3D3"/>
            <w:hideMark/>
          </w:tcPr>
          <w:p w14:paraId="78372CFB" w14:textId="77777777" w:rsidR="00E52274" w:rsidRPr="00FF4447" w:rsidRDefault="00E52274" w:rsidP="00FF4447">
            <w:pPr>
              <w:pStyle w:val="Tabletext"/>
              <w:rPr>
                <w:b/>
                <w:bCs/>
                <w:sz w:val="20"/>
                <w:lang w:eastAsia="en-GB"/>
              </w:rPr>
            </w:pPr>
            <w:r w:rsidRPr="00FF4447">
              <w:rPr>
                <w:b/>
                <w:bCs/>
                <w:sz w:val="20"/>
                <w:lang w:eastAsia="en-GB"/>
              </w:rPr>
              <w:t>Region size</w:t>
            </w:r>
          </w:p>
        </w:tc>
        <w:tc>
          <w:tcPr>
            <w:tcW w:w="1216" w:type="dxa"/>
            <w:tcBorders>
              <w:top w:val="single" w:sz="4" w:space="0" w:color="000000"/>
              <w:left w:val="nil"/>
              <w:bottom w:val="single" w:sz="4" w:space="0" w:color="000000"/>
              <w:right w:val="nil"/>
            </w:tcBorders>
            <w:shd w:val="clear" w:color="auto" w:fill="D3D3D3"/>
            <w:hideMark/>
          </w:tcPr>
          <w:p w14:paraId="77C59928" w14:textId="0E043803" w:rsidR="00E52274" w:rsidRPr="00FF4447" w:rsidRDefault="00E52274" w:rsidP="00FF4447">
            <w:pPr>
              <w:pStyle w:val="Tabletext"/>
              <w:jc w:val="center"/>
              <w:rPr>
                <w:sz w:val="20"/>
                <w:lang w:eastAsia="en-GB"/>
              </w:rPr>
            </w:pPr>
          </w:p>
        </w:tc>
        <w:tc>
          <w:tcPr>
            <w:tcW w:w="795" w:type="dxa"/>
            <w:tcBorders>
              <w:top w:val="single" w:sz="4" w:space="0" w:color="000000"/>
              <w:left w:val="nil"/>
              <w:bottom w:val="single" w:sz="4" w:space="0" w:color="000000"/>
              <w:right w:val="nil"/>
            </w:tcBorders>
            <w:shd w:val="clear" w:color="auto" w:fill="D3D3D3"/>
            <w:hideMark/>
          </w:tcPr>
          <w:p w14:paraId="72919D06" w14:textId="77777777" w:rsidR="00E52274" w:rsidRPr="00FF4447" w:rsidRDefault="00E52274" w:rsidP="00FF4447">
            <w:pPr>
              <w:pStyle w:val="Tabletext"/>
              <w:jc w:val="center"/>
              <w:rPr>
                <w:b/>
                <w:bCs/>
                <w:sz w:val="20"/>
                <w:lang w:eastAsia="en-GB"/>
              </w:rPr>
            </w:pPr>
            <w:r w:rsidRPr="00FF4447">
              <w:rPr>
                <w:b/>
                <w:bCs/>
                <w:sz w:val="20"/>
                <w:lang w:eastAsia="en-GB"/>
              </w:rPr>
              <w:t>44</w:t>
            </w:r>
          </w:p>
        </w:tc>
        <w:tc>
          <w:tcPr>
            <w:tcW w:w="840" w:type="dxa"/>
            <w:tcBorders>
              <w:top w:val="single" w:sz="4" w:space="0" w:color="000000"/>
              <w:left w:val="nil"/>
              <w:bottom w:val="single" w:sz="4" w:space="0" w:color="000000"/>
              <w:right w:val="nil"/>
            </w:tcBorders>
            <w:shd w:val="clear" w:color="auto" w:fill="D3D3D3"/>
            <w:hideMark/>
          </w:tcPr>
          <w:p w14:paraId="5741D502" w14:textId="77777777" w:rsidR="00E52274" w:rsidRPr="00FF4447" w:rsidRDefault="00E52274" w:rsidP="00FF4447">
            <w:pPr>
              <w:pStyle w:val="Tabletext"/>
              <w:jc w:val="center"/>
              <w:rPr>
                <w:b/>
                <w:bCs/>
                <w:sz w:val="20"/>
                <w:lang w:eastAsia="en-GB"/>
              </w:rPr>
            </w:pPr>
            <w:r w:rsidRPr="00FF4447">
              <w:rPr>
                <w:b/>
                <w:bCs/>
                <w:sz w:val="20"/>
                <w:lang w:eastAsia="en-GB"/>
              </w:rPr>
              <w:t>22</w:t>
            </w:r>
          </w:p>
        </w:tc>
        <w:tc>
          <w:tcPr>
            <w:tcW w:w="494" w:type="dxa"/>
            <w:tcBorders>
              <w:top w:val="single" w:sz="4" w:space="0" w:color="000000"/>
              <w:left w:val="nil"/>
              <w:bottom w:val="single" w:sz="4" w:space="0" w:color="000000"/>
              <w:right w:val="nil"/>
            </w:tcBorders>
            <w:shd w:val="clear" w:color="auto" w:fill="D3D3D3"/>
          </w:tcPr>
          <w:p w14:paraId="139581E0" w14:textId="77777777" w:rsidR="00E52274" w:rsidRPr="00FF4447" w:rsidRDefault="00E52274" w:rsidP="00FF4447">
            <w:pPr>
              <w:pStyle w:val="Tabletext"/>
              <w:jc w:val="center"/>
              <w:rPr>
                <w:b/>
                <w:bCs/>
                <w:sz w:val="20"/>
                <w:lang w:eastAsia="en-GB"/>
              </w:rPr>
            </w:pPr>
          </w:p>
        </w:tc>
        <w:tc>
          <w:tcPr>
            <w:tcW w:w="869" w:type="dxa"/>
            <w:tcBorders>
              <w:top w:val="single" w:sz="4" w:space="0" w:color="000000"/>
              <w:left w:val="nil"/>
              <w:bottom w:val="single" w:sz="4" w:space="0" w:color="000000"/>
              <w:right w:val="nil"/>
            </w:tcBorders>
            <w:shd w:val="clear" w:color="auto" w:fill="D3D3D3"/>
            <w:hideMark/>
          </w:tcPr>
          <w:p w14:paraId="69A4212D" w14:textId="77777777" w:rsidR="00E52274" w:rsidRPr="00FF4447" w:rsidRDefault="00E52274" w:rsidP="00FF4447">
            <w:pPr>
              <w:pStyle w:val="Tabletext"/>
              <w:jc w:val="center"/>
              <w:rPr>
                <w:b/>
                <w:bCs/>
                <w:sz w:val="20"/>
                <w:lang w:eastAsia="en-GB"/>
              </w:rPr>
            </w:pPr>
            <w:r w:rsidRPr="00FF4447">
              <w:rPr>
                <w:b/>
                <w:bCs/>
                <w:sz w:val="20"/>
                <w:lang w:eastAsia="en-GB"/>
              </w:rPr>
              <w:t>40</w:t>
            </w:r>
          </w:p>
        </w:tc>
        <w:tc>
          <w:tcPr>
            <w:tcW w:w="247" w:type="dxa"/>
            <w:tcBorders>
              <w:top w:val="single" w:sz="4" w:space="0" w:color="000000"/>
              <w:left w:val="nil"/>
              <w:bottom w:val="single" w:sz="4" w:space="0" w:color="000000"/>
              <w:right w:val="nil"/>
            </w:tcBorders>
            <w:shd w:val="clear" w:color="auto" w:fill="D3D3D3"/>
          </w:tcPr>
          <w:p w14:paraId="58999B08" w14:textId="77777777" w:rsidR="00E52274" w:rsidRPr="00FF4447" w:rsidRDefault="00E52274" w:rsidP="00FF4447">
            <w:pPr>
              <w:pStyle w:val="Tabletext"/>
              <w:jc w:val="center"/>
              <w:rPr>
                <w:b/>
                <w:bCs/>
                <w:sz w:val="20"/>
                <w:lang w:eastAsia="en-GB"/>
              </w:rPr>
            </w:pPr>
          </w:p>
        </w:tc>
        <w:tc>
          <w:tcPr>
            <w:tcW w:w="608" w:type="dxa"/>
            <w:tcBorders>
              <w:top w:val="single" w:sz="4" w:space="0" w:color="000000"/>
              <w:left w:val="nil"/>
              <w:bottom w:val="single" w:sz="4" w:space="0" w:color="000000"/>
              <w:right w:val="nil"/>
            </w:tcBorders>
            <w:shd w:val="clear" w:color="auto" w:fill="D3D3D3"/>
            <w:hideMark/>
          </w:tcPr>
          <w:p w14:paraId="17DD5A06" w14:textId="77777777" w:rsidR="00E52274" w:rsidRPr="00FF4447" w:rsidRDefault="00E52274" w:rsidP="00FF4447">
            <w:pPr>
              <w:pStyle w:val="Tabletext"/>
              <w:jc w:val="center"/>
              <w:rPr>
                <w:b/>
                <w:bCs/>
                <w:sz w:val="20"/>
                <w:lang w:eastAsia="en-GB"/>
              </w:rPr>
            </w:pPr>
            <w:r w:rsidRPr="00FF4447">
              <w:rPr>
                <w:b/>
                <w:bCs/>
                <w:sz w:val="20"/>
                <w:lang w:eastAsia="en-GB"/>
              </w:rPr>
              <w:t>9</w:t>
            </w:r>
          </w:p>
        </w:tc>
        <w:tc>
          <w:tcPr>
            <w:tcW w:w="925" w:type="dxa"/>
            <w:tcBorders>
              <w:top w:val="single" w:sz="4" w:space="0" w:color="000000"/>
              <w:left w:val="nil"/>
              <w:bottom w:val="single" w:sz="4" w:space="0" w:color="000000"/>
              <w:right w:val="nil"/>
            </w:tcBorders>
            <w:shd w:val="clear" w:color="auto" w:fill="D3D3D3"/>
            <w:hideMark/>
          </w:tcPr>
          <w:p w14:paraId="21D36309" w14:textId="77777777" w:rsidR="00E52274" w:rsidRPr="00FF4447" w:rsidRDefault="00E52274" w:rsidP="00FF4447">
            <w:pPr>
              <w:pStyle w:val="Tabletext"/>
              <w:jc w:val="center"/>
              <w:rPr>
                <w:b/>
                <w:bCs/>
                <w:sz w:val="20"/>
                <w:lang w:eastAsia="en-GB"/>
              </w:rPr>
            </w:pPr>
            <w:r w:rsidRPr="00FF4447">
              <w:rPr>
                <w:b/>
                <w:bCs/>
                <w:sz w:val="20"/>
                <w:lang w:eastAsia="en-GB"/>
              </w:rPr>
              <w:t>46</w:t>
            </w:r>
          </w:p>
        </w:tc>
        <w:tc>
          <w:tcPr>
            <w:tcW w:w="1118" w:type="dxa"/>
            <w:tcBorders>
              <w:top w:val="single" w:sz="4" w:space="0" w:color="000000"/>
              <w:left w:val="nil"/>
              <w:bottom w:val="single" w:sz="4" w:space="0" w:color="000000"/>
              <w:right w:val="nil"/>
            </w:tcBorders>
            <w:shd w:val="clear" w:color="auto" w:fill="D3D3D3"/>
            <w:hideMark/>
          </w:tcPr>
          <w:p w14:paraId="458B155A" w14:textId="77777777" w:rsidR="00E52274" w:rsidRPr="00FF4447" w:rsidRDefault="00E52274" w:rsidP="00FF4447">
            <w:pPr>
              <w:pStyle w:val="Tabletext"/>
              <w:jc w:val="center"/>
              <w:rPr>
                <w:b/>
                <w:bCs/>
                <w:sz w:val="20"/>
                <w:lang w:eastAsia="en-GB"/>
              </w:rPr>
            </w:pPr>
            <w:r w:rsidRPr="00FF4447">
              <w:rPr>
                <w:b/>
                <w:bCs/>
                <w:sz w:val="20"/>
                <w:lang w:eastAsia="en-GB"/>
              </w:rPr>
              <w:t>35</w:t>
            </w:r>
          </w:p>
        </w:tc>
        <w:tc>
          <w:tcPr>
            <w:tcW w:w="754" w:type="dxa"/>
            <w:tcBorders>
              <w:top w:val="single" w:sz="4" w:space="0" w:color="000000"/>
              <w:left w:val="nil"/>
              <w:bottom w:val="single" w:sz="4" w:space="0" w:color="000000"/>
              <w:right w:val="nil"/>
            </w:tcBorders>
            <w:shd w:val="clear" w:color="auto" w:fill="D3D3D3"/>
            <w:hideMark/>
          </w:tcPr>
          <w:p w14:paraId="03BF09AC" w14:textId="77777777" w:rsidR="00E52274" w:rsidRPr="00FF4447" w:rsidRDefault="00E52274" w:rsidP="00FF4447">
            <w:pPr>
              <w:pStyle w:val="Tabletext"/>
              <w:jc w:val="center"/>
              <w:rPr>
                <w:b/>
                <w:bCs/>
                <w:sz w:val="20"/>
                <w:lang w:eastAsia="en-GB"/>
              </w:rPr>
            </w:pPr>
            <w:r w:rsidRPr="00FF4447">
              <w:rPr>
                <w:b/>
                <w:bCs/>
                <w:sz w:val="20"/>
                <w:lang w:eastAsia="en-GB"/>
              </w:rPr>
              <w:t>196</w:t>
            </w:r>
          </w:p>
        </w:tc>
      </w:tr>
    </w:tbl>
    <w:p w14:paraId="7C9D5303" w14:textId="22216098" w:rsidR="00E52274" w:rsidRPr="00AD4B70" w:rsidRDefault="00E52274" w:rsidP="00AD4B70">
      <w:pPr>
        <w:rPr>
          <w:szCs w:val="24"/>
        </w:rPr>
      </w:pPr>
      <w:r w:rsidRPr="00AD4B70">
        <w:rPr>
          <w:szCs w:val="24"/>
        </w:rPr>
        <w:t>Typical industry data sources for costs associated to international bandwidth prices may be costly to be obtained, and can be found in telecommunications market reports and databases (</w:t>
      </w:r>
      <w:hyperlink r:id="rId31" w:history="1">
        <w:r w:rsidRPr="00123A60">
          <w:rPr>
            <w:rStyle w:val="Hyperlink"/>
            <w:szCs w:val="24"/>
          </w:rPr>
          <w:t>TeleGeography's Global Bandwidth Research Service</w:t>
        </w:r>
      </w:hyperlink>
      <w:r w:rsidRPr="00AD4B70">
        <w:rPr>
          <w:szCs w:val="24"/>
        </w:rPr>
        <w:t>), as well as pricing data from ISPs, telecommunications regulators, and industry associations.</w:t>
      </w:r>
    </w:p>
    <w:p w14:paraId="3A86889C" w14:textId="1F07D341" w:rsidR="00E52274" w:rsidRPr="004F246B" w:rsidRDefault="00A95AF8" w:rsidP="002D4726">
      <w:pPr>
        <w:pStyle w:val="Heading3"/>
      </w:pPr>
      <w:bookmarkStart w:id="54" w:name="_Toc210148087"/>
      <w:r>
        <w:t>3.5.3</w:t>
      </w:r>
      <w:r w:rsidR="00BC7350" w:rsidRPr="004F246B">
        <w:tab/>
      </w:r>
      <w:r w:rsidR="00E52274" w:rsidRPr="004F246B">
        <w:t xml:space="preserve">Peering </w:t>
      </w:r>
      <w:r w:rsidR="00E52274" w:rsidRPr="002D4726">
        <w:t>costs</w:t>
      </w:r>
      <w:bookmarkEnd w:id="54"/>
    </w:p>
    <w:p w14:paraId="56339F83" w14:textId="51944BE9" w:rsidR="00E52274" w:rsidRPr="004F246B" w:rsidRDefault="00E52274" w:rsidP="001822D5">
      <w:r w:rsidRPr="001822D5">
        <w:t>Costs associated with establishing peering agreements with other networks or ISPs to exchange traffic directly, reducing the reliance on expensive transit routes. Peering costs might be zero, i.e.</w:t>
      </w:r>
      <w:r w:rsidR="00773154">
        <w:t>,</w:t>
      </w:r>
      <w:r w:rsidRPr="001822D5">
        <w:t xml:space="preserve"> network can exchange IP packets for free, or might be paid for. The key difference with transit is that traffic even under paid peering is only exchanged directly and not carried to other providers across the Internet. Hence, peering, free or paid for, only allows for limited direct reach, while not granting universal connectivity. An example of peering can be seen for </w:t>
      </w:r>
      <w:hyperlink r:id="rId32" w:anchor="/options/peering" w:history="1">
        <w:r w:rsidRPr="00123A60">
          <w:rPr>
            <w:rStyle w:val="Hyperlink"/>
          </w:rPr>
          <w:t>Google</w:t>
        </w:r>
      </w:hyperlink>
      <w:r w:rsidRPr="001822D5">
        <w:t xml:space="preserve">. </w:t>
      </w:r>
      <w:r w:rsidR="0070360F" w:rsidRPr="001822D5">
        <w:t>"</w:t>
      </w:r>
      <w:r w:rsidRPr="001822D5">
        <w:t>Google has an open peering policy, subject to certain technical, commercial and legal requirements</w:t>
      </w:r>
      <w:r w:rsidR="00AF1FCB" w:rsidRPr="001822D5">
        <w:t>"</w:t>
      </w:r>
      <w:r w:rsidRPr="001822D5">
        <w:t>. All of Google</w:t>
      </w:r>
      <w:r w:rsidR="00BC7350">
        <w:t>'</w:t>
      </w:r>
      <w:r w:rsidRPr="001822D5">
        <w:t xml:space="preserve">s peering locations at the </w:t>
      </w:r>
      <w:r w:rsidR="00A95AF8" w:rsidRPr="001822D5">
        <w:t xml:space="preserve">Internet </w:t>
      </w:r>
      <w:r w:rsidRPr="001822D5">
        <w:t xml:space="preserve">exchanges (IXPs) and private facilities are in its </w:t>
      </w:r>
      <w:hyperlink r:id="rId33" w:history="1">
        <w:r w:rsidRPr="00123A60">
          <w:rPr>
            <w:rStyle w:val="Hyperlink"/>
          </w:rPr>
          <w:t>PeeringDB entry</w:t>
        </w:r>
      </w:hyperlink>
      <w:r w:rsidRPr="001822D5">
        <w:t xml:space="preserve">. </w:t>
      </w:r>
      <w:r w:rsidR="0070360F" w:rsidRPr="001822D5">
        <w:t>"</w:t>
      </w:r>
      <w:r w:rsidRPr="001822D5">
        <w:t>Google offers peering on a non-charged ("settlement free") basis</w:t>
      </w:r>
      <w:r w:rsidR="00AF1FCB" w:rsidRPr="001822D5">
        <w:t>"</w:t>
      </w:r>
      <w:r w:rsidRPr="001822D5">
        <w:t xml:space="preserve">. Note that this type of direct peering occurs at common physical locations and both Google and any peering network bear their own costs in </w:t>
      </w:r>
      <w:r w:rsidRPr="001822D5">
        <w:lastRenderedPageBreak/>
        <w:t>reaching any such location. As a result, networks may find that peering reduces their overall costs compared with exchanging traffic with Google via their upstream transit providers</w:t>
      </w:r>
      <w:r>
        <w:rPr>
          <w:rStyle w:val="FootnoteReference"/>
          <w:kern w:val="2"/>
          <w:sz w:val="22"/>
          <w:szCs w:val="22"/>
          <w14:ligatures w14:val="standardContextual"/>
        </w:rPr>
        <w:footnoteReference w:id="26"/>
      </w:r>
      <w:r>
        <w:t>.</w:t>
      </w:r>
    </w:p>
    <w:p w14:paraId="157B5270" w14:textId="77777777" w:rsidR="00E52274" w:rsidRPr="004F246B" w:rsidRDefault="00E52274" w:rsidP="001822D5">
      <w:r w:rsidRPr="004F246B">
        <w:t>Typical peering costs data, when this is not free, are kept in agreements and pricing information, which is rarely disclosed by ISPs and network operators, and in reports on Internet peering and transit arrangements from industry analysts.</w:t>
      </w:r>
    </w:p>
    <w:p w14:paraId="3716511B" w14:textId="602960C0" w:rsidR="00E52274" w:rsidRPr="004F246B" w:rsidRDefault="00A95AF8" w:rsidP="002D4726">
      <w:pPr>
        <w:pStyle w:val="Heading3"/>
      </w:pPr>
      <w:bookmarkStart w:id="55" w:name="_Toc210148088"/>
      <w:r>
        <w:t>3.5.4</w:t>
      </w:r>
      <w:r w:rsidR="00BC7350" w:rsidRPr="004F246B">
        <w:tab/>
      </w:r>
      <w:r w:rsidR="00E52274" w:rsidRPr="004F246B">
        <w:t xml:space="preserve">Transit </w:t>
      </w:r>
      <w:r w:rsidR="00E52274" w:rsidRPr="002D4726">
        <w:t>costs</w:t>
      </w:r>
      <w:bookmarkEnd w:id="55"/>
    </w:p>
    <w:p w14:paraId="6E32380C" w14:textId="1428CB48" w:rsidR="00E52274" w:rsidRPr="004F246B" w:rsidRDefault="00E52274" w:rsidP="001822D5">
      <w:r w:rsidRPr="004F246B">
        <w:t xml:space="preserve">Costs incurred by ISPs for routing international Internet traffic through transit providers or upstream carriers. The workshop presentation by Brian Longwe, CTN, Malawi on </w:t>
      </w:r>
      <w:r w:rsidR="0070360F">
        <w:t>"</w:t>
      </w:r>
      <w:r w:rsidRPr="004F246B">
        <w:t>New &amp; Old Models for Internet Connectivity Provision</w:t>
      </w:r>
      <w:r w:rsidR="00AF1FCB">
        <w:t>"</w:t>
      </w:r>
      <w:r w:rsidRPr="004F246B">
        <w:t xml:space="preserve"> provides a clear scheme to understand them. This starts </w:t>
      </w:r>
      <w:r>
        <w:t>with</w:t>
      </w:r>
      <w:r w:rsidRPr="004F246B">
        <w:t xml:space="preserve"> the classification of the Internet service providers into three tiers, whereby: </w:t>
      </w:r>
    </w:p>
    <w:p w14:paraId="179D09E4" w14:textId="7E23D4E9" w:rsidR="00E52274" w:rsidRPr="001822D5" w:rsidRDefault="00BC7350" w:rsidP="002D4726">
      <w:pPr>
        <w:pStyle w:val="enumlev1"/>
      </w:pPr>
      <w:r w:rsidRPr="001822D5">
        <w:rPr>
          <w:rFonts w:ascii="Symbol" w:hAnsi="Symbol"/>
          <w:sz w:val="20"/>
        </w:rPr>
        <w:t></w:t>
      </w:r>
      <w:r w:rsidRPr="001822D5">
        <w:rPr>
          <w:rFonts w:ascii="Symbol" w:hAnsi="Symbol"/>
          <w:sz w:val="20"/>
        </w:rPr>
        <w:tab/>
      </w:r>
      <w:r w:rsidR="00E52274" w:rsidRPr="004F246B">
        <w:rPr>
          <w:b/>
          <w:bCs/>
          <w:kern w:val="2"/>
          <w:sz w:val="22"/>
          <w:szCs w:val="22"/>
          <w14:ligatures w14:val="standardContextual"/>
        </w:rPr>
        <w:t xml:space="preserve">Tier 1 </w:t>
      </w:r>
      <w:r w:rsidR="00E52274" w:rsidRPr="001822D5">
        <w:t>are providers that: do not pay to have their traffic delivered, can deliver traffic to the entire Internet routing table solely through their peering relationships, peer on more than one continent; own or lease transoceanic fibre optic transport; deliver packets to and from customers and to and from peers around the world.</w:t>
      </w:r>
    </w:p>
    <w:p w14:paraId="7E912819" w14:textId="4E6430F8" w:rsidR="00E52274" w:rsidRPr="001822D5" w:rsidRDefault="00BC7350" w:rsidP="002D4726">
      <w:pPr>
        <w:pStyle w:val="enumlev1"/>
      </w:pPr>
      <w:r w:rsidRPr="001822D5">
        <w:rPr>
          <w:rFonts w:ascii="Symbol" w:hAnsi="Symbol"/>
          <w:sz w:val="20"/>
        </w:rPr>
        <w:t></w:t>
      </w:r>
      <w:r w:rsidRPr="001822D5">
        <w:rPr>
          <w:rFonts w:ascii="Symbol" w:hAnsi="Symbol"/>
          <w:sz w:val="20"/>
        </w:rPr>
        <w:tab/>
      </w:r>
      <w:r w:rsidR="00E52274" w:rsidRPr="004F246B">
        <w:rPr>
          <w:b/>
          <w:bCs/>
          <w:kern w:val="2"/>
          <w:sz w:val="22"/>
          <w:szCs w:val="22"/>
          <w14:ligatures w14:val="standardContextual"/>
        </w:rPr>
        <w:t xml:space="preserve">Tier 2 </w:t>
      </w:r>
      <w:r w:rsidR="00E52274" w:rsidRPr="001822D5">
        <w:t xml:space="preserve">are providers that: pay transit via Tier 1 ISPs; peer with other tier 2 ISPs to deliver Internet traffic to end customers through tier 3 ISPs; are regional or national carriers; are often referred to as </w:t>
      </w:r>
      <w:r w:rsidR="0070360F" w:rsidRPr="001822D5">
        <w:t>"</w:t>
      </w:r>
      <w:r w:rsidR="00E52274" w:rsidRPr="001822D5">
        <w:t>wholesale network operators</w:t>
      </w:r>
      <w:r w:rsidR="00AF1FCB" w:rsidRPr="001822D5">
        <w:t>"</w:t>
      </w:r>
      <w:r w:rsidR="00E52274" w:rsidRPr="001822D5">
        <w:t>. Finally,</w:t>
      </w:r>
    </w:p>
    <w:p w14:paraId="21BC30BC" w14:textId="1EF38B10" w:rsidR="00E52274" w:rsidRPr="001822D5" w:rsidRDefault="00BC7350" w:rsidP="002D4726">
      <w:pPr>
        <w:pStyle w:val="enumlev1"/>
      </w:pPr>
      <w:r w:rsidRPr="001822D5">
        <w:rPr>
          <w:rFonts w:ascii="Symbol" w:hAnsi="Symbol"/>
          <w:sz w:val="20"/>
        </w:rPr>
        <w:t></w:t>
      </w:r>
      <w:r w:rsidRPr="001822D5">
        <w:rPr>
          <w:rFonts w:ascii="Symbol" w:hAnsi="Symbol"/>
          <w:sz w:val="20"/>
        </w:rPr>
        <w:tab/>
      </w:r>
      <w:r w:rsidR="00E52274" w:rsidRPr="004F246B">
        <w:rPr>
          <w:b/>
          <w:bCs/>
          <w:kern w:val="2"/>
          <w:sz w:val="22"/>
          <w:szCs w:val="22"/>
          <w14:ligatures w14:val="standardContextual"/>
        </w:rPr>
        <w:t xml:space="preserve">Tier 3 </w:t>
      </w:r>
      <w:r w:rsidR="00E52274" w:rsidRPr="001822D5">
        <w:t>are providers that: purchase Internet transit from Tier 2 ISPs (and sometimes Tier 1); are primarily engaged in delivering Internet access to end customers; provide the "on-ramp" or local access to the Internet for end customers, do peering</w:t>
      </w:r>
      <w:r w:rsidR="00E52274" w:rsidRPr="004F246B">
        <w:rPr>
          <w:b/>
          <w:bCs/>
          <w:kern w:val="2"/>
          <w:sz w:val="22"/>
          <w:szCs w:val="22"/>
          <w14:ligatures w14:val="standardContextual"/>
        </w:rPr>
        <w:t xml:space="preserve"> </w:t>
      </w:r>
      <w:r w:rsidR="00E52274" w:rsidRPr="001822D5">
        <w:t>with other Tier 3 ISPs.</w:t>
      </w:r>
    </w:p>
    <w:p w14:paraId="4BA65445" w14:textId="77777777" w:rsidR="00E52274" w:rsidRPr="004F246B" w:rsidRDefault="00E52274" w:rsidP="002D4726">
      <w:r w:rsidRPr="004F246B">
        <w:t>However, this traditional hierarchy can be challenged by alternative peering structures such as:</w:t>
      </w:r>
    </w:p>
    <w:p w14:paraId="46FBA8D8" w14:textId="575ACC4C" w:rsidR="00E52274" w:rsidRPr="004F246B" w:rsidRDefault="00A95AF8" w:rsidP="002D4726">
      <w:pPr>
        <w:pStyle w:val="Heading3"/>
      </w:pPr>
      <w:r>
        <w:t>3.5.5</w:t>
      </w:r>
      <w:r w:rsidR="00BC7350" w:rsidRPr="004F246B">
        <w:tab/>
      </w:r>
      <w:bookmarkStart w:id="56" w:name="_Toc210148089"/>
      <w:r w:rsidR="00E52274" w:rsidRPr="004F246B">
        <w:t xml:space="preserve">Donut </w:t>
      </w:r>
      <w:r w:rsidR="00E52274" w:rsidRPr="002D4726">
        <w:t>peering</w:t>
      </w:r>
      <w:bookmarkEnd w:id="56"/>
    </w:p>
    <w:p w14:paraId="3F892EC6" w14:textId="06447D9F" w:rsidR="00E52274" w:rsidRPr="001822D5" w:rsidRDefault="00E52274" w:rsidP="00E52274">
      <w:r w:rsidRPr="001822D5">
        <w:t>A concept in Internet networking where smaller Internet service providers (ISPs) or regional networks bypass traditional, large Internet exchange points (IXPs) or tier 1 networks to directly peer with each other. This approach is named "donut peering" because it creates a network topology that resembles a donut: the traffic flows around the central (tier 1) providers, avoiding them as much as possible, which represents the "hole" in the middle.</w:t>
      </w:r>
      <w:r w:rsidR="006106B4">
        <w:t xml:space="preserve"> </w:t>
      </w:r>
      <w:r w:rsidRPr="001822D5">
        <w:t xml:space="preserve">The presentations also referred to the </w:t>
      </w:r>
      <w:r w:rsidRPr="004F246B">
        <w:rPr>
          <w:b/>
          <w:bCs/>
          <w:kern w:val="2"/>
          <w:sz w:val="22"/>
          <w:szCs w:val="22"/>
          <w14:ligatures w14:val="standardContextual"/>
        </w:rPr>
        <w:t xml:space="preserve">new approaches for widespread connectivity needed to </w:t>
      </w:r>
      <w:r w:rsidRPr="001822D5">
        <w:t>overcome the challenges posed by traditional infrastructure deployment, which is often costly and slow. These include</w:t>
      </w:r>
      <w:r w:rsidR="009E01F9">
        <w:t>:</w:t>
      </w:r>
    </w:p>
    <w:p w14:paraId="46A6937C" w14:textId="66D67E91" w:rsidR="00E52274" w:rsidRPr="004F246B" w:rsidRDefault="00A95AF8" w:rsidP="002D4726">
      <w:pPr>
        <w:pStyle w:val="Heading3"/>
      </w:pPr>
      <w:bookmarkStart w:id="57" w:name="_Toc210148090"/>
      <w:r>
        <w:t>3.5.6</w:t>
      </w:r>
      <w:r w:rsidR="00BC7350" w:rsidRPr="004F246B">
        <w:tab/>
      </w:r>
      <w:r w:rsidR="00E52274" w:rsidRPr="002D4726">
        <w:t>Community</w:t>
      </w:r>
      <w:r w:rsidR="00E52274" w:rsidRPr="004F246B">
        <w:t xml:space="preserve"> </w:t>
      </w:r>
      <w:r w:rsidR="00E52274">
        <w:t>n</w:t>
      </w:r>
      <w:r w:rsidR="00E52274" w:rsidRPr="004F246B">
        <w:t>etworks</w:t>
      </w:r>
      <w:bookmarkEnd w:id="57"/>
    </w:p>
    <w:p w14:paraId="7F74E5B1" w14:textId="185935D3" w:rsidR="00E52274" w:rsidRPr="004F246B" w:rsidRDefault="00E52274" w:rsidP="00E52274">
      <w:pPr>
        <w:rPr>
          <w:b/>
          <w:bCs/>
          <w:kern w:val="2"/>
          <w:sz w:val="22"/>
          <w:szCs w:val="22"/>
          <w14:ligatures w14:val="standardContextual"/>
        </w:rPr>
      </w:pPr>
      <w:r w:rsidRPr="001822D5">
        <w:t xml:space="preserve">Telecommunications infrastructure built, managed, and used by local communities rather than by commercial operators. These networks are typically established in areas where commercial providers have no incentive to operate due to low profitability. Their key features are often: </w:t>
      </w:r>
      <w:r w:rsidRPr="004F246B">
        <w:rPr>
          <w:b/>
          <w:bCs/>
          <w:kern w:val="2"/>
          <w:sz w:val="22"/>
          <w:szCs w:val="22"/>
          <w14:ligatures w14:val="standardContextual"/>
        </w:rPr>
        <w:t>local ownership and operation</w:t>
      </w:r>
      <w:r w:rsidRPr="001822D5">
        <w:t xml:space="preserve"> (community members who are directly involved in the set-up, management and maintenance of the network); </w:t>
      </w:r>
      <w:r w:rsidRPr="004F246B">
        <w:rPr>
          <w:b/>
          <w:bCs/>
          <w:kern w:val="2"/>
          <w:sz w:val="22"/>
          <w:szCs w:val="22"/>
          <w14:ligatures w14:val="standardContextual"/>
        </w:rPr>
        <w:t>affordability and inclusivity</w:t>
      </w:r>
      <w:r w:rsidRPr="001822D5">
        <w:t xml:space="preserve"> (these networks aim to provide affordable </w:t>
      </w:r>
      <w:r w:rsidR="00A95AF8" w:rsidRPr="001822D5">
        <w:t xml:space="preserve">Internet </w:t>
      </w:r>
      <w:r w:rsidRPr="001822D5">
        <w:t>access to everyone in the community (see [b-APC] and [b-Internet Society])</w:t>
      </w:r>
      <w:r w:rsidR="009E01F9">
        <w:t>)</w:t>
      </w:r>
      <w:r w:rsidRPr="001822D5">
        <w:t>.</w:t>
      </w:r>
    </w:p>
    <w:p w14:paraId="11DF5A1D" w14:textId="587E7487" w:rsidR="00E52274" w:rsidRPr="004F246B" w:rsidRDefault="00A95AF8" w:rsidP="002D4726">
      <w:pPr>
        <w:pStyle w:val="Heading3"/>
      </w:pPr>
      <w:bookmarkStart w:id="58" w:name="_Toc210148091"/>
      <w:r>
        <w:t>3.5.7</w:t>
      </w:r>
      <w:r w:rsidR="00BC7350" w:rsidRPr="004F246B">
        <w:tab/>
      </w:r>
      <w:r w:rsidR="00E52274" w:rsidRPr="002D4726">
        <w:t>TV</w:t>
      </w:r>
      <w:r w:rsidR="00E52274" w:rsidRPr="004F246B">
        <w:t xml:space="preserve"> white spaces (TVWS)</w:t>
      </w:r>
      <w:bookmarkEnd w:id="58"/>
    </w:p>
    <w:p w14:paraId="4090BBB0" w14:textId="32091220" w:rsidR="00E52274" w:rsidRPr="004F246B" w:rsidRDefault="00E52274" w:rsidP="001822D5">
      <w:pPr>
        <w:rPr>
          <w:b/>
          <w:bCs/>
        </w:rPr>
      </w:pPr>
      <w:r w:rsidRPr="004F246B">
        <w:t>These refer to the unused or underutilized spectrum in the television broadcast bands. This spectrum can be repurposed to deliver broadband Internet services, especially in rural and underserved areas.</w:t>
      </w:r>
      <w:r w:rsidR="006106B4">
        <w:t xml:space="preserve"> </w:t>
      </w:r>
      <w:r w:rsidRPr="004F246B">
        <w:t>These can be accessed without needing a licen</w:t>
      </w:r>
      <w:r>
        <w:t>c</w:t>
      </w:r>
      <w:r w:rsidRPr="004F246B">
        <w:t>e, making it an affordable option for expanding connectivity. Moreover, the lower frequencies in TVWS can cover larger areas and penetrate obstacles more effectively than higher-frequency signals. TVWS technology can provide cost-effective and extensive wireless coverage, helping to bridge the digital divide.</w:t>
      </w:r>
    </w:p>
    <w:p w14:paraId="0B7D2EC6" w14:textId="1449563F" w:rsidR="00E52274" w:rsidRPr="004F246B" w:rsidRDefault="00A95AF8" w:rsidP="002D4726">
      <w:pPr>
        <w:pStyle w:val="Heading3"/>
      </w:pPr>
      <w:bookmarkStart w:id="59" w:name="_Toc210148092"/>
      <w:r>
        <w:lastRenderedPageBreak/>
        <w:t>3.5.8</w:t>
      </w:r>
      <w:r w:rsidR="00BC7350" w:rsidRPr="004F246B">
        <w:tab/>
      </w:r>
      <w:r w:rsidR="00E52274" w:rsidRPr="004F246B">
        <w:t>Spectrum refarming</w:t>
      </w:r>
      <w:bookmarkEnd w:id="59"/>
    </w:p>
    <w:p w14:paraId="5C78219E" w14:textId="37546BC8" w:rsidR="00E52274" w:rsidRPr="004F246B" w:rsidRDefault="00E52274" w:rsidP="001822D5">
      <w:pPr>
        <w:rPr>
          <w:b/>
          <w:bCs/>
        </w:rPr>
      </w:pPr>
      <w:r>
        <w:t>Spectrum refarming i</w:t>
      </w:r>
      <w:r w:rsidRPr="004F246B">
        <w:t>nvolves reallocating spectrum from legacy technologies (e.g., 2G or 3G networks) to more advanced and efficient technologies (e.g., 4G, 5G). This process maximizes the use of limited spectrum resources to enhance network capacity and coverage</w:t>
      </w:r>
      <w:r>
        <w:t xml:space="preserve"> [b-</w:t>
      </w:r>
      <w:r w:rsidRPr="004F246B">
        <w:t>GSMA</w:t>
      </w:r>
      <w:r>
        <w:t>] and [b</w:t>
      </w:r>
      <w:r w:rsidR="00AD4B70">
        <w:noBreakHyphen/>
      </w:r>
      <w:r>
        <w:t>ITU</w:t>
      </w:r>
      <w:r w:rsidR="002D4726">
        <w:t> </w:t>
      </w:r>
      <w:r>
        <w:t>2020a].</w:t>
      </w:r>
    </w:p>
    <w:p w14:paraId="07AE9360" w14:textId="7375987C" w:rsidR="00E52274" w:rsidRPr="004F246B" w:rsidRDefault="00A95AF8" w:rsidP="002D4726">
      <w:pPr>
        <w:pStyle w:val="Heading3"/>
      </w:pPr>
      <w:bookmarkStart w:id="60" w:name="_Toc210148093"/>
      <w:r>
        <w:t>3.5.9</w:t>
      </w:r>
      <w:r w:rsidR="00BC7350" w:rsidRPr="004F246B">
        <w:tab/>
      </w:r>
      <w:r w:rsidR="00E52274" w:rsidRPr="002D4726">
        <w:t>Access</w:t>
      </w:r>
      <w:r w:rsidR="00E52274" w:rsidRPr="004F246B">
        <w:t xml:space="preserve"> infrastructure sharing</w:t>
      </w:r>
      <w:bookmarkEnd w:id="60"/>
    </w:p>
    <w:p w14:paraId="4F588FB5" w14:textId="77777777" w:rsidR="00E52274" w:rsidRPr="004F246B" w:rsidRDefault="00E52274" w:rsidP="001822D5">
      <w:r w:rsidRPr="001822D5">
        <w:t xml:space="preserve">This refers to the practice of multiple operators sharing network infrastructure, such as towers, fibre-optic cables, and base stations. This can take the form of passive sharing (e.g., towers and ducts) or active sharing (e.g., radio access networks). A </w:t>
      </w:r>
      <w:r w:rsidRPr="004F246B">
        <w:rPr>
          <w:b/>
          <w:bCs/>
        </w:rPr>
        <w:t>wholesale open access network (WOAN)</w:t>
      </w:r>
      <w:r w:rsidRPr="001822D5">
        <w:t xml:space="preserve"> is a specific model where a single, shared network infrastructure is provided on a wholesale basis to all operators. These help in reducing costs: by sharing infrastructure, operators can significantly lower deployment and maintenance costs, increasing coverage, particularly in rural and underserved areas</w:t>
      </w:r>
      <w:r w:rsidRPr="002D4726">
        <w:rPr>
          <w:rStyle w:val="FootnoteReference"/>
        </w:rPr>
        <w:footnoteReference w:id="27"/>
      </w:r>
      <w:r>
        <w:t>.</w:t>
      </w:r>
    </w:p>
    <w:p w14:paraId="138DF7AF" w14:textId="77777777" w:rsidR="00E52274" w:rsidRPr="004F246B" w:rsidRDefault="00E52274" w:rsidP="001822D5">
      <w:r w:rsidRPr="004F246B">
        <w:t>All these approaches help in framing innovative strategies to expand and improve connectivity, especially in areas that have traditionally been underserved by conventional telecommunications infrastructure. They may offer cost-effective, sustainable, and inclusive solutions that contribute to bridging the digital divide globally. The key problem remains whether individual incentives are sufficient, or policy intervention is needed to support these alternatives as instruments to cope with example of market failures in providing efficient levels of public goods.</w:t>
      </w:r>
    </w:p>
    <w:p w14:paraId="4863C1C0" w14:textId="1A034850" w:rsidR="00E52274" w:rsidRDefault="00E52274" w:rsidP="001822D5">
      <w:r w:rsidRPr="004F246B">
        <w:t>The ITU collects country data on their type of connection to international transit</w:t>
      </w:r>
      <w:r w:rsidRPr="001822D5">
        <w:t>. The question allows for answers with multiple modalities. The distribution of transit across countries in 2021 was as follows (see Table 5):</w:t>
      </w:r>
    </w:p>
    <w:p w14:paraId="452CE8AA" w14:textId="66E6A9FB" w:rsidR="00F83095" w:rsidRPr="001822D5" w:rsidRDefault="00F83095" w:rsidP="004F2339">
      <w:pPr>
        <w:pStyle w:val="TableNoTitle"/>
      </w:pPr>
      <w:r w:rsidRPr="00870629">
        <w:t xml:space="preserve">Table </w:t>
      </w:r>
      <w:r w:rsidRPr="00870629">
        <w:rPr>
          <w:noProof/>
        </w:rPr>
        <w:t>5</w:t>
      </w:r>
      <w:r w:rsidRPr="00870629">
        <w:t xml:space="preserve"> </w:t>
      </w:r>
      <w:r w:rsidRPr="00870629">
        <w:sym w:font="Symbol" w:char="F02D"/>
      </w:r>
      <w:r w:rsidRPr="00870629">
        <w:t xml:space="preserve"> Type of connection to international transit</w:t>
      </w:r>
    </w:p>
    <w:tbl>
      <w:tblPr>
        <w:tblStyle w:val="TableGrid1"/>
        <w:tblW w:w="9639" w:type="dxa"/>
        <w:jc w:val="center"/>
        <w:tblLook w:val="04A0" w:firstRow="1" w:lastRow="0" w:firstColumn="1" w:lastColumn="0" w:noHBand="0" w:noVBand="1"/>
      </w:tblPr>
      <w:tblGrid>
        <w:gridCol w:w="5582"/>
        <w:gridCol w:w="4057"/>
      </w:tblGrid>
      <w:tr w:rsidR="00E52274" w:rsidRPr="004F246B" w14:paraId="17E1B9F4" w14:textId="77777777" w:rsidTr="004F2339">
        <w:trPr>
          <w:jc w:val="center"/>
        </w:trPr>
        <w:tc>
          <w:tcPr>
            <w:tcW w:w="5582" w:type="dxa"/>
            <w:tcBorders>
              <w:top w:val="single" w:sz="4" w:space="0" w:color="auto"/>
            </w:tcBorders>
          </w:tcPr>
          <w:p w14:paraId="25602168" w14:textId="77777777" w:rsidR="00E52274" w:rsidRPr="004F246B" w:rsidRDefault="00E52274" w:rsidP="00F2544A">
            <w:pPr>
              <w:pStyle w:val="Tabletext"/>
            </w:pPr>
            <w:r w:rsidRPr="004F246B">
              <w:t>Direct national connection to international Internet</w:t>
            </w:r>
          </w:p>
        </w:tc>
        <w:tc>
          <w:tcPr>
            <w:tcW w:w="4057" w:type="dxa"/>
            <w:tcBorders>
              <w:top w:val="single" w:sz="4" w:space="0" w:color="auto"/>
            </w:tcBorders>
          </w:tcPr>
          <w:p w14:paraId="73EE4BE0" w14:textId="74FF7450" w:rsidR="00E52274" w:rsidRPr="004F246B" w:rsidRDefault="00E52274" w:rsidP="000F346B">
            <w:pPr>
              <w:pStyle w:val="Tabletext"/>
              <w:jc w:val="center"/>
            </w:pPr>
            <w:r w:rsidRPr="004F246B">
              <w:t>23.5%</w:t>
            </w:r>
          </w:p>
        </w:tc>
      </w:tr>
      <w:tr w:rsidR="00E52274" w:rsidRPr="004F246B" w14:paraId="1CC5BB26" w14:textId="77777777" w:rsidTr="004F2339">
        <w:trPr>
          <w:jc w:val="center"/>
        </w:trPr>
        <w:tc>
          <w:tcPr>
            <w:tcW w:w="5582" w:type="dxa"/>
          </w:tcPr>
          <w:p w14:paraId="49A77692" w14:textId="77777777" w:rsidR="00E52274" w:rsidRPr="004F246B" w:rsidRDefault="00E52274" w:rsidP="00F2544A">
            <w:pPr>
              <w:pStyle w:val="Tabletext"/>
            </w:pPr>
            <w:r w:rsidRPr="004F246B">
              <w:t>By using IP hub Tier 1</w:t>
            </w:r>
          </w:p>
        </w:tc>
        <w:tc>
          <w:tcPr>
            <w:tcW w:w="4057" w:type="dxa"/>
          </w:tcPr>
          <w:p w14:paraId="387C89F8" w14:textId="77777777" w:rsidR="00E52274" w:rsidRPr="004F246B" w:rsidRDefault="00E52274" w:rsidP="000F346B">
            <w:pPr>
              <w:pStyle w:val="Tabletext"/>
              <w:jc w:val="center"/>
            </w:pPr>
            <w:r w:rsidRPr="004F246B">
              <w:t>6.63%</w:t>
            </w:r>
          </w:p>
        </w:tc>
      </w:tr>
      <w:tr w:rsidR="00E52274" w:rsidRPr="004F246B" w14:paraId="5D283AF5" w14:textId="77777777" w:rsidTr="004F2339">
        <w:trPr>
          <w:jc w:val="center"/>
        </w:trPr>
        <w:tc>
          <w:tcPr>
            <w:tcW w:w="5582" w:type="dxa"/>
          </w:tcPr>
          <w:p w14:paraId="68A9624A" w14:textId="77777777" w:rsidR="00E52274" w:rsidRPr="004F246B" w:rsidRDefault="00E52274" w:rsidP="00F2544A">
            <w:pPr>
              <w:pStyle w:val="Tabletext"/>
            </w:pPr>
            <w:r w:rsidRPr="004F246B">
              <w:t>By using IP hub Tier 2</w:t>
            </w:r>
          </w:p>
        </w:tc>
        <w:tc>
          <w:tcPr>
            <w:tcW w:w="4057" w:type="dxa"/>
          </w:tcPr>
          <w:p w14:paraId="452CA7A5" w14:textId="77777777" w:rsidR="00E52274" w:rsidRPr="004F246B" w:rsidRDefault="00E52274" w:rsidP="000F346B">
            <w:pPr>
              <w:pStyle w:val="Tabletext"/>
              <w:jc w:val="center"/>
            </w:pPr>
            <w:r w:rsidRPr="004F246B">
              <w:t>4.59%</w:t>
            </w:r>
          </w:p>
        </w:tc>
      </w:tr>
      <w:tr w:rsidR="00E52274" w:rsidRPr="004F246B" w14:paraId="0FA6BB52" w14:textId="77777777" w:rsidTr="004F2339">
        <w:trPr>
          <w:jc w:val="center"/>
        </w:trPr>
        <w:tc>
          <w:tcPr>
            <w:tcW w:w="5582" w:type="dxa"/>
          </w:tcPr>
          <w:p w14:paraId="6B6AB6EC" w14:textId="77777777" w:rsidR="00E52274" w:rsidRPr="004F246B" w:rsidRDefault="00E52274" w:rsidP="00F2544A">
            <w:pPr>
              <w:pStyle w:val="Tabletext"/>
            </w:pPr>
            <w:r w:rsidRPr="004F246B">
              <w:t>Both by using IP hub and IP transit</w:t>
            </w:r>
          </w:p>
        </w:tc>
        <w:tc>
          <w:tcPr>
            <w:tcW w:w="4057" w:type="dxa"/>
          </w:tcPr>
          <w:p w14:paraId="77F8677A" w14:textId="77777777" w:rsidR="00E52274" w:rsidRPr="004F246B" w:rsidRDefault="00E52274" w:rsidP="000F346B">
            <w:pPr>
              <w:pStyle w:val="Tabletext"/>
              <w:jc w:val="center"/>
            </w:pPr>
            <w:r w:rsidRPr="004F246B">
              <w:t>21.4%</w:t>
            </w:r>
          </w:p>
        </w:tc>
      </w:tr>
      <w:tr w:rsidR="00E52274" w:rsidRPr="004F246B" w14:paraId="65686C32" w14:textId="77777777" w:rsidTr="004F2339">
        <w:trPr>
          <w:jc w:val="center"/>
        </w:trPr>
        <w:tc>
          <w:tcPr>
            <w:tcW w:w="5582" w:type="dxa"/>
          </w:tcPr>
          <w:p w14:paraId="0A6CDFFB" w14:textId="77777777" w:rsidR="00E52274" w:rsidRPr="004F246B" w:rsidRDefault="00E52274" w:rsidP="00F2544A">
            <w:pPr>
              <w:pStyle w:val="Tabletext"/>
            </w:pPr>
            <w:r w:rsidRPr="004F246B">
              <w:t>National Gateway</w:t>
            </w:r>
          </w:p>
        </w:tc>
        <w:tc>
          <w:tcPr>
            <w:tcW w:w="4057" w:type="dxa"/>
          </w:tcPr>
          <w:p w14:paraId="0DD95396" w14:textId="77777777" w:rsidR="00E52274" w:rsidRPr="004F246B" w:rsidRDefault="00E52274" w:rsidP="000F346B">
            <w:pPr>
              <w:pStyle w:val="Tabletext"/>
              <w:jc w:val="center"/>
            </w:pPr>
            <w:r w:rsidRPr="004F246B">
              <w:t>23%</w:t>
            </w:r>
          </w:p>
        </w:tc>
      </w:tr>
      <w:tr w:rsidR="00E52274" w:rsidRPr="004F246B" w14:paraId="7A69C360" w14:textId="77777777" w:rsidTr="004F2339">
        <w:trPr>
          <w:jc w:val="center"/>
        </w:trPr>
        <w:tc>
          <w:tcPr>
            <w:tcW w:w="5582" w:type="dxa"/>
          </w:tcPr>
          <w:p w14:paraId="720B97AC" w14:textId="77777777" w:rsidR="00E52274" w:rsidRPr="004F246B" w:rsidRDefault="00E52274" w:rsidP="00F2544A">
            <w:pPr>
              <w:pStyle w:val="Tabletext"/>
            </w:pPr>
            <w:r w:rsidRPr="004F246B">
              <w:t>By using IP transit</w:t>
            </w:r>
          </w:p>
        </w:tc>
        <w:tc>
          <w:tcPr>
            <w:tcW w:w="4057" w:type="dxa"/>
          </w:tcPr>
          <w:p w14:paraId="41C695B3" w14:textId="77777777" w:rsidR="00E52274" w:rsidRPr="004F246B" w:rsidRDefault="00E52274" w:rsidP="000F346B">
            <w:pPr>
              <w:pStyle w:val="Tabletext"/>
              <w:jc w:val="center"/>
            </w:pPr>
            <w:r w:rsidRPr="004F246B">
              <w:t>17.3%</w:t>
            </w:r>
          </w:p>
        </w:tc>
      </w:tr>
      <w:tr w:rsidR="00E52274" w:rsidRPr="004F246B" w14:paraId="2B57944B" w14:textId="77777777" w:rsidTr="004F2339">
        <w:trPr>
          <w:jc w:val="center"/>
        </w:trPr>
        <w:tc>
          <w:tcPr>
            <w:tcW w:w="5582" w:type="dxa"/>
          </w:tcPr>
          <w:p w14:paraId="4679216D" w14:textId="77777777" w:rsidR="00E52274" w:rsidRPr="004F246B" w:rsidRDefault="00E52274" w:rsidP="00F2544A">
            <w:pPr>
              <w:pStyle w:val="Tabletext"/>
            </w:pPr>
            <w:r w:rsidRPr="004F246B">
              <w:t>By using IP hub Tier 3</w:t>
            </w:r>
          </w:p>
        </w:tc>
        <w:tc>
          <w:tcPr>
            <w:tcW w:w="4057" w:type="dxa"/>
          </w:tcPr>
          <w:p w14:paraId="30042DA3" w14:textId="77777777" w:rsidR="00E52274" w:rsidRPr="004F246B" w:rsidRDefault="00E52274" w:rsidP="000F346B">
            <w:pPr>
              <w:pStyle w:val="Tabletext"/>
              <w:jc w:val="center"/>
            </w:pPr>
            <w:r w:rsidRPr="004F246B">
              <w:t>4.59%</w:t>
            </w:r>
          </w:p>
        </w:tc>
      </w:tr>
      <w:tr w:rsidR="00E52274" w:rsidRPr="004F246B" w14:paraId="31AB1C0A" w14:textId="77777777" w:rsidTr="004F2339">
        <w:trPr>
          <w:jc w:val="center"/>
        </w:trPr>
        <w:tc>
          <w:tcPr>
            <w:tcW w:w="5582" w:type="dxa"/>
          </w:tcPr>
          <w:p w14:paraId="59E0BF10" w14:textId="77777777" w:rsidR="00E52274" w:rsidRPr="004F246B" w:rsidRDefault="00E52274" w:rsidP="00F2544A">
            <w:pPr>
              <w:pStyle w:val="Tabletext"/>
            </w:pPr>
            <w:r w:rsidRPr="004F246B">
              <w:t>Other</w:t>
            </w:r>
          </w:p>
        </w:tc>
        <w:tc>
          <w:tcPr>
            <w:tcW w:w="4057" w:type="dxa"/>
          </w:tcPr>
          <w:p w14:paraId="1E0E9D09" w14:textId="77777777" w:rsidR="00E52274" w:rsidRPr="004F246B" w:rsidRDefault="00E52274" w:rsidP="000F346B">
            <w:pPr>
              <w:pStyle w:val="Tabletext"/>
              <w:jc w:val="center"/>
            </w:pPr>
            <w:r w:rsidRPr="004F246B">
              <w:t>4.59%</w:t>
            </w:r>
          </w:p>
        </w:tc>
      </w:tr>
      <w:tr w:rsidR="004F2339" w:rsidRPr="004F246B" w14:paraId="17771B6E" w14:textId="77777777" w:rsidTr="0066018A">
        <w:trPr>
          <w:jc w:val="center"/>
        </w:trPr>
        <w:tc>
          <w:tcPr>
            <w:tcW w:w="9639" w:type="dxa"/>
            <w:gridSpan w:val="2"/>
          </w:tcPr>
          <w:p w14:paraId="6F868A5E" w14:textId="59BA990A" w:rsidR="004F2339" w:rsidRPr="004F246B" w:rsidRDefault="004F2339" w:rsidP="00F2544A">
            <w:pPr>
              <w:pStyle w:val="Tabletext"/>
            </w:pPr>
            <w:r w:rsidRPr="001822D5">
              <w:t>Source</w:t>
            </w:r>
            <w:r w:rsidR="008A76DA">
              <w:t>:</w:t>
            </w:r>
            <w:r w:rsidRPr="001822D5">
              <w:t xml:space="preserve"> ITU, data Series ID is 11893, Series code tpInterInternetConn_TypeConnection. Indicators available at </w:t>
            </w:r>
            <w:hyperlink r:id="rId34" w:history="1">
              <w:r w:rsidR="00123A60" w:rsidRPr="004B44CE">
                <w:rPr>
                  <w:rStyle w:val="Hyperlink"/>
                </w:rPr>
                <w:t>https://datahub.itu.int/data/?i=11893</w:t>
              </w:r>
            </w:hyperlink>
          </w:p>
        </w:tc>
      </w:tr>
    </w:tbl>
    <w:p w14:paraId="6CF9315C" w14:textId="37935060" w:rsidR="00E52274" w:rsidRPr="001822D5" w:rsidRDefault="00E52274" w:rsidP="001822D5">
      <w:r w:rsidRPr="004F246B">
        <w:t xml:space="preserve">Data sources for </w:t>
      </w:r>
      <w:r w:rsidRPr="004F246B">
        <w:rPr>
          <w:b/>
          <w:bCs/>
        </w:rPr>
        <w:t>transit costs</w:t>
      </w:r>
      <w:r w:rsidRPr="001822D5">
        <w:t xml:space="preserve"> can be found in transit pricing data from upstream carriers and transit providers. As an example, </w:t>
      </w:r>
      <w:hyperlink r:id="rId35" w:history="1">
        <w:r w:rsidRPr="00123A60">
          <w:rPr>
            <w:rStyle w:val="Hyperlink"/>
          </w:rPr>
          <w:t>Hurricane Electric</w:t>
        </w:r>
      </w:hyperlink>
      <w:r w:rsidRPr="001822D5">
        <w:t xml:space="preserve"> IP Transit service provides </w:t>
      </w:r>
      <w:hyperlink r:id="rId36" w:history="1">
        <w:r w:rsidRPr="00123A60">
          <w:rPr>
            <w:rStyle w:val="Hyperlink"/>
          </w:rPr>
          <w:t>quotes online</w:t>
        </w:r>
      </w:hyperlink>
      <w:r w:rsidRPr="001822D5">
        <w:t>, starting from $200 per month, depending on the name and city of the data centre where one needs IP transit and of course on the bandwidth required, 100 Gbit/s, 10 Gbit/s, 1 Gbit/s, etc. Transit is provided in colocation facilities such as Equinix, CoreSite, Cologix, Telehouse, Interxion, Itconic, Global Switch, etc. and cities such as New York, Los Angeles, San Jose, Seattle, Dallas, Chicago, Atlanta, Ashburn, Toronto, London, Amsterdam, Paris, Frankfurt, Zurich, Stockholm, Hong Kong, and Tokyo.</w:t>
      </w:r>
    </w:p>
    <w:p w14:paraId="2EE793A1" w14:textId="297F47C5" w:rsidR="00E52274" w:rsidRPr="004F246B" w:rsidRDefault="000F346B" w:rsidP="000F346B">
      <w:pPr>
        <w:pStyle w:val="Heading2"/>
      </w:pPr>
      <w:bookmarkStart w:id="61" w:name="_Toc210148094"/>
      <w:bookmarkStart w:id="62" w:name="_Toc239238923"/>
      <w:bookmarkStart w:id="63" w:name="_Toc239239748"/>
      <w:bookmarkStart w:id="64" w:name="_Toc239248540"/>
      <w:r>
        <w:t>3.6</w:t>
      </w:r>
      <w:r>
        <w:tab/>
      </w:r>
      <w:r w:rsidR="00E52274" w:rsidRPr="004F246B">
        <w:t>International bandwidth capacity</w:t>
      </w:r>
      <w:bookmarkEnd w:id="61"/>
      <w:bookmarkEnd w:id="62"/>
      <w:bookmarkEnd w:id="63"/>
      <w:bookmarkEnd w:id="64"/>
    </w:p>
    <w:p w14:paraId="05174F0C" w14:textId="6BBFC239" w:rsidR="00E52274" w:rsidRDefault="00E52274" w:rsidP="001822D5">
      <w:r w:rsidRPr="004F246B">
        <w:t xml:space="preserve">This indicator (3.1: Lit/equipped international bandwidth capacity) refers to the total lit capacity of international links, namely fibre-optic cables, international radio links and satellite uplinks to orbital </w:t>
      </w:r>
      <w:r w:rsidRPr="004F246B">
        <w:lastRenderedPageBreak/>
        <w:t xml:space="preserve">satellites </w:t>
      </w:r>
      <w:r>
        <w:t>at</w:t>
      </w:r>
      <w:r w:rsidRPr="004F246B">
        <w:t xml:space="preserve"> the end of the reference year (expressed in Mbit/s)</w:t>
      </w:r>
      <w:r>
        <w:t xml:space="preserve"> (see Table 6)</w:t>
      </w:r>
      <w:r w:rsidRPr="004F246B">
        <w:t>. If the traffic is asymmetric (i.e., different incoming and outgoing traffic), then the highest value out of the two should be provided. Out of the initial design capacity of any link, understood as the maximum potential bandwidth if the links were equipped with existing technologies, only a share of it will be equipped or lit to allow the transfer of data. Some of that lit cross</w:t>
      </w:r>
      <w:r>
        <w:t>-</w:t>
      </w:r>
      <w:r w:rsidRPr="004F246B">
        <w:t>border capacity will be leased to third parties. This is known as contracted capacity.</w:t>
      </w:r>
    </w:p>
    <w:p w14:paraId="27418830" w14:textId="6FCF0BAA" w:rsidR="000F346B" w:rsidRPr="004F246B" w:rsidRDefault="000F346B" w:rsidP="000F346B">
      <w:pPr>
        <w:pStyle w:val="TableNoTitle"/>
        <w:rPr>
          <w:kern w:val="2"/>
          <w:sz w:val="28"/>
          <w:szCs w:val="28"/>
          <w14:ligatures w14:val="standardContextual"/>
        </w:rPr>
      </w:pPr>
      <w:bookmarkStart w:id="65" w:name="_Toc210242004"/>
      <w:r w:rsidRPr="004F246B">
        <w:t xml:space="preserve">Table </w:t>
      </w:r>
      <w:r w:rsidRPr="004F246B">
        <w:rPr>
          <w:noProof/>
        </w:rPr>
        <w:t>6</w:t>
      </w:r>
      <w:r>
        <w:rPr>
          <w:noProof/>
        </w:rPr>
        <w:t xml:space="preserve"> –</w:t>
      </w:r>
      <w:r w:rsidRPr="004F246B">
        <w:t xml:space="preserve"> Lit/equipped international bandwidth capacity</w:t>
      </w:r>
      <w:bookmarkEnd w:id="65"/>
    </w:p>
    <w:tbl>
      <w:tblPr>
        <w:tblStyle w:val="TableGrid1"/>
        <w:tblW w:w="9639" w:type="dxa"/>
        <w:jc w:val="center"/>
        <w:tblLook w:val="04A0" w:firstRow="1" w:lastRow="0" w:firstColumn="1" w:lastColumn="0" w:noHBand="0" w:noVBand="1"/>
      </w:tblPr>
      <w:tblGrid>
        <w:gridCol w:w="4576"/>
        <w:gridCol w:w="4065"/>
        <w:gridCol w:w="998"/>
      </w:tblGrid>
      <w:tr w:rsidR="00E52274" w:rsidRPr="004F246B" w14:paraId="0EF34410" w14:textId="77777777" w:rsidTr="000F346B">
        <w:trPr>
          <w:trHeight w:val="170"/>
          <w:jc w:val="center"/>
        </w:trPr>
        <w:tc>
          <w:tcPr>
            <w:tcW w:w="0" w:type="auto"/>
            <w:vAlign w:val="center"/>
            <w:hideMark/>
          </w:tcPr>
          <w:p w14:paraId="13C64A3E" w14:textId="77777777" w:rsidR="00E52274" w:rsidRPr="004F246B" w:rsidRDefault="00E52274" w:rsidP="000F346B">
            <w:pPr>
              <w:pStyle w:val="Tablehead"/>
            </w:pPr>
            <w:r w:rsidRPr="004F246B">
              <w:t>Lowest 10 Economies</w:t>
            </w:r>
          </w:p>
        </w:tc>
        <w:tc>
          <w:tcPr>
            <w:tcW w:w="0" w:type="auto"/>
            <w:vAlign w:val="center"/>
            <w:hideMark/>
          </w:tcPr>
          <w:p w14:paraId="391AFA99" w14:textId="77777777" w:rsidR="00E52274" w:rsidRPr="004F246B" w:rsidRDefault="00E52274" w:rsidP="000F346B">
            <w:pPr>
              <w:pStyle w:val="Tablehead"/>
            </w:pPr>
            <w:r w:rsidRPr="004F246B">
              <w:t>Value, expressed in Mbit/s</w:t>
            </w:r>
          </w:p>
        </w:tc>
        <w:tc>
          <w:tcPr>
            <w:tcW w:w="0" w:type="auto"/>
            <w:vAlign w:val="center"/>
            <w:hideMark/>
          </w:tcPr>
          <w:p w14:paraId="5B0CA3C3" w14:textId="77777777" w:rsidR="00E52274" w:rsidRPr="004F246B" w:rsidRDefault="00E52274" w:rsidP="000F346B">
            <w:pPr>
              <w:pStyle w:val="Tablehead"/>
            </w:pPr>
            <w:r w:rsidRPr="004F246B">
              <w:t>Year</w:t>
            </w:r>
          </w:p>
        </w:tc>
      </w:tr>
      <w:tr w:rsidR="00E52274" w:rsidRPr="004F246B" w14:paraId="23395F14" w14:textId="77777777" w:rsidTr="000F346B">
        <w:trPr>
          <w:trHeight w:val="170"/>
          <w:jc w:val="center"/>
        </w:trPr>
        <w:tc>
          <w:tcPr>
            <w:tcW w:w="0" w:type="auto"/>
            <w:vAlign w:val="center"/>
            <w:hideMark/>
          </w:tcPr>
          <w:p w14:paraId="2586D396" w14:textId="77777777" w:rsidR="00E52274" w:rsidRPr="008A76DA" w:rsidRDefault="00E52274" w:rsidP="000F346B">
            <w:pPr>
              <w:pStyle w:val="Tabletext"/>
              <w:jc w:val="center"/>
              <w:rPr>
                <w:rStyle w:val="Hyperlink"/>
              </w:rPr>
            </w:pPr>
            <w:hyperlink r:id="rId37" w:history="1">
              <w:r w:rsidRPr="008A76DA">
                <w:rPr>
                  <w:rStyle w:val="Hyperlink"/>
                </w:rPr>
                <w:t>Wallis and Futuna</w:t>
              </w:r>
            </w:hyperlink>
          </w:p>
        </w:tc>
        <w:tc>
          <w:tcPr>
            <w:tcW w:w="0" w:type="auto"/>
            <w:vAlign w:val="center"/>
            <w:hideMark/>
          </w:tcPr>
          <w:p w14:paraId="406FD6B1" w14:textId="77777777" w:rsidR="00E52274" w:rsidRPr="000F346B" w:rsidRDefault="00E52274" w:rsidP="000F346B">
            <w:pPr>
              <w:pStyle w:val="Tabletext"/>
              <w:jc w:val="center"/>
            </w:pPr>
            <w:r w:rsidRPr="000F346B">
              <w:t>0</w:t>
            </w:r>
          </w:p>
        </w:tc>
        <w:tc>
          <w:tcPr>
            <w:tcW w:w="0" w:type="auto"/>
            <w:vAlign w:val="center"/>
            <w:hideMark/>
          </w:tcPr>
          <w:p w14:paraId="1D8C1CCB" w14:textId="77777777" w:rsidR="00E52274" w:rsidRPr="000F346B" w:rsidRDefault="00E52274" w:rsidP="000F346B">
            <w:pPr>
              <w:pStyle w:val="Tabletext"/>
              <w:jc w:val="center"/>
            </w:pPr>
            <w:r w:rsidRPr="000F346B">
              <w:t>2014</w:t>
            </w:r>
          </w:p>
        </w:tc>
      </w:tr>
      <w:tr w:rsidR="00E52274" w:rsidRPr="004F246B" w14:paraId="278357C3" w14:textId="77777777" w:rsidTr="000F346B">
        <w:trPr>
          <w:trHeight w:val="170"/>
          <w:jc w:val="center"/>
        </w:trPr>
        <w:tc>
          <w:tcPr>
            <w:tcW w:w="0" w:type="auto"/>
            <w:vAlign w:val="center"/>
            <w:hideMark/>
          </w:tcPr>
          <w:p w14:paraId="6B01591B" w14:textId="77777777" w:rsidR="00E52274" w:rsidRPr="008A76DA" w:rsidRDefault="00E52274" w:rsidP="000F346B">
            <w:pPr>
              <w:pStyle w:val="Tabletext"/>
              <w:jc w:val="center"/>
              <w:rPr>
                <w:rStyle w:val="Hyperlink"/>
              </w:rPr>
            </w:pPr>
            <w:hyperlink r:id="rId38" w:history="1">
              <w:r w:rsidRPr="008A76DA">
                <w:rPr>
                  <w:rStyle w:val="Hyperlink"/>
                </w:rPr>
                <w:t>Ascension</w:t>
              </w:r>
            </w:hyperlink>
          </w:p>
        </w:tc>
        <w:tc>
          <w:tcPr>
            <w:tcW w:w="0" w:type="auto"/>
            <w:vAlign w:val="center"/>
            <w:hideMark/>
          </w:tcPr>
          <w:p w14:paraId="2DC44EA8" w14:textId="77777777" w:rsidR="00E52274" w:rsidRPr="000F346B" w:rsidRDefault="00E52274" w:rsidP="000F346B">
            <w:pPr>
              <w:pStyle w:val="Tabletext"/>
              <w:jc w:val="center"/>
            </w:pPr>
            <w:r w:rsidRPr="000F346B">
              <w:t>20</w:t>
            </w:r>
          </w:p>
        </w:tc>
        <w:tc>
          <w:tcPr>
            <w:tcW w:w="0" w:type="auto"/>
            <w:vAlign w:val="center"/>
            <w:hideMark/>
          </w:tcPr>
          <w:p w14:paraId="5F0A4198" w14:textId="77777777" w:rsidR="00E52274" w:rsidRPr="000F346B" w:rsidRDefault="00E52274" w:rsidP="000F346B">
            <w:pPr>
              <w:pStyle w:val="Tabletext"/>
              <w:jc w:val="center"/>
            </w:pPr>
            <w:r w:rsidRPr="000F346B">
              <w:t>2016</w:t>
            </w:r>
          </w:p>
        </w:tc>
      </w:tr>
      <w:tr w:rsidR="00E52274" w:rsidRPr="004F246B" w14:paraId="43529182" w14:textId="77777777" w:rsidTr="000F346B">
        <w:trPr>
          <w:trHeight w:val="170"/>
          <w:jc w:val="center"/>
        </w:trPr>
        <w:tc>
          <w:tcPr>
            <w:tcW w:w="0" w:type="auto"/>
            <w:vAlign w:val="center"/>
            <w:hideMark/>
          </w:tcPr>
          <w:p w14:paraId="74CA8AC2" w14:textId="77777777" w:rsidR="00E52274" w:rsidRPr="008A76DA" w:rsidRDefault="00E52274" w:rsidP="000F346B">
            <w:pPr>
              <w:pStyle w:val="Tabletext"/>
              <w:jc w:val="center"/>
              <w:rPr>
                <w:rStyle w:val="Hyperlink"/>
              </w:rPr>
            </w:pPr>
            <w:hyperlink r:id="rId39" w:history="1">
              <w:r w:rsidRPr="008A76DA">
                <w:rPr>
                  <w:rStyle w:val="Hyperlink"/>
                </w:rPr>
                <w:t>St. Helena</w:t>
              </w:r>
            </w:hyperlink>
          </w:p>
        </w:tc>
        <w:tc>
          <w:tcPr>
            <w:tcW w:w="0" w:type="auto"/>
            <w:vAlign w:val="center"/>
            <w:hideMark/>
          </w:tcPr>
          <w:p w14:paraId="193A3A27" w14:textId="77777777" w:rsidR="00E52274" w:rsidRPr="000F346B" w:rsidRDefault="00E52274" w:rsidP="000F346B">
            <w:pPr>
              <w:pStyle w:val="Tabletext"/>
              <w:jc w:val="center"/>
            </w:pPr>
            <w:r w:rsidRPr="000F346B">
              <w:t>70</w:t>
            </w:r>
          </w:p>
        </w:tc>
        <w:tc>
          <w:tcPr>
            <w:tcW w:w="0" w:type="auto"/>
            <w:vAlign w:val="center"/>
            <w:hideMark/>
          </w:tcPr>
          <w:p w14:paraId="69D59F71" w14:textId="77777777" w:rsidR="00E52274" w:rsidRPr="000F346B" w:rsidRDefault="00E52274" w:rsidP="000F346B">
            <w:pPr>
              <w:pStyle w:val="Tabletext"/>
              <w:jc w:val="center"/>
            </w:pPr>
            <w:r w:rsidRPr="000F346B">
              <w:t>2016</w:t>
            </w:r>
          </w:p>
        </w:tc>
      </w:tr>
      <w:tr w:rsidR="00E52274" w:rsidRPr="004F246B" w14:paraId="0CA05884" w14:textId="77777777" w:rsidTr="000F346B">
        <w:trPr>
          <w:trHeight w:val="170"/>
          <w:jc w:val="center"/>
        </w:trPr>
        <w:tc>
          <w:tcPr>
            <w:tcW w:w="0" w:type="auto"/>
            <w:vAlign w:val="center"/>
            <w:hideMark/>
          </w:tcPr>
          <w:p w14:paraId="51A511CD" w14:textId="77777777" w:rsidR="00E52274" w:rsidRPr="008A76DA" w:rsidRDefault="00E52274" w:rsidP="000F346B">
            <w:pPr>
              <w:pStyle w:val="Tabletext"/>
              <w:jc w:val="center"/>
              <w:rPr>
                <w:rStyle w:val="Hyperlink"/>
              </w:rPr>
            </w:pPr>
            <w:hyperlink r:id="rId40" w:history="1">
              <w:r w:rsidRPr="008A76DA">
                <w:rPr>
                  <w:rStyle w:val="Hyperlink"/>
                </w:rPr>
                <w:t>Saint Vincent &amp; the Grenadines</w:t>
              </w:r>
            </w:hyperlink>
          </w:p>
        </w:tc>
        <w:tc>
          <w:tcPr>
            <w:tcW w:w="0" w:type="auto"/>
            <w:vAlign w:val="center"/>
            <w:hideMark/>
          </w:tcPr>
          <w:p w14:paraId="44A8BCB0" w14:textId="77777777" w:rsidR="00E52274" w:rsidRPr="000F346B" w:rsidRDefault="00E52274" w:rsidP="000F346B">
            <w:pPr>
              <w:pStyle w:val="Tabletext"/>
              <w:jc w:val="center"/>
            </w:pPr>
            <w:r w:rsidRPr="000F346B">
              <w:t>97.5</w:t>
            </w:r>
          </w:p>
        </w:tc>
        <w:tc>
          <w:tcPr>
            <w:tcW w:w="0" w:type="auto"/>
            <w:vAlign w:val="center"/>
            <w:hideMark/>
          </w:tcPr>
          <w:p w14:paraId="185B9643" w14:textId="77777777" w:rsidR="00E52274" w:rsidRPr="000F346B" w:rsidRDefault="00E52274" w:rsidP="000F346B">
            <w:pPr>
              <w:pStyle w:val="Tabletext"/>
              <w:jc w:val="center"/>
            </w:pPr>
            <w:r w:rsidRPr="000F346B">
              <w:t>2022</w:t>
            </w:r>
          </w:p>
        </w:tc>
      </w:tr>
      <w:tr w:rsidR="00E52274" w:rsidRPr="004F246B" w14:paraId="4C7871A7" w14:textId="77777777" w:rsidTr="000F346B">
        <w:trPr>
          <w:trHeight w:val="170"/>
          <w:jc w:val="center"/>
        </w:trPr>
        <w:tc>
          <w:tcPr>
            <w:tcW w:w="0" w:type="auto"/>
            <w:vAlign w:val="center"/>
            <w:hideMark/>
          </w:tcPr>
          <w:p w14:paraId="7E708110" w14:textId="77777777" w:rsidR="00E52274" w:rsidRPr="008A76DA" w:rsidRDefault="00E52274" w:rsidP="000F346B">
            <w:pPr>
              <w:pStyle w:val="Tabletext"/>
              <w:jc w:val="center"/>
              <w:rPr>
                <w:rStyle w:val="Hyperlink"/>
              </w:rPr>
            </w:pPr>
            <w:hyperlink r:id="rId41" w:history="1">
              <w:r w:rsidRPr="008A76DA">
                <w:rPr>
                  <w:rStyle w:val="Hyperlink"/>
                </w:rPr>
                <w:t>Samoa</w:t>
              </w:r>
            </w:hyperlink>
          </w:p>
        </w:tc>
        <w:tc>
          <w:tcPr>
            <w:tcW w:w="0" w:type="auto"/>
            <w:vAlign w:val="center"/>
            <w:hideMark/>
          </w:tcPr>
          <w:p w14:paraId="3D143D19" w14:textId="77777777" w:rsidR="00E52274" w:rsidRPr="000F346B" w:rsidRDefault="00E52274" w:rsidP="000F346B">
            <w:pPr>
              <w:pStyle w:val="Tabletext"/>
              <w:jc w:val="center"/>
            </w:pPr>
            <w:r w:rsidRPr="000F346B">
              <w:t>100</w:t>
            </w:r>
          </w:p>
        </w:tc>
        <w:tc>
          <w:tcPr>
            <w:tcW w:w="0" w:type="auto"/>
            <w:vAlign w:val="center"/>
            <w:hideMark/>
          </w:tcPr>
          <w:p w14:paraId="4C78AC57" w14:textId="77777777" w:rsidR="00E52274" w:rsidRPr="000F346B" w:rsidRDefault="00E52274" w:rsidP="000F346B">
            <w:pPr>
              <w:pStyle w:val="Tabletext"/>
              <w:jc w:val="center"/>
            </w:pPr>
            <w:r w:rsidRPr="000F346B">
              <w:t>2022</w:t>
            </w:r>
          </w:p>
        </w:tc>
      </w:tr>
      <w:tr w:rsidR="00E52274" w:rsidRPr="004F246B" w14:paraId="1EED8770" w14:textId="77777777" w:rsidTr="000F346B">
        <w:trPr>
          <w:trHeight w:val="170"/>
          <w:jc w:val="center"/>
        </w:trPr>
        <w:tc>
          <w:tcPr>
            <w:tcW w:w="0" w:type="auto"/>
            <w:vAlign w:val="center"/>
            <w:hideMark/>
          </w:tcPr>
          <w:p w14:paraId="43ACEAA9" w14:textId="2BEB838D" w:rsidR="00E52274" w:rsidRPr="008A76DA" w:rsidRDefault="00E52274" w:rsidP="000F346B">
            <w:pPr>
              <w:pStyle w:val="Tabletext"/>
              <w:jc w:val="center"/>
              <w:rPr>
                <w:rStyle w:val="Hyperlink"/>
              </w:rPr>
            </w:pPr>
            <w:hyperlink r:id="rId42" w:history="1">
              <w:r w:rsidRPr="008A76DA">
                <w:rPr>
                  <w:rStyle w:val="Hyperlink"/>
                </w:rPr>
                <w:t>Cura</w:t>
              </w:r>
              <w:r w:rsidR="003F4946" w:rsidRPr="003F4946">
                <w:rPr>
                  <w:rStyle w:val="Hyperlink"/>
                </w:rPr>
                <w:t>ç</w:t>
              </w:r>
              <w:r w:rsidRPr="008A76DA">
                <w:rPr>
                  <w:rStyle w:val="Hyperlink"/>
                </w:rPr>
                <w:t>ao</w:t>
              </w:r>
            </w:hyperlink>
          </w:p>
        </w:tc>
        <w:tc>
          <w:tcPr>
            <w:tcW w:w="0" w:type="auto"/>
            <w:vAlign w:val="center"/>
            <w:hideMark/>
          </w:tcPr>
          <w:p w14:paraId="5BB32AD0" w14:textId="77777777" w:rsidR="00E52274" w:rsidRPr="000F346B" w:rsidRDefault="00E52274" w:rsidP="000F346B">
            <w:pPr>
              <w:pStyle w:val="Tabletext"/>
              <w:jc w:val="center"/>
            </w:pPr>
            <w:r w:rsidRPr="000F346B">
              <w:t>170</w:t>
            </w:r>
          </w:p>
        </w:tc>
        <w:tc>
          <w:tcPr>
            <w:tcW w:w="0" w:type="auto"/>
            <w:vAlign w:val="center"/>
            <w:hideMark/>
          </w:tcPr>
          <w:p w14:paraId="037E4A1A" w14:textId="77777777" w:rsidR="00E52274" w:rsidRPr="000F346B" w:rsidRDefault="00E52274" w:rsidP="000F346B">
            <w:pPr>
              <w:pStyle w:val="Tabletext"/>
              <w:jc w:val="center"/>
            </w:pPr>
            <w:r w:rsidRPr="000F346B">
              <w:t>2022</w:t>
            </w:r>
          </w:p>
        </w:tc>
      </w:tr>
      <w:tr w:rsidR="00E52274" w:rsidRPr="004F246B" w14:paraId="33171BFE" w14:textId="77777777" w:rsidTr="000F346B">
        <w:trPr>
          <w:trHeight w:val="170"/>
          <w:jc w:val="center"/>
        </w:trPr>
        <w:tc>
          <w:tcPr>
            <w:tcW w:w="0" w:type="auto"/>
            <w:vAlign w:val="center"/>
            <w:hideMark/>
          </w:tcPr>
          <w:p w14:paraId="19718BD0" w14:textId="77777777" w:rsidR="00E52274" w:rsidRPr="008A76DA" w:rsidRDefault="00E52274" w:rsidP="000F346B">
            <w:pPr>
              <w:pStyle w:val="Tabletext"/>
              <w:jc w:val="center"/>
              <w:rPr>
                <w:rStyle w:val="Hyperlink"/>
              </w:rPr>
            </w:pPr>
            <w:hyperlink r:id="rId43" w:history="1">
              <w:r w:rsidRPr="008A76DA">
                <w:rPr>
                  <w:rStyle w:val="Hyperlink"/>
                </w:rPr>
                <w:t>Saint Lucia</w:t>
              </w:r>
            </w:hyperlink>
          </w:p>
        </w:tc>
        <w:tc>
          <w:tcPr>
            <w:tcW w:w="0" w:type="auto"/>
            <w:vAlign w:val="center"/>
            <w:hideMark/>
          </w:tcPr>
          <w:p w14:paraId="340D5FEA" w14:textId="77777777" w:rsidR="00E52274" w:rsidRPr="000F346B" w:rsidRDefault="00E52274" w:rsidP="000F346B">
            <w:pPr>
              <w:pStyle w:val="Tabletext"/>
              <w:jc w:val="center"/>
            </w:pPr>
            <w:r w:rsidRPr="000F346B">
              <w:t>640</w:t>
            </w:r>
          </w:p>
        </w:tc>
        <w:tc>
          <w:tcPr>
            <w:tcW w:w="0" w:type="auto"/>
            <w:vAlign w:val="center"/>
            <w:hideMark/>
          </w:tcPr>
          <w:p w14:paraId="00255413" w14:textId="77777777" w:rsidR="00E52274" w:rsidRPr="000F346B" w:rsidRDefault="00E52274" w:rsidP="000F346B">
            <w:pPr>
              <w:pStyle w:val="Tabletext"/>
              <w:jc w:val="center"/>
            </w:pPr>
            <w:r w:rsidRPr="000F346B">
              <w:t>2018</w:t>
            </w:r>
          </w:p>
        </w:tc>
      </w:tr>
      <w:tr w:rsidR="00E52274" w:rsidRPr="004F246B" w14:paraId="2A918618" w14:textId="77777777" w:rsidTr="000F346B">
        <w:trPr>
          <w:trHeight w:val="170"/>
          <w:jc w:val="center"/>
        </w:trPr>
        <w:tc>
          <w:tcPr>
            <w:tcW w:w="0" w:type="auto"/>
            <w:vAlign w:val="center"/>
            <w:hideMark/>
          </w:tcPr>
          <w:p w14:paraId="1899B6DE" w14:textId="77777777" w:rsidR="00E52274" w:rsidRPr="008A76DA" w:rsidRDefault="00E52274" w:rsidP="000F346B">
            <w:pPr>
              <w:pStyle w:val="Tabletext"/>
              <w:jc w:val="center"/>
              <w:rPr>
                <w:rStyle w:val="Hyperlink"/>
              </w:rPr>
            </w:pPr>
            <w:hyperlink r:id="rId44" w:history="1">
              <w:r w:rsidRPr="008A76DA">
                <w:rPr>
                  <w:rStyle w:val="Hyperlink"/>
                </w:rPr>
                <w:t>Cook Islands</w:t>
              </w:r>
            </w:hyperlink>
          </w:p>
        </w:tc>
        <w:tc>
          <w:tcPr>
            <w:tcW w:w="0" w:type="auto"/>
            <w:vAlign w:val="center"/>
            <w:hideMark/>
          </w:tcPr>
          <w:p w14:paraId="5C093179" w14:textId="77777777" w:rsidR="00E52274" w:rsidRPr="000F346B" w:rsidRDefault="00E52274" w:rsidP="000F346B">
            <w:pPr>
              <w:pStyle w:val="Tabletext"/>
              <w:jc w:val="center"/>
            </w:pPr>
            <w:r w:rsidRPr="000F346B">
              <w:t>762</w:t>
            </w:r>
          </w:p>
        </w:tc>
        <w:tc>
          <w:tcPr>
            <w:tcW w:w="0" w:type="auto"/>
            <w:vAlign w:val="center"/>
            <w:hideMark/>
          </w:tcPr>
          <w:p w14:paraId="67BBCC17" w14:textId="77777777" w:rsidR="00E52274" w:rsidRPr="000F346B" w:rsidRDefault="00E52274" w:rsidP="000F346B">
            <w:pPr>
              <w:pStyle w:val="Tabletext"/>
              <w:jc w:val="center"/>
            </w:pPr>
            <w:r w:rsidRPr="000F346B">
              <w:t>2017</w:t>
            </w:r>
          </w:p>
        </w:tc>
      </w:tr>
      <w:tr w:rsidR="00E52274" w:rsidRPr="004F246B" w14:paraId="05E629C0" w14:textId="77777777" w:rsidTr="000F346B">
        <w:trPr>
          <w:trHeight w:val="170"/>
          <w:jc w:val="center"/>
        </w:trPr>
        <w:tc>
          <w:tcPr>
            <w:tcW w:w="0" w:type="auto"/>
            <w:vAlign w:val="center"/>
            <w:hideMark/>
          </w:tcPr>
          <w:p w14:paraId="2BD2043D" w14:textId="77777777" w:rsidR="00E52274" w:rsidRPr="008A76DA" w:rsidRDefault="00E52274" w:rsidP="000F346B">
            <w:pPr>
              <w:pStyle w:val="Tabletext"/>
              <w:jc w:val="center"/>
              <w:rPr>
                <w:rStyle w:val="Hyperlink"/>
              </w:rPr>
            </w:pPr>
            <w:hyperlink r:id="rId45" w:history="1">
              <w:r w:rsidRPr="008A76DA">
                <w:rPr>
                  <w:rStyle w:val="Hyperlink"/>
                </w:rPr>
                <w:t>Central African Rep.</w:t>
              </w:r>
            </w:hyperlink>
          </w:p>
        </w:tc>
        <w:tc>
          <w:tcPr>
            <w:tcW w:w="0" w:type="auto"/>
            <w:vAlign w:val="center"/>
            <w:hideMark/>
          </w:tcPr>
          <w:p w14:paraId="32F95082" w14:textId="77777777" w:rsidR="00E52274" w:rsidRPr="000F346B" w:rsidRDefault="00E52274" w:rsidP="000F346B">
            <w:pPr>
              <w:pStyle w:val="Tabletext"/>
              <w:jc w:val="center"/>
            </w:pPr>
            <w:r w:rsidRPr="000F346B">
              <w:t>1.39K</w:t>
            </w:r>
          </w:p>
        </w:tc>
        <w:tc>
          <w:tcPr>
            <w:tcW w:w="0" w:type="auto"/>
            <w:vAlign w:val="center"/>
            <w:hideMark/>
          </w:tcPr>
          <w:p w14:paraId="2192557C" w14:textId="77777777" w:rsidR="00E52274" w:rsidRPr="000F346B" w:rsidRDefault="00E52274" w:rsidP="000F346B">
            <w:pPr>
              <w:pStyle w:val="Tabletext"/>
              <w:jc w:val="center"/>
            </w:pPr>
            <w:r w:rsidRPr="000F346B">
              <w:t>2019</w:t>
            </w:r>
          </w:p>
        </w:tc>
      </w:tr>
      <w:tr w:rsidR="00E52274" w:rsidRPr="004F246B" w14:paraId="2393A535" w14:textId="77777777" w:rsidTr="000F346B">
        <w:trPr>
          <w:trHeight w:val="170"/>
          <w:jc w:val="center"/>
        </w:trPr>
        <w:tc>
          <w:tcPr>
            <w:tcW w:w="0" w:type="auto"/>
            <w:vAlign w:val="center"/>
            <w:hideMark/>
          </w:tcPr>
          <w:p w14:paraId="69DC6AF6" w14:textId="77777777" w:rsidR="00E52274" w:rsidRPr="008A76DA" w:rsidRDefault="00E52274" w:rsidP="000F346B">
            <w:pPr>
              <w:pStyle w:val="Tabletext"/>
              <w:jc w:val="center"/>
              <w:rPr>
                <w:rStyle w:val="Hyperlink"/>
              </w:rPr>
            </w:pPr>
            <w:hyperlink r:id="rId46" w:history="1">
              <w:r w:rsidRPr="008A76DA">
                <w:rPr>
                  <w:rStyle w:val="Hyperlink"/>
                </w:rPr>
                <w:t>South Sudan</w:t>
              </w:r>
            </w:hyperlink>
          </w:p>
        </w:tc>
        <w:tc>
          <w:tcPr>
            <w:tcW w:w="0" w:type="auto"/>
            <w:vAlign w:val="center"/>
            <w:hideMark/>
          </w:tcPr>
          <w:p w14:paraId="480052C2" w14:textId="77777777" w:rsidR="00E52274" w:rsidRPr="000F346B" w:rsidRDefault="00E52274" w:rsidP="000F346B">
            <w:pPr>
              <w:pStyle w:val="Tabletext"/>
              <w:jc w:val="center"/>
            </w:pPr>
            <w:r w:rsidRPr="000F346B">
              <w:t>1.4K</w:t>
            </w:r>
          </w:p>
        </w:tc>
        <w:tc>
          <w:tcPr>
            <w:tcW w:w="0" w:type="auto"/>
            <w:vAlign w:val="center"/>
            <w:hideMark/>
          </w:tcPr>
          <w:p w14:paraId="4F73ABD3" w14:textId="77777777" w:rsidR="00E52274" w:rsidRPr="000F346B" w:rsidRDefault="00E52274" w:rsidP="000F346B">
            <w:pPr>
              <w:pStyle w:val="Tabletext"/>
              <w:jc w:val="center"/>
            </w:pPr>
            <w:r w:rsidRPr="000F346B">
              <w:t>2022</w:t>
            </w:r>
          </w:p>
        </w:tc>
      </w:tr>
      <w:tr w:rsidR="00E52274" w:rsidRPr="000F346B" w14:paraId="4980A317" w14:textId="77777777" w:rsidTr="000F346B">
        <w:trPr>
          <w:trHeight w:val="170"/>
          <w:jc w:val="center"/>
        </w:trPr>
        <w:tc>
          <w:tcPr>
            <w:tcW w:w="0" w:type="auto"/>
            <w:vAlign w:val="center"/>
          </w:tcPr>
          <w:p w14:paraId="723596C7" w14:textId="77777777" w:rsidR="00E52274" w:rsidRPr="000F346B" w:rsidRDefault="00E52274" w:rsidP="000F346B">
            <w:pPr>
              <w:pStyle w:val="Tablehead"/>
            </w:pPr>
            <w:r w:rsidRPr="000F346B">
              <w:t>Highest 10 Economies</w:t>
            </w:r>
          </w:p>
        </w:tc>
        <w:tc>
          <w:tcPr>
            <w:tcW w:w="0" w:type="auto"/>
            <w:vAlign w:val="center"/>
          </w:tcPr>
          <w:p w14:paraId="0CE636CC" w14:textId="77777777" w:rsidR="00E52274" w:rsidRPr="000F346B" w:rsidRDefault="00E52274" w:rsidP="000F346B">
            <w:pPr>
              <w:pStyle w:val="Tablehead"/>
            </w:pPr>
            <w:r w:rsidRPr="000F346B">
              <w:t>Value, expressed in Mbit/s</w:t>
            </w:r>
          </w:p>
        </w:tc>
        <w:tc>
          <w:tcPr>
            <w:tcW w:w="0" w:type="auto"/>
            <w:vAlign w:val="center"/>
          </w:tcPr>
          <w:p w14:paraId="76D0F62A" w14:textId="77777777" w:rsidR="00E52274" w:rsidRPr="000F346B" w:rsidRDefault="00E52274" w:rsidP="000F346B">
            <w:pPr>
              <w:pStyle w:val="Tablehead"/>
            </w:pPr>
            <w:r w:rsidRPr="000F346B">
              <w:t>Year</w:t>
            </w:r>
          </w:p>
        </w:tc>
      </w:tr>
      <w:tr w:rsidR="00E52274" w:rsidRPr="004F246B" w14:paraId="337E4013" w14:textId="77777777" w:rsidTr="000F346B">
        <w:trPr>
          <w:trHeight w:val="170"/>
          <w:jc w:val="center"/>
        </w:trPr>
        <w:tc>
          <w:tcPr>
            <w:tcW w:w="0" w:type="auto"/>
            <w:vAlign w:val="center"/>
            <w:hideMark/>
          </w:tcPr>
          <w:p w14:paraId="66FD90AE" w14:textId="77777777" w:rsidR="00E52274" w:rsidRPr="008A76DA" w:rsidRDefault="00E52274" w:rsidP="000F346B">
            <w:pPr>
              <w:pStyle w:val="Tabletext"/>
              <w:jc w:val="center"/>
              <w:rPr>
                <w:rStyle w:val="Hyperlink"/>
              </w:rPr>
            </w:pPr>
            <w:hyperlink r:id="rId47" w:history="1">
              <w:r w:rsidRPr="008A76DA">
                <w:rPr>
                  <w:rStyle w:val="Hyperlink"/>
                </w:rPr>
                <w:t>New Zealand</w:t>
              </w:r>
            </w:hyperlink>
          </w:p>
        </w:tc>
        <w:tc>
          <w:tcPr>
            <w:tcW w:w="0" w:type="auto"/>
            <w:vAlign w:val="center"/>
            <w:hideMark/>
          </w:tcPr>
          <w:p w14:paraId="28A44F8F" w14:textId="77777777" w:rsidR="00E52274" w:rsidRPr="000F346B" w:rsidRDefault="00E52274" w:rsidP="000F346B">
            <w:pPr>
              <w:pStyle w:val="Tabletext"/>
              <w:jc w:val="center"/>
            </w:pPr>
            <w:r w:rsidRPr="000F346B">
              <w:t>42M</w:t>
            </w:r>
          </w:p>
        </w:tc>
        <w:tc>
          <w:tcPr>
            <w:tcW w:w="0" w:type="auto"/>
            <w:vAlign w:val="center"/>
            <w:hideMark/>
          </w:tcPr>
          <w:p w14:paraId="428CED74" w14:textId="77777777" w:rsidR="00E52274" w:rsidRPr="000F346B" w:rsidRDefault="00E52274" w:rsidP="000F346B">
            <w:pPr>
              <w:pStyle w:val="Tabletext"/>
              <w:jc w:val="center"/>
            </w:pPr>
            <w:r w:rsidRPr="000F346B">
              <w:t>2018</w:t>
            </w:r>
          </w:p>
        </w:tc>
      </w:tr>
      <w:tr w:rsidR="00E52274" w:rsidRPr="004F246B" w14:paraId="6A3DF4AA" w14:textId="77777777" w:rsidTr="000F346B">
        <w:trPr>
          <w:trHeight w:val="170"/>
          <w:jc w:val="center"/>
        </w:trPr>
        <w:tc>
          <w:tcPr>
            <w:tcW w:w="0" w:type="auto"/>
            <w:vAlign w:val="center"/>
            <w:hideMark/>
          </w:tcPr>
          <w:p w14:paraId="0D6CF6F1" w14:textId="77777777" w:rsidR="00E52274" w:rsidRPr="008A76DA" w:rsidRDefault="00E52274" w:rsidP="000F346B">
            <w:pPr>
              <w:pStyle w:val="Tabletext"/>
              <w:jc w:val="center"/>
              <w:rPr>
                <w:rStyle w:val="Hyperlink"/>
              </w:rPr>
            </w:pPr>
            <w:hyperlink r:id="rId48" w:history="1">
              <w:r w:rsidRPr="008A76DA">
                <w:rPr>
                  <w:rStyle w:val="Hyperlink"/>
                </w:rPr>
                <w:t>Kenya</w:t>
              </w:r>
            </w:hyperlink>
          </w:p>
        </w:tc>
        <w:tc>
          <w:tcPr>
            <w:tcW w:w="0" w:type="auto"/>
            <w:vAlign w:val="center"/>
            <w:hideMark/>
          </w:tcPr>
          <w:p w14:paraId="284A2D74" w14:textId="77777777" w:rsidR="00E52274" w:rsidRPr="000F346B" w:rsidRDefault="00E52274" w:rsidP="000F346B">
            <w:pPr>
              <w:pStyle w:val="Tabletext"/>
              <w:jc w:val="center"/>
            </w:pPr>
            <w:r w:rsidRPr="000F346B">
              <w:t>46.4M</w:t>
            </w:r>
          </w:p>
        </w:tc>
        <w:tc>
          <w:tcPr>
            <w:tcW w:w="0" w:type="auto"/>
            <w:vAlign w:val="center"/>
            <w:hideMark/>
          </w:tcPr>
          <w:p w14:paraId="40BE93EE" w14:textId="77777777" w:rsidR="00E52274" w:rsidRPr="000F346B" w:rsidRDefault="00E52274" w:rsidP="000F346B">
            <w:pPr>
              <w:pStyle w:val="Tabletext"/>
              <w:jc w:val="center"/>
            </w:pPr>
            <w:r w:rsidRPr="000F346B">
              <w:t>2022</w:t>
            </w:r>
          </w:p>
        </w:tc>
      </w:tr>
      <w:tr w:rsidR="00E52274" w:rsidRPr="004F246B" w14:paraId="4B368CAF" w14:textId="77777777" w:rsidTr="000F346B">
        <w:trPr>
          <w:trHeight w:val="170"/>
          <w:jc w:val="center"/>
        </w:trPr>
        <w:tc>
          <w:tcPr>
            <w:tcW w:w="0" w:type="auto"/>
            <w:vAlign w:val="center"/>
            <w:hideMark/>
          </w:tcPr>
          <w:p w14:paraId="65E00A7A" w14:textId="77777777" w:rsidR="00E52274" w:rsidRPr="008A76DA" w:rsidRDefault="00E52274" w:rsidP="000F346B">
            <w:pPr>
              <w:pStyle w:val="Tabletext"/>
              <w:jc w:val="center"/>
              <w:rPr>
                <w:rStyle w:val="Hyperlink"/>
              </w:rPr>
            </w:pPr>
            <w:hyperlink r:id="rId49" w:history="1">
              <w:r w:rsidRPr="008A76DA">
                <w:rPr>
                  <w:rStyle w:val="Hyperlink"/>
                </w:rPr>
                <w:t>Indonesia</w:t>
              </w:r>
            </w:hyperlink>
          </w:p>
        </w:tc>
        <w:tc>
          <w:tcPr>
            <w:tcW w:w="0" w:type="auto"/>
            <w:vAlign w:val="center"/>
            <w:hideMark/>
          </w:tcPr>
          <w:p w14:paraId="5EFED9AA" w14:textId="77777777" w:rsidR="00E52274" w:rsidRPr="000F346B" w:rsidRDefault="00E52274" w:rsidP="000F346B">
            <w:pPr>
              <w:pStyle w:val="Tabletext"/>
              <w:jc w:val="center"/>
            </w:pPr>
            <w:r w:rsidRPr="000F346B">
              <w:t>47.3M</w:t>
            </w:r>
          </w:p>
        </w:tc>
        <w:tc>
          <w:tcPr>
            <w:tcW w:w="0" w:type="auto"/>
            <w:vAlign w:val="center"/>
            <w:hideMark/>
          </w:tcPr>
          <w:p w14:paraId="71F12572" w14:textId="77777777" w:rsidR="00E52274" w:rsidRPr="000F346B" w:rsidRDefault="00E52274" w:rsidP="000F346B">
            <w:pPr>
              <w:pStyle w:val="Tabletext"/>
              <w:jc w:val="center"/>
            </w:pPr>
            <w:r w:rsidRPr="000F346B">
              <w:t>2022</w:t>
            </w:r>
          </w:p>
        </w:tc>
      </w:tr>
      <w:tr w:rsidR="00E52274" w:rsidRPr="004F246B" w14:paraId="03A5EC95" w14:textId="77777777" w:rsidTr="000F346B">
        <w:trPr>
          <w:trHeight w:val="170"/>
          <w:jc w:val="center"/>
        </w:trPr>
        <w:tc>
          <w:tcPr>
            <w:tcW w:w="0" w:type="auto"/>
            <w:vAlign w:val="center"/>
            <w:hideMark/>
          </w:tcPr>
          <w:p w14:paraId="06C00299" w14:textId="77777777" w:rsidR="00E52274" w:rsidRPr="008A76DA" w:rsidRDefault="00E52274" w:rsidP="000F346B">
            <w:pPr>
              <w:pStyle w:val="Tabletext"/>
              <w:jc w:val="center"/>
              <w:rPr>
                <w:rStyle w:val="Hyperlink"/>
              </w:rPr>
            </w:pPr>
            <w:hyperlink r:id="rId50" w:history="1">
              <w:r w:rsidRPr="008A76DA">
                <w:rPr>
                  <w:rStyle w:val="Hyperlink"/>
                </w:rPr>
                <w:t>Luxembourg</w:t>
              </w:r>
            </w:hyperlink>
          </w:p>
        </w:tc>
        <w:tc>
          <w:tcPr>
            <w:tcW w:w="0" w:type="auto"/>
            <w:vAlign w:val="center"/>
            <w:hideMark/>
          </w:tcPr>
          <w:p w14:paraId="0F306613" w14:textId="77777777" w:rsidR="00E52274" w:rsidRPr="000F346B" w:rsidRDefault="00E52274" w:rsidP="000F346B">
            <w:pPr>
              <w:pStyle w:val="Tabletext"/>
              <w:jc w:val="center"/>
            </w:pPr>
            <w:r w:rsidRPr="000F346B">
              <w:t>70.5M</w:t>
            </w:r>
          </w:p>
        </w:tc>
        <w:tc>
          <w:tcPr>
            <w:tcW w:w="0" w:type="auto"/>
            <w:vAlign w:val="center"/>
            <w:hideMark/>
          </w:tcPr>
          <w:p w14:paraId="4EC8AD1C" w14:textId="77777777" w:rsidR="00E52274" w:rsidRPr="000F346B" w:rsidRDefault="00E52274" w:rsidP="000F346B">
            <w:pPr>
              <w:pStyle w:val="Tabletext"/>
              <w:jc w:val="center"/>
            </w:pPr>
            <w:r w:rsidRPr="000F346B">
              <w:t>2013</w:t>
            </w:r>
          </w:p>
        </w:tc>
      </w:tr>
      <w:tr w:rsidR="00E52274" w:rsidRPr="004F246B" w14:paraId="613D736A" w14:textId="77777777" w:rsidTr="000F346B">
        <w:trPr>
          <w:trHeight w:val="170"/>
          <w:jc w:val="center"/>
        </w:trPr>
        <w:tc>
          <w:tcPr>
            <w:tcW w:w="0" w:type="auto"/>
            <w:vAlign w:val="center"/>
            <w:hideMark/>
          </w:tcPr>
          <w:p w14:paraId="0F71C8B4" w14:textId="77777777" w:rsidR="00E52274" w:rsidRPr="008A76DA" w:rsidRDefault="00E52274" w:rsidP="000F346B">
            <w:pPr>
              <w:pStyle w:val="Tabletext"/>
              <w:jc w:val="center"/>
              <w:rPr>
                <w:rStyle w:val="Hyperlink"/>
              </w:rPr>
            </w:pPr>
            <w:hyperlink r:id="rId51" w:history="1">
              <w:r w:rsidRPr="008A76DA">
                <w:rPr>
                  <w:rStyle w:val="Hyperlink"/>
                </w:rPr>
                <w:t>Malaysia</w:t>
              </w:r>
            </w:hyperlink>
          </w:p>
        </w:tc>
        <w:tc>
          <w:tcPr>
            <w:tcW w:w="0" w:type="auto"/>
            <w:vAlign w:val="center"/>
            <w:hideMark/>
          </w:tcPr>
          <w:p w14:paraId="1B2D5A30" w14:textId="77777777" w:rsidR="00E52274" w:rsidRPr="000F346B" w:rsidRDefault="00E52274" w:rsidP="000F346B">
            <w:pPr>
              <w:pStyle w:val="Tabletext"/>
              <w:jc w:val="center"/>
            </w:pPr>
            <w:r w:rsidRPr="000F346B">
              <w:t>92.8M</w:t>
            </w:r>
          </w:p>
        </w:tc>
        <w:tc>
          <w:tcPr>
            <w:tcW w:w="0" w:type="auto"/>
            <w:vAlign w:val="center"/>
            <w:hideMark/>
          </w:tcPr>
          <w:p w14:paraId="35E9B124" w14:textId="77777777" w:rsidR="00E52274" w:rsidRPr="000F346B" w:rsidRDefault="00E52274" w:rsidP="000F346B">
            <w:pPr>
              <w:pStyle w:val="Tabletext"/>
              <w:jc w:val="center"/>
            </w:pPr>
            <w:r w:rsidRPr="000F346B">
              <w:t>2022</w:t>
            </w:r>
          </w:p>
        </w:tc>
      </w:tr>
      <w:tr w:rsidR="00E52274" w:rsidRPr="004F246B" w14:paraId="4A4BFCE4" w14:textId="77777777" w:rsidTr="000F346B">
        <w:trPr>
          <w:trHeight w:val="170"/>
          <w:jc w:val="center"/>
        </w:trPr>
        <w:tc>
          <w:tcPr>
            <w:tcW w:w="0" w:type="auto"/>
            <w:vAlign w:val="center"/>
            <w:hideMark/>
          </w:tcPr>
          <w:p w14:paraId="0D819256" w14:textId="77777777" w:rsidR="00E52274" w:rsidRPr="008A76DA" w:rsidRDefault="00E52274" w:rsidP="000F346B">
            <w:pPr>
              <w:pStyle w:val="Tabletext"/>
              <w:jc w:val="center"/>
              <w:rPr>
                <w:rStyle w:val="Hyperlink"/>
              </w:rPr>
            </w:pPr>
            <w:hyperlink r:id="rId52" w:history="1">
              <w:r w:rsidRPr="008A76DA">
                <w:rPr>
                  <w:rStyle w:val="Hyperlink"/>
                </w:rPr>
                <w:t>Taiwan, Province of China</w:t>
              </w:r>
            </w:hyperlink>
          </w:p>
        </w:tc>
        <w:tc>
          <w:tcPr>
            <w:tcW w:w="0" w:type="auto"/>
            <w:vAlign w:val="center"/>
            <w:hideMark/>
          </w:tcPr>
          <w:p w14:paraId="3ED7A524" w14:textId="77777777" w:rsidR="00E52274" w:rsidRPr="000F346B" w:rsidRDefault="00E52274" w:rsidP="000F346B">
            <w:pPr>
              <w:pStyle w:val="Tabletext"/>
              <w:jc w:val="center"/>
            </w:pPr>
            <w:r w:rsidRPr="000F346B">
              <w:t>109M</w:t>
            </w:r>
          </w:p>
        </w:tc>
        <w:tc>
          <w:tcPr>
            <w:tcW w:w="0" w:type="auto"/>
            <w:vAlign w:val="center"/>
            <w:hideMark/>
          </w:tcPr>
          <w:p w14:paraId="71E71CE2" w14:textId="77777777" w:rsidR="00E52274" w:rsidRPr="000F346B" w:rsidRDefault="00E52274" w:rsidP="000F346B">
            <w:pPr>
              <w:pStyle w:val="Tabletext"/>
              <w:jc w:val="center"/>
            </w:pPr>
            <w:r w:rsidRPr="000F346B">
              <w:t>2022</w:t>
            </w:r>
          </w:p>
        </w:tc>
      </w:tr>
      <w:tr w:rsidR="00E52274" w:rsidRPr="004F246B" w14:paraId="7ED78353" w14:textId="77777777" w:rsidTr="000F346B">
        <w:trPr>
          <w:trHeight w:val="170"/>
          <w:jc w:val="center"/>
        </w:trPr>
        <w:tc>
          <w:tcPr>
            <w:tcW w:w="0" w:type="auto"/>
            <w:vAlign w:val="center"/>
            <w:hideMark/>
          </w:tcPr>
          <w:p w14:paraId="60319B28" w14:textId="77777777" w:rsidR="00E52274" w:rsidRPr="008A76DA" w:rsidRDefault="00E52274" w:rsidP="000F346B">
            <w:pPr>
              <w:pStyle w:val="Tabletext"/>
              <w:jc w:val="center"/>
              <w:rPr>
                <w:rStyle w:val="Hyperlink"/>
              </w:rPr>
            </w:pPr>
            <w:hyperlink r:id="rId53" w:history="1">
              <w:r w:rsidRPr="008A76DA">
                <w:rPr>
                  <w:rStyle w:val="Hyperlink"/>
                </w:rPr>
                <w:t>India</w:t>
              </w:r>
            </w:hyperlink>
          </w:p>
        </w:tc>
        <w:tc>
          <w:tcPr>
            <w:tcW w:w="0" w:type="auto"/>
            <w:vAlign w:val="center"/>
            <w:hideMark/>
          </w:tcPr>
          <w:p w14:paraId="6A1A2FAF" w14:textId="77777777" w:rsidR="00E52274" w:rsidRPr="000F346B" w:rsidRDefault="00E52274" w:rsidP="000F346B">
            <w:pPr>
              <w:pStyle w:val="Tabletext"/>
              <w:jc w:val="center"/>
            </w:pPr>
            <w:r w:rsidRPr="000F346B">
              <w:t>139M</w:t>
            </w:r>
          </w:p>
        </w:tc>
        <w:tc>
          <w:tcPr>
            <w:tcW w:w="0" w:type="auto"/>
            <w:vAlign w:val="center"/>
            <w:hideMark/>
          </w:tcPr>
          <w:p w14:paraId="09A44AD5" w14:textId="77777777" w:rsidR="00E52274" w:rsidRPr="000F346B" w:rsidRDefault="00E52274" w:rsidP="000F346B">
            <w:pPr>
              <w:pStyle w:val="Tabletext"/>
              <w:jc w:val="center"/>
            </w:pPr>
            <w:r w:rsidRPr="000F346B">
              <w:t>2022</w:t>
            </w:r>
          </w:p>
        </w:tc>
      </w:tr>
      <w:tr w:rsidR="00E52274" w:rsidRPr="004F246B" w14:paraId="3CFECB8F" w14:textId="77777777" w:rsidTr="000F346B">
        <w:trPr>
          <w:trHeight w:val="170"/>
          <w:jc w:val="center"/>
        </w:trPr>
        <w:tc>
          <w:tcPr>
            <w:tcW w:w="0" w:type="auto"/>
            <w:vAlign w:val="center"/>
            <w:hideMark/>
          </w:tcPr>
          <w:p w14:paraId="2CD5FEF7" w14:textId="77777777" w:rsidR="00E52274" w:rsidRPr="008A76DA" w:rsidRDefault="00E52274" w:rsidP="000F346B">
            <w:pPr>
              <w:pStyle w:val="Tabletext"/>
              <w:jc w:val="center"/>
              <w:rPr>
                <w:rStyle w:val="Hyperlink"/>
              </w:rPr>
            </w:pPr>
            <w:hyperlink r:id="rId54" w:history="1">
              <w:r w:rsidRPr="008A76DA">
                <w:rPr>
                  <w:rStyle w:val="Hyperlink"/>
                </w:rPr>
                <w:t>China</w:t>
              </w:r>
            </w:hyperlink>
          </w:p>
        </w:tc>
        <w:tc>
          <w:tcPr>
            <w:tcW w:w="0" w:type="auto"/>
            <w:vAlign w:val="center"/>
            <w:hideMark/>
          </w:tcPr>
          <w:p w14:paraId="28A30E4B" w14:textId="77777777" w:rsidR="00E52274" w:rsidRPr="000F346B" w:rsidRDefault="00E52274" w:rsidP="000F346B">
            <w:pPr>
              <w:pStyle w:val="Tabletext"/>
              <w:jc w:val="center"/>
            </w:pPr>
            <w:r w:rsidRPr="000F346B">
              <w:t>169M</w:t>
            </w:r>
          </w:p>
        </w:tc>
        <w:tc>
          <w:tcPr>
            <w:tcW w:w="0" w:type="auto"/>
            <w:vAlign w:val="center"/>
            <w:hideMark/>
          </w:tcPr>
          <w:p w14:paraId="12680E71" w14:textId="77777777" w:rsidR="00E52274" w:rsidRPr="000F346B" w:rsidRDefault="00E52274" w:rsidP="000F346B">
            <w:pPr>
              <w:pStyle w:val="Tabletext"/>
              <w:jc w:val="center"/>
            </w:pPr>
            <w:r w:rsidRPr="000F346B">
              <w:t>2022</w:t>
            </w:r>
          </w:p>
        </w:tc>
      </w:tr>
      <w:tr w:rsidR="00E52274" w:rsidRPr="004F246B" w14:paraId="787CF5A3" w14:textId="77777777" w:rsidTr="000F346B">
        <w:trPr>
          <w:trHeight w:val="170"/>
          <w:jc w:val="center"/>
        </w:trPr>
        <w:tc>
          <w:tcPr>
            <w:tcW w:w="0" w:type="auto"/>
            <w:vAlign w:val="center"/>
            <w:hideMark/>
          </w:tcPr>
          <w:p w14:paraId="15D403DE" w14:textId="77777777" w:rsidR="00E52274" w:rsidRPr="008A76DA" w:rsidRDefault="00E52274" w:rsidP="000F346B">
            <w:pPr>
              <w:pStyle w:val="Tabletext"/>
              <w:jc w:val="center"/>
              <w:rPr>
                <w:rStyle w:val="Hyperlink"/>
              </w:rPr>
            </w:pPr>
            <w:hyperlink r:id="rId55" w:history="1">
              <w:r w:rsidRPr="008A76DA">
                <w:rPr>
                  <w:rStyle w:val="Hyperlink"/>
                </w:rPr>
                <w:t>Hong Kong, China</w:t>
              </w:r>
            </w:hyperlink>
          </w:p>
        </w:tc>
        <w:tc>
          <w:tcPr>
            <w:tcW w:w="0" w:type="auto"/>
            <w:vAlign w:val="center"/>
            <w:hideMark/>
          </w:tcPr>
          <w:p w14:paraId="01A52A1A" w14:textId="77777777" w:rsidR="00E52274" w:rsidRPr="000F346B" w:rsidRDefault="00E52274" w:rsidP="000F346B">
            <w:pPr>
              <w:pStyle w:val="Tabletext"/>
              <w:jc w:val="center"/>
            </w:pPr>
            <w:r w:rsidRPr="000F346B">
              <w:t>190M</w:t>
            </w:r>
          </w:p>
        </w:tc>
        <w:tc>
          <w:tcPr>
            <w:tcW w:w="0" w:type="auto"/>
            <w:vAlign w:val="center"/>
            <w:hideMark/>
          </w:tcPr>
          <w:p w14:paraId="384CE1BE" w14:textId="77777777" w:rsidR="00E52274" w:rsidRPr="000F346B" w:rsidRDefault="00E52274" w:rsidP="000F346B">
            <w:pPr>
              <w:pStyle w:val="Tabletext"/>
              <w:jc w:val="center"/>
            </w:pPr>
            <w:r w:rsidRPr="000F346B">
              <w:t>2022</w:t>
            </w:r>
          </w:p>
        </w:tc>
      </w:tr>
      <w:tr w:rsidR="00E52274" w:rsidRPr="004F246B" w14:paraId="48EEF2C2" w14:textId="77777777" w:rsidTr="000F346B">
        <w:trPr>
          <w:trHeight w:val="170"/>
          <w:jc w:val="center"/>
        </w:trPr>
        <w:tc>
          <w:tcPr>
            <w:tcW w:w="0" w:type="auto"/>
            <w:vAlign w:val="center"/>
            <w:hideMark/>
          </w:tcPr>
          <w:p w14:paraId="6CE85BAF" w14:textId="77777777" w:rsidR="00E52274" w:rsidRPr="008A76DA" w:rsidRDefault="00E52274" w:rsidP="000F346B">
            <w:pPr>
              <w:pStyle w:val="Tabletext"/>
              <w:jc w:val="center"/>
              <w:rPr>
                <w:rStyle w:val="Hyperlink"/>
              </w:rPr>
            </w:pPr>
            <w:hyperlink r:id="rId56" w:history="1">
              <w:r w:rsidRPr="008A76DA">
                <w:rPr>
                  <w:rStyle w:val="Hyperlink"/>
                </w:rPr>
                <w:t>Singapore</w:t>
              </w:r>
            </w:hyperlink>
          </w:p>
        </w:tc>
        <w:tc>
          <w:tcPr>
            <w:tcW w:w="0" w:type="auto"/>
            <w:vAlign w:val="center"/>
            <w:hideMark/>
          </w:tcPr>
          <w:p w14:paraId="291230F3" w14:textId="77777777" w:rsidR="00E52274" w:rsidRPr="000F346B" w:rsidRDefault="00E52274" w:rsidP="000F346B">
            <w:pPr>
              <w:pStyle w:val="Tabletext"/>
              <w:jc w:val="center"/>
            </w:pPr>
            <w:r w:rsidRPr="000F346B">
              <w:t>261M</w:t>
            </w:r>
          </w:p>
        </w:tc>
        <w:tc>
          <w:tcPr>
            <w:tcW w:w="0" w:type="auto"/>
            <w:vAlign w:val="center"/>
            <w:hideMark/>
          </w:tcPr>
          <w:p w14:paraId="39ECB52B" w14:textId="77777777" w:rsidR="00E52274" w:rsidRPr="000F346B" w:rsidRDefault="00E52274" w:rsidP="000F346B">
            <w:pPr>
              <w:pStyle w:val="Tabletext"/>
              <w:jc w:val="center"/>
            </w:pPr>
            <w:r w:rsidRPr="000F346B">
              <w:t>2022</w:t>
            </w:r>
          </w:p>
        </w:tc>
      </w:tr>
      <w:tr w:rsidR="000F346B" w:rsidRPr="004F246B" w14:paraId="38570A04" w14:textId="77777777" w:rsidTr="00A82861">
        <w:trPr>
          <w:trHeight w:val="170"/>
          <w:jc w:val="center"/>
        </w:trPr>
        <w:tc>
          <w:tcPr>
            <w:tcW w:w="0" w:type="auto"/>
            <w:gridSpan w:val="3"/>
            <w:vAlign w:val="center"/>
          </w:tcPr>
          <w:p w14:paraId="53C49A0F" w14:textId="36363C78" w:rsidR="000F346B" w:rsidRPr="000F346B" w:rsidRDefault="000F346B" w:rsidP="000F346B">
            <w:pPr>
              <w:pStyle w:val="Tabletext"/>
            </w:pPr>
            <w:r w:rsidRPr="001822D5">
              <w:t>Source</w:t>
            </w:r>
            <w:r w:rsidR="008A76DA">
              <w:t>:</w:t>
            </w:r>
            <w:r w:rsidRPr="001822D5">
              <w:t xml:space="preserve"> ITU </w:t>
            </w:r>
            <w:hyperlink r:id="rId57" w:history="1">
              <w:r w:rsidRPr="008A76DA">
                <w:rPr>
                  <w:rStyle w:val="Hyperlink"/>
                </w:rPr>
                <w:t>https://datahub.itu.int/data/?i=19255</w:t>
              </w:r>
            </w:hyperlink>
          </w:p>
        </w:tc>
      </w:tr>
    </w:tbl>
    <w:p w14:paraId="6697345B" w14:textId="67BE9C4B" w:rsidR="00E52274" w:rsidRPr="001822D5" w:rsidRDefault="00E52274" w:rsidP="001822D5">
      <w:r w:rsidRPr="004F246B">
        <w:t xml:space="preserve">This indicator measures lit or equipped capacity. It excludes unused, reserve or </w:t>
      </w:r>
      <w:r w:rsidR="003427ED">
        <w:t>'</w:t>
      </w:r>
      <w:r w:rsidRPr="004F246B">
        <w:t>design</w:t>
      </w:r>
      <w:r w:rsidR="00BC7350">
        <w:t>'</w:t>
      </w:r>
      <w:r w:rsidRPr="004F246B">
        <w:t xml:space="preserve"> capacity. Lit/equipped international bandwidth of operators owning and operating international links (self-supply) should be included</w:t>
      </w:r>
      <w:r>
        <w:t>,</w:t>
      </w:r>
      <w:r w:rsidRPr="004F246B">
        <w:t xml:space="preserve"> as well as international bandwidth capacity of leased or contracted </w:t>
      </w:r>
      <w:r w:rsidRPr="004F246B">
        <w:lastRenderedPageBreak/>
        <w:t>international links by service providers. The data is collected by the ITU and expressed in Mbit/s (i4214l). Source</w:t>
      </w:r>
      <w:r w:rsidR="003F4946">
        <w:t>:</w:t>
      </w:r>
      <w:r w:rsidRPr="004F246B">
        <w:t xml:space="preserve"> (Handbook for the collection of administrative data on telecommunications/ICT).</w:t>
      </w:r>
      <w:r w:rsidRPr="001C23F2">
        <w:rPr>
          <w:rStyle w:val="FootnoteReference"/>
        </w:rPr>
        <w:footnoteReference w:id="28"/>
      </w:r>
      <w:r w:rsidRPr="001822D5">
        <w:t xml:space="preserve"> </w:t>
      </w:r>
    </w:p>
    <w:p w14:paraId="51C0658B" w14:textId="6F9ED273" w:rsidR="00E52274" w:rsidRPr="004F246B" w:rsidRDefault="001C23F2" w:rsidP="001C23F2">
      <w:pPr>
        <w:pStyle w:val="Heading1"/>
      </w:pPr>
      <w:bookmarkStart w:id="66" w:name="_Hlk162435849"/>
      <w:bookmarkStart w:id="67" w:name="_Toc210148095"/>
      <w:bookmarkStart w:id="68" w:name="_Toc239238924"/>
      <w:bookmarkStart w:id="69" w:name="_Toc239239749"/>
      <w:bookmarkStart w:id="70" w:name="_Toc239248541"/>
      <w:r>
        <w:t>4</w:t>
      </w:r>
      <w:r>
        <w:tab/>
      </w:r>
      <w:r w:rsidR="00E52274" w:rsidRPr="001C23F2">
        <w:t>Market</w:t>
      </w:r>
      <w:r w:rsidR="00E52274" w:rsidRPr="004F246B">
        <w:t xml:space="preserve"> demand: international bandwidth usage</w:t>
      </w:r>
      <w:bookmarkEnd w:id="66"/>
      <w:bookmarkEnd w:id="67"/>
      <w:bookmarkEnd w:id="68"/>
      <w:bookmarkEnd w:id="69"/>
      <w:bookmarkEnd w:id="70"/>
      <w:r w:rsidR="00E52274" w:rsidRPr="004F246B">
        <w:t xml:space="preserve"> </w:t>
      </w:r>
    </w:p>
    <w:p w14:paraId="0C1214AF" w14:textId="167ED96B" w:rsidR="00E52274" w:rsidRPr="001822D5" w:rsidRDefault="00E52274" w:rsidP="001C23F2">
      <w:r w:rsidRPr="001822D5">
        <w:t>To capture market demand, the ITU calculates country values of international bandwidth usage (see Table 7). It</w:t>
      </w:r>
      <w:r w:rsidR="006106B4">
        <w:t xml:space="preserve"> </w:t>
      </w:r>
      <w:r w:rsidRPr="001822D5">
        <w:t>represents the average usage of all international links, including optical fibre cables, radio links and traffic processed by satellite ground stations and teleports to orbital satellites (expressed in Mbit/s). This indicator (i4214u) is expressed in Mbit/s and is discussed in the</w:t>
      </w:r>
      <w:r w:rsidR="006106B4">
        <w:t xml:space="preserve"> </w:t>
      </w:r>
      <w:hyperlink r:id="rId58" w:history="1">
        <w:r w:rsidRPr="008A76DA">
          <w:rPr>
            <w:rStyle w:val="Hyperlink"/>
          </w:rPr>
          <w:t>Handbook for the collection of administrative data on telecommunications/ICT</w:t>
        </w:r>
      </w:hyperlink>
      <w:r w:rsidRPr="001822D5">
        <w:t>. The average should be calculated over the twelve-month period of the reference year. If the traffic is asymmetric (i.e., different incoming and outgoing traffic), then the highest value out of the two values should be provided. All international links used by all types of operators, namely fixed, mobile and satellite operators should be considered. The combined average usage of all international links can be reported as the sum of the average usage of each link.</w:t>
      </w:r>
    </w:p>
    <w:p w14:paraId="5F6A4D7A" w14:textId="1C8417EC" w:rsidR="001C23F2" w:rsidRPr="004F246B" w:rsidRDefault="001C23F2" w:rsidP="001C23F2">
      <w:pPr>
        <w:pStyle w:val="TableNoTitle"/>
        <w:rPr>
          <w:kern w:val="2"/>
          <w:sz w:val="28"/>
          <w:szCs w:val="28"/>
          <w14:ligatures w14:val="standardContextual"/>
        </w:rPr>
      </w:pPr>
      <w:bookmarkStart w:id="71" w:name="_Toc210242005"/>
      <w:r w:rsidRPr="004F246B">
        <w:t xml:space="preserve">Table </w:t>
      </w:r>
      <w:r w:rsidRPr="004F246B">
        <w:rPr>
          <w:noProof/>
        </w:rPr>
        <w:t>7</w:t>
      </w:r>
      <w:r>
        <w:rPr>
          <w:noProof/>
        </w:rPr>
        <w:t xml:space="preserve"> –</w:t>
      </w:r>
      <w:r w:rsidRPr="004F246B">
        <w:t xml:space="preserve"> International bandwidth usage. International bandwidth divided </w:t>
      </w:r>
      <w:r>
        <w:br/>
      </w:r>
      <w:r w:rsidRPr="004F246B">
        <w:t>by the number of Internet users</w:t>
      </w:r>
      <w:bookmarkEnd w:id="71"/>
    </w:p>
    <w:tbl>
      <w:tblPr>
        <w:tblStyle w:val="TableGrid1"/>
        <w:tblW w:w="9639" w:type="dxa"/>
        <w:jc w:val="center"/>
        <w:tblLook w:val="04A0" w:firstRow="1" w:lastRow="0" w:firstColumn="1" w:lastColumn="0" w:noHBand="0" w:noVBand="1"/>
      </w:tblPr>
      <w:tblGrid>
        <w:gridCol w:w="6359"/>
        <w:gridCol w:w="1640"/>
        <w:gridCol w:w="1640"/>
      </w:tblGrid>
      <w:tr w:rsidR="00E52274" w:rsidRPr="004F246B" w14:paraId="636B0924" w14:textId="77777777" w:rsidTr="008A76DA">
        <w:trPr>
          <w:trHeight w:val="227"/>
          <w:jc w:val="center"/>
        </w:trPr>
        <w:tc>
          <w:tcPr>
            <w:tcW w:w="6359" w:type="dxa"/>
            <w:noWrap/>
            <w:hideMark/>
          </w:tcPr>
          <w:p w14:paraId="00141D5A" w14:textId="77777777" w:rsidR="00E52274" w:rsidRPr="004F246B" w:rsidRDefault="00E52274" w:rsidP="001C23F2">
            <w:pPr>
              <w:pStyle w:val="Tablehead"/>
              <w:rPr>
                <w:lang w:eastAsia="en-GB"/>
              </w:rPr>
            </w:pPr>
            <w:r w:rsidRPr="004F246B">
              <w:rPr>
                <w:lang w:eastAsia="en-GB"/>
              </w:rPr>
              <w:t>Region</w:t>
            </w:r>
          </w:p>
        </w:tc>
        <w:tc>
          <w:tcPr>
            <w:tcW w:w="1640" w:type="dxa"/>
            <w:noWrap/>
            <w:hideMark/>
          </w:tcPr>
          <w:p w14:paraId="1EB6C623" w14:textId="77777777" w:rsidR="00E52274" w:rsidRPr="004F246B" w:rsidRDefault="00E52274" w:rsidP="001C23F2">
            <w:pPr>
              <w:pStyle w:val="Tablehead"/>
              <w:rPr>
                <w:lang w:eastAsia="en-GB"/>
              </w:rPr>
            </w:pPr>
            <w:r w:rsidRPr="004F246B">
              <w:rPr>
                <w:lang w:eastAsia="en-GB"/>
              </w:rPr>
              <w:t>Value</w:t>
            </w:r>
          </w:p>
        </w:tc>
        <w:tc>
          <w:tcPr>
            <w:tcW w:w="1640" w:type="dxa"/>
            <w:noWrap/>
            <w:hideMark/>
          </w:tcPr>
          <w:p w14:paraId="64DBE848" w14:textId="77777777" w:rsidR="00E52274" w:rsidRPr="004F246B" w:rsidRDefault="00E52274" w:rsidP="001C23F2">
            <w:pPr>
              <w:pStyle w:val="Tablehead"/>
              <w:rPr>
                <w:lang w:eastAsia="en-GB"/>
              </w:rPr>
            </w:pPr>
            <w:r w:rsidRPr="004F246B">
              <w:rPr>
                <w:lang w:eastAsia="en-GB"/>
              </w:rPr>
              <w:t>Year</w:t>
            </w:r>
          </w:p>
        </w:tc>
      </w:tr>
      <w:tr w:rsidR="00E52274" w:rsidRPr="004F246B" w14:paraId="4959D57F" w14:textId="77777777" w:rsidTr="008A76DA">
        <w:trPr>
          <w:trHeight w:val="227"/>
          <w:jc w:val="center"/>
        </w:trPr>
        <w:tc>
          <w:tcPr>
            <w:tcW w:w="6359" w:type="dxa"/>
            <w:noWrap/>
            <w:hideMark/>
          </w:tcPr>
          <w:p w14:paraId="1C4A9501" w14:textId="77777777" w:rsidR="00E52274" w:rsidRPr="004F246B" w:rsidRDefault="00E52274" w:rsidP="001C23F2">
            <w:pPr>
              <w:pStyle w:val="Tabletext"/>
              <w:rPr>
                <w:lang w:eastAsia="en-GB"/>
              </w:rPr>
            </w:pPr>
            <w:r w:rsidRPr="004F246B">
              <w:rPr>
                <w:lang w:eastAsia="en-GB"/>
              </w:rPr>
              <w:t>Africa</w:t>
            </w:r>
          </w:p>
        </w:tc>
        <w:tc>
          <w:tcPr>
            <w:tcW w:w="1640" w:type="dxa"/>
            <w:noWrap/>
            <w:hideMark/>
          </w:tcPr>
          <w:p w14:paraId="7443028E" w14:textId="77777777" w:rsidR="00E52274" w:rsidRPr="004F246B" w:rsidRDefault="00E52274" w:rsidP="001C23F2">
            <w:pPr>
              <w:pStyle w:val="Tabletext"/>
              <w:jc w:val="center"/>
              <w:rPr>
                <w:lang w:eastAsia="en-GB"/>
              </w:rPr>
            </w:pPr>
            <w:r w:rsidRPr="004F246B">
              <w:rPr>
                <w:lang w:eastAsia="en-GB"/>
              </w:rPr>
              <w:t>84.9</w:t>
            </w:r>
          </w:p>
        </w:tc>
        <w:tc>
          <w:tcPr>
            <w:tcW w:w="1640" w:type="dxa"/>
            <w:noWrap/>
            <w:hideMark/>
          </w:tcPr>
          <w:p w14:paraId="49C5EE75"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23D95E86" w14:textId="77777777" w:rsidTr="008A76DA">
        <w:trPr>
          <w:trHeight w:val="227"/>
          <w:jc w:val="center"/>
        </w:trPr>
        <w:tc>
          <w:tcPr>
            <w:tcW w:w="6359" w:type="dxa"/>
            <w:noWrap/>
            <w:hideMark/>
          </w:tcPr>
          <w:p w14:paraId="16603E8F" w14:textId="77777777" w:rsidR="00E52274" w:rsidRPr="004F246B" w:rsidRDefault="00E52274" w:rsidP="001C23F2">
            <w:pPr>
              <w:pStyle w:val="Tabletext"/>
              <w:rPr>
                <w:lang w:eastAsia="en-GB"/>
              </w:rPr>
            </w:pPr>
            <w:r w:rsidRPr="004F246B">
              <w:rPr>
                <w:lang w:eastAsia="en-GB"/>
              </w:rPr>
              <w:t>Arab States</w:t>
            </w:r>
          </w:p>
        </w:tc>
        <w:tc>
          <w:tcPr>
            <w:tcW w:w="1640" w:type="dxa"/>
            <w:noWrap/>
            <w:hideMark/>
          </w:tcPr>
          <w:p w14:paraId="054CAA20" w14:textId="77777777" w:rsidR="00E52274" w:rsidRPr="004F246B" w:rsidRDefault="00E52274" w:rsidP="001C23F2">
            <w:pPr>
              <w:pStyle w:val="Tabletext"/>
              <w:jc w:val="center"/>
              <w:rPr>
                <w:lang w:eastAsia="en-GB"/>
              </w:rPr>
            </w:pPr>
            <w:r w:rsidRPr="004F246B">
              <w:rPr>
                <w:lang w:eastAsia="en-GB"/>
              </w:rPr>
              <w:t>168</w:t>
            </w:r>
          </w:p>
        </w:tc>
        <w:tc>
          <w:tcPr>
            <w:tcW w:w="1640" w:type="dxa"/>
            <w:noWrap/>
            <w:hideMark/>
          </w:tcPr>
          <w:p w14:paraId="69274D9D"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1EE3F774" w14:textId="77777777" w:rsidTr="008A76DA">
        <w:trPr>
          <w:trHeight w:val="227"/>
          <w:jc w:val="center"/>
        </w:trPr>
        <w:tc>
          <w:tcPr>
            <w:tcW w:w="6359" w:type="dxa"/>
            <w:noWrap/>
            <w:hideMark/>
          </w:tcPr>
          <w:p w14:paraId="650BF007" w14:textId="77777777" w:rsidR="00E52274" w:rsidRPr="004F246B" w:rsidRDefault="00E52274" w:rsidP="001C23F2">
            <w:pPr>
              <w:pStyle w:val="Tabletext"/>
              <w:rPr>
                <w:lang w:eastAsia="en-GB"/>
              </w:rPr>
            </w:pPr>
            <w:r w:rsidRPr="004F246B">
              <w:rPr>
                <w:lang w:eastAsia="en-GB"/>
              </w:rPr>
              <w:t>Asia &amp; Pacific</w:t>
            </w:r>
          </w:p>
        </w:tc>
        <w:tc>
          <w:tcPr>
            <w:tcW w:w="1640" w:type="dxa"/>
            <w:noWrap/>
            <w:hideMark/>
          </w:tcPr>
          <w:p w14:paraId="160422F9" w14:textId="77777777" w:rsidR="00E52274" w:rsidRPr="004F246B" w:rsidRDefault="00E52274" w:rsidP="001C23F2">
            <w:pPr>
              <w:pStyle w:val="Tabletext"/>
              <w:jc w:val="center"/>
              <w:rPr>
                <w:lang w:eastAsia="en-GB"/>
              </w:rPr>
            </w:pPr>
            <w:r w:rsidRPr="004F246B">
              <w:rPr>
                <w:lang w:eastAsia="en-GB"/>
              </w:rPr>
              <w:t>192</w:t>
            </w:r>
          </w:p>
        </w:tc>
        <w:tc>
          <w:tcPr>
            <w:tcW w:w="1640" w:type="dxa"/>
            <w:noWrap/>
            <w:hideMark/>
          </w:tcPr>
          <w:p w14:paraId="37BE698C"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22F0F1C4" w14:textId="77777777" w:rsidTr="008A76DA">
        <w:trPr>
          <w:trHeight w:val="227"/>
          <w:jc w:val="center"/>
        </w:trPr>
        <w:tc>
          <w:tcPr>
            <w:tcW w:w="6359" w:type="dxa"/>
            <w:noWrap/>
            <w:hideMark/>
          </w:tcPr>
          <w:p w14:paraId="2A98DD95" w14:textId="77777777" w:rsidR="00E52274" w:rsidRPr="004F246B" w:rsidRDefault="00E52274" w:rsidP="001C23F2">
            <w:pPr>
              <w:pStyle w:val="Tabletext"/>
              <w:rPr>
                <w:lang w:eastAsia="en-GB"/>
              </w:rPr>
            </w:pPr>
            <w:r w:rsidRPr="004F246B">
              <w:rPr>
                <w:lang w:eastAsia="en-GB"/>
              </w:rPr>
              <w:t>CIS</w:t>
            </w:r>
          </w:p>
        </w:tc>
        <w:tc>
          <w:tcPr>
            <w:tcW w:w="1640" w:type="dxa"/>
            <w:noWrap/>
            <w:hideMark/>
          </w:tcPr>
          <w:p w14:paraId="457958B2" w14:textId="77777777" w:rsidR="00E52274" w:rsidRPr="004F246B" w:rsidRDefault="00E52274" w:rsidP="001C23F2">
            <w:pPr>
              <w:pStyle w:val="Tabletext"/>
              <w:jc w:val="center"/>
              <w:rPr>
                <w:lang w:eastAsia="en-GB"/>
              </w:rPr>
            </w:pPr>
            <w:r w:rsidRPr="004F246B">
              <w:rPr>
                <w:lang w:eastAsia="en-GB"/>
              </w:rPr>
              <w:t>117</w:t>
            </w:r>
          </w:p>
        </w:tc>
        <w:tc>
          <w:tcPr>
            <w:tcW w:w="1640" w:type="dxa"/>
            <w:noWrap/>
            <w:hideMark/>
          </w:tcPr>
          <w:p w14:paraId="5B4C8E03"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5771E810" w14:textId="77777777" w:rsidTr="008A76DA">
        <w:trPr>
          <w:trHeight w:val="227"/>
          <w:jc w:val="center"/>
        </w:trPr>
        <w:tc>
          <w:tcPr>
            <w:tcW w:w="6359" w:type="dxa"/>
            <w:noWrap/>
            <w:hideMark/>
          </w:tcPr>
          <w:p w14:paraId="1077BC88" w14:textId="77777777" w:rsidR="00E52274" w:rsidRPr="004F246B" w:rsidRDefault="00E52274" w:rsidP="001C23F2">
            <w:pPr>
              <w:pStyle w:val="Tabletext"/>
              <w:rPr>
                <w:lang w:eastAsia="en-GB"/>
              </w:rPr>
            </w:pPr>
            <w:r w:rsidRPr="004F246B">
              <w:rPr>
                <w:lang w:eastAsia="en-GB"/>
              </w:rPr>
              <w:t>Europe</w:t>
            </w:r>
          </w:p>
        </w:tc>
        <w:tc>
          <w:tcPr>
            <w:tcW w:w="1640" w:type="dxa"/>
            <w:noWrap/>
            <w:hideMark/>
          </w:tcPr>
          <w:p w14:paraId="5C885617" w14:textId="77777777" w:rsidR="00E52274" w:rsidRPr="004F246B" w:rsidRDefault="00E52274" w:rsidP="001C23F2">
            <w:pPr>
              <w:pStyle w:val="Tabletext"/>
              <w:jc w:val="center"/>
              <w:rPr>
                <w:lang w:eastAsia="en-GB"/>
              </w:rPr>
            </w:pPr>
            <w:r w:rsidRPr="004F246B">
              <w:rPr>
                <w:lang w:eastAsia="en-GB"/>
              </w:rPr>
              <w:t>397</w:t>
            </w:r>
          </w:p>
        </w:tc>
        <w:tc>
          <w:tcPr>
            <w:tcW w:w="1640" w:type="dxa"/>
            <w:noWrap/>
            <w:hideMark/>
          </w:tcPr>
          <w:p w14:paraId="755BA265"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38E65847" w14:textId="77777777" w:rsidTr="008A76DA">
        <w:trPr>
          <w:trHeight w:val="227"/>
          <w:jc w:val="center"/>
        </w:trPr>
        <w:tc>
          <w:tcPr>
            <w:tcW w:w="6359" w:type="dxa"/>
            <w:noWrap/>
            <w:hideMark/>
          </w:tcPr>
          <w:p w14:paraId="47E092E4" w14:textId="77777777" w:rsidR="00E52274" w:rsidRPr="004F246B" w:rsidRDefault="00E52274" w:rsidP="001C23F2">
            <w:pPr>
              <w:pStyle w:val="Tabletext"/>
              <w:rPr>
                <w:lang w:eastAsia="en-GB"/>
              </w:rPr>
            </w:pPr>
            <w:r w:rsidRPr="004F246B">
              <w:rPr>
                <w:lang w:eastAsia="en-GB"/>
              </w:rPr>
              <w:t>Land Locked Developing Countries (LLDC)</w:t>
            </w:r>
          </w:p>
        </w:tc>
        <w:tc>
          <w:tcPr>
            <w:tcW w:w="1640" w:type="dxa"/>
            <w:noWrap/>
            <w:hideMark/>
          </w:tcPr>
          <w:p w14:paraId="0D700FF2" w14:textId="77777777" w:rsidR="00E52274" w:rsidRPr="004F246B" w:rsidRDefault="00E52274" w:rsidP="001C23F2">
            <w:pPr>
              <w:pStyle w:val="Tabletext"/>
              <w:jc w:val="center"/>
              <w:rPr>
                <w:lang w:eastAsia="en-GB"/>
              </w:rPr>
            </w:pPr>
            <w:r w:rsidRPr="004F246B">
              <w:rPr>
                <w:lang w:eastAsia="en-GB"/>
              </w:rPr>
              <w:t>86.5</w:t>
            </w:r>
          </w:p>
        </w:tc>
        <w:tc>
          <w:tcPr>
            <w:tcW w:w="1640" w:type="dxa"/>
            <w:noWrap/>
            <w:hideMark/>
          </w:tcPr>
          <w:p w14:paraId="1F206599"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16E72993" w14:textId="77777777" w:rsidTr="008A76DA">
        <w:trPr>
          <w:trHeight w:val="227"/>
          <w:jc w:val="center"/>
        </w:trPr>
        <w:tc>
          <w:tcPr>
            <w:tcW w:w="6359" w:type="dxa"/>
            <w:noWrap/>
            <w:hideMark/>
          </w:tcPr>
          <w:p w14:paraId="77D57062" w14:textId="77777777" w:rsidR="00E52274" w:rsidRPr="004F246B" w:rsidRDefault="00E52274" w:rsidP="001C23F2">
            <w:pPr>
              <w:pStyle w:val="Tabletext"/>
              <w:rPr>
                <w:lang w:eastAsia="en-GB"/>
              </w:rPr>
            </w:pPr>
            <w:r w:rsidRPr="004F246B">
              <w:rPr>
                <w:lang w:eastAsia="en-GB"/>
              </w:rPr>
              <w:t>Least Developed Countries (LDC)</w:t>
            </w:r>
          </w:p>
        </w:tc>
        <w:tc>
          <w:tcPr>
            <w:tcW w:w="1640" w:type="dxa"/>
            <w:noWrap/>
            <w:hideMark/>
          </w:tcPr>
          <w:p w14:paraId="52456293" w14:textId="77777777" w:rsidR="00E52274" w:rsidRPr="004F246B" w:rsidRDefault="00E52274" w:rsidP="001C23F2">
            <w:pPr>
              <w:pStyle w:val="Tabletext"/>
              <w:jc w:val="center"/>
              <w:rPr>
                <w:lang w:eastAsia="en-GB"/>
              </w:rPr>
            </w:pPr>
            <w:r w:rsidRPr="004F246B">
              <w:rPr>
                <w:lang w:eastAsia="en-GB"/>
              </w:rPr>
              <w:t>37.7</w:t>
            </w:r>
          </w:p>
        </w:tc>
        <w:tc>
          <w:tcPr>
            <w:tcW w:w="1640" w:type="dxa"/>
            <w:noWrap/>
            <w:hideMark/>
          </w:tcPr>
          <w:p w14:paraId="4AE38EB9"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4A768914" w14:textId="77777777" w:rsidTr="008A76DA">
        <w:trPr>
          <w:trHeight w:val="227"/>
          <w:jc w:val="center"/>
        </w:trPr>
        <w:tc>
          <w:tcPr>
            <w:tcW w:w="6359" w:type="dxa"/>
            <w:noWrap/>
            <w:hideMark/>
          </w:tcPr>
          <w:p w14:paraId="3D32A220" w14:textId="77777777" w:rsidR="00E52274" w:rsidRPr="004F246B" w:rsidRDefault="00E52274" w:rsidP="001C23F2">
            <w:pPr>
              <w:pStyle w:val="Tabletext"/>
              <w:rPr>
                <w:lang w:eastAsia="en-GB"/>
              </w:rPr>
            </w:pPr>
            <w:r w:rsidRPr="004F246B">
              <w:rPr>
                <w:lang w:eastAsia="en-GB"/>
              </w:rPr>
              <w:t>The Americas</w:t>
            </w:r>
          </w:p>
        </w:tc>
        <w:tc>
          <w:tcPr>
            <w:tcW w:w="1640" w:type="dxa"/>
            <w:noWrap/>
            <w:hideMark/>
          </w:tcPr>
          <w:p w14:paraId="5A828887" w14:textId="77777777" w:rsidR="00E52274" w:rsidRPr="004F246B" w:rsidRDefault="00E52274" w:rsidP="001C23F2">
            <w:pPr>
              <w:pStyle w:val="Tabletext"/>
              <w:jc w:val="center"/>
              <w:rPr>
                <w:lang w:eastAsia="en-GB"/>
              </w:rPr>
            </w:pPr>
            <w:r w:rsidRPr="004F246B">
              <w:rPr>
                <w:lang w:eastAsia="en-GB"/>
              </w:rPr>
              <w:t>261</w:t>
            </w:r>
          </w:p>
        </w:tc>
        <w:tc>
          <w:tcPr>
            <w:tcW w:w="1640" w:type="dxa"/>
            <w:noWrap/>
            <w:hideMark/>
          </w:tcPr>
          <w:p w14:paraId="5CBC9A41" w14:textId="77777777" w:rsidR="00E52274" w:rsidRPr="004F246B" w:rsidRDefault="00E52274" w:rsidP="001C23F2">
            <w:pPr>
              <w:pStyle w:val="Tabletext"/>
              <w:jc w:val="center"/>
              <w:rPr>
                <w:lang w:eastAsia="en-GB"/>
              </w:rPr>
            </w:pPr>
            <w:r w:rsidRPr="004F246B">
              <w:rPr>
                <w:lang w:eastAsia="en-GB"/>
              </w:rPr>
              <w:t>2022</w:t>
            </w:r>
          </w:p>
        </w:tc>
      </w:tr>
      <w:tr w:rsidR="00E52274" w:rsidRPr="004F246B" w14:paraId="43C3FDA2" w14:textId="77777777" w:rsidTr="008A76DA">
        <w:trPr>
          <w:trHeight w:val="227"/>
          <w:jc w:val="center"/>
        </w:trPr>
        <w:tc>
          <w:tcPr>
            <w:tcW w:w="6359" w:type="dxa"/>
            <w:noWrap/>
            <w:hideMark/>
          </w:tcPr>
          <w:p w14:paraId="40759976" w14:textId="77777777" w:rsidR="00E52274" w:rsidRPr="004F246B" w:rsidRDefault="00E52274" w:rsidP="001C23F2">
            <w:pPr>
              <w:pStyle w:val="Tabletext"/>
              <w:rPr>
                <w:lang w:eastAsia="en-GB"/>
              </w:rPr>
            </w:pPr>
            <w:r w:rsidRPr="004F246B">
              <w:rPr>
                <w:lang w:eastAsia="en-GB"/>
              </w:rPr>
              <w:t>World</w:t>
            </w:r>
          </w:p>
        </w:tc>
        <w:tc>
          <w:tcPr>
            <w:tcW w:w="1640" w:type="dxa"/>
            <w:noWrap/>
            <w:hideMark/>
          </w:tcPr>
          <w:p w14:paraId="7A8D0B7F" w14:textId="77777777" w:rsidR="00E52274" w:rsidRPr="004F246B" w:rsidRDefault="00E52274" w:rsidP="001C23F2">
            <w:pPr>
              <w:pStyle w:val="Tabletext"/>
              <w:jc w:val="center"/>
              <w:rPr>
                <w:lang w:eastAsia="en-GB"/>
              </w:rPr>
            </w:pPr>
            <w:r w:rsidRPr="004F246B">
              <w:rPr>
                <w:lang w:eastAsia="en-GB"/>
              </w:rPr>
              <w:t>233</w:t>
            </w:r>
          </w:p>
        </w:tc>
        <w:tc>
          <w:tcPr>
            <w:tcW w:w="1640" w:type="dxa"/>
            <w:noWrap/>
            <w:hideMark/>
          </w:tcPr>
          <w:p w14:paraId="0FFEF9DB" w14:textId="77777777" w:rsidR="00E52274" w:rsidRPr="004F246B" w:rsidRDefault="00E52274" w:rsidP="001C23F2">
            <w:pPr>
              <w:pStyle w:val="Tabletext"/>
              <w:jc w:val="center"/>
              <w:rPr>
                <w:lang w:eastAsia="en-GB"/>
              </w:rPr>
            </w:pPr>
            <w:r w:rsidRPr="004F246B">
              <w:rPr>
                <w:lang w:eastAsia="en-GB"/>
              </w:rPr>
              <w:t>2022</w:t>
            </w:r>
          </w:p>
        </w:tc>
      </w:tr>
      <w:tr w:rsidR="008A76DA" w:rsidRPr="004F246B" w14:paraId="33E2684F" w14:textId="77777777" w:rsidTr="0055634A">
        <w:trPr>
          <w:trHeight w:val="227"/>
          <w:jc w:val="center"/>
        </w:trPr>
        <w:tc>
          <w:tcPr>
            <w:tcW w:w="9639" w:type="dxa"/>
            <w:gridSpan w:val="3"/>
            <w:noWrap/>
          </w:tcPr>
          <w:p w14:paraId="269EC46E" w14:textId="53B0F094" w:rsidR="008A76DA" w:rsidRPr="008A76DA" w:rsidRDefault="008A76DA" w:rsidP="008A76DA">
            <w:pPr>
              <w:pStyle w:val="Tabletext"/>
            </w:pPr>
            <w:r w:rsidRPr="008A76DA">
              <w:t xml:space="preserve">Source: ITU </w:t>
            </w:r>
            <w:hyperlink r:id="rId59" w:history="1">
              <w:r w:rsidRPr="004B44CE">
                <w:rPr>
                  <w:rStyle w:val="Hyperlink"/>
                </w:rPr>
                <w:t>https://datahub.itu.int/data/?i=242&amp;u=per+Internet+user</w:t>
              </w:r>
            </w:hyperlink>
            <w:r w:rsidRPr="008A76DA">
              <w:rPr>
                <w:rStyle w:val="FootnoteReference"/>
              </w:rPr>
              <w:footnoteReference w:id="29"/>
            </w:r>
          </w:p>
        </w:tc>
      </w:tr>
    </w:tbl>
    <w:p w14:paraId="28B570C2" w14:textId="2ABCE745" w:rsidR="00E52274" w:rsidRPr="001822D5" w:rsidRDefault="00871EF8" w:rsidP="00871EF8">
      <w:pPr>
        <w:pStyle w:val="Headingb"/>
      </w:pPr>
      <w:r>
        <w:lastRenderedPageBreak/>
        <w:t>•</w:t>
      </w:r>
      <w:r>
        <w:tab/>
      </w:r>
      <w:r w:rsidR="00E52274" w:rsidRPr="004F246B">
        <w:t>Clarifications and scope</w:t>
      </w:r>
    </w:p>
    <w:p w14:paraId="53B396D8" w14:textId="319D6981" w:rsidR="00E52274" w:rsidRPr="00041437" w:rsidRDefault="00871EF8" w:rsidP="00871EF8">
      <w:pPr>
        <w:pStyle w:val="enumlev1"/>
        <w:rPr>
          <w:szCs w:val="24"/>
        </w:rPr>
      </w:pPr>
      <w:r w:rsidRPr="00041437">
        <w:rPr>
          <w:szCs w:val="24"/>
        </w:rPr>
        <w:t>1)</w:t>
      </w:r>
      <w:r w:rsidRPr="00041437">
        <w:rPr>
          <w:szCs w:val="24"/>
        </w:rPr>
        <w:tab/>
      </w:r>
      <w:r w:rsidR="00E52274" w:rsidRPr="00041437">
        <w:rPr>
          <w:szCs w:val="24"/>
        </w:rPr>
        <w:t>This indicator refers to the used capacity of international connections between countries (i.e.,</w:t>
      </w:r>
      <w:r w:rsidRPr="00041437">
        <w:rPr>
          <w:szCs w:val="24"/>
        </w:rPr>
        <w:t> </w:t>
      </w:r>
      <w:r w:rsidR="00E52274" w:rsidRPr="00041437">
        <w:rPr>
          <w:szCs w:val="24"/>
        </w:rPr>
        <w:t>actual traffic carried over international links).</w:t>
      </w:r>
    </w:p>
    <w:p w14:paraId="2BAECA8A" w14:textId="7898D63B" w:rsidR="00E52274" w:rsidRPr="00041437" w:rsidRDefault="00871EF8" w:rsidP="00871EF8">
      <w:pPr>
        <w:pStyle w:val="enumlev1"/>
        <w:rPr>
          <w:kern w:val="2"/>
          <w:szCs w:val="24"/>
          <w14:ligatures w14:val="standardContextual"/>
        </w:rPr>
      </w:pPr>
      <w:r w:rsidRPr="00041437">
        <w:rPr>
          <w:kern w:val="2"/>
          <w:szCs w:val="24"/>
          <w14:ligatures w14:val="standardContextual"/>
        </w:rPr>
        <w:t>2)</w:t>
      </w:r>
      <w:r w:rsidRPr="00041437">
        <w:rPr>
          <w:kern w:val="2"/>
          <w:szCs w:val="24"/>
          <w14:ligatures w14:val="standardContextual"/>
        </w:rPr>
        <w:tab/>
      </w:r>
      <w:r w:rsidR="00E52274" w:rsidRPr="00041437">
        <w:rPr>
          <w:kern w:val="2"/>
          <w:szCs w:val="24"/>
          <w14:ligatures w14:val="standardContextual"/>
        </w:rPr>
        <w:t>If the traffic is asymmetric (i.e., different incoming and outgoing traffic), then the highest value out of the two should be provided.</w:t>
      </w:r>
    </w:p>
    <w:p w14:paraId="6B9CE373" w14:textId="64CF228E" w:rsidR="00E52274" w:rsidRPr="00041437" w:rsidRDefault="00871EF8" w:rsidP="00871EF8">
      <w:pPr>
        <w:pStyle w:val="enumlev1"/>
        <w:rPr>
          <w:szCs w:val="24"/>
        </w:rPr>
      </w:pPr>
      <w:r w:rsidRPr="00041437">
        <w:rPr>
          <w:szCs w:val="24"/>
        </w:rPr>
        <w:t>3)</w:t>
      </w:r>
      <w:r w:rsidRPr="00041437">
        <w:rPr>
          <w:szCs w:val="24"/>
        </w:rPr>
        <w:tab/>
      </w:r>
      <w:r w:rsidR="00E52274" w:rsidRPr="00041437">
        <w:rPr>
          <w:szCs w:val="24"/>
        </w:rPr>
        <w:t>Traffic</w:t>
      </w:r>
      <w:r w:rsidR="00E52274" w:rsidRPr="00041437">
        <w:rPr>
          <w:kern w:val="2"/>
          <w:szCs w:val="24"/>
          <w14:ligatures w14:val="standardContextual"/>
        </w:rPr>
        <w:t xml:space="preserve"> carried by operators owning and operating international links (self-supply) should be considered, as </w:t>
      </w:r>
      <w:r w:rsidR="00E52274" w:rsidRPr="00041437">
        <w:rPr>
          <w:szCs w:val="24"/>
        </w:rPr>
        <w:t>well as traffic carried over leased or contracted international links by service providers.</w:t>
      </w:r>
    </w:p>
    <w:p w14:paraId="7CCEB260" w14:textId="3DF19ACC" w:rsidR="00E52274" w:rsidRPr="00041437" w:rsidRDefault="00871EF8" w:rsidP="00871EF8">
      <w:pPr>
        <w:pStyle w:val="enumlev1"/>
        <w:rPr>
          <w:kern w:val="2"/>
          <w:szCs w:val="24"/>
          <w14:ligatures w14:val="standardContextual"/>
        </w:rPr>
      </w:pPr>
      <w:r w:rsidRPr="00041437">
        <w:rPr>
          <w:kern w:val="2"/>
          <w:szCs w:val="24"/>
          <w14:ligatures w14:val="standardContextual"/>
        </w:rPr>
        <w:t>4)</w:t>
      </w:r>
      <w:r w:rsidRPr="00041437">
        <w:rPr>
          <w:kern w:val="2"/>
          <w:szCs w:val="24"/>
          <w14:ligatures w14:val="standardContextual"/>
        </w:rPr>
        <w:tab/>
      </w:r>
      <w:r w:rsidR="00E52274" w:rsidRPr="00041437">
        <w:rPr>
          <w:kern w:val="2"/>
          <w:szCs w:val="24"/>
          <w14:ligatures w14:val="standardContextual"/>
        </w:rPr>
        <w:t xml:space="preserve">In </w:t>
      </w:r>
      <w:r w:rsidR="00E52274" w:rsidRPr="00041437">
        <w:rPr>
          <w:szCs w:val="24"/>
        </w:rPr>
        <w:t>the</w:t>
      </w:r>
      <w:r w:rsidR="00E52274" w:rsidRPr="00041437">
        <w:rPr>
          <w:kern w:val="2"/>
          <w:szCs w:val="24"/>
          <w14:ligatures w14:val="standardContextual"/>
        </w:rPr>
        <w:t xml:space="preserve"> case of traffic processed by satellite uplinks to orbital satellites, broadcast/multicast and data/unicast can be considered.</w:t>
      </w:r>
    </w:p>
    <w:p w14:paraId="209E19F8" w14:textId="776E9377" w:rsidR="00E52274" w:rsidRPr="00041437" w:rsidRDefault="00871EF8" w:rsidP="00871EF8">
      <w:pPr>
        <w:pStyle w:val="enumlev1"/>
        <w:rPr>
          <w:kern w:val="2"/>
          <w:szCs w:val="24"/>
          <w14:ligatures w14:val="standardContextual"/>
        </w:rPr>
      </w:pPr>
      <w:r w:rsidRPr="00041437">
        <w:rPr>
          <w:kern w:val="2"/>
          <w:szCs w:val="24"/>
          <w14:ligatures w14:val="standardContextual"/>
        </w:rPr>
        <w:t>5)</w:t>
      </w:r>
      <w:r w:rsidRPr="00041437">
        <w:rPr>
          <w:kern w:val="2"/>
          <w:szCs w:val="24"/>
          <w14:ligatures w14:val="standardContextual"/>
        </w:rPr>
        <w:tab/>
      </w:r>
      <w:r w:rsidR="00E52274" w:rsidRPr="00041437">
        <w:rPr>
          <w:kern w:val="2"/>
          <w:szCs w:val="24"/>
          <w14:ligatures w14:val="standardContextual"/>
        </w:rPr>
        <w:t xml:space="preserve">The reported data should account for all types of traffic, including traffic associated with but </w:t>
      </w:r>
      <w:r w:rsidR="003F4946" w:rsidRPr="00041437">
        <w:rPr>
          <w:kern w:val="2"/>
          <w:szCs w:val="24"/>
          <w14:ligatures w14:val="standardContextual"/>
        </w:rPr>
        <w:t xml:space="preserve">not </w:t>
      </w:r>
      <w:r w:rsidR="00E52274" w:rsidRPr="00041437">
        <w:rPr>
          <w:kern w:val="2"/>
          <w:szCs w:val="24"/>
          <w14:ligatures w14:val="standardContextual"/>
        </w:rPr>
        <w:t>limited to:</w:t>
      </w:r>
    </w:p>
    <w:p w14:paraId="6C56F3C4" w14:textId="196CE0B6" w:rsidR="00E52274" w:rsidRPr="00870629" w:rsidRDefault="00A13637" w:rsidP="00A13637">
      <w:pPr>
        <w:pStyle w:val="enumlev2"/>
      </w:pPr>
      <w:r>
        <w:t>a</w:t>
      </w:r>
      <w:r w:rsidR="008A76DA">
        <w:t>)</w:t>
      </w:r>
      <w:r>
        <w:tab/>
      </w:r>
      <w:r w:rsidR="00E52274" w:rsidRPr="00870629">
        <w:t>All IP based services (IPLC, IPVPN, VoIP,</w:t>
      </w:r>
      <w:r w:rsidR="00041437">
        <w:t xml:space="preserve"> </w:t>
      </w:r>
      <w:r w:rsidR="00E52274" w:rsidRPr="00870629">
        <w:t>…)</w:t>
      </w:r>
      <w:r w:rsidR="00041437">
        <w:t>.</w:t>
      </w:r>
    </w:p>
    <w:p w14:paraId="5ED29AA4" w14:textId="5E8698E2" w:rsidR="00E52274" w:rsidRPr="00870629" w:rsidRDefault="00A13637" w:rsidP="00A13637">
      <w:pPr>
        <w:pStyle w:val="enumlev2"/>
      </w:pPr>
      <w:r>
        <w:t>b</w:t>
      </w:r>
      <w:r w:rsidR="008A76DA">
        <w:t>)</w:t>
      </w:r>
      <w:r>
        <w:tab/>
      </w:r>
      <w:r w:rsidR="00E52274" w:rsidRPr="00870629">
        <w:t>Clients of the service provider, subsidiaries and own usage.</w:t>
      </w:r>
    </w:p>
    <w:p w14:paraId="508369E8" w14:textId="68E825CC" w:rsidR="00E52274" w:rsidRPr="00870629" w:rsidRDefault="00A13637" w:rsidP="00A13637">
      <w:pPr>
        <w:pStyle w:val="enumlev2"/>
      </w:pPr>
      <w:r>
        <w:t>c</w:t>
      </w:r>
      <w:r w:rsidR="008A76DA">
        <w:t>)</w:t>
      </w:r>
      <w:r>
        <w:tab/>
      </w:r>
      <w:r w:rsidR="00E52274" w:rsidRPr="00870629">
        <w:t>Links to international subsidiaries</w:t>
      </w:r>
      <w:r w:rsidR="00041437">
        <w:t>.</w:t>
      </w:r>
    </w:p>
    <w:p w14:paraId="5C82CB70" w14:textId="18A1A56C" w:rsidR="00E52274" w:rsidRPr="00870629" w:rsidRDefault="00A13637" w:rsidP="00A13637">
      <w:pPr>
        <w:pStyle w:val="enumlev2"/>
      </w:pPr>
      <w:r>
        <w:t>d</w:t>
      </w:r>
      <w:r w:rsidR="008A76DA">
        <w:t>)</w:t>
      </w:r>
      <w:r>
        <w:tab/>
      </w:r>
      <w:r w:rsidR="00E52274" w:rsidRPr="00870629">
        <w:t>Providers with which the service provider established transit agreements.</w:t>
      </w:r>
    </w:p>
    <w:p w14:paraId="20C35F95" w14:textId="57E21DE4" w:rsidR="00E52274" w:rsidRPr="00870629" w:rsidRDefault="00A13637" w:rsidP="00A13637">
      <w:pPr>
        <w:pStyle w:val="enumlev2"/>
      </w:pPr>
      <w:r>
        <w:t>e</w:t>
      </w:r>
      <w:r w:rsidR="008A76DA">
        <w:t>)</w:t>
      </w:r>
      <w:r>
        <w:tab/>
      </w:r>
      <w:r w:rsidR="00E52274" w:rsidRPr="00870629">
        <w:t>Providers with which the service provider established peering agreements.</w:t>
      </w:r>
    </w:p>
    <w:p w14:paraId="02368D15" w14:textId="5E11471D" w:rsidR="00E52274" w:rsidRPr="00870629" w:rsidRDefault="00A13637" w:rsidP="00A13637">
      <w:pPr>
        <w:pStyle w:val="enumlev2"/>
      </w:pPr>
      <w:r>
        <w:t>f</w:t>
      </w:r>
      <w:r w:rsidR="008A76DA">
        <w:t>)</w:t>
      </w:r>
      <w:r>
        <w:tab/>
      </w:r>
      <w:r w:rsidR="00E52274" w:rsidRPr="00870629">
        <w:t>Content providers or OTT providers.</w:t>
      </w:r>
    </w:p>
    <w:p w14:paraId="01CF09B8" w14:textId="454BAF91" w:rsidR="00E52274" w:rsidRPr="001822D5" w:rsidRDefault="00BC7350" w:rsidP="00A13637">
      <w:pPr>
        <w:pStyle w:val="enumlev1"/>
      </w:pPr>
      <w:r w:rsidRPr="00BC7350">
        <w:rPr>
          <w:b/>
          <w:bCs/>
          <w:kern w:val="2"/>
          <w:sz w:val="22"/>
          <w:szCs w:val="22"/>
          <w14:ligatures w14:val="standardContextual"/>
        </w:rPr>
        <w:t>•</w:t>
      </w:r>
      <w:r>
        <w:rPr>
          <w:b/>
          <w:bCs/>
          <w:kern w:val="2"/>
          <w:sz w:val="22"/>
          <w:szCs w:val="22"/>
          <w14:ligatures w14:val="standardContextual"/>
        </w:rPr>
        <w:tab/>
      </w:r>
      <w:r w:rsidR="00E52274" w:rsidRPr="004F246B">
        <w:rPr>
          <w:b/>
          <w:bCs/>
          <w:kern w:val="2"/>
          <w:sz w:val="22"/>
          <w:szCs w:val="22"/>
          <w14:ligatures w14:val="standardContextual"/>
        </w:rPr>
        <w:t>Methodology</w:t>
      </w:r>
      <w:r w:rsidR="00E52274" w:rsidRPr="00041437">
        <w:rPr>
          <w:kern w:val="2"/>
          <w:sz w:val="22"/>
          <w:szCs w:val="22"/>
          <w14:ligatures w14:val="standardContextual"/>
        </w:rPr>
        <w:t>:</w:t>
      </w:r>
      <w:r w:rsidR="00E52274" w:rsidRPr="004F246B">
        <w:rPr>
          <w:b/>
          <w:bCs/>
          <w:kern w:val="2"/>
          <w:sz w:val="22"/>
          <w:szCs w:val="22"/>
          <w14:ligatures w14:val="standardContextual"/>
        </w:rPr>
        <w:t xml:space="preserve"> </w:t>
      </w:r>
      <w:r w:rsidR="00E52274" w:rsidRPr="001822D5">
        <w:t xml:space="preserve">Method of collection: Data can be collected from facilities-based carriers that provide wholesale international connectivity. An alternative method would be to collect the data from all operators in the country that contract or self-supply international bandwidth, namely fixed, mobile, and </w:t>
      </w:r>
      <w:r w:rsidR="00E52274" w:rsidRPr="00A13637">
        <w:rPr>
          <w:kern w:val="2"/>
          <w:sz w:val="22"/>
          <w:szCs w:val="22"/>
          <w14:ligatures w14:val="standardContextual"/>
        </w:rPr>
        <w:t>satellite</w:t>
      </w:r>
      <w:r w:rsidR="00E52274" w:rsidRPr="001822D5">
        <w:t xml:space="preserve"> operators. There are other entities that may have direct connections to international carriers, namely OTT and content providers. For the sake of completeness, national authorities should strive to take these operators into account. Care should be taken to avoid double counting when collecting data both from service providers and facilities-based carriers.</w:t>
      </w:r>
    </w:p>
    <w:p w14:paraId="7EB475F7" w14:textId="59F56409" w:rsidR="00E52274" w:rsidRPr="001822D5" w:rsidRDefault="00BC7350" w:rsidP="00A13637">
      <w:pPr>
        <w:pStyle w:val="enumlev1"/>
      </w:pPr>
      <w:r w:rsidRPr="00BC7350">
        <w:rPr>
          <w:b/>
          <w:bCs/>
          <w:kern w:val="2"/>
          <w:sz w:val="22"/>
          <w:szCs w:val="22"/>
          <w14:ligatures w14:val="standardContextual"/>
        </w:rPr>
        <w:t>•</w:t>
      </w:r>
      <w:r>
        <w:rPr>
          <w:b/>
          <w:bCs/>
          <w:kern w:val="2"/>
          <w:sz w:val="22"/>
          <w:szCs w:val="22"/>
          <w14:ligatures w14:val="standardContextual"/>
        </w:rPr>
        <w:tab/>
      </w:r>
      <w:r w:rsidR="00E52274" w:rsidRPr="004F246B">
        <w:rPr>
          <w:b/>
          <w:bCs/>
          <w:kern w:val="2"/>
          <w:sz w:val="22"/>
          <w:szCs w:val="22"/>
          <w14:ligatures w14:val="standardContextual"/>
        </w:rPr>
        <w:t>Relationship with other indicators</w:t>
      </w:r>
      <w:r w:rsidR="00E52274" w:rsidRPr="001822D5">
        <w:t xml:space="preserve">: This indicator (i4214u) concerns the actual average usage of the </w:t>
      </w:r>
      <w:r w:rsidR="003427ED" w:rsidRPr="001822D5">
        <w:t>'</w:t>
      </w:r>
      <w:r w:rsidR="00E52274" w:rsidRPr="001822D5">
        <w:t>lit</w:t>
      </w:r>
      <w:r w:rsidR="00A13637">
        <w:t>'</w:t>
      </w:r>
      <w:r w:rsidR="00E52274" w:rsidRPr="001822D5">
        <w:t xml:space="preserve"> bandwidth capacity measured by Indicator 3.1: Lit/equipped international bandwidth capacity, in Mbit/s (i4214l). Some traffic monitoring tools present results in terms of percentage of capacity. This data can be used to report indicator i4214u as long as the calculation method follows the guidelines presented in the methodological issues section and the reporting unit is Mbit/s.</w:t>
      </w:r>
    </w:p>
    <w:p w14:paraId="6C1E7651" w14:textId="7F2CD816" w:rsidR="00E52274" w:rsidRPr="00A13637" w:rsidRDefault="00A13637" w:rsidP="00A13637">
      <w:pPr>
        <w:pStyle w:val="enumlev1"/>
      </w:pPr>
      <w:r>
        <w:t>•</w:t>
      </w:r>
      <w:r>
        <w:tab/>
      </w:r>
      <w:r w:rsidR="00E52274" w:rsidRPr="00A13637">
        <w:t>These data points are then averaged over the reporting period (the calendar year, in this case) and converted to Mbit/s, which is the reporting unit.</w:t>
      </w:r>
    </w:p>
    <w:p w14:paraId="67ADE1DB" w14:textId="1CBD05ED" w:rsidR="00E52274" w:rsidRPr="00BC7350" w:rsidRDefault="00BC7350" w:rsidP="00BC7350">
      <w:pPr>
        <w:pStyle w:val="enumlev2"/>
      </w:pPr>
      <w:r>
        <w:t>1)</w:t>
      </w:r>
      <w:r>
        <w:tab/>
      </w:r>
      <w:r w:rsidR="00E52274" w:rsidRPr="00BC7350">
        <w:t xml:space="preserve">For data collection, processing and storage purposes, some operators produce weekly or monthly averages that will then be used to compute the 12-month average. In this specific case, the figure reported to ITU would be the sum of these yearly averages for all international links. </w:t>
      </w:r>
    </w:p>
    <w:p w14:paraId="14BE8612" w14:textId="413CEF96" w:rsidR="00E52274" w:rsidRPr="00BC7350" w:rsidRDefault="00BC7350" w:rsidP="00BC7350">
      <w:pPr>
        <w:pStyle w:val="enumlev2"/>
      </w:pPr>
      <w:r>
        <w:t>2)</w:t>
      </w:r>
      <w:r>
        <w:tab/>
      </w:r>
      <w:r w:rsidR="00E52274" w:rsidRPr="00BC7350">
        <w:t xml:space="preserve">Some network monitoring systems produce figures for the 95th percentile because some tariffing models (i.e., </w:t>
      </w:r>
      <w:r w:rsidR="0070360F" w:rsidRPr="00BC7350">
        <w:t>"</w:t>
      </w:r>
      <w:r w:rsidR="003F4946" w:rsidRPr="003F4946">
        <w:t xml:space="preserve"> 95</w:t>
      </w:r>
      <w:r w:rsidR="003F4946" w:rsidRPr="003F4946">
        <w:rPr>
          <w:vertAlign w:val="superscript"/>
        </w:rPr>
        <w:t>th</w:t>
      </w:r>
      <w:r w:rsidR="003F4946" w:rsidRPr="003F4946">
        <w:t xml:space="preserve"> percentile </w:t>
      </w:r>
      <w:r w:rsidR="00E52274" w:rsidRPr="00BC7350">
        <w:t>burstable billing model</w:t>
      </w:r>
      <w:r w:rsidR="00AF1FCB" w:rsidRPr="00BC7350">
        <w:t>"</w:t>
      </w:r>
      <w:r w:rsidR="00E52274" w:rsidRPr="00BC7350">
        <w:t>) are based on this metric. If the reported figures are based on the 95th percentile, a note should be inserted in the comment section.</w:t>
      </w:r>
    </w:p>
    <w:p w14:paraId="6C2A2F83" w14:textId="3DCD9F4E" w:rsidR="00E52274" w:rsidRPr="00BC7350" w:rsidRDefault="00BC7350" w:rsidP="00BC7350">
      <w:pPr>
        <w:pStyle w:val="enumlev2"/>
      </w:pPr>
      <w:r w:rsidRPr="00870629">
        <w:t>3)</w:t>
      </w:r>
      <w:r w:rsidRPr="00870629">
        <w:tab/>
      </w:r>
      <w:r w:rsidR="00E52274" w:rsidRPr="00BC7350">
        <w:t>In some cases, countries may not have access to network monitoring systems or equivalent data. If this is the case, contracted international bandwidth can be reported. A note should be inserted in the comments section indicating that the reported figure refers to contracted international bandwidth.</w:t>
      </w:r>
    </w:p>
    <w:p w14:paraId="296D9FAA" w14:textId="74E6D606" w:rsidR="00E52274" w:rsidRPr="004F246B" w:rsidRDefault="00E52274" w:rsidP="001822D5">
      <w:r w:rsidRPr="001822D5">
        <w:t>Data available at</w:t>
      </w:r>
      <w:r w:rsidR="006106B4">
        <w:t xml:space="preserve"> </w:t>
      </w:r>
      <w:hyperlink r:id="rId60" w:history="1">
        <w:r w:rsidRPr="008A76DA">
          <w:rPr>
            <w:rStyle w:val="Hyperlink"/>
          </w:rPr>
          <w:t>https://datahub.itu.int/data/?i=242&amp;u=per+fixed+broadband+subscriptions</w:t>
        </w:r>
      </w:hyperlink>
      <w:r w:rsidR="00AD4B70" w:rsidRPr="00BC7350">
        <w:t>.</w:t>
      </w:r>
    </w:p>
    <w:p w14:paraId="6D9305F6" w14:textId="402C1493" w:rsidR="00E52274" w:rsidRPr="004F246B" w:rsidRDefault="00E52274" w:rsidP="001822D5">
      <w:r w:rsidRPr="004F246B">
        <w:lastRenderedPageBreak/>
        <w:t xml:space="preserve">ITU Facts and </w:t>
      </w:r>
      <w:r w:rsidR="003F4946" w:rsidRPr="004F246B">
        <w:t xml:space="preserve">Figures </w:t>
      </w:r>
      <w:r w:rsidRPr="004F246B">
        <w:t>2021: States that the basic assumption o</w:t>
      </w:r>
      <w:r>
        <w:t>f</w:t>
      </w:r>
      <w:r w:rsidRPr="004F246B">
        <w:t xml:space="preserve"> the methodology for estimates of the </w:t>
      </w:r>
      <w:r w:rsidRPr="004F246B">
        <w:rPr>
          <w:b/>
          <w:bCs/>
        </w:rPr>
        <w:t>international bandwidth usage estimates</w:t>
      </w:r>
      <w:r>
        <w:t xml:space="preserve"> </w:t>
      </w:r>
      <w:r w:rsidRPr="004F246B">
        <w:t xml:space="preserve">is that international bandwidth usage is a function of demand for total bandwidth capacity in a country, which can be obtained by multiplying the number of Internet users by their average bandwidth use. Since very few countries publish monthly or quarterly statistics on international bandwidth </w:t>
      </w:r>
      <w:r w:rsidR="00975050" w:rsidRPr="004F246B">
        <w:t>usage</w:t>
      </w:r>
      <w:r w:rsidR="00975050">
        <w:t xml:space="preserve"> and</w:t>
      </w:r>
      <w:r w:rsidRPr="004F246B">
        <w:t xml:space="preserve"> given the extraordinary nature of Internet activity in 2020 and 2021 due to the COVID-19 pandemic, estimates were performed using proxy indicators.</w:t>
      </w:r>
    </w:p>
    <w:p w14:paraId="3C5899F7" w14:textId="2422544E" w:rsidR="00E52274" w:rsidRPr="001822D5" w:rsidRDefault="00E52274" w:rsidP="001822D5">
      <w:r w:rsidRPr="004F246B">
        <w:t xml:space="preserve">Comment from ITU Facts and Figures: International bandwidth usage in 2021 reached a worldwide total of 932 Tbit/s, up from 719 Tbit/s in 2020. This </w:t>
      </w:r>
      <w:r>
        <w:t>represented</w:t>
      </w:r>
      <w:r w:rsidRPr="004F246B">
        <w:t xml:space="preserve"> a 30</w:t>
      </w:r>
      <w:r>
        <w:t>%</w:t>
      </w:r>
      <w:r w:rsidRPr="004F246B">
        <w:t xml:space="preserve"> increase, follow</w:t>
      </w:r>
      <w:r>
        <w:t>ing</w:t>
      </w:r>
      <w:r w:rsidRPr="004F246B">
        <w:t xml:space="preserve"> a similar increase to that of the previous year. The highest regional total for international bandwidth us</w:t>
      </w:r>
      <w:r>
        <w:t>age</w:t>
      </w:r>
      <w:r w:rsidRPr="004F246B">
        <w:t xml:space="preserve"> </w:t>
      </w:r>
      <w:r>
        <w:t>was</w:t>
      </w:r>
      <w:r w:rsidRPr="004F246B">
        <w:t xml:space="preserve"> in the Asia-Pacific region</w:t>
      </w:r>
      <w:r>
        <w:t>,</w:t>
      </w:r>
      <w:r w:rsidRPr="004F246B">
        <w:t xml:space="preserve"> at over 400 Tbit/s, </w:t>
      </w:r>
      <w:r>
        <w:t xml:space="preserve">which was </w:t>
      </w:r>
      <w:r w:rsidRPr="004F246B">
        <w:t>twice as high as in Europe (204 Tbit/s) or the Americas (180 Tbit/s)</w:t>
      </w:r>
      <w:r>
        <w:t xml:space="preserve">. </w:t>
      </w:r>
      <w:r w:rsidRPr="004F246B">
        <w:t>On a per-user basis, Europe led, at 340 kbit/s per Internet user, followed by the Americas at 214 kbit/s and the Arab States at 174 kbit/s</w:t>
      </w:r>
      <w:r>
        <w:t xml:space="preserve">. This was </w:t>
      </w:r>
      <w:r w:rsidRPr="004F246B">
        <w:t>the first time</w:t>
      </w:r>
      <w:r>
        <w:t xml:space="preserve"> that</w:t>
      </w:r>
      <w:r w:rsidRPr="004F246B">
        <w:t xml:space="preserve"> the per-user figure in the Arab States </w:t>
      </w:r>
      <w:r>
        <w:t>was</w:t>
      </w:r>
      <w:r w:rsidRPr="004F246B">
        <w:t xml:space="preserve"> higher than </w:t>
      </w:r>
      <w:r>
        <w:t>that for</w:t>
      </w:r>
      <w:r w:rsidRPr="004F246B">
        <w:t xml:space="preserve"> the Asia-Pacific region. International bandwidth usage in the LDCs </w:t>
      </w:r>
      <w:r>
        <w:t>amounted</w:t>
      </w:r>
      <w:r w:rsidRPr="004F246B">
        <w:t xml:space="preserve"> to just 34 kbit/s per Internet user, </w:t>
      </w:r>
      <w:r>
        <w:t>in</w:t>
      </w:r>
      <w:r w:rsidRPr="004F246B">
        <w:t xml:space="preserve"> sharp contrast </w:t>
      </w:r>
      <w:r>
        <w:t>with</w:t>
      </w:r>
      <w:r w:rsidRPr="004F246B">
        <w:t xml:space="preserve"> developing and developed countries (144 kbit/s and 296 kbit/s, respectively)</w:t>
      </w:r>
      <w:r w:rsidRPr="00BC7350">
        <w:rPr>
          <w:rStyle w:val="FootnoteReference"/>
        </w:rPr>
        <w:footnoteReference w:id="30"/>
      </w:r>
      <w:r w:rsidRPr="001822D5">
        <w:t>.</w:t>
      </w:r>
    </w:p>
    <w:p w14:paraId="2E176C47" w14:textId="46C94375" w:rsidR="00E52274" w:rsidRPr="00BC7350" w:rsidRDefault="00BC7350" w:rsidP="00BC7350">
      <w:pPr>
        <w:pStyle w:val="enumlev1"/>
      </w:pPr>
      <w:bookmarkStart w:id="72" w:name="_Hlk161910935"/>
      <w:r>
        <w:t>•</w:t>
      </w:r>
      <w:r w:rsidRPr="001822D5">
        <w:rPr>
          <w:rFonts w:ascii="Symbol" w:hAnsi="Symbol"/>
        </w:rPr>
        <w:tab/>
      </w:r>
      <w:r w:rsidR="00E52274" w:rsidRPr="004F246B">
        <w:rPr>
          <w:b/>
          <w:bCs/>
          <w:kern w:val="2"/>
          <w:sz w:val="22"/>
          <w:szCs w:val="22"/>
          <w14:ligatures w14:val="standardContextual"/>
        </w:rPr>
        <w:t>Limitation of publicly available data</w:t>
      </w:r>
      <w:r w:rsidR="00E52274" w:rsidRPr="00BC7350">
        <w:rPr>
          <w:kern w:val="2"/>
          <w:sz w:val="22"/>
          <w:szCs w:val="22"/>
          <w14:ligatures w14:val="standardContextual"/>
        </w:rPr>
        <w:t>:</w:t>
      </w:r>
      <w:r w:rsidR="00E52274" w:rsidRPr="00BC7350">
        <w:t xml:space="preserve"> </w:t>
      </w:r>
      <w:r w:rsidR="00E52274" w:rsidRPr="001822D5">
        <w:t xml:space="preserve">The ending years per country are inconsistent across economies. Not user-friendly for policy elaborations and statistical analysis. </w:t>
      </w:r>
      <w:bookmarkEnd w:id="72"/>
      <w:r w:rsidR="00E52274" w:rsidRPr="004F246B">
        <w:rPr>
          <w:b/>
          <w:bCs/>
          <w:kern w:val="2"/>
          <w:sz w:val="22"/>
          <w:szCs w:val="22"/>
          <w14:ligatures w14:val="standardContextual"/>
        </w:rPr>
        <w:t xml:space="preserve">This is also included in the core list of indicators </w:t>
      </w:r>
      <w:hyperlink r:id="rId61" w:history="1">
        <w:r w:rsidR="00E52274" w:rsidRPr="008A76DA">
          <w:rPr>
            <w:rStyle w:val="Hyperlink"/>
          </w:rPr>
          <w:t>https://www.itu.int/en/ITU-D/Statistics/Documents/coreindicators/Core-List-of-Indicators_March2022.pdf</w:t>
        </w:r>
      </w:hyperlink>
      <w:r>
        <w:t>.</w:t>
      </w:r>
    </w:p>
    <w:p w14:paraId="53A1A793" w14:textId="444A574A" w:rsidR="00E52274" w:rsidRPr="004F246B" w:rsidRDefault="00BC7350" w:rsidP="00BC7350">
      <w:pPr>
        <w:pStyle w:val="Heading1"/>
      </w:pPr>
      <w:bookmarkStart w:id="73" w:name="_Toc210148096"/>
      <w:bookmarkStart w:id="74" w:name="_Toc239238925"/>
      <w:bookmarkStart w:id="75" w:name="_Toc239239750"/>
      <w:bookmarkStart w:id="76" w:name="_Toc239248542"/>
      <w:r>
        <w:t>5</w:t>
      </w:r>
      <w:r w:rsidRPr="004F246B">
        <w:tab/>
      </w:r>
      <w:r w:rsidR="00E52274" w:rsidRPr="00BC7350">
        <w:t>Market</w:t>
      </w:r>
      <w:r w:rsidR="00E52274" w:rsidRPr="004F246B">
        <w:t xml:space="preserve"> and competitive costs</w:t>
      </w:r>
      <w:bookmarkEnd w:id="73"/>
      <w:bookmarkEnd w:id="74"/>
      <w:bookmarkEnd w:id="75"/>
      <w:bookmarkEnd w:id="76"/>
      <w:r w:rsidR="00E52274" w:rsidRPr="004F246B">
        <w:t xml:space="preserve"> </w:t>
      </w:r>
    </w:p>
    <w:p w14:paraId="3F70376B" w14:textId="77777777" w:rsidR="00E52274" w:rsidRPr="004F246B" w:rsidRDefault="00E52274" w:rsidP="00BC7350">
      <w:r w:rsidRPr="004F246B">
        <w:t>This category of costs is one of the most interesting, as it is meant to reflect the possibility of economic rent due to monopoli</w:t>
      </w:r>
      <w:r>
        <w:t>z</w:t>
      </w:r>
      <w:r w:rsidRPr="004F246B">
        <w:t xml:space="preserve">ation or significant market power that creates markups on top of the underlying cost. There is a scarcity of data in this particular category. We discussed, in </w:t>
      </w:r>
      <w:r>
        <w:t>clause</w:t>
      </w:r>
      <w:r w:rsidRPr="004F246B">
        <w:t xml:space="preserve"> 3.4, how the centrality of operators within the international </w:t>
      </w:r>
      <w:r>
        <w:t>I</w:t>
      </w:r>
      <w:r w:rsidRPr="004F246B">
        <w:t>nternet connectivity networks can be assessed by collecting information on these network topologies. Below, we discuss some related ITU data on regulatory features that refer to how national regulations address the possibility of market power.</w:t>
      </w:r>
    </w:p>
    <w:p w14:paraId="4F0AEAE6" w14:textId="71CA627D" w:rsidR="00E52274" w:rsidRPr="004F246B" w:rsidRDefault="00BC7350" w:rsidP="00BC7350">
      <w:pPr>
        <w:pStyle w:val="Heading2"/>
      </w:pPr>
      <w:bookmarkStart w:id="77" w:name="_Toc239238926"/>
      <w:bookmarkStart w:id="78" w:name="_Toc239239751"/>
      <w:bookmarkStart w:id="79" w:name="_Toc239248543"/>
      <w:r>
        <w:t>5.1</w:t>
      </w:r>
      <w:r w:rsidRPr="004F246B">
        <w:tab/>
      </w:r>
      <w:r w:rsidR="00E52274" w:rsidRPr="004F246B">
        <w:t>National regulation that mandates access to international facilities</w:t>
      </w:r>
      <w:bookmarkEnd w:id="77"/>
      <w:bookmarkEnd w:id="78"/>
      <w:bookmarkEnd w:id="79"/>
    </w:p>
    <w:p w14:paraId="343ECB88" w14:textId="761E1488" w:rsidR="00E52274" w:rsidRPr="00BC7350" w:rsidRDefault="00BC7350" w:rsidP="00BC7350">
      <w:pPr>
        <w:pStyle w:val="enumlev1"/>
      </w:pPr>
      <w:r>
        <w:t>•</w:t>
      </w:r>
      <w:r w:rsidRPr="00BC7350">
        <w:tab/>
      </w:r>
      <w:r w:rsidR="00E52274" w:rsidRPr="00BC7350">
        <w:rPr>
          <w:b/>
          <w:bCs/>
          <w:kern w:val="2"/>
          <w:sz w:val="22"/>
          <w:szCs w:val="22"/>
          <w14:ligatures w14:val="standardContextual"/>
        </w:rPr>
        <w:t>Definition</w:t>
      </w:r>
      <w:r w:rsidR="00E52274" w:rsidRPr="00BC7350">
        <w:rPr>
          <w:kern w:val="2"/>
          <w:sz w:val="22"/>
          <w:szCs w:val="22"/>
          <w14:ligatures w14:val="standardContextual"/>
        </w:rPr>
        <w:t>:</w:t>
      </w:r>
      <w:r w:rsidR="00E52274" w:rsidRPr="00BC7350">
        <w:t xml:space="preserve"> National policy or regulation that mandates access to international facilities/landing points (see Tables 8 and 9). This is based on 119 countries out of 196</w:t>
      </w:r>
      <w:r>
        <w:t> </w:t>
      </w:r>
      <w:r w:rsidR="00E52274" w:rsidRPr="00BC7350">
        <w:t>countries, 2021</w:t>
      </w:r>
      <w:r w:rsidR="003F4946">
        <w:t>.</w:t>
      </w:r>
    </w:p>
    <w:p w14:paraId="6812E3EA" w14:textId="1C376BA0" w:rsidR="00E52274" w:rsidRDefault="00BC7350" w:rsidP="00DC4ED1">
      <w:pPr>
        <w:pStyle w:val="enumlev1"/>
        <w:spacing w:after="120"/>
      </w:pPr>
      <w:r>
        <w:t>•</w:t>
      </w:r>
      <w:r w:rsidRPr="00BC7350">
        <w:tab/>
      </w:r>
      <w:r w:rsidR="00E52274" w:rsidRPr="00BC7350">
        <w:rPr>
          <w:b/>
          <w:bCs/>
          <w:kern w:val="2"/>
          <w:sz w:val="22"/>
          <w:szCs w:val="22"/>
          <w14:ligatures w14:val="standardContextual"/>
        </w:rPr>
        <w:t>Data</w:t>
      </w:r>
      <w:r>
        <w:t xml:space="preserve">: </w:t>
      </w:r>
      <w:r w:rsidR="00E52274" w:rsidRPr="00BC7350">
        <w:t>Only 35.2% of the world countries have such a mandate, and based on 70 countries out of 196 countries, 2021, 31.6% of countries have an open access mandate. Finally, the question is reported by different markets. These are: international Internet backbone 13.8%, the national Internet backbone 10.7%, the domestic Internet backhaul 10.7%, and other</w:t>
      </w:r>
      <w:r>
        <w:t> </w:t>
      </w:r>
      <w:r w:rsidR="00E52274" w:rsidRPr="00BC7350">
        <w:t>2.04%.</w:t>
      </w:r>
    </w:p>
    <w:p w14:paraId="4A48A4F5" w14:textId="4E195C4F" w:rsidR="00DC4ED1" w:rsidRDefault="00DC4ED1" w:rsidP="00DC4ED1">
      <w:pPr>
        <w:pStyle w:val="TableNoTitle"/>
      </w:pPr>
      <w:r>
        <w:lastRenderedPageBreak/>
        <w:t xml:space="preserve">Table 8 </w:t>
      </w:r>
      <w:r>
        <w:sym w:font="Symbol" w:char="F02D"/>
      </w:r>
      <w:r>
        <w:t xml:space="preserve"> </w:t>
      </w:r>
      <w:r w:rsidRPr="004F246B">
        <w:t xml:space="preserve">National policy or regulation that mandates access to international </w:t>
      </w:r>
      <w:r>
        <w:br/>
      </w:r>
      <w:r w:rsidRPr="004F246B">
        <w:t>facilities/landing points</w:t>
      </w:r>
    </w:p>
    <w:tbl>
      <w:tblPr>
        <w:tblStyle w:val="TableGrid1"/>
        <w:tblW w:w="9639" w:type="dxa"/>
        <w:jc w:val="center"/>
        <w:tblLook w:val="04A0" w:firstRow="1" w:lastRow="0" w:firstColumn="1" w:lastColumn="0" w:noHBand="0" w:noVBand="1"/>
      </w:tblPr>
      <w:tblGrid>
        <w:gridCol w:w="2527"/>
        <w:gridCol w:w="2631"/>
        <w:gridCol w:w="2906"/>
        <w:gridCol w:w="1575"/>
      </w:tblGrid>
      <w:tr w:rsidR="00E52274" w:rsidRPr="004F246B" w14:paraId="3193FA5F" w14:textId="77777777" w:rsidTr="00DC4ED1">
        <w:trPr>
          <w:trHeight w:val="290"/>
          <w:jc w:val="center"/>
        </w:trPr>
        <w:tc>
          <w:tcPr>
            <w:tcW w:w="2527" w:type="dxa"/>
            <w:noWrap/>
            <w:vAlign w:val="center"/>
            <w:hideMark/>
          </w:tcPr>
          <w:p w14:paraId="218547EC" w14:textId="77777777" w:rsidR="00E52274" w:rsidRPr="004F246B" w:rsidRDefault="00E52274" w:rsidP="00DC4ED1">
            <w:pPr>
              <w:pStyle w:val="Tablehead"/>
              <w:keepLines/>
            </w:pPr>
            <w:r w:rsidRPr="004F246B">
              <w:t>Regions and groups</w:t>
            </w:r>
          </w:p>
        </w:tc>
        <w:tc>
          <w:tcPr>
            <w:tcW w:w="2631" w:type="dxa"/>
            <w:noWrap/>
            <w:vAlign w:val="center"/>
            <w:hideMark/>
          </w:tcPr>
          <w:p w14:paraId="1124FA69" w14:textId="77777777" w:rsidR="00E52274" w:rsidRPr="004F246B" w:rsidRDefault="00E52274" w:rsidP="00DC4ED1">
            <w:pPr>
              <w:pStyle w:val="Tablehead"/>
              <w:keepLines/>
            </w:pPr>
            <w:r w:rsidRPr="004F246B">
              <w:t xml:space="preserve">Open access mandate </w:t>
            </w:r>
          </w:p>
        </w:tc>
        <w:tc>
          <w:tcPr>
            <w:tcW w:w="2906" w:type="dxa"/>
            <w:noWrap/>
            <w:vAlign w:val="center"/>
            <w:hideMark/>
          </w:tcPr>
          <w:p w14:paraId="52A7412B" w14:textId="77777777" w:rsidR="00E52274" w:rsidRPr="004F246B" w:rsidRDefault="00E52274" w:rsidP="00DC4ED1">
            <w:pPr>
              <w:pStyle w:val="Tablehead"/>
              <w:keepLines/>
            </w:pPr>
            <w:r w:rsidRPr="004F246B">
              <w:t>National policy or regulation that mandates access to international facilities/landing points</w:t>
            </w:r>
          </w:p>
        </w:tc>
        <w:tc>
          <w:tcPr>
            <w:tcW w:w="1575" w:type="dxa"/>
            <w:noWrap/>
            <w:vAlign w:val="center"/>
            <w:hideMark/>
          </w:tcPr>
          <w:p w14:paraId="757C0335" w14:textId="77777777" w:rsidR="00E52274" w:rsidRPr="004F246B" w:rsidRDefault="00E52274" w:rsidP="00DC4ED1">
            <w:pPr>
              <w:pStyle w:val="Tablehead"/>
              <w:keepLines/>
            </w:pPr>
            <w:r w:rsidRPr="004F246B">
              <w:t>Year</w:t>
            </w:r>
          </w:p>
        </w:tc>
      </w:tr>
      <w:tr w:rsidR="00E52274" w:rsidRPr="004F246B" w14:paraId="49AB6A47" w14:textId="77777777" w:rsidTr="00DC4ED1">
        <w:trPr>
          <w:trHeight w:val="290"/>
          <w:jc w:val="center"/>
        </w:trPr>
        <w:tc>
          <w:tcPr>
            <w:tcW w:w="2527" w:type="dxa"/>
            <w:noWrap/>
            <w:hideMark/>
          </w:tcPr>
          <w:p w14:paraId="14F8DA91" w14:textId="77777777" w:rsidR="00E52274" w:rsidRPr="004F246B" w:rsidRDefault="00E52274" w:rsidP="00DC4ED1">
            <w:pPr>
              <w:pStyle w:val="Tabletext"/>
              <w:keepNext/>
              <w:keepLines/>
              <w:jc w:val="center"/>
            </w:pPr>
            <w:r w:rsidRPr="004F246B">
              <w:t>Africa</w:t>
            </w:r>
          </w:p>
        </w:tc>
        <w:tc>
          <w:tcPr>
            <w:tcW w:w="2631" w:type="dxa"/>
            <w:noWrap/>
            <w:hideMark/>
          </w:tcPr>
          <w:p w14:paraId="29E5AE2A" w14:textId="77777777" w:rsidR="00E52274" w:rsidRPr="004F246B" w:rsidRDefault="00E52274" w:rsidP="00DC4ED1">
            <w:pPr>
              <w:pStyle w:val="Tabletext"/>
              <w:keepNext/>
              <w:keepLines/>
              <w:jc w:val="center"/>
            </w:pPr>
            <w:r w:rsidRPr="004F246B">
              <w:t>61.40%</w:t>
            </w:r>
          </w:p>
        </w:tc>
        <w:tc>
          <w:tcPr>
            <w:tcW w:w="2906" w:type="dxa"/>
            <w:noWrap/>
            <w:hideMark/>
          </w:tcPr>
          <w:p w14:paraId="6B5751A7" w14:textId="77777777" w:rsidR="00E52274" w:rsidRPr="004F246B" w:rsidRDefault="00E52274" w:rsidP="00DC4ED1">
            <w:pPr>
              <w:pStyle w:val="Tabletext"/>
              <w:keepNext/>
              <w:keepLines/>
              <w:jc w:val="center"/>
            </w:pPr>
            <w:r w:rsidRPr="004F246B">
              <w:t>63.60%</w:t>
            </w:r>
          </w:p>
        </w:tc>
        <w:tc>
          <w:tcPr>
            <w:tcW w:w="1575" w:type="dxa"/>
            <w:noWrap/>
            <w:hideMark/>
          </w:tcPr>
          <w:p w14:paraId="0FE4700D" w14:textId="77777777" w:rsidR="00E52274" w:rsidRPr="004F246B" w:rsidRDefault="00E52274" w:rsidP="00DC4ED1">
            <w:pPr>
              <w:pStyle w:val="Tabletext"/>
              <w:keepNext/>
              <w:keepLines/>
              <w:jc w:val="center"/>
            </w:pPr>
            <w:r w:rsidRPr="004F246B">
              <w:t>2021</w:t>
            </w:r>
          </w:p>
        </w:tc>
      </w:tr>
      <w:tr w:rsidR="00E52274" w:rsidRPr="004F246B" w14:paraId="39004125" w14:textId="77777777" w:rsidTr="00DC4ED1">
        <w:trPr>
          <w:trHeight w:val="290"/>
          <w:jc w:val="center"/>
        </w:trPr>
        <w:tc>
          <w:tcPr>
            <w:tcW w:w="2527" w:type="dxa"/>
            <w:noWrap/>
            <w:hideMark/>
          </w:tcPr>
          <w:p w14:paraId="5019118A" w14:textId="77777777" w:rsidR="00E52274" w:rsidRPr="004F246B" w:rsidRDefault="00E52274" w:rsidP="00DC4ED1">
            <w:pPr>
              <w:pStyle w:val="Tabletext"/>
              <w:jc w:val="center"/>
            </w:pPr>
            <w:r w:rsidRPr="004F246B">
              <w:t>Arab States</w:t>
            </w:r>
          </w:p>
        </w:tc>
        <w:tc>
          <w:tcPr>
            <w:tcW w:w="2631" w:type="dxa"/>
            <w:noWrap/>
            <w:hideMark/>
          </w:tcPr>
          <w:p w14:paraId="6CC2BC9D" w14:textId="77777777" w:rsidR="00E52274" w:rsidRPr="004F246B" w:rsidRDefault="00E52274" w:rsidP="00DC4ED1">
            <w:pPr>
              <w:pStyle w:val="Tabletext"/>
              <w:jc w:val="center"/>
            </w:pPr>
            <w:r w:rsidRPr="004F246B">
              <w:t>31.80%</w:t>
            </w:r>
          </w:p>
        </w:tc>
        <w:tc>
          <w:tcPr>
            <w:tcW w:w="2906" w:type="dxa"/>
            <w:noWrap/>
            <w:hideMark/>
          </w:tcPr>
          <w:p w14:paraId="05CAB8F1" w14:textId="77777777" w:rsidR="00E52274" w:rsidRPr="004F246B" w:rsidRDefault="00E52274" w:rsidP="00DC4ED1">
            <w:pPr>
              <w:pStyle w:val="Tabletext"/>
              <w:jc w:val="center"/>
            </w:pPr>
            <w:r w:rsidRPr="004F246B">
              <w:t>36.40%</w:t>
            </w:r>
          </w:p>
        </w:tc>
        <w:tc>
          <w:tcPr>
            <w:tcW w:w="1575" w:type="dxa"/>
            <w:noWrap/>
            <w:hideMark/>
          </w:tcPr>
          <w:p w14:paraId="4D25AA3A" w14:textId="77777777" w:rsidR="00E52274" w:rsidRPr="004F246B" w:rsidRDefault="00E52274" w:rsidP="00DC4ED1">
            <w:pPr>
              <w:pStyle w:val="Tabletext"/>
              <w:jc w:val="center"/>
            </w:pPr>
            <w:r w:rsidRPr="004F246B">
              <w:t>2021</w:t>
            </w:r>
          </w:p>
        </w:tc>
      </w:tr>
      <w:tr w:rsidR="00E52274" w:rsidRPr="004F246B" w14:paraId="63C53C8C" w14:textId="77777777" w:rsidTr="00DC4ED1">
        <w:trPr>
          <w:trHeight w:val="290"/>
          <w:jc w:val="center"/>
        </w:trPr>
        <w:tc>
          <w:tcPr>
            <w:tcW w:w="2527" w:type="dxa"/>
            <w:noWrap/>
            <w:hideMark/>
          </w:tcPr>
          <w:p w14:paraId="59D00C9F" w14:textId="77777777" w:rsidR="00E52274" w:rsidRPr="004F246B" w:rsidRDefault="00E52274" w:rsidP="00DC4ED1">
            <w:pPr>
              <w:pStyle w:val="Tabletext"/>
              <w:jc w:val="center"/>
            </w:pPr>
            <w:r w:rsidRPr="004F246B">
              <w:t xml:space="preserve">Asia </w:t>
            </w:r>
            <w:r>
              <w:t>and</w:t>
            </w:r>
            <w:r w:rsidRPr="004F246B">
              <w:t xml:space="preserve"> Pacific</w:t>
            </w:r>
          </w:p>
        </w:tc>
        <w:tc>
          <w:tcPr>
            <w:tcW w:w="2631" w:type="dxa"/>
            <w:noWrap/>
            <w:hideMark/>
          </w:tcPr>
          <w:p w14:paraId="1D8103FC" w14:textId="77777777" w:rsidR="00E52274" w:rsidRPr="004F246B" w:rsidRDefault="00E52274" w:rsidP="00DC4ED1">
            <w:pPr>
              <w:pStyle w:val="Tabletext"/>
              <w:jc w:val="center"/>
            </w:pPr>
            <w:r w:rsidRPr="004F246B">
              <w:t>35%</w:t>
            </w:r>
          </w:p>
        </w:tc>
        <w:tc>
          <w:tcPr>
            <w:tcW w:w="2906" w:type="dxa"/>
            <w:noWrap/>
            <w:hideMark/>
          </w:tcPr>
          <w:p w14:paraId="79829450" w14:textId="77777777" w:rsidR="00E52274" w:rsidRPr="004F246B" w:rsidRDefault="00E52274" w:rsidP="00DC4ED1">
            <w:pPr>
              <w:pStyle w:val="Tabletext"/>
              <w:jc w:val="center"/>
            </w:pPr>
            <w:r w:rsidRPr="004F246B">
              <w:t>40%</w:t>
            </w:r>
          </w:p>
        </w:tc>
        <w:tc>
          <w:tcPr>
            <w:tcW w:w="1575" w:type="dxa"/>
            <w:noWrap/>
            <w:hideMark/>
          </w:tcPr>
          <w:p w14:paraId="2180C2FE" w14:textId="77777777" w:rsidR="00E52274" w:rsidRPr="004F246B" w:rsidRDefault="00E52274" w:rsidP="00DC4ED1">
            <w:pPr>
              <w:pStyle w:val="Tabletext"/>
              <w:jc w:val="center"/>
            </w:pPr>
            <w:r w:rsidRPr="004F246B">
              <w:t>2021</w:t>
            </w:r>
          </w:p>
        </w:tc>
      </w:tr>
      <w:tr w:rsidR="00E52274" w:rsidRPr="004F246B" w14:paraId="466AF140" w14:textId="77777777" w:rsidTr="00DC4ED1">
        <w:trPr>
          <w:trHeight w:val="290"/>
          <w:jc w:val="center"/>
        </w:trPr>
        <w:tc>
          <w:tcPr>
            <w:tcW w:w="2527" w:type="dxa"/>
            <w:noWrap/>
            <w:hideMark/>
          </w:tcPr>
          <w:p w14:paraId="20B0C27E" w14:textId="77777777" w:rsidR="00E52274" w:rsidRPr="004F246B" w:rsidRDefault="00E52274" w:rsidP="00DC4ED1">
            <w:pPr>
              <w:pStyle w:val="Tabletext"/>
              <w:jc w:val="center"/>
            </w:pPr>
            <w:r w:rsidRPr="004F246B">
              <w:t>CIS</w:t>
            </w:r>
          </w:p>
        </w:tc>
        <w:tc>
          <w:tcPr>
            <w:tcW w:w="2631" w:type="dxa"/>
            <w:noWrap/>
            <w:hideMark/>
          </w:tcPr>
          <w:p w14:paraId="38222A60" w14:textId="77777777" w:rsidR="00E52274" w:rsidRPr="004F246B" w:rsidRDefault="00E52274" w:rsidP="00DC4ED1">
            <w:pPr>
              <w:pStyle w:val="Tabletext"/>
              <w:jc w:val="center"/>
            </w:pPr>
            <w:r w:rsidRPr="004F246B">
              <w:t>0.00%</w:t>
            </w:r>
          </w:p>
        </w:tc>
        <w:tc>
          <w:tcPr>
            <w:tcW w:w="2906" w:type="dxa"/>
            <w:noWrap/>
            <w:hideMark/>
          </w:tcPr>
          <w:p w14:paraId="11C06D1C" w14:textId="77777777" w:rsidR="00E52274" w:rsidRPr="004F246B" w:rsidRDefault="00E52274" w:rsidP="00DC4ED1">
            <w:pPr>
              <w:pStyle w:val="Tabletext"/>
              <w:jc w:val="center"/>
            </w:pPr>
            <w:r w:rsidRPr="004F246B">
              <w:t>11.10%</w:t>
            </w:r>
          </w:p>
        </w:tc>
        <w:tc>
          <w:tcPr>
            <w:tcW w:w="1575" w:type="dxa"/>
            <w:noWrap/>
            <w:hideMark/>
          </w:tcPr>
          <w:p w14:paraId="1E26828C" w14:textId="77777777" w:rsidR="00E52274" w:rsidRPr="004F246B" w:rsidRDefault="00E52274" w:rsidP="00DC4ED1">
            <w:pPr>
              <w:pStyle w:val="Tabletext"/>
              <w:jc w:val="center"/>
            </w:pPr>
            <w:r w:rsidRPr="004F246B">
              <w:t>2021</w:t>
            </w:r>
          </w:p>
        </w:tc>
      </w:tr>
      <w:tr w:rsidR="00E52274" w:rsidRPr="004F246B" w14:paraId="78F14E7C" w14:textId="77777777" w:rsidTr="00DC4ED1">
        <w:trPr>
          <w:trHeight w:val="290"/>
          <w:jc w:val="center"/>
        </w:trPr>
        <w:tc>
          <w:tcPr>
            <w:tcW w:w="2527" w:type="dxa"/>
            <w:noWrap/>
            <w:hideMark/>
          </w:tcPr>
          <w:p w14:paraId="0FB60D87" w14:textId="77777777" w:rsidR="00E52274" w:rsidRPr="004F246B" w:rsidRDefault="00E52274" w:rsidP="00DC4ED1">
            <w:pPr>
              <w:pStyle w:val="Tabletext"/>
              <w:jc w:val="center"/>
            </w:pPr>
            <w:r w:rsidRPr="004F246B">
              <w:t>Europe</w:t>
            </w:r>
          </w:p>
        </w:tc>
        <w:tc>
          <w:tcPr>
            <w:tcW w:w="2631" w:type="dxa"/>
            <w:noWrap/>
            <w:hideMark/>
          </w:tcPr>
          <w:p w14:paraId="5631AF63" w14:textId="77777777" w:rsidR="00E52274" w:rsidRPr="004F246B" w:rsidRDefault="00E52274" w:rsidP="00DC4ED1">
            <w:pPr>
              <w:pStyle w:val="Tabletext"/>
              <w:jc w:val="center"/>
            </w:pPr>
            <w:r w:rsidRPr="004F246B">
              <w:t>13%</w:t>
            </w:r>
          </w:p>
        </w:tc>
        <w:tc>
          <w:tcPr>
            <w:tcW w:w="2906" w:type="dxa"/>
            <w:noWrap/>
            <w:hideMark/>
          </w:tcPr>
          <w:p w14:paraId="4B223D69" w14:textId="77777777" w:rsidR="00E52274" w:rsidRPr="004F246B" w:rsidRDefault="00E52274" w:rsidP="00DC4ED1">
            <w:pPr>
              <w:pStyle w:val="Tabletext"/>
              <w:jc w:val="center"/>
            </w:pPr>
            <w:r w:rsidRPr="004F246B">
              <w:t>13%</w:t>
            </w:r>
          </w:p>
        </w:tc>
        <w:tc>
          <w:tcPr>
            <w:tcW w:w="1575" w:type="dxa"/>
            <w:noWrap/>
            <w:hideMark/>
          </w:tcPr>
          <w:p w14:paraId="7B9AB3D1" w14:textId="77777777" w:rsidR="00E52274" w:rsidRPr="004F246B" w:rsidRDefault="00E52274" w:rsidP="00DC4ED1">
            <w:pPr>
              <w:pStyle w:val="Tabletext"/>
              <w:jc w:val="center"/>
            </w:pPr>
            <w:r w:rsidRPr="004F246B">
              <w:t>2021</w:t>
            </w:r>
          </w:p>
        </w:tc>
      </w:tr>
      <w:tr w:rsidR="00E52274" w:rsidRPr="004F246B" w14:paraId="68E1BF69" w14:textId="77777777" w:rsidTr="00DC4ED1">
        <w:trPr>
          <w:trHeight w:val="290"/>
          <w:jc w:val="center"/>
        </w:trPr>
        <w:tc>
          <w:tcPr>
            <w:tcW w:w="2527" w:type="dxa"/>
            <w:noWrap/>
            <w:hideMark/>
          </w:tcPr>
          <w:p w14:paraId="5C5CEB19" w14:textId="77777777" w:rsidR="00E52274" w:rsidRPr="004F246B" w:rsidRDefault="00E52274" w:rsidP="00DC4ED1">
            <w:pPr>
              <w:pStyle w:val="Tabletext"/>
              <w:jc w:val="center"/>
            </w:pPr>
            <w:r w:rsidRPr="004F246B">
              <w:t>The Americas</w:t>
            </w:r>
          </w:p>
        </w:tc>
        <w:tc>
          <w:tcPr>
            <w:tcW w:w="2631" w:type="dxa"/>
            <w:noWrap/>
            <w:hideMark/>
          </w:tcPr>
          <w:p w14:paraId="73B40841" w14:textId="77777777" w:rsidR="00E52274" w:rsidRPr="004F246B" w:rsidRDefault="00E52274" w:rsidP="00DC4ED1">
            <w:pPr>
              <w:pStyle w:val="Tabletext"/>
              <w:jc w:val="center"/>
            </w:pPr>
            <w:r w:rsidRPr="004F246B">
              <w:t>22.90%</w:t>
            </w:r>
          </w:p>
        </w:tc>
        <w:tc>
          <w:tcPr>
            <w:tcW w:w="2906" w:type="dxa"/>
            <w:noWrap/>
            <w:hideMark/>
          </w:tcPr>
          <w:p w14:paraId="5CAD8E36" w14:textId="77777777" w:rsidR="00E52274" w:rsidRPr="004F246B" w:rsidRDefault="00E52274" w:rsidP="00DC4ED1">
            <w:pPr>
              <w:pStyle w:val="Tabletext"/>
              <w:jc w:val="center"/>
            </w:pPr>
            <w:r w:rsidRPr="004F246B">
              <w:t>28.60%</w:t>
            </w:r>
          </w:p>
        </w:tc>
        <w:tc>
          <w:tcPr>
            <w:tcW w:w="1575" w:type="dxa"/>
            <w:noWrap/>
            <w:hideMark/>
          </w:tcPr>
          <w:p w14:paraId="09359D57" w14:textId="77777777" w:rsidR="00E52274" w:rsidRPr="004F246B" w:rsidRDefault="00E52274" w:rsidP="00DC4ED1">
            <w:pPr>
              <w:pStyle w:val="Tabletext"/>
              <w:jc w:val="center"/>
            </w:pPr>
            <w:r w:rsidRPr="004F246B">
              <w:t>2021</w:t>
            </w:r>
          </w:p>
        </w:tc>
      </w:tr>
      <w:tr w:rsidR="00E52274" w:rsidRPr="004F246B" w14:paraId="0F907FC7" w14:textId="77777777" w:rsidTr="00DC4ED1">
        <w:trPr>
          <w:trHeight w:val="290"/>
          <w:jc w:val="center"/>
        </w:trPr>
        <w:tc>
          <w:tcPr>
            <w:tcW w:w="2527" w:type="dxa"/>
            <w:noWrap/>
            <w:hideMark/>
          </w:tcPr>
          <w:p w14:paraId="377910D0" w14:textId="77777777" w:rsidR="00E52274" w:rsidRPr="004F246B" w:rsidRDefault="00E52274" w:rsidP="00DC4ED1">
            <w:pPr>
              <w:pStyle w:val="Tabletext"/>
              <w:jc w:val="center"/>
            </w:pPr>
            <w:r w:rsidRPr="004F246B">
              <w:t>World</w:t>
            </w:r>
          </w:p>
        </w:tc>
        <w:tc>
          <w:tcPr>
            <w:tcW w:w="2631" w:type="dxa"/>
            <w:noWrap/>
            <w:hideMark/>
          </w:tcPr>
          <w:p w14:paraId="3A86C418" w14:textId="77777777" w:rsidR="00E52274" w:rsidRPr="004F246B" w:rsidRDefault="00E52274" w:rsidP="00DC4ED1">
            <w:pPr>
              <w:pStyle w:val="Tabletext"/>
              <w:jc w:val="center"/>
            </w:pPr>
            <w:r w:rsidRPr="004F246B">
              <w:t>31.60%</w:t>
            </w:r>
          </w:p>
        </w:tc>
        <w:tc>
          <w:tcPr>
            <w:tcW w:w="2906" w:type="dxa"/>
            <w:noWrap/>
            <w:hideMark/>
          </w:tcPr>
          <w:p w14:paraId="5F1D9FF6" w14:textId="77777777" w:rsidR="00E52274" w:rsidRPr="004F246B" w:rsidRDefault="00E52274" w:rsidP="00DC4ED1">
            <w:pPr>
              <w:pStyle w:val="Tabletext"/>
              <w:jc w:val="center"/>
            </w:pPr>
            <w:r w:rsidRPr="004F246B">
              <w:t>35.20%</w:t>
            </w:r>
          </w:p>
        </w:tc>
        <w:tc>
          <w:tcPr>
            <w:tcW w:w="1575" w:type="dxa"/>
            <w:noWrap/>
            <w:hideMark/>
          </w:tcPr>
          <w:p w14:paraId="0E8E9901" w14:textId="77777777" w:rsidR="00E52274" w:rsidRPr="004F246B" w:rsidRDefault="00E52274" w:rsidP="00DC4ED1">
            <w:pPr>
              <w:pStyle w:val="Tabletext"/>
              <w:jc w:val="center"/>
            </w:pPr>
            <w:r w:rsidRPr="004F246B">
              <w:t>2021</w:t>
            </w:r>
          </w:p>
        </w:tc>
      </w:tr>
      <w:tr w:rsidR="00E52274" w:rsidRPr="004F246B" w14:paraId="2EE746A5" w14:textId="77777777" w:rsidTr="00DC4ED1">
        <w:trPr>
          <w:trHeight w:val="340"/>
          <w:jc w:val="center"/>
        </w:trPr>
        <w:tc>
          <w:tcPr>
            <w:tcW w:w="2527" w:type="dxa"/>
            <w:noWrap/>
            <w:hideMark/>
          </w:tcPr>
          <w:p w14:paraId="3582A28D" w14:textId="77777777" w:rsidR="00E52274" w:rsidRPr="004F246B" w:rsidRDefault="00E52274" w:rsidP="00DC4ED1">
            <w:pPr>
              <w:pStyle w:val="Tabletext"/>
              <w:jc w:val="center"/>
            </w:pPr>
          </w:p>
        </w:tc>
        <w:tc>
          <w:tcPr>
            <w:tcW w:w="2631" w:type="dxa"/>
            <w:hideMark/>
          </w:tcPr>
          <w:p w14:paraId="6FA2C9F8" w14:textId="77777777" w:rsidR="00E52274" w:rsidRPr="004F246B" w:rsidRDefault="00E52274" w:rsidP="00DC4ED1">
            <w:pPr>
              <w:pStyle w:val="Tabletext"/>
              <w:jc w:val="center"/>
            </w:pPr>
            <w:r w:rsidRPr="004F246B">
              <w:t>Based on 70 countries out of 196 countries</w:t>
            </w:r>
          </w:p>
        </w:tc>
        <w:tc>
          <w:tcPr>
            <w:tcW w:w="2906" w:type="dxa"/>
            <w:hideMark/>
          </w:tcPr>
          <w:p w14:paraId="532B2BA0" w14:textId="77777777" w:rsidR="00E52274" w:rsidRPr="004F246B" w:rsidRDefault="00E52274" w:rsidP="00DC4ED1">
            <w:pPr>
              <w:pStyle w:val="Tabletext"/>
              <w:jc w:val="center"/>
            </w:pPr>
            <w:r w:rsidRPr="004F246B">
              <w:t>Based on 119 countries out of 196 countries</w:t>
            </w:r>
          </w:p>
        </w:tc>
        <w:tc>
          <w:tcPr>
            <w:tcW w:w="1575" w:type="dxa"/>
            <w:noWrap/>
            <w:hideMark/>
          </w:tcPr>
          <w:p w14:paraId="3A356EC5" w14:textId="77777777" w:rsidR="00E52274" w:rsidRPr="004F246B" w:rsidRDefault="00E52274" w:rsidP="00DC4ED1">
            <w:pPr>
              <w:pStyle w:val="Tabletext"/>
              <w:jc w:val="center"/>
            </w:pPr>
          </w:p>
        </w:tc>
      </w:tr>
      <w:tr w:rsidR="00DC4ED1" w:rsidRPr="004F246B" w14:paraId="1BBB7C7E" w14:textId="77777777" w:rsidTr="007B67C0">
        <w:trPr>
          <w:trHeight w:val="340"/>
          <w:jc w:val="center"/>
        </w:trPr>
        <w:tc>
          <w:tcPr>
            <w:tcW w:w="9639" w:type="dxa"/>
            <w:gridSpan w:val="4"/>
            <w:noWrap/>
          </w:tcPr>
          <w:p w14:paraId="6FFB6E18" w14:textId="437EC893" w:rsidR="00DC4ED1" w:rsidRPr="00DC4ED1" w:rsidRDefault="00DC4ED1" w:rsidP="00DC4ED1">
            <w:pPr>
              <w:pStyle w:val="Tabletext"/>
            </w:pPr>
            <w:r w:rsidRPr="00DC4ED1">
              <w:t>Source</w:t>
            </w:r>
            <w:r w:rsidR="008A76DA">
              <w:t>:</w:t>
            </w:r>
            <w:r w:rsidRPr="00DC4ED1">
              <w:t xml:space="preserve"> ITU</w:t>
            </w:r>
            <w:r w:rsidRPr="00DC4ED1">
              <w:rPr>
                <w:color w:val="0563C1"/>
              </w:rPr>
              <w:t xml:space="preserve"> </w:t>
            </w:r>
            <w:r w:rsidRPr="008A76DA">
              <w:rPr>
                <w:rStyle w:val="Hyperlink"/>
              </w:rPr>
              <w:t>https://datahub.itu.int/data/?i=20369</w:t>
            </w:r>
          </w:p>
        </w:tc>
      </w:tr>
    </w:tbl>
    <w:p w14:paraId="043AEE29" w14:textId="3245408A" w:rsidR="00DC4ED1" w:rsidRPr="004F246B" w:rsidRDefault="00DC4ED1" w:rsidP="00DC4ED1">
      <w:pPr>
        <w:pStyle w:val="TableNoTitle"/>
      </w:pPr>
      <w:bookmarkStart w:id="80" w:name="_Toc210242007"/>
      <w:r w:rsidRPr="004F246B">
        <w:t xml:space="preserve">Table </w:t>
      </w:r>
      <w:r>
        <w:t xml:space="preserve">9 – </w:t>
      </w:r>
      <w:r w:rsidRPr="004F246B">
        <w:t xml:space="preserve">National policy or regulation that mandates access to international facilities </w:t>
      </w:r>
      <w:r>
        <w:br/>
      </w:r>
      <w:r w:rsidRPr="004F246B">
        <w:t>by market</w:t>
      </w:r>
      <w:bookmarkEnd w:id="80"/>
    </w:p>
    <w:tbl>
      <w:tblPr>
        <w:tblStyle w:val="TableGrid1"/>
        <w:tblW w:w="9639" w:type="dxa"/>
        <w:jc w:val="center"/>
        <w:tblLook w:val="04A0" w:firstRow="1" w:lastRow="0" w:firstColumn="1" w:lastColumn="0" w:noHBand="0" w:noVBand="1"/>
      </w:tblPr>
      <w:tblGrid>
        <w:gridCol w:w="4743"/>
        <w:gridCol w:w="4896"/>
      </w:tblGrid>
      <w:tr w:rsidR="00E52274" w:rsidRPr="004F246B" w14:paraId="3DDF00F9" w14:textId="77777777" w:rsidTr="008A76DA">
        <w:trPr>
          <w:trHeight w:val="20"/>
          <w:jc w:val="center"/>
        </w:trPr>
        <w:tc>
          <w:tcPr>
            <w:tcW w:w="3256" w:type="dxa"/>
          </w:tcPr>
          <w:p w14:paraId="05C824EA" w14:textId="77777777" w:rsidR="00E52274" w:rsidRPr="004F246B" w:rsidRDefault="00E52274" w:rsidP="00DC4ED1">
            <w:pPr>
              <w:pStyle w:val="Tablehead"/>
            </w:pPr>
            <w:r w:rsidRPr="004F246B">
              <w:t>Markets</w:t>
            </w:r>
          </w:p>
        </w:tc>
        <w:tc>
          <w:tcPr>
            <w:tcW w:w="3361" w:type="dxa"/>
            <w:noWrap/>
          </w:tcPr>
          <w:p w14:paraId="6A3CE9B7" w14:textId="77777777" w:rsidR="00E52274" w:rsidRPr="004F246B" w:rsidRDefault="00E52274" w:rsidP="00DC4ED1">
            <w:pPr>
              <w:pStyle w:val="Tablehead"/>
            </w:pPr>
            <w:r w:rsidRPr="004F246B">
              <w:t xml:space="preserve">Country percentage </w:t>
            </w:r>
          </w:p>
        </w:tc>
      </w:tr>
      <w:tr w:rsidR="00E52274" w:rsidRPr="004F246B" w14:paraId="391C6ECD" w14:textId="77777777" w:rsidTr="008A76DA">
        <w:trPr>
          <w:trHeight w:val="20"/>
          <w:jc w:val="center"/>
        </w:trPr>
        <w:tc>
          <w:tcPr>
            <w:tcW w:w="3256" w:type="dxa"/>
            <w:hideMark/>
          </w:tcPr>
          <w:p w14:paraId="2F353516" w14:textId="3049D2CD" w:rsidR="00E52274" w:rsidRPr="004F246B" w:rsidRDefault="00E52274" w:rsidP="00DC4ED1">
            <w:pPr>
              <w:pStyle w:val="Tabletext"/>
            </w:pPr>
            <w:r w:rsidRPr="004F246B">
              <w:t xml:space="preserve">International Internet </w:t>
            </w:r>
            <w:r w:rsidR="003F4946" w:rsidRPr="004F246B">
              <w:t xml:space="preserve">backbone </w:t>
            </w:r>
          </w:p>
        </w:tc>
        <w:tc>
          <w:tcPr>
            <w:tcW w:w="3361" w:type="dxa"/>
            <w:noWrap/>
            <w:hideMark/>
          </w:tcPr>
          <w:p w14:paraId="274264A9" w14:textId="77777777" w:rsidR="00E52274" w:rsidRPr="004F246B" w:rsidRDefault="00E52274" w:rsidP="00DC4ED1">
            <w:pPr>
              <w:pStyle w:val="Tabletext"/>
            </w:pPr>
            <w:r w:rsidRPr="004F246B">
              <w:t>13.80%</w:t>
            </w:r>
          </w:p>
        </w:tc>
      </w:tr>
      <w:tr w:rsidR="00E52274" w:rsidRPr="004F246B" w14:paraId="61D18FE4" w14:textId="77777777" w:rsidTr="008A76DA">
        <w:trPr>
          <w:trHeight w:val="20"/>
          <w:jc w:val="center"/>
        </w:trPr>
        <w:tc>
          <w:tcPr>
            <w:tcW w:w="3256" w:type="dxa"/>
            <w:hideMark/>
          </w:tcPr>
          <w:p w14:paraId="12D38C49" w14:textId="471C903F" w:rsidR="00E52274" w:rsidRPr="004F246B" w:rsidRDefault="00E52274" w:rsidP="00DC4ED1">
            <w:pPr>
              <w:pStyle w:val="Tabletext"/>
            </w:pPr>
            <w:r w:rsidRPr="004F246B">
              <w:t xml:space="preserve">National Internet </w:t>
            </w:r>
            <w:r w:rsidR="003F4946" w:rsidRPr="004F246B">
              <w:t>backbone</w:t>
            </w:r>
          </w:p>
        </w:tc>
        <w:tc>
          <w:tcPr>
            <w:tcW w:w="3361" w:type="dxa"/>
            <w:noWrap/>
            <w:hideMark/>
          </w:tcPr>
          <w:p w14:paraId="58B98FE1" w14:textId="77777777" w:rsidR="00E52274" w:rsidRPr="004F246B" w:rsidRDefault="00E52274" w:rsidP="00DC4ED1">
            <w:pPr>
              <w:pStyle w:val="Tabletext"/>
            </w:pPr>
            <w:r w:rsidRPr="004F246B">
              <w:t>10.70%</w:t>
            </w:r>
          </w:p>
        </w:tc>
      </w:tr>
      <w:tr w:rsidR="00E52274" w:rsidRPr="004F246B" w14:paraId="16D7C11D" w14:textId="77777777" w:rsidTr="008A76DA">
        <w:trPr>
          <w:trHeight w:val="20"/>
          <w:jc w:val="center"/>
        </w:trPr>
        <w:tc>
          <w:tcPr>
            <w:tcW w:w="3256" w:type="dxa"/>
            <w:hideMark/>
          </w:tcPr>
          <w:p w14:paraId="3F89FFE9" w14:textId="77777777" w:rsidR="00E52274" w:rsidRPr="004F246B" w:rsidRDefault="00E52274" w:rsidP="00DC4ED1">
            <w:pPr>
              <w:pStyle w:val="Tabletext"/>
            </w:pPr>
            <w:r w:rsidRPr="004F246B">
              <w:t>Domestic Internet backhaul</w:t>
            </w:r>
          </w:p>
        </w:tc>
        <w:tc>
          <w:tcPr>
            <w:tcW w:w="3361" w:type="dxa"/>
            <w:noWrap/>
            <w:hideMark/>
          </w:tcPr>
          <w:p w14:paraId="2C2B5E92" w14:textId="44EA5303" w:rsidR="00E52274" w:rsidRPr="004F246B" w:rsidRDefault="00E52274" w:rsidP="00DC4ED1">
            <w:pPr>
              <w:pStyle w:val="Tabletext"/>
            </w:pPr>
            <w:r w:rsidRPr="004F246B">
              <w:t>10.70</w:t>
            </w:r>
            <w:r w:rsidR="003F4946" w:rsidRPr="004F246B">
              <w:t>%</w:t>
            </w:r>
          </w:p>
        </w:tc>
      </w:tr>
      <w:tr w:rsidR="00E52274" w:rsidRPr="004F246B" w14:paraId="5F229218" w14:textId="77777777" w:rsidTr="008A76DA">
        <w:trPr>
          <w:trHeight w:val="20"/>
          <w:jc w:val="center"/>
        </w:trPr>
        <w:tc>
          <w:tcPr>
            <w:tcW w:w="3256" w:type="dxa"/>
            <w:hideMark/>
          </w:tcPr>
          <w:p w14:paraId="6E18203E" w14:textId="77777777" w:rsidR="00E52274" w:rsidRPr="004F246B" w:rsidRDefault="00E52274" w:rsidP="00DC4ED1">
            <w:pPr>
              <w:pStyle w:val="Tabletext"/>
            </w:pPr>
            <w:r w:rsidRPr="004F246B">
              <w:t>Other</w:t>
            </w:r>
          </w:p>
        </w:tc>
        <w:tc>
          <w:tcPr>
            <w:tcW w:w="3361" w:type="dxa"/>
            <w:noWrap/>
            <w:hideMark/>
          </w:tcPr>
          <w:p w14:paraId="2E99D8E5" w14:textId="77777777" w:rsidR="00E52274" w:rsidRPr="004F246B" w:rsidRDefault="00E52274" w:rsidP="00DC4ED1">
            <w:pPr>
              <w:pStyle w:val="Tabletext"/>
            </w:pPr>
            <w:r w:rsidRPr="004F246B">
              <w:t>2.04%</w:t>
            </w:r>
          </w:p>
        </w:tc>
      </w:tr>
      <w:tr w:rsidR="00DC4ED1" w:rsidRPr="004F246B" w14:paraId="3B9AF814" w14:textId="77777777" w:rsidTr="008A76DA">
        <w:trPr>
          <w:trHeight w:val="20"/>
          <w:jc w:val="center"/>
        </w:trPr>
        <w:tc>
          <w:tcPr>
            <w:tcW w:w="6617" w:type="dxa"/>
            <w:gridSpan w:val="2"/>
          </w:tcPr>
          <w:p w14:paraId="1810124E" w14:textId="1792C9BE" w:rsidR="00DC4ED1" w:rsidRPr="004F246B" w:rsidRDefault="00DC4ED1" w:rsidP="008A76DA">
            <w:pPr>
              <w:pStyle w:val="hypt"/>
            </w:pPr>
            <w:r w:rsidRPr="001822D5">
              <w:t>Source</w:t>
            </w:r>
            <w:r w:rsidR="008A76DA">
              <w:t>:</w:t>
            </w:r>
            <w:r w:rsidRPr="001822D5">
              <w:t xml:space="preserve"> ITU </w:t>
            </w:r>
            <w:hyperlink r:id="rId62" w:history="1">
              <w:r w:rsidRPr="008A76DA">
                <w:rPr>
                  <w:rStyle w:val="Hyperlink"/>
                </w:rPr>
                <w:t>https://datahub.itu.int/data/?i=20369&amp;d=Markets</w:t>
              </w:r>
            </w:hyperlink>
          </w:p>
        </w:tc>
      </w:tr>
    </w:tbl>
    <w:p w14:paraId="06357ED7" w14:textId="1703A0A9" w:rsidR="00E52274" w:rsidRPr="004F246B" w:rsidRDefault="00E52274" w:rsidP="00DC4ED1">
      <w:pPr>
        <w:pStyle w:val="Heading2"/>
      </w:pPr>
      <w:bookmarkStart w:id="81" w:name="_Toc239238927"/>
      <w:bookmarkStart w:id="82" w:name="_Toc239239752"/>
      <w:bookmarkStart w:id="83" w:name="_Toc239248544"/>
      <w:r w:rsidRPr="004F246B">
        <w:t>5.2</w:t>
      </w:r>
      <w:r w:rsidR="00DC4ED1">
        <w:tab/>
      </w:r>
      <w:r w:rsidRPr="004F246B">
        <w:t xml:space="preserve">Policies to </w:t>
      </w:r>
      <w:r>
        <w:t xml:space="preserve">reduce the </w:t>
      </w:r>
      <w:r w:rsidRPr="004F246B">
        <w:t>costs of international connectivity</w:t>
      </w:r>
      <w:bookmarkEnd w:id="81"/>
      <w:bookmarkEnd w:id="82"/>
      <w:bookmarkEnd w:id="83"/>
    </w:p>
    <w:p w14:paraId="0581D120" w14:textId="58449546" w:rsidR="00E52274" w:rsidRDefault="00E52274" w:rsidP="00DC4ED1">
      <w:r w:rsidRPr="004F246B">
        <w:t xml:space="preserve">ITU considered four different policies seen as steps used to optimize costs of international connectivity. </w:t>
      </w:r>
      <w:r>
        <w:t>In Table 10,</w:t>
      </w:r>
      <w:r w:rsidRPr="004F246B">
        <w:t xml:space="preserve"> we report the distribution of these policies among regions.</w:t>
      </w:r>
      <w:r w:rsidR="006106B4">
        <w:t xml:space="preserve"> </w:t>
      </w:r>
      <w:r w:rsidRPr="004F246B">
        <w:t xml:space="preserve">From this data we can see that the </w:t>
      </w:r>
      <w:r w:rsidR="0070360F">
        <w:t>"</w:t>
      </w:r>
      <w:r w:rsidRPr="004F246B">
        <w:t>implementation of Internet exchange point (IXP)</w:t>
      </w:r>
      <w:r w:rsidR="00AF1FCB">
        <w:t>"</w:t>
      </w:r>
      <w:r w:rsidRPr="004F246B">
        <w:t xml:space="preserve"> is a step adopted by 47.70% of the African </w:t>
      </w:r>
      <w:r w:rsidR="003F4946" w:rsidRPr="004F246B">
        <w:t>countries</w:t>
      </w:r>
      <w:r w:rsidRPr="004F246B">
        <w:t xml:space="preserve">, indicating this as a key priority towards reducing the costs of international </w:t>
      </w:r>
      <w:r w:rsidR="00A95AF8" w:rsidRPr="004F246B">
        <w:t xml:space="preserve">Internet </w:t>
      </w:r>
      <w:r w:rsidRPr="004F246B">
        <w:t>connectivity</w:t>
      </w:r>
      <w:r w:rsidR="00DC4ED1">
        <w:t>.</w:t>
      </w:r>
    </w:p>
    <w:tbl>
      <w:tblPr>
        <w:tblStyle w:val="TableGrid1"/>
        <w:tblW w:w="9639" w:type="dxa"/>
        <w:jc w:val="center"/>
        <w:tblLook w:val="04A0" w:firstRow="1" w:lastRow="0" w:firstColumn="1" w:lastColumn="0" w:noHBand="0" w:noVBand="1"/>
      </w:tblPr>
      <w:tblGrid>
        <w:gridCol w:w="2213"/>
        <w:gridCol w:w="895"/>
        <w:gridCol w:w="895"/>
        <w:gridCol w:w="1214"/>
        <w:gridCol w:w="1093"/>
        <w:gridCol w:w="887"/>
        <w:gridCol w:w="1024"/>
        <w:gridCol w:w="1418"/>
      </w:tblGrid>
      <w:tr w:rsidR="00C43A59" w:rsidRPr="004F246B" w14:paraId="1B61A46B" w14:textId="77777777" w:rsidTr="00C43A59">
        <w:trPr>
          <w:trHeight w:val="20"/>
          <w:tblHeader/>
          <w:jc w:val="center"/>
        </w:trPr>
        <w:tc>
          <w:tcPr>
            <w:tcW w:w="9639" w:type="dxa"/>
            <w:gridSpan w:val="8"/>
            <w:tcBorders>
              <w:top w:val="nil"/>
              <w:left w:val="nil"/>
              <w:right w:val="nil"/>
            </w:tcBorders>
            <w:vAlign w:val="center"/>
          </w:tcPr>
          <w:p w14:paraId="5B064A6A" w14:textId="60E34140" w:rsidR="00C43A59" w:rsidRPr="004F246B" w:rsidRDefault="00C43A59" w:rsidP="00C43A59">
            <w:pPr>
              <w:pStyle w:val="TableNoTitle"/>
              <w:rPr>
                <w:lang w:eastAsia="en-GB"/>
              </w:rPr>
            </w:pPr>
            <w:bookmarkStart w:id="84" w:name="_Toc210242008"/>
            <w:r w:rsidRPr="004F246B">
              <w:t xml:space="preserve">Table </w:t>
            </w:r>
            <w:r>
              <w:t>10 –</w:t>
            </w:r>
            <w:r w:rsidRPr="004F246B">
              <w:t xml:space="preserve"> Steps used to optimize costs of international connectivity</w:t>
            </w:r>
            <w:bookmarkEnd w:id="84"/>
          </w:p>
        </w:tc>
      </w:tr>
      <w:tr w:rsidR="00C43A59" w:rsidRPr="004F246B" w14:paraId="58A397A5" w14:textId="77777777" w:rsidTr="00C43A59">
        <w:trPr>
          <w:trHeight w:val="20"/>
          <w:tblHeader/>
          <w:jc w:val="center"/>
        </w:trPr>
        <w:tc>
          <w:tcPr>
            <w:tcW w:w="2213" w:type="dxa"/>
            <w:vAlign w:val="center"/>
            <w:hideMark/>
          </w:tcPr>
          <w:p w14:paraId="5B9D1597" w14:textId="77777777" w:rsidR="00C43A59" w:rsidRPr="004F246B" w:rsidRDefault="00C43A59" w:rsidP="00C43A59">
            <w:pPr>
              <w:pStyle w:val="Tablehead"/>
              <w:rPr>
                <w:lang w:eastAsia="en-GB"/>
              </w:rPr>
            </w:pPr>
            <w:r w:rsidRPr="004F246B">
              <w:rPr>
                <w:lang w:eastAsia="en-GB"/>
              </w:rPr>
              <w:t>Steps used to optimize costs of international connectivity</w:t>
            </w:r>
          </w:p>
        </w:tc>
        <w:tc>
          <w:tcPr>
            <w:tcW w:w="895" w:type="dxa"/>
            <w:noWrap/>
            <w:vAlign w:val="center"/>
            <w:hideMark/>
          </w:tcPr>
          <w:p w14:paraId="34521613" w14:textId="77777777" w:rsidR="00C43A59" w:rsidRPr="004F246B" w:rsidRDefault="00C43A59" w:rsidP="00C43A59">
            <w:pPr>
              <w:pStyle w:val="Tablehead"/>
              <w:rPr>
                <w:lang w:eastAsia="en-GB"/>
              </w:rPr>
            </w:pPr>
            <w:r w:rsidRPr="004F246B">
              <w:rPr>
                <w:lang w:eastAsia="en-GB"/>
              </w:rPr>
              <w:t xml:space="preserve">World </w:t>
            </w:r>
          </w:p>
        </w:tc>
        <w:tc>
          <w:tcPr>
            <w:tcW w:w="895" w:type="dxa"/>
            <w:noWrap/>
            <w:vAlign w:val="center"/>
            <w:hideMark/>
          </w:tcPr>
          <w:p w14:paraId="4C25B709" w14:textId="77777777" w:rsidR="00C43A59" w:rsidRPr="004F246B" w:rsidRDefault="00C43A59" w:rsidP="00C43A59">
            <w:pPr>
              <w:pStyle w:val="Tablehead"/>
              <w:rPr>
                <w:lang w:eastAsia="en-GB"/>
              </w:rPr>
            </w:pPr>
            <w:r w:rsidRPr="004F246B">
              <w:rPr>
                <w:lang w:eastAsia="en-GB"/>
              </w:rPr>
              <w:t>Africa</w:t>
            </w:r>
          </w:p>
        </w:tc>
        <w:tc>
          <w:tcPr>
            <w:tcW w:w="1214" w:type="dxa"/>
            <w:noWrap/>
            <w:vAlign w:val="center"/>
            <w:hideMark/>
          </w:tcPr>
          <w:p w14:paraId="5DEBAFD5" w14:textId="77777777" w:rsidR="00C43A59" w:rsidRPr="004F246B" w:rsidRDefault="00C43A59" w:rsidP="00C43A59">
            <w:pPr>
              <w:pStyle w:val="Tablehead"/>
              <w:rPr>
                <w:lang w:eastAsia="en-GB"/>
              </w:rPr>
            </w:pPr>
            <w:r w:rsidRPr="004F246B">
              <w:rPr>
                <w:lang w:eastAsia="en-GB"/>
              </w:rPr>
              <w:t>Arab States</w:t>
            </w:r>
          </w:p>
        </w:tc>
        <w:tc>
          <w:tcPr>
            <w:tcW w:w="1093" w:type="dxa"/>
            <w:noWrap/>
            <w:vAlign w:val="center"/>
            <w:hideMark/>
          </w:tcPr>
          <w:p w14:paraId="35C556DF" w14:textId="08EFDE29" w:rsidR="00C43A59" w:rsidRPr="004F246B" w:rsidRDefault="00C43A59" w:rsidP="00C43A59">
            <w:pPr>
              <w:pStyle w:val="Tablehead"/>
              <w:rPr>
                <w:lang w:eastAsia="en-GB"/>
              </w:rPr>
            </w:pPr>
            <w:r w:rsidRPr="004F246B">
              <w:rPr>
                <w:lang w:eastAsia="en-GB"/>
              </w:rPr>
              <w:t xml:space="preserve">Asia </w:t>
            </w:r>
            <w:r w:rsidR="003F4946" w:rsidRPr="003F4946">
              <w:rPr>
                <w:lang w:eastAsia="en-GB"/>
              </w:rPr>
              <w:t>&amp;</w:t>
            </w:r>
            <w:r w:rsidR="003F4946">
              <w:rPr>
                <w:lang w:eastAsia="en-GB"/>
              </w:rPr>
              <w:t xml:space="preserve"> </w:t>
            </w:r>
            <w:r w:rsidRPr="004F246B">
              <w:rPr>
                <w:lang w:eastAsia="en-GB"/>
              </w:rPr>
              <w:t>Pacific</w:t>
            </w:r>
          </w:p>
        </w:tc>
        <w:tc>
          <w:tcPr>
            <w:tcW w:w="887" w:type="dxa"/>
            <w:noWrap/>
            <w:vAlign w:val="center"/>
            <w:hideMark/>
          </w:tcPr>
          <w:p w14:paraId="6EA27057" w14:textId="77777777" w:rsidR="00C43A59" w:rsidRPr="004F246B" w:rsidRDefault="00C43A59" w:rsidP="00C43A59">
            <w:pPr>
              <w:pStyle w:val="Tablehead"/>
              <w:rPr>
                <w:lang w:eastAsia="en-GB"/>
              </w:rPr>
            </w:pPr>
            <w:r w:rsidRPr="004F246B">
              <w:rPr>
                <w:lang w:eastAsia="en-GB"/>
              </w:rPr>
              <w:t>CIS</w:t>
            </w:r>
          </w:p>
        </w:tc>
        <w:tc>
          <w:tcPr>
            <w:tcW w:w="1024" w:type="dxa"/>
            <w:noWrap/>
            <w:vAlign w:val="center"/>
            <w:hideMark/>
          </w:tcPr>
          <w:p w14:paraId="68BCB6CF" w14:textId="77777777" w:rsidR="00C43A59" w:rsidRPr="004F246B" w:rsidRDefault="00C43A59" w:rsidP="00C43A59">
            <w:pPr>
              <w:pStyle w:val="Tablehead"/>
              <w:rPr>
                <w:lang w:eastAsia="en-GB"/>
              </w:rPr>
            </w:pPr>
            <w:r w:rsidRPr="004F246B">
              <w:rPr>
                <w:lang w:eastAsia="en-GB"/>
              </w:rPr>
              <w:t>Europe</w:t>
            </w:r>
          </w:p>
        </w:tc>
        <w:tc>
          <w:tcPr>
            <w:tcW w:w="1418" w:type="dxa"/>
            <w:noWrap/>
            <w:vAlign w:val="center"/>
            <w:hideMark/>
          </w:tcPr>
          <w:p w14:paraId="2ABE111F" w14:textId="77777777" w:rsidR="00C43A59" w:rsidRPr="004F246B" w:rsidRDefault="00C43A59" w:rsidP="00C43A59">
            <w:pPr>
              <w:pStyle w:val="Tablehead"/>
              <w:rPr>
                <w:lang w:eastAsia="en-GB"/>
              </w:rPr>
            </w:pPr>
            <w:r w:rsidRPr="004F246B">
              <w:rPr>
                <w:lang w:eastAsia="en-GB"/>
              </w:rPr>
              <w:t>The Americas</w:t>
            </w:r>
          </w:p>
        </w:tc>
      </w:tr>
      <w:tr w:rsidR="00C43A59" w:rsidRPr="004F246B" w14:paraId="1340421B" w14:textId="77777777" w:rsidTr="00C43A59">
        <w:trPr>
          <w:trHeight w:val="20"/>
          <w:jc w:val="center"/>
        </w:trPr>
        <w:tc>
          <w:tcPr>
            <w:tcW w:w="2213" w:type="dxa"/>
            <w:hideMark/>
          </w:tcPr>
          <w:p w14:paraId="16FD766D" w14:textId="77777777" w:rsidR="00C43A59" w:rsidRPr="004F246B" w:rsidRDefault="00C43A59" w:rsidP="00C43A59">
            <w:pPr>
              <w:pStyle w:val="Tabletext"/>
              <w:rPr>
                <w:lang w:eastAsia="en-GB"/>
              </w:rPr>
            </w:pPr>
            <w:r w:rsidRPr="004F246B">
              <w:rPr>
                <w:lang w:eastAsia="en-GB"/>
              </w:rPr>
              <w:t>Hosting of most frequently visited web sites (e.g.</w:t>
            </w:r>
            <w:r>
              <w:rPr>
                <w:lang w:eastAsia="en-GB"/>
              </w:rPr>
              <w:t>,</w:t>
            </w:r>
            <w:r w:rsidRPr="004F246B">
              <w:rPr>
                <w:lang w:eastAsia="en-GB"/>
              </w:rPr>
              <w:t xml:space="preserve"> search engines, data canters, content delivery network (CDN), cache servers, etc.) </w:t>
            </w:r>
          </w:p>
        </w:tc>
        <w:tc>
          <w:tcPr>
            <w:tcW w:w="895" w:type="dxa"/>
            <w:noWrap/>
            <w:vAlign w:val="center"/>
            <w:hideMark/>
          </w:tcPr>
          <w:p w14:paraId="14B4F324" w14:textId="77777777" w:rsidR="00C43A59" w:rsidRPr="004F246B" w:rsidRDefault="00C43A59" w:rsidP="00C43A59">
            <w:pPr>
              <w:pStyle w:val="Tabletext"/>
              <w:jc w:val="center"/>
              <w:rPr>
                <w:lang w:eastAsia="en-GB"/>
              </w:rPr>
            </w:pPr>
            <w:r w:rsidRPr="004F246B">
              <w:rPr>
                <w:lang w:eastAsia="en-GB"/>
              </w:rPr>
              <w:t>11.70%</w:t>
            </w:r>
          </w:p>
        </w:tc>
        <w:tc>
          <w:tcPr>
            <w:tcW w:w="895" w:type="dxa"/>
            <w:noWrap/>
            <w:vAlign w:val="center"/>
            <w:hideMark/>
          </w:tcPr>
          <w:p w14:paraId="7CE060C0" w14:textId="77777777" w:rsidR="00C43A59" w:rsidRPr="004F246B" w:rsidRDefault="00C43A59" w:rsidP="00C43A59">
            <w:pPr>
              <w:pStyle w:val="Tabletext"/>
              <w:jc w:val="center"/>
              <w:rPr>
                <w:lang w:eastAsia="en-GB"/>
              </w:rPr>
            </w:pPr>
            <w:r w:rsidRPr="004F246B">
              <w:rPr>
                <w:lang w:eastAsia="en-GB"/>
              </w:rPr>
              <w:t>4.54%</w:t>
            </w:r>
          </w:p>
        </w:tc>
        <w:tc>
          <w:tcPr>
            <w:tcW w:w="1214" w:type="dxa"/>
            <w:noWrap/>
            <w:vAlign w:val="center"/>
            <w:hideMark/>
          </w:tcPr>
          <w:p w14:paraId="46EC9A30" w14:textId="77777777" w:rsidR="00C43A59" w:rsidRPr="004F246B" w:rsidRDefault="00C43A59" w:rsidP="00C43A59">
            <w:pPr>
              <w:pStyle w:val="Tabletext"/>
              <w:jc w:val="center"/>
              <w:rPr>
                <w:lang w:eastAsia="en-GB"/>
              </w:rPr>
            </w:pPr>
            <w:r w:rsidRPr="004F246B">
              <w:rPr>
                <w:lang w:eastAsia="en-GB"/>
              </w:rPr>
              <w:t>13.60%</w:t>
            </w:r>
          </w:p>
        </w:tc>
        <w:tc>
          <w:tcPr>
            <w:tcW w:w="1093" w:type="dxa"/>
            <w:noWrap/>
            <w:vAlign w:val="center"/>
            <w:hideMark/>
          </w:tcPr>
          <w:p w14:paraId="7DE407C3" w14:textId="77777777" w:rsidR="00C43A59" w:rsidRPr="004F246B" w:rsidRDefault="00C43A59" w:rsidP="00C43A59">
            <w:pPr>
              <w:pStyle w:val="Tabletext"/>
              <w:jc w:val="center"/>
              <w:rPr>
                <w:lang w:eastAsia="en-GB"/>
              </w:rPr>
            </w:pPr>
            <w:r w:rsidRPr="004F246B">
              <w:rPr>
                <w:lang w:eastAsia="en-GB"/>
              </w:rPr>
              <w:t>17.50%</w:t>
            </w:r>
          </w:p>
        </w:tc>
        <w:tc>
          <w:tcPr>
            <w:tcW w:w="887" w:type="dxa"/>
            <w:noWrap/>
            <w:vAlign w:val="center"/>
            <w:hideMark/>
          </w:tcPr>
          <w:p w14:paraId="300ACC5C" w14:textId="77777777" w:rsidR="00C43A59" w:rsidRPr="004F246B" w:rsidRDefault="00C43A59" w:rsidP="00C43A59">
            <w:pPr>
              <w:pStyle w:val="Tabletext"/>
              <w:jc w:val="center"/>
              <w:rPr>
                <w:lang w:eastAsia="en-GB"/>
              </w:rPr>
            </w:pPr>
            <w:r w:rsidRPr="004F246B">
              <w:rPr>
                <w:lang w:eastAsia="en-GB"/>
              </w:rPr>
              <w:t>11.10%</w:t>
            </w:r>
          </w:p>
        </w:tc>
        <w:tc>
          <w:tcPr>
            <w:tcW w:w="1024" w:type="dxa"/>
            <w:noWrap/>
            <w:vAlign w:val="center"/>
            <w:hideMark/>
          </w:tcPr>
          <w:p w14:paraId="294EBD77" w14:textId="77777777" w:rsidR="00C43A59" w:rsidRPr="004F246B" w:rsidRDefault="00C43A59" w:rsidP="00C43A59">
            <w:pPr>
              <w:pStyle w:val="Tabletext"/>
              <w:jc w:val="center"/>
              <w:rPr>
                <w:lang w:eastAsia="en-GB"/>
              </w:rPr>
            </w:pPr>
            <w:r w:rsidRPr="004F246B">
              <w:rPr>
                <w:lang w:eastAsia="en-GB"/>
              </w:rPr>
              <w:t>13%</w:t>
            </w:r>
          </w:p>
        </w:tc>
        <w:tc>
          <w:tcPr>
            <w:tcW w:w="1418" w:type="dxa"/>
            <w:noWrap/>
            <w:vAlign w:val="center"/>
            <w:hideMark/>
          </w:tcPr>
          <w:p w14:paraId="4CC7421D" w14:textId="77777777" w:rsidR="00C43A59" w:rsidRPr="004F246B" w:rsidRDefault="00C43A59" w:rsidP="00C43A59">
            <w:pPr>
              <w:pStyle w:val="Tabletext"/>
              <w:jc w:val="center"/>
              <w:rPr>
                <w:lang w:eastAsia="en-GB"/>
              </w:rPr>
            </w:pPr>
            <w:r w:rsidRPr="004F246B">
              <w:rPr>
                <w:lang w:eastAsia="en-GB"/>
              </w:rPr>
              <w:t>11.40%</w:t>
            </w:r>
          </w:p>
        </w:tc>
      </w:tr>
      <w:tr w:rsidR="00C43A59" w:rsidRPr="004F246B" w14:paraId="5DEAA16B" w14:textId="77777777" w:rsidTr="00C43A59">
        <w:trPr>
          <w:trHeight w:val="20"/>
          <w:jc w:val="center"/>
        </w:trPr>
        <w:tc>
          <w:tcPr>
            <w:tcW w:w="2213" w:type="dxa"/>
            <w:hideMark/>
          </w:tcPr>
          <w:p w14:paraId="2334CB0B" w14:textId="77777777" w:rsidR="00C43A59" w:rsidRPr="004F246B" w:rsidRDefault="00C43A59" w:rsidP="00C43A59">
            <w:pPr>
              <w:pStyle w:val="Tabletext"/>
              <w:rPr>
                <w:lang w:eastAsia="en-GB"/>
              </w:rPr>
            </w:pPr>
            <w:r w:rsidRPr="004F246B">
              <w:rPr>
                <w:lang w:eastAsia="en-GB"/>
              </w:rPr>
              <w:lastRenderedPageBreak/>
              <w:t xml:space="preserve">Encourage the development of local content </w:t>
            </w:r>
          </w:p>
        </w:tc>
        <w:tc>
          <w:tcPr>
            <w:tcW w:w="895" w:type="dxa"/>
            <w:noWrap/>
            <w:vAlign w:val="center"/>
            <w:hideMark/>
          </w:tcPr>
          <w:p w14:paraId="3B5E388B" w14:textId="77777777" w:rsidR="00C43A59" w:rsidRPr="004F246B" w:rsidRDefault="00C43A59" w:rsidP="00C43A59">
            <w:pPr>
              <w:pStyle w:val="Tabletext"/>
              <w:jc w:val="center"/>
              <w:rPr>
                <w:lang w:eastAsia="en-GB"/>
              </w:rPr>
            </w:pPr>
            <w:r w:rsidRPr="004F246B">
              <w:rPr>
                <w:lang w:eastAsia="en-GB"/>
              </w:rPr>
              <w:t>5.10%</w:t>
            </w:r>
          </w:p>
        </w:tc>
        <w:tc>
          <w:tcPr>
            <w:tcW w:w="895" w:type="dxa"/>
            <w:noWrap/>
            <w:vAlign w:val="center"/>
            <w:hideMark/>
          </w:tcPr>
          <w:p w14:paraId="28ABF447" w14:textId="77777777" w:rsidR="00C43A59" w:rsidRPr="004F246B" w:rsidRDefault="00C43A59" w:rsidP="00C43A59">
            <w:pPr>
              <w:pStyle w:val="Tabletext"/>
              <w:jc w:val="center"/>
              <w:rPr>
                <w:lang w:eastAsia="en-GB"/>
              </w:rPr>
            </w:pPr>
            <w:r w:rsidRPr="004F246B">
              <w:rPr>
                <w:lang w:eastAsia="en-GB"/>
              </w:rPr>
              <w:t>6.81%</w:t>
            </w:r>
          </w:p>
        </w:tc>
        <w:tc>
          <w:tcPr>
            <w:tcW w:w="1214" w:type="dxa"/>
            <w:noWrap/>
            <w:vAlign w:val="center"/>
            <w:hideMark/>
          </w:tcPr>
          <w:p w14:paraId="67C72214" w14:textId="77777777" w:rsidR="00C43A59" w:rsidRPr="004F246B" w:rsidRDefault="00C43A59" w:rsidP="00C43A59">
            <w:pPr>
              <w:pStyle w:val="Tabletext"/>
              <w:jc w:val="center"/>
              <w:rPr>
                <w:lang w:eastAsia="en-GB"/>
              </w:rPr>
            </w:pPr>
            <w:r w:rsidRPr="004F246B">
              <w:rPr>
                <w:lang w:eastAsia="en-GB"/>
              </w:rPr>
              <w:t>4.54%</w:t>
            </w:r>
          </w:p>
        </w:tc>
        <w:tc>
          <w:tcPr>
            <w:tcW w:w="1093" w:type="dxa"/>
            <w:noWrap/>
            <w:vAlign w:val="center"/>
            <w:hideMark/>
          </w:tcPr>
          <w:p w14:paraId="5D7354BF" w14:textId="77777777" w:rsidR="00C43A59" w:rsidRPr="004F246B" w:rsidRDefault="00C43A59" w:rsidP="00C43A59">
            <w:pPr>
              <w:pStyle w:val="Tabletext"/>
              <w:jc w:val="center"/>
              <w:rPr>
                <w:lang w:eastAsia="en-GB"/>
              </w:rPr>
            </w:pPr>
            <w:r w:rsidRPr="004F246B">
              <w:rPr>
                <w:lang w:eastAsia="en-GB"/>
              </w:rPr>
              <w:t>5.00%</w:t>
            </w:r>
          </w:p>
        </w:tc>
        <w:tc>
          <w:tcPr>
            <w:tcW w:w="887" w:type="dxa"/>
            <w:noWrap/>
            <w:vAlign w:val="center"/>
            <w:hideMark/>
          </w:tcPr>
          <w:p w14:paraId="2C870A6A" w14:textId="77777777" w:rsidR="00C43A59" w:rsidRPr="004F246B" w:rsidRDefault="00C43A59" w:rsidP="00C43A59">
            <w:pPr>
              <w:pStyle w:val="Tabletext"/>
              <w:jc w:val="center"/>
              <w:rPr>
                <w:lang w:eastAsia="en-GB"/>
              </w:rPr>
            </w:pPr>
            <w:r w:rsidRPr="004F246B">
              <w:rPr>
                <w:lang w:eastAsia="en-GB"/>
              </w:rPr>
              <w:t>0%</w:t>
            </w:r>
          </w:p>
        </w:tc>
        <w:tc>
          <w:tcPr>
            <w:tcW w:w="1024" w:type="dxa"/>
            <w:noWrap/>
            <w:vAlign w:val="center"/>
            <w:hideMark/>
          </w:tcPr>
          <w:p w14:paraId="53A754FB" w14:textId="77777777" w:rsidR="00C43A59" w:rsidRPr="004F246B" w:rsidRDefault="00C43A59" w:rsidP="00C43A59">
            <w:pPr>
              <w:pStyle w:val="Tabletext"/>
              <w:jc w:val="center"/>
              <w:rPr>
                <w:lang w:eastAsia="en-GB"/>
              </w:rPr>
            </w:pPr>
            <w:r w:rsidRPr="004F246B">
              <w:rPr>
                <w:lang w:eastAsia="en-GB"/>
              </w:rPr>
              <w:t>4.34%</w:t>
            </w:r>
          </w:p>
        </w:tc>
        <w:tc>
          <w:tcPr>
            <w:tcW w:w="1418" w:type="dxa"/>
            <w:noWrap/>
            <w:vAlign w:val="center"/>
            <w:hideMark/>
          </w:tcPr>
          <w:p w14:paraId="5573FE2B" w14:textId="77777777" w:rsidR="00C43A59" w:rsidRPr="004F246B" w:rsidRDefault="00C43A59" w:rsidP="00C43A59">
            <w:pPr>
              <w:pStyle w:val="Tabletext"/>
              <w:jc w:val="center"/>
              <w:rPr>
                <w:lang w:eastAsia="en-GB"/>
              </w:rPr>
            </w:pPr>
            <w:r w:rsidRPr="004F246B">
              <w:rPr>
                <w:lang w:eastAsia="en-GB"/>
              </w:rPr>
              <w:t>5.71%</w:t>
            </w:r>
          </w:p>
        </w:tc>
      </w:tr>
      <w:tr w:rsidR="00C43A59" w:rsidRPr="004F246B" w14:paraId="447B6C6D" w14:textId="77777777" w:rsidTr="00C43A59">
        <w:trPr>
          <w:trHeight w:val="20"/>
          <w:jc w:val="center"/>
        </w:trPr>
        <w:tc>
          <w:tcPr>
            <w:tcW w:w="2213" w:type="dxa"/>
            <w:hideMark/>
          </w:tcPr>
          <w:p w14:paraId="0D3F71FF" w14:textId="77777777" w:rsidR="00C43A59" w:rsidRPr="004F246B" w:rsidRDefault="00C43A59" w:rsidP="00C43A59">
            <w:pPr>
              <w:pStyle w:val="Tabletext"/>
              <w:rPr>
                <w:lang w:eastAsia="en-GB"/>
              </w:rPr>
            </w:pPr>
            <w:r w:rsidRPr="004F246B">
              <w:rPr>
                <w:lang w:eastAsia="en-GB"/>
              </w:rPr>
              <w:t xml:space="preserve">Implementation of Internet exchange point (IXP) </w:t>
            </w:r>
          </w:p>
        </w:tc>
        <w:tc>
          <w:tcPr>
            <w:tcW w:w="895" w:type="dxa"/>
            <w:noWrap/>
            <w:vAlign w:val="center"/>
            <w:hideMark/>
          </w:tcPr>
          <w:p w14:paraId="5604FB3C" w14:textId="77777777" w:rsidR="00C43A59" w:rsidRPr="004F246B" w:rsidRDefault="00C43A59" w:rsidP="00C43A59">
            <w:pPr>
              <w:pStyle w:val="Tabletext"/>
              <w:jc w:val="center"/>
              <w:rPr>
                <w:lang w:eastAsia="en-GB"/>
              </w:rPr>
            </w:pPr>
            <w:r w:rsidRPr="004F246B">
              <w:rPr>
                <w:lang w:eastAsia="en-GB"/>
              </w:rPr>
              <w:t>23%</w:t>
            </w:r>
          </w:p>
        </w:tc>
        <w:tc>
          <w:tcPr>
            <w:tcW w:w="895" w:type="dxa"/>
            <w:noWrap/>
            <w:vAlign w:val="center"/>
            <w:hideMark/>
          </w:tcPr>
          <w:p w14:paraId="1826FE19" w14:textId="77777777" w:rsidR="00C43A59" w:rsidRPr="004F246B" w:rsidRDefault="00C43A59" w:rsidP="00C43A59">
            <w:pPr>
              <w:pStyle w:val="Tabletext"/>
              <w:jc w:val="center"/>
              <w:rPr>
                <w:lang w:eastAsia="en-GB"/>
              </w:rPr>
            </w:pPr>
            <w:r w:rsidRPr="004F246B">
              <w:rPr>
                <w:lang w:eastAsia="en-GB"/>
              </w:rPr>
              <w:t>47.70%</w:t>
            </w:r>
          </w:p>
        </w:tc>
        <w:tc>
          <w:tcPr>
            <w:tcW w:w="1214" w:type="dxa"/>
            <w:noWrap/>
            <w:vAlign w:val="center"/>
            <w:hideMark/>
          </w:tcPr>
          <w:p w14:paraId="2AEEBBA2" w14:textId="77777777" w:rsidR="00C43A59" w:rsidRPr="004F246B" w:rsidRDefault="00C43A59" w:rsidP="00C43A59">
            <w:pPr>
              <w:pStyle w:val="Tabletext"/>
              <w:jc w:val="center"/>
              <w:rPr>
                <w:lang w:eastAsia="en-GB"/>
              </w:rPr>
            </w:pPr>
            <w:r w:rsidRPr="004F246B">
              <w:rPr>
                <w:lang w:eastAsia="en-GB"/>
              </w:rPr>
              <w:t>18.20%</w:t>
            </w:r>
          </w:p>
        </w:tc>
        <w:tc>
          <w:tcPr>
            <w:tcW w:w="1093" w:type="dxa"/>
            <w:noWrap/>
            <w:vAlign w:val="center"/>
            <w:hideMark/>
          </w:tcPr>
          <w:p w14:paraId="23A0F252" w14:textId="77777777" w:rsidR="00C43A59" w:rsidRPr="004F246B" w:rsidRDefault="00C43A59" w:rsidP="00C43A59">
            <w:pPr>
              <w:pStyle w:val="Tabletext"/>
              <w:jc w:val="center"/>
              <w:rPr>
                <w:lang w:eastAsia="en-GB"/>
              </w:rPr>
            </w:pPr>
            <w:r w:rsidRPr="004F246B">
              <w:rPr>
                <w:lang w:eastAsia="en-GB"/>
              </w:rPr>
              <w:t>12.50%</w:t>
            </w:r>
          </w:p>
        </w:tc>
        <w:tc>
          <w:tcPr>
            <w:tcW w:w="887" w:type="dxa"/>
            <w:noWrap/>
            <w:vAlign w:val="center"/>
            <w:hideMark/>
          </w:tcPr>
          <w:p w14:paraId="707CFDAA" w14:textId="77777777" w:rsidR="00C43A59" w:rsidRPr="004F246B" w:rsidRDefault="00C43A59" w:rsidP="00C43A59">
            <w:pPr>
              <w:pStyle w:val="Tabletext"/>
              <w:jc w:val="center"/>
              <w:rPr>
                <w:lang w:eastAsia="en-GB"/>
              </w:rPr>
            </w:pPr>
            <w:r w:rsidRPr="004F246B">
              <w:rPr>
                <w:lang w:eastAsia="en-GB"/>
              </w:rPr>
              <w:t>11.10%</w:t>
            </w:r>
          </w:p>
        </w:tc>
        <w:tc>
          <w:tcPr>
            <w:tcW w:w="1024" w:type="dxa"/>
            <w:noWrap/>
            <w:vAlign w:val="center"/>
            <w:hideMark/>
          </w:tcPr>
          <w:p w14:paraId="061C66B6" w14:textId="77777777" w:rsidR="00C43A59" w:rsidRPr="004F246B" w:rsidRDefault="00C43A59" w:rsidP="00C43A59">
            <w:pPr>
              <w:pStyle w:val="Tabletext"/>
              <w:jc w:val="center"/>
              <w:rPr>
                <w:lang w:eastAsia="en-GB"/>
              </w:rPr>
            </w:pPr>
            <w:r w:rsidRPr="004F246B">
              <w:rPr>
                <w:lang w:eastAsia="en-GB"/>
              </w:rPr>
              <w:t>15.20%</w:t>
            </w:r>
          </w:p>
        </w:tc>
        <w:tc>
          <w:tcPr>
            <w:tcW w:w="1418" w:type="dxa"/>
            <w:vAlign w:val="center"/>
            <w:hideMark/>
          </w:tcPr>
          <w:p w14:paraId="0A9D02A7" w14:textId="77777777" w:rsidR="00C43A59" w:rsidRPr="004F246B" w:rsidRDefault="00C43A59" w:rsidP="00C43A59">
            <w:pPr>
              <w:pStyle w:val="Tabletext"/>
              <w:jc w:val="center"/>
              <w:rPr>
                <w:lang w:eastAsia="en-GB"/>
              </w:rPr>
            </w:pPr>
            <w:r w:rsidRPr="004F246B">
              <w:rPr>
                <w:lang w:eastAsia="en-GB"/>
              </w:rPr>
              <w:t>20%</w:t>
            </w:r>
          </w:p>
        </w:tc>
      </w:tr>
      <w:tr w:rsidR="00C43A59" w:rsidRPr="004F246B" w14:paraId="54469DA5" w14:textId="77777777" w:rsidTr="00C43A59">
        <w:trPr>
          <w:trHeight w:val="20"/>
          <w:jc w:val="center"/>
        </w:trPr>
        <w:tc>
          <w:tcPr>
            <w:tcW w:w="2213" w:type="dxa"/>
            <w:hideMark/>
          </w:tcPr>
          <w:p w14:paraId="4DFB6E6F" w14:textId="77777777" w:rsidR="00C43A59" w:rsidRPr="004F246B" w:rsidRDefault="00C43A59" w:rsidP="00C43A59">
            <w:pPr>
              <w:pStyle w:val="Tabletext"/>
              <w:rPr>
                <w:lang w:eastAsia="en-GB"/>
              </w:rPr>
            </w:pPr>
            <w:r w:rsidRPr="004F246B">
              <w:rPr>
                <w:lang w:eastAsia="en-GB"/>
              </w:rPr>
              <w:t xml:space="preserve">Other </w:t>
            </w:r>
          </w:p>
        </w:tc>
        <w:tc>
          <w:tcPr>
            <w:tcW w:w="895" w:type="dxa"/>
            <w:noWrap/>
            <w:vAlign w:val="center"/>
            <w:hideMark/>
          </w:tcPr>
          <w:p w14:paraId="41C87430" w14:textId="77777777" w:rsidR="00C43A59" w:rsidRPr="004F246B" w:rsidRDefault="00C43A59" w:rsidP="00C43A59">
            <w:pPr>
              <w:pStyle w:val="Tabletext"/>
              <w:jc w:val="center"/>
              <w:rPr>
                <w:lang w:eastAsia="en-GB"/>
              </w:rPr>
            </w:pPr>
            <w:r w:rsidRPr="004F246B">
              <w:rPr>
                <w:lang w:eastAsia="en-GB"/>
              </w:rPr>
              <w:t>12.80%</w:t>
            </w:r>
          </w:p>
        </w:tc>
        <w:tc>
          <w:tcPr>
            <w:tcW w:w="895" w:type="dxa"/>
            <w:noWrap/>
            <w:vAlign w:val="center"/>
            <w:hideMark/>
          </w:tcPr>
          <w:p w14:paraId="421E2370" w14:textId="77777777" w:rsidR="00C43A59" w:rsidRPr="004F246B" w:rsidRDefault="00C43A59" w:rsidP="00C43A59">
            <w:pPr>
              <w:pStyle w:val="Tabletext"/>
              <w:jc w:val="center"/>
              <w:rPr>
                <w:lang w:eastAsia="en-GB"/>
              </w:rPr>
            </w:pPr>
            <w:r w:rsidRPr="004F246B">
              <w:rPr>
                <w:lang w:eastAsia="en-GB"/>
              </w:rPr>
              <w:t>11.40%</w:t>
            </w:r>
          </w:p>
        </w:tc>
        <w:tc>
          <w:tcPr>
            <w:tcW w:w="1214" w:type="dxa"/>
            <w:noWrap/>
            <w:vAlign w:val="center"/>
            <w:hideMark/>
          </w:tcPr>
          <w:p w14:paraId="19425CE7" w14:textId="77777777" w:rsidR="00C43A59" w:rsidRPr="004F246B" w:rsidRDefault="00C43A59" w:rsidP="00C43A59">
            <w:pPr>
              <w:pStyle w:val="Tabletext"/>
              <w:jc w:val="center"/>
              <w:rPr>
                <w:lang w:eastAsia="en-GB"/>
              </w:rPr>
            </w:pPr>
            <w:r w:rsidRPr="004F246B">
              <w:rPr>
                <w:lang w:eastAsia="en-GB"/>
              </w:rPr>
              <w:t>18.20%</w:t>
            </w:r>
          </w:p>
        </w:tc>
        <w:tc>
          <w:tcPr>
            <w:tcW w:w="1093" w:type="dxa"/>
            <w:noWrap/>
            <w:vAlign w:val="center"/>
            <w:hideMark/>
          </w:tcPr>
          <w:p w14:paraId="21F2BBE6" w14:textId="77777777" w:rsidR="00C43A59" w:rsidRPr="004F246B" w:rsidRDefault="00C43A59" w:rsidP="00C43A59">
            <w:pPr>
              <w:pStyle w:val="Tabletext"/>
              <w:jc w:val="center"/>
              <w:rPr>
                <w:lang w:eastAsia="en-GB"/>
              </w:rPr>
            </w:pPr>
            <w:r w:rsidRPr="004F246B">
              <w:rPr>
                <w:lang w:eastAsia="en-GB"/>
              </w:rPr>
              <w:t>10%</w:t>
            </w:r>
          </w:p>
        </w:tc>
        <w:tc>
          <w:tcPr>
            <w:tcW w:w="887" w:type="dxa"/>
            <w:noWrap/>
            <w:vAlign w:val="center"/>
            <w:hideMark/>
          </w:tcPr>
          <w:p w14:paraId="781F1FF2" w14:textId="77777777" w:rsidR="00C43A59" w:rsidRPr="004F246B" w:rsidRDefault="00C43A59" w:rsidP="00C43A59">
            <w:pPr>
              <w:pStyle w:val="Tabletext"/>
              <w:jc w:val="center"/>
              <w:rPr>
                <w:lang w:eastAsia="en-GB"/>
              </w:rPr>
            </w:pPr>
            <w:r w:rsidRPr="004F246B">
              <w:rPr>
                <w:lang w:eastAsia="en-GB"/>
              </w:rPr>
              <w:t>11.10%</w:t>
            </w:r>
          </w:p>
        </w:tc>
        <w:tc>
          <w:tcPr>
            <w:tcW w:w="1024" w:type="dxa"/>
            <w:noWrap/>
            <w:vAlign w:val="center"/>
            <w:hideMark/>
          </w:tcPr>
          <w:p w14:paraId="5D198C5C" w14:textId="77777777" w:rsidR="00C43A59" w:rsidRPr="004F246B" w:rsidRDefault="00C43A59" w:rsidP="00C43A59">
            <w:pPr>
              <w:pStyle w:val="Tabletext"/>
              <w:jc w:val="center"/>
              <w:rPr>
                <w:lang w:eastAsia="en-GB"/>
              </w:rPr>
            </w:pPr>
            <w:r w:rsidRPr="004F246B">
              <w:rPr>
                <w:lang w:eastAsia="en-GB"/>
              </w:rPr>
              <w:t>10.90%</w:t>
            </w:r>
          </w:p>
        </w:tc>
        <w:tc>
          <w:tcPr>
            <w:tcW w:w="1418" w:type="dxa"/>
            <w:noWrap/>
            <w:vAlign w:val="center"/>
            <w:hideMark/>
          </w:tcPr>
          <w:p w14:paraId="382A9298" w14:textId="77777777" w:rsidR="00C43A59" w:rsidRPr="004F246B" w:rsidRDefault="00C43A59" w:rsidP="00C43A59">
            <w:pPr>
              <w:pStyle w:val="Tabletext"/>
              <w:jc w:val="center"/>
              <w:rPr>
                <w:lang w:eastAsia="en-GB"/>
              </w:rPr>
            </w:pPr>
            <w:r w:rsidRPr="004F246B">
              <w:rPr>
                <w:lang w:eastAsia="en-GB"/>
              </w:rPr>
              <w:t>17.10%</w:t>
            </w:r>
          </w:p>
        </w:tc>
      </w:tr>
      <w:tr w:rsidR="00C43A59" w:rsidRPr="004F246B" w14:paraId="0F6B2865" w14:textId="77777777" w:rsidTr="00C47AFD">
        <w:trPr>
          <w:trHeight w:val="20"/>
          <w:jc w:val="center"/>
        </w:trPr>
        <w:tc>
          <w:tcPr>
            <w:tcW w:w="9639" w:type="dxa"/>
            <w:gridSpan w:val="8"/>
          </w:tcPr>
          <w:p w14:paraId="15A5A9AE" w14:textId="68A0C917" w:rsidR="00C43A59" w:rsidRPr="004F246B" w:rsidRDefault="00C43A59" w:rsidP="00C43A59">
            <w:pPr>
              <w:pStyle w:val="Tabletext"/>
              <w:rPr>
                <w:lang w:eastAsia="en-GB"/>
              </w:rPr>
            </w:pPr>
            <w:r w:rsidRPr="001822D5">
              <w:t>Source</w:t>
            </w:r>
            <w:r w:rsidR="008A76DA">
              <w:t>:</w:t>
            </w:r>
            <w:r w:rsidRPr="001822D5">
              <w:t xml:space="preserve"> ITU</w:t>
            </w:r>
            <w:r w:rsidR="008A76DA">
              <w:t>,</w:t>
            </w:r>
            <w:r w:rsidRPr="001822D5">
              <w:t xml:space="preserve"> </w:t>
            </w:r>
            <w:hyperlink r:id="rId63" w:history="1">
              <w:r w:rsidRPr="008A76DA">
                <w:rPr>
                  <w:rStyle w:val="Hyperlink"/>
                </w:rPr>
                <w:t>https://datahub.itu.int/data/?i=11902</w:t>
              </w:r>
            </w:hyperlink>
            <w:r>
              <w:t xml:space="preserve"> </w:t>
            </w:r>
            <w:r w:rsidRPr="001822D5">
              <w:t>Series ID 11902, Series code</w:t>
            </w:r>
            <w:r>
              <w:t xml:space="preserve"> </w:t>
            </w:r>
            <w:r w:rsidRPr="001822D5">
              <w:t>tpInterInternetConn_StepsOptimize</w:t>
            </w:r>
            <w:r>
              <w:t>.</w:t>
            </w:r>
          </w:p>
        </w:tc>
      </w:tr>
    </w:tbl>
    <w:p w14:paraId="4C95E43F" w14:textId="56AD8D4E" w:rsidR="00E52274" w:rsidRPr="004F246B" w:rsidRDefault="00E52274" w:rsidP="00C43A59">
      <w:pPr>
        <w:pStyle w:val="Heading2"/>
      </w:pPr>
      <w:bookmarkStart w:id="85" w:name="_Toc239238928"/>
      <w:bookmarkStart w:id="86" w:name="_Toc239239753"/>
      <w:bookmarkStart w:id="87" w:name="_Toc239248545"/>
      <w:r w:rsidRPr="004F246B">
        <w:t>5.3</w:t>
      </w:r>
      <w:r w:rsidR="00C43A59">
        <w:tab/>
      </w:r>
      <w:r w:rsidRPr="004F246B">
        <w:t>Dynamic competition</w:t>
      </w:r>
      <w:bookmarkEnd w:id="85"/>
      <w:bookmarkEnd w:id="86"/>
      <w:bookmarkEnd w:id="87"/>
    </w:p>
    <w:p w14:paraId="27E87B41" w14:textId="3AF07EB4" w:rsidR="00E52274" w:rsidRPr="004F246B" w:rsidRDefault="00E52274" w:rsidP="00C43A59">
      <w:r w:rsidRPr="004F246B">
        <w:t xml:space="preserve">By incorporating specific data sources and indicators for each relevant category of its value chain, this terminology and taxonomy report aims to facilitate a more granular understanding of the costs associated with international </w:t>
      </w:r>
      <w:r w:rsidR="00A95AF8" w:rsidRPr="004F246B">
        <w:t xml:space="preserve">Internet </w:t>
      </w:r>
      <w:r w:rsidRPr="004F246B">
        <w:t>connectivity and enable stakeholders to access relevant data for analysis and decision-making. However, given the rapid change of the IIC technologies and markets, a proper regulatory analysis would require a more profound understanding of the dynamic aspects of this sector.</w:t>
      </w:r>
      <w:r w:rsidR="004C569D">
        <w:t xml:space="preserve"> </w:t>
      </w:r>
      <w:r w:rsidRPr="004F246B">
        <w:t>Such an investigation would include focusing on the economic conditions allowing for market entry as well as on exit costs, all elements clearly affected by the structuring and topologies of the IIC networks and ecosystems. In this report, we addressed some of the key terms and concepts that might be useful for these extensions, with a clear focus on the role of the scorched node approach and its possible dynamic modification due to the competitive processes and their impediments.</w:t>
      </w:r>
    </w:p>
    <w:p w14:paraId="06296EF3" w14:textId="0167C456" w:rsidR="00E52274" w:rsidRPr="004F246B" w:rsidRDefault="00DE5104" w:rsidP="00DE5104">
      <w:pPr>
        <w:pStyle w:val="Heading1"/>
      </w:pPr>
      <w:bookmarkStart w:id="88" w:name="_Toc210148097"/>
      <w:bookmarkStart w:id="89" w:name="_Toc239238929"/>
      <w:bookmarkStart w:id="90" w:name="_Toc239239754"/>
      <w:bookmarkStart w:id="91" w:name="_Toc239248546"/>
      <w:r>
        <w:t>6</w:t>
      </w:r>
      <w:r w:rsidR="00E52274">
        <w:tab/>
      </w:r>
      <w:r w:rsidR="00E52274" w:rsidRPr="004F246B">
        <w:t>References</w:t>
      </w:r>
      <w:bookmarkEnd w:id="88"/>
      <w:bookmarkEnd w:id="89"/>
      <w:bookmarkEnd w:id="90"/>
      <w:bookmarkEnd w:id="91"/>
    </w:p>
    <w:p w14:paraId="7E92261B" w14:textId="04E3D151" w:rsidR="00E52274" w:rsidRPr="004F246B" w:rsidRDefault="00DE5104" w:rsidP="00E52274">
      <w:pPr>
        <w:pStyle w:val="Heading2"/>
      </w:pPr>
      <w:bookmarkStart w:id="92" w:name="_Toc239238930"/>
      <w:bookmarkStart w:id="93" w:name="_Toc239239755"/>
      <w:bookmarkStart w:id="94" w:name="_Toc239248547"/>
      <w:r>
        <w:t>6</w:t>
      </w:r>
      <w:r w:rsidR="00E52274">
        <w:t>.1</w:t>
      </w:r>
      <w:r w:rsidR="00E52274">
        <w:tab/>
      </w:r>
      <w:r w:rsidR="00E52274" w:rsidRPr="004F246B">
        <w:t>Policy references</w:t>
      </w:r>
      <w:bookmarkEnd w:id="92"/>
      <w:bookmarkEnd w:id="93"/>
      <w:bookmarkEnd w:id="94"/>
    </w:p>
    <w:p w14:paraId="1A7DE3B3" w14:textId="4B8A512C" w:rsidR="00E52274" w:rsidRDefault="00E52274" w:rsidP="00DE5104">
      <w:r w:rsidRPr="001822D5">
        <w:t xml:space="preserve">Recommendation ITU-T D.52 on </w:t>
      </w:r>
      <w:r w:rsidR="00783838" w:rsidRPr="001822D5">
        <w:t>"</w:t>
      </w:r>
      <w:r w:rsidRPr="001822D5">
        <w:t>Establishing and connecting regional Internet exchange points to reduce costs of international Internet connectivity</w:t>
      </w:r>
      <w:r w:rsidR="00AF1FCB" w:rsidRPr="001822D5">
        <w:t>"</w:t>
      </w:r>
      <w:r w:rsidRPr="001822D5">
        <w:t xml:space="preserve">. It guides regional collaboration to establish central hubs or Internet exchange points (IXPs) that enable local Internet traffic to be routed locally, saving international bandwidth and reducing the costs of international Internet connectivity </w:t>
      </w:r>
      <w:r w:rsidR="007C7328" w:rsidRPr="001822D5">
        <w:t>–</w:t>
      </w:r>
      <w:r w:rsidRPr="001822D5">
        <w:t xml:space="preserve"> </w:t>
      </w:r>
      <w:hyperlink r:id="rId64" w:history="1">
        <w:r w:rsidRPr="004F246B">
          <w:rPr>
            <w:rStyle w:val="Hyperlink"/>
            <w:kern w:val="2"/>
            <w:sz w:val="22"/>
            <w:szCs w:val="22"/>
            <w14:ligatures w14:val="standardContextual"/>
          </w:rPr>
          <w:t>https://www.itu.int/rec/T-REC-D.52</w:t>
        </w:r>
      </w:hyperlink>
      <w:r w:rsidR="00DE5104">
        <w:t>.</w:t>
      </w:r>
    </w:p>
    <w:p w14:paraId="6A9507EA" w14:textId="77777777" w:rsidR="00E52274" w:rsidRDefault="00E52274" w:rsidP="00E52274">
      <w:pPr>
        <w:spacing w:before="0"/>
      </w:pPr>
      <w:r>
        <w:br w:type="page"/>
      </w:r>
    </w:p>
    <w:p w14:paraId="08E04F77" w14:textId="77777777" w:rsidR="00E52274" w:rsidRDefault="00E52274" w:rsidP="0029775A">
      <w:pPr>
        <w:pStyle w:val="AppendixNoTitle"/>
      </w:pPr>
      <w:bookmarkStart w:id="95" w:name="_Toc239238932"/>
      <w:bookmarkStart w:id="96" w:name="_Toc239239757"/>
      <w:bookmarkStart w:id="97" w:name="_Toc239248548"/>
      <w:bookmarkStart w:id="98" w:name="_Toc210148098"/>
      <w:r w:rsidRPr="004F246B">
        <w:lastRenderedPageBreak/>
        <w:t>Appendix</w:t>
      </w:r>
      <w:r>
        <w:t xml:space="preserve"> I</w:t>
      </w:r>
      <w:bookmarkEnd w:id="95"/>
      <w:bookmarkEnd w:id="96"/>
      <w:bookmarkEnd w:id="97"/>
    </w:p>
    <w:bookmarkEnd w:id="98"/>
    <w:p w14:paraId="007EA4D4" w14:textId="77777777" w:rsidR="00E52274" w:rsidRPr="007459A6" w:rsidRDefault="00E52274" w:rsidP="00ED035A">
      <w:pPr>
        <w:pStyle w:val="Normalaftertitle"/>
      </w:pPr>
      <w:r w:rsidRPr="007459A6">
        <w:t>Table I.1 details the open fibre data standard terminology</w:t>
      </w:r>
      <w:r w:rsidRPr="00ED035A">
        <w:rPr>
          <w:rStyle w:val="FootnoteReference"/>
        </w:rPr>
        <w:footnoteReference w:id="31"/>
      </w:r>
      <w:r w:rsidRPr="007459A6">
        <w:t>.</w:t>
      </w:r>
    </w:p>
    <w:tbl>
      <w:tblPr>
        <w:tblStyle w:val="TableGrid"/>
        <w:tblW w:w="9639" w:type="dxa"/>
        <w:jc w:val="center"/>
        <w:tblLook w:val="04A0" w:firstRow="1" w:lastRow="0" w:firstColumn="1" w:lastColumn="0" w:noHBand="0" w:noVBand="1"/>
      </w:tblPr>
      <w:tblGrid>
        <w:gridCol w:w="3550"/>
        <w:gridCol w:w="6089"/>
      </w:tblGrid>
      <w:tr w:rsidR="00E52274" w:rsidRPr="004F246B" w14:paraId="38B3516C" w14:textId="77777777" w:rsidTr="00ED035A">
        <w:trPr>
          <w:tblHeader/>
          <w:jc w:val="center"/>
        </w:trPr>
        <w:tc>
          <w:tcPr>
            <w:tcW w:w="9639" w:type="dxa"/>
            <w:gridSpan w:val="2"/>
            <w:tcBorders>
              <w:top w:val="nil"/>
              <w:left w:val="nil"/>
              <w:bottom w:val="single" w:sz="4" w:space="0" w:color="auto"/>
              <w:right w:val="nil"/>
            </w:tcBorders>
          </w:tcPr>
          <w:p w14:paraId="5089273E" w14:textId="5FC2666C" w:rsidR="00E52274" w:rsidRPr="00870629" w:rsidRDefault="00E52274" w:rsidP="00ED035A">
            <w:pPr>
              <w:pStyle w:val="TableNoTitle"/>
            </w:pPr>
            <w:r w:rsidRPr="00870629">
              <w:t xml:space="preserve">Table I.1 </w:t>
            </w:r>
            <w:r w:rsidRPr="00870629">
              <w:sym w:font="Symbol" w:char="F02D"/>
            </w:r>
            <w:r w:rsidRPr="00870629">
              <w:t xml:space="preserve"> Open fibre data standard terminology</w:t>
            </w:r>
          </w:p>
        </w:tc>
      </w:tr>
      <w:tr w:rsidR="00E52274" w:rsidRPr="004F246B" w14:paraId="1F2B42F1" w14:textId="77777777" w:rsidTr="00ED035A">
        <w:trPr>
          <w:tblHeader/>
          <w:jc w:val="center"/>
        </w:trPr>
        <w:tc>
          <w:tcPr>
            <w:tcW w:w="3212" w:type="dxa"/>
            <w:tcBorders>
              <w:top w:val="single" w:sz="4" w:space="0" w:color="auto"/>
            </w:tcBorders>
          </w:tcPr>
          <w:p w14:paraId="524780F0" w14:textId="77777777" w:rsidR="00E52274" w:rsidRPr="004F246B" w:rsidRDefault="00E52274" w:rsidP="00ED035A">
            <w:pPr>
              <w:pStyle w:val="Tablehead"/>
            </w:pPr>
            <w:r w:rsidRPr="004F246B">
              <w:t>Concept</w:t>
            </w:r>
          </w:p>
        </w:tc>
        <w:tc>
          <w:tcPr>
            <w:tcW w:w="6427" w:type="dxa"/>
            <w:tcBorders>
              <w:top w:val="single" w:sz="4" w:space="0" w:color="auto"/>
            </w:tcBorders>
          </w:tcPr>
          <w:p w14:paraId="1C2A55D3" w14:textId="77777777" w:rsidR="00E52274" w:rsidRPr="004F246B" w:rsidRDefault="00E52274" w:rsidP="00ED035A">
            <w:pPr>
              <w:pStyle w:val="Tablehead"/>
            </w:pPr>
            <w:r w:rsidRPr="004F246B">
              <w:t>Definition</w:t>
            </w:r>
          </w:p>
        </w:tc>
      </w:tr>
      <w:tr w:rsidR="00E52274" w:rsidRPr="004F246B" w14:paraId="1A101E08" w14:textId="77777777" w:rsidTr="00ED035A">
        <w:trPr>
          <w:jc w:val="center"/>
        </w:trPr>
        <w:tc>
          <w:tcPr>
            <w:tcW w:w="3212" w:type="dxa"/>
          </w:tcPr>
          <w:p w14:paraId="59B3CF5F" w14:textId="77777777" w:rsidR="00E52274" w:rsidRPr="00454EDF" w:rsidRDefault="00E52274" w:rsidP="00ED035A">
            <w:pPr>
              <w:pStyle w:val="Tabletext"/>
              <w:rPr>
                <w:b/>
                <w:bCs/>
              </w:rPr>
            </w:pPr>
            <w:r w:rsidRPr="00454EDF">
              <w:rPr>
                <w:b/>
                <w:bCs/>
              </w:rPr>
              <w:t>Aerial cable</w:t>
            </w:r>
          </w:p>
        </w:tc>
        <w:tc>
          <w:tcPr>
            <w:tcW w:w="6427" w:type="dxa"/>
          </w:tcPr>
          <w:p w14:paraId="622755B6" w14:textId="77777777" w:rsidR="00E52274" w:rsidRPr="004F246B" w:rsidRDefault="00E52274" w:rsidP="00ED035A">
            <w:pPr>
              <w:pStyle w:val="Tabletext"/>
            </w:pPr>
            <w:r w:rsidRPr="004F246B">
              <w:t>A fibre cable that is deployed aerially, usually along electricity power transmission lines.</w:t>
            </w:r>
          </w:p>
        </w:tc>
      </w:tr>
      <w:tr w:rsidR="00E52274" w:rsidRPr="004F246B" w14:paraId="1ED53723" w14:textId="77777777" w:rsidTr="00ED035A">
        <w:trPr>
          <w:jc w:val="center"/>
        </w:trPr>
        <w:tc>
          <w:tcPr>
            <w:tcW w:w="3212" w:type="dxa"/>
          </w:tcPr>
          <w:p w14:paraId="775CD67F" w14:textId="77777777" w:rsidR="00E52274" w:rsidRPr="00454EDF" w:rsidRDefault="00E52274" w:rsidP="00ED035A">
            <w:pPr>
              <w:pStyle w:val="Tabletext"/>
              <w:rPr>
                <w:b/>
                <w:bCs/>
              </w:rPr>
            </w:pPr>
            <w:r w:rsidRPr="00454EDF">
              <w:rPr>
                <w:b/>
                <w:bCs/>
              </w:rPr>
              <w:t>Backhaul</w:t>
            </w:r>
          </w:p>
        </w:tc>
        <w:tc>
          <w:tcPr>
            <w:tcW w:w="6427" w:type="dxa"/>
          </w:tcPr>
          <w:p w14:paraId="3F9DABD1" w14:textId="77777777" w:rsidR="00E52274" w:rsidRPr="004F246B" w:rsidRDefault="00E52274" w:rsidP="00ED035A">
            <w:pPr>
              <w:pStyle w:val="Tabletext"/>
            </w:pPr>
            <w:r w:rsidRPr="004F246B">
              <w:t>A network path between base station systems and a core network.</w:t>
            </w:r>
          </w:p>
        </w:tc>
      </w:tr>
      <w:tr w:rsidR="00E52274" w:rsidRPr="004F246B" w14:paraId="0232BC62" w14:textId="77777777" w:rsidTr="00ED035A">
        <w:trPr>
          <w:jc w:val="center"/>
        </w:trPr>
        <w:tc>
          <w:tcPr>
            <w:tcW w:w="3212" w:type="dxa"/>
          </w:tcPr>
          <w:p w14:paraId="74B0F4C1" w14:textId="77777777" w:rsidR="00E52274" w:rsidRPr="00454EDF" w:rsidRDefault="00E52274" w:rsidP="00ED035A">
            <w:pPr>
              <w:pStyle w:val="Tabletext"/>
              <w:rPr>
                <w:b/>
                <w:bCs/>
              </w:rPr>
            </w:pPr>
            <w:r w:rsidRPr="00454EDF">
              <w:rPr>
                <w:b/>
                <w:bCs/>
              </w:rPr>
              <w:t>Border crossing</w:t>
            </w:r>
          </w:p>
        </w:tc>
        <w:tc>
          <w:tcPr>
            <w:tcW w:w="6427" w:type="dxa"/>
          </w:tcPr>
          <w:p w14:paraId="43AA9569" w14:textId="77777777" w:rsidR="00E52274" w:rsidRPr="004F246B" w:rsidRDefault="00E52274" w:rsidP="00ED035A">
            <w:pPr>
              <w:pStyle w:val="Tabletext"/>
            </w:pPr>
            <w:r w:rsidRPr="004F246B">
              <w:t>The International Boundary, the point at which control transfers from one international operator to the next international operator, normally exists within the Inter Country Path Core Element (ICPCE). Generally, this would be half-way along a submarine cable or terrestrial border crossing ICPCE. The Border Crossing Point may coincide with the International Boundary (for example, for a terrestrial border crossing ICPCE) or, in the case of a submarine cable (for example), there would be two border crossings, corresponding to the coastline of the operator's country, which would not coincide with the International Boundary.</w:t>
            </w:r>
          </w:p>
        </w:tc>
      </w:tr>
      <w:tr w:rsidR="00E52274" w:rsidRPr="004F246B" w14:paraId="0F4A5421" w14:textId="77777777" w:rsidTr="00ED035A">
        <w:trPr>
          <w:jc w:val="center"/>
        </w:trPr>
        <w:tc>
          <w:tcPr>
            <w:tcW w:w="3212" w:type="dxa"/>
          </w:tcPr>
          <w:p w14:paraId="6F71A9E8" w14:textId="77777777" w:rsidR="00E52274" w:rsidRPr="00454EDF" w:rsidRDefault="00E52274" w:rsidP="00ED035A">
            <w:pPr>
              <w:pStyle w:val="Tabletext"/>
              <w:rPr>
                <w:b/>
                <w:bCs/>
              </w:rPr>
            </w:pPr>
            <w:r w:rsidRPr="00454EDF">
              <w:rPr>
                <w:b/>
                <w:bCs/>
              </w:rPr>
              <w:t>Co-operative</w:t>
            </w:r>
          </w:p>
        </w:tc>
        <w:tc>
          <w:tcPr>
            <w:tcW w:w="6427" w:type="dxa"/>
          </w:tcPr>
          <w:p w14:paraId="76900CDC" w14:textId="77777777" w:rsidR="00E52274" w:rsidRPr="004F246B" w:rsidRDefault="00E52274" w:rsidP="00ED035A">
            <w:pPr>
              <w:pStyle w:val="Tabletext"/>
            </w:pPr>
            <w:r w:rsidRPr="004F246B">
              <w:t>An autonomous association of persons united voluntarily to meet their common economic, social and cultural needs and aspirations through a jointly owned and democratically-controlled enterprise.</w:t>
            </w:r>
          </w:p>
        </w:tc>
      </w:tr>
      <w:tr w:rsidR="00E52274" w:rsidRPr="004F246B" w14:paraId="79004A1D" w14:textId="77777777" w:rsidTr="00ED035A">
        <w:trPr>
          <w:jc w:val="center"/>
        </w:trPr>
        <w:tc>
          <w:tcPr>
            <w:tcW w:w="3212" w:type="dxa"/>
          </w:tcPr>
          <w:p w14:paraId="318A215F" w14:textId="77777777" w:rsidR="00E52274" w:rsidRPr="00454EDF" w:rsidRDefault="00E52274" w:rsidP="00ED035A">
            <w:pPr>
              <w:pStyle w:val="Tabletext"/>
              <w:rPr>
                <w:b/>
                <w:bCs/>
              </w:rPr>
            </w:pPr>
            <w:r w:rsidRPr="00454EDF">
              <w:rPr>
                <w:b/>
                <w:bCs/>
              </w:rPr>
              <w:t>Contract</w:t>
            </w:r>
          </w:p>
        </w:tc>
        <w:tc>
          <w:tcPr>
            <w:tcW w:w="6427" w:type="dxa"/>
          </w:tcPr>
          <w:p w14:paraId="1B2F19DF" w14:textId="77777777" w:rsidR="00E52274" w:rsidRPr="004F246B" w:rsidRDefault="00E52274" w:rsidP="00ED035A">
            <w:pPr>
              <w:pStyle w:val="Tabletext"/>
            </w:pPr>
            <w:r w:rsidRPr="004F246B">
              <w:t>An agreement between the public and private sector to develop a network.</w:t>
            </w:r>
          </w:p>
        </w:tc>
      </w:tr>
      <w:tr w:rsidR="00E52274" w:rsidRPr="004F246B" w14:paraId="0B758248" w14:textId="77777777" w:rsidTr="00ED035A">
        <w:trPr>
          <w:jc w:val="center"/>
        </w:trPr>
        <w:tc>
          <w:tcPr>
            <w:tcW w:w="3212" w:type="dxa"/>
          </w:tcPr>
          <w:p w14:paraId="1B282D07" w14:textId="77777777" w:rsidR="00E52274" w:rsidRPr="00454EDF" w:rsidRDefault="00E52274" w:rsidP="00ED035A">
            <w:pPr>
              <w:pStyle w:val="Tabletext"/>
              <w:rPr>
                <w:b/>
                <w:bCs/>
              </w:rPr>
            </w:pPr>
            <w:r w:rsidRPr="00454EDF">
              <w:rPr>
                <w:b/>
                <w:bCs/>
              </w:rPr>
              <w:t>Data centre</w:t>
            </w:r>
          </w:p>
        </w:tc>
        <w:tc>
          <w:tcPr>
            <w:tcW w:w="6427" w:type="dxa"/>
          </w:tcPr>
          <w:p w14:paraId="6F542DFF" w14:textId="77777777" w:rsidR="00E52274" w:rsidRPr="004F246B" w:rsidRDefault="00E52274" w:rsidP="00ED035A">
            <w:pPr>
              <w:pStyle w:val="Tabletext"/>
            </w:pPr>
            <w:r w:rsidRPr="004F246B">
              <w:t>Structure, or group of structures, dedicated to the centralized accommodation, interconnection and operation of information technology and network telecommunications equipment providing data storage, processing and transport services together with all the facilities and infrastructures for power distribution and environmental control together with the necessary levels of resilience and security required to provide the desired service availability.</w:t>
            </w:r>
            <w:r w:rsidRPr="004F246B">
              <w:br/>
              <w:t>NOTE 1 – A structure can consist of multiple buildings and/or spaces with specific functions to support the primary function.</w:t>
            </w:r>
            <w:r w:rsidRPr="004F246B">
              <w:br/>
              <w:t>NOTE 2 – The boundaries of the structure or space considered the data centre, which includes the information and communication technology equipment and supporting environmental controls, can be defined within a larger structure or building.</w:t>
            </w:r>
          </w:p>
        </w:tc>
      </w:tr>
      <w:tr w:rsidR="00E52274" w:rsidRPr="004F246B" w14:paraId="11A621E2" w14:textId="77777777" w:rsidTr="00ED035A">
        <w:trPr>
          <w:jc w:val="center"/>
        </w:trPr>
        <w:tc>
          <w:tcPr>
            <w:tcW w:w="3212" w:type="dxa"/>
          </w:tcPr>
          <w:p w14:paraId="3613B456" w14:textId="77777777" w:rsidR="00E52274" w:rsidRPr="00454EDF" w:rsidRDefault="00E52274" w:rsidP="00ED035A">
            <w:pPr>
              <w:pStyle w:val="Tabletext"/>
              <w:rPr>
                <w:b/>
                <w:bCs/>
              </w:rPr>
            </w:pPr>
            <w:r w:rsidRPr="00454EDF">
              <w:rPr>
                <w:b/>
                <w:bCs/>
              </w:rPr>
              <w:t>Dense wavelength division multiplexing (DWDM)</w:t>
            </w:r>
          </w:p>
        </w:tc>
        <w:tc>
          <w:tcPr>
            <w:tcW w:w="6427" w:type="dxa"/>
          </w:tcPr>
          <w:p w14:paraId="2CFA1937" w14:textId="77777777" w:rsidR="00E52274" w:rsidRPr="004F246B" w:rsidRDefault="00E52274" w:rsidP="00ED035A">
            <w:pPr>
              <w:pStyle w:val="Tabletext"/>
            </w:pPr>
            <w:r w:rsidRPr="004F246B">
              <w:t>A technology that multiplexes a number of optical carrier signals onto a single optical fibre by using different wavelengths.</w:t>
            </w:r>
          </w:p>
        </w:tc>
      </w:tr>
      <w:tr w:rsidR="00E52274" w:rsidRPr="004F246B" w14:paraId="69006E18" w14:textId="77777777" w:rsidTr="00ED035A">
        <w:trPr>
          <w:jc w:val="center"/>
        </w:trPr>
        <w:tc>
          <w:tcPr>
            <w:tcW w:w="3212" w:type="dxa"/>
          </w:tcPr>
          <w:p w14:paraId="2D6E98D8" w14:textId="77777777" w:rsidR="00E52274" w:rsidRPr="00454EDF" w:rsidRDefault="00E52274" w:rsidP="00ED035A">
            <w:pPr>
              <w:pStyle w:val="Tabletext"/>
              <w:rPr>
                <w:b/>
                <w:bCs/>
              </w:rPr>
            </w:pPr>
            <w:r w:rsidRPr="00454EDF">
              <w:rPr>
                <w:b/>
                <w:bCs/>
              </w:rPr>
              <w:t>End users</w:t>
            </w:r>
          </w:p>
        </w:tc>
        <w:tc>
          <w:tcPr>
            <w:tcW w:w="6427" w:type="dxa"/>
          </w:tcPr>
          <w:p w14:paraId="06EA63B9" w14:textId="77777777" w:rsidR="00E52274" w:rsidRPr="004F246B" w:rsidRDefault="00E52274" w:rsidP="00ED035A">
            <w:pPr>
              <w:pStyle w:val="Tabletext"/>
            </w:pPr>
            <w:r w:rsidRPr="004F246B">
              <w:t>End users are private citizens, small or large companies or public institutions purchasing services over the network.</w:t>
            </w:r>
          </w:p>
        </w:tc>
      </w:tr>
      <w:tr w:rsidR="00E52274" w:rsidRPr="004F246B" w14:paraId="58BC7234" w14:textId="77777777" w:rsidTr="00ED035A">
        <w:trPr>
          <w:jc w:val="center"/>
        </w:trPr>
        <w:tc>
          <w:tcPr>
            <w:tcW w:w="3212" w:type="dxa"/>
          </w:tcPr>
          <w:p w14:paraId="508C9045" w14:textId="77777777" w:rsidR="00E52274" w:rsidRPr="00454EDF" w:rsidRDefault="00E52274" w:rsidP="008A76DA">
            <w:pPr>
              <w:pStyle w:val="Tabletext"/>
              <w:keepNext/>
              <w:keepLines/>
              <w:rPr>
                <w:b/>
                <w:bCs/>
              </w:rPr>
            </w:pPr>
            <w:r w:rsidRPr="00454EDF">
              <w:rPr>
                <w:b/>
                <w:bCs/>
              </w:rPr>
              <w:lastRenderedPageBreak/>
              <w:t>Equipped network capacity</w:t>
            </w:r>
          </w:p>
        </w:tc>
        <w:tc>
          <w:tcPr>
            <w:tcW w:w="6427" w:type="dxa"/>
          </w:tcPr>
          <w:p w14:paraId="3B878314" w14:textId="77777777" w:rsidR="00E52274" w:rsidRPr="004F246B" w:rsidRDefault="00E52274" w:rsidP="008A76DA">
            <w:pPr>
              <w:pStyle w:val="Tabletext"/>
              <w:keepNext/>
              <w:keepLines/>
            </w:pPr>
            <w:r w:rsidRPr="004F246B">
              <w:t xml:space="preserve">The transmission rate of the links in the network, irrespective of the services (voice, data, Internet, other) which are delivered through it. This is a measure of throughput and is expressed in </w:t>
            </w:r>
            <w:r>
              <w:t>gigabit per second</w:t>
            </w:r>
            <w:r w:rsidRPr="004F246B">
              <w:t xml:space="preserve"> (Gb</w:t>
            </w:r>
            <w:r>
              <w:t>it/</w:t>
            </w:r>
            <w:r w:rsidRPr="004F246B">
              <w:t>s). The equipped capacity is the total capacity of the circuits (E1, DS3, STM-1 and so on) which have been activated in the network transmission equipment on that particular route.</w:t>
            </w:r>
          </w:p>
        </w:tc>
      </w:tr>
      <w:tr w:rsidR="00E52274" w:rsidRPr="004F246B" w14:paraId="500A49CE" w14:textId="77777777" w:rsidTr="00ED035A">
        <w:trPr>
          <w:jc w:val="center"/>
        </w:trPr>
        <w:tc>
          <w:tcPr>
            <w:tcW w:w="3212" w:type="dxa"/>
          </w:tcPr>
          <w:p w14:paraId="507609DC" w14:textId="77777777" w:rsidR="00E52274" w:rsidRPr="00454EDF" w:rsidRDefault="00E52274" w:rsidP="00ED035A">
            <w:pPr>
              <w:pStyle w:val="Tabletext"/>
              <w:rPr>
                <w:b/>
                <w:bCs/>
              </w:rPr>
            </w:pPr>
            <w:r w:rsidRPr="00454EDF">
              <w:rPr>
                <w:b/>
                <w:bCs/>
              </w:rPr>
              <w:t>Identifier</w:t>
            </w:r>
          </w:p>
        </w:tc>
        <w:tc>
          <w:tcPr>
            <w:tcW w:w="6427" w:type="dxa"/>
          </w:tcPr>
          <w:p w14:paraId="5B651603" w14:textId="77777777" w:rsidR="00E52274" w:rsidRPr="004F246B" w:rsidRDefault="00E52274" w:rsidP="00ED035A">
            <w:pPr>
              <w:pStyle w:val="Tabletext"/>
            </w:pPr>
            <w:r w:rsidRPr="004F246B">
              <w:t>A unique identifier for an organization.</w:t>
            </w:r>
          </w:p>
        </w:tc>
      </w:tr>
      <w:tr w:rsidR="00E52274" w:rsidRPr="004F246B" w14:paraId="299BEF35" w14:textId="77777777" w:rsidTr="00ED035A">
        <w:trPr>
          <w:jc w:val="center"/>
        </w:trPr>
        <w:tc>
          <w:tcPr>
            <w:tcW w:w="3212" w:type="dxa"/>
          </w:tcPr>
          <w:p w14:paraId="35BE4013" w14:textId="77777777" w:rsidR="00E52274" w:rsidRPr="00454EDF" w:rsidRDefault="00E52274" w:rsidP="00ED035A">
            <w:pPr>
              <w:pStyle w:val="Tabletext"/>
              <w:rPr>
                <w:b/>
                <w:bCs/>
              </w:rPr>
            </w:pPr>
            <w:r w:rsidRPr="00454EDF">
              <w:rPr>
                <w:b/>
                <w:bCs/>
              </w:rPr>
              <w:t>Internet exchange point (IXP)</w:t>
            </w:r>
          </w:p>
        </w:tc>
        <w:tc>
          <w:tcPr>
            <w:tcW w:w="6427" w:type="dxa"/>
          </w:tcPr>
          <w:p w14:paraId="5EACE361" w14:textId="77777777" w:rsidR="00E52274" w:rsidRPr="004F246B" w:rsidRDefault="00E52274" w:rsidP="00ED035A">
            <w:pPr>
              <w:pStyle w:val="Tabletext"/>
            </w:pPr>
            <w:r w:rsidRPr="004F246B">
              <w:t>A physical access point that Internet service providers (ISPs) and content delivery networks (CDNs) connect to for the purpose of exchanging traffic.</w:t>
            </w:r>
          </w:p>
        </w:tc>
      </w:tr>
      <w:tr w:rsidR="00E52274" w:rsidRPr="004F246B" w14:paraId="3924772C" w14:textId="77777777" w:rsidTr="00ED035A">
        <w:trPr>
          <w:jc w:val="center"/>
        </w:trPr>
        <w:tc>
          <w:tcPr>
            <w:tcW w:w="3212" w:type="dxa"/>
          </w:tcPr>
          <w:p w14:paraId="5E349E77" w14:textId="77777777" w:rsidR="00E52274" w:rsidRPr="00454EDF" w:rsidRDefault="00E52274" w:rsidP="00ED035A">
            <w:pPr>
              <w:pStyle w:val="Tabletext"/>
              <w:rPr>
                <w:b/>
                <w:bCs/>
              </w:rPr>
            </w:pPr>
            <w:r w:rsidRPr="00454EDF">
              <w:rPr>
                <w:b/>
                <w:bCs/>
              </w:rPr>
              <w:t>Internet protocol (IP)</w:t>
            </w:r>
          </w:p>
        </w:tc>
        <w:tc>
          <w:tcPr>
            <w:tcW w:w="6427" w:type="dxa"/>
          </w:tcPr>
          <w:p w14:paraId="23B02FBF" w14:textId="77777777" w:rsidR="00E52274" w:rsidRPr="004F246B" w:rsidRDefault="00E52274" w:rsidP="00ED035A">
            <w:pPr>
              <w:pStyle w:val="Tabletext"/>
            </w:pPr>
            <w:r w:rsidRPr="004F246B">
              <w:t>A network layer protocol that defines the addressing mechanism on the Internet to allow data to be transmitted.</w:t>
            </w:r>
          </w:p>
        </w:tc>
      </w:tr>
      <w:tr w:rsidR="00E52274" w:rsidRPr="004F246B" w14:paraId="2E7B3FC2" w14:textId="77777777" w:rsidTr="00ED035A">
        <w:trPr>
          <w:jc w:val="center"/>
        </w:trPr>
        <w:tc>
          <w:tcPr>
            <w:tcW w:w="3212" w:type="dxa"/>
          </w:tcPr>
          <w:p w14:paraId="46FCA315" w14:textId="77777777" w:rsidR="00E52274" w:rsidRPr="00454EDF" w:rsidRDefault="00E52274" w:rsidP="00ED035A">
            <w:pPr>
              <w:pStyle w:val="Tabletext"/>
              <w:rPr>
                <w:b/>
                <w:bCs/>
              </w:rPr>
            </w:pPr>
            <w:r w:rsidRPr="00454EDF">
              <w:rPr>
                <w:b/>
                <w:bCs/>
              </w:rPr>
              <w:t>Investor</w:t>
            </w:r>
          </w:p>
        </w:tc>
        <w:tc>
          <w:tcPr>
            <w:tcW w:w="6427" w:type="dxa"/>
          </w:tcPr>
          <w:p w14:paraId="65093D22" w14:textId="77777777" w:rsidR="00E52274" w:rsidRPr="004F246B" w:rsidRDefault="00E52274" w:rsidP="00ED035A">
            <w:pPr>
              <w:pStyle w:val="Tabletext"/>
            </w:pPr>
            <w:r w:rsidRPr="004F246B">
              <w:t>An organization that provides financing for the development of a network.</w:t>
            </w:r>
          </w:p>
        </w:tc>
      </w:tr>
      <w:tr w:rsidR="00E52274" w:rsidRPr="004F246B" w14:paraId="6AAEEE81" w14:textId="77777777" w:rsidTr="00ED035A">
        <w:trPr>
          <w:jc w:val="center"/>
        </w:trPr>
        <w:tc>
          <w:tcPr>
            <w:tcW w:w="3212" w:type="dxa"/>
          </w:tcPr>
          <w:p w14:paraId="4949B95D" w14:textId="77777777" w:rsidR="00E52274" w:rsidRPr="00454EDF" w:rsidRDefault="00E52274" w:rsidP="00ED035A">
            <w:pPr>
              <w:pStyle w:val="Tabletext"/>
              <w:rPr>
                <w:b/>
                <w:bCs/>
              </w:rPr>
            </w:pPr>
            <w:r w:rsidRPr="00454EDF">
              <w:rPr>
                <w:b/>
                <w:bCs/>
              </w:rPr>
              <w:t>Link dark fibre availability</w:t>
            </w:r>
          </w:p>
        </w:tc>
        <w:tc>
          <w:tcPr>
            <w:tcW w:w="6427" w:type="dxa"/>
          </w:tcPr>
          <w:p w14:paraId="2C58EDFE" w14:textId="77777777" w:rsidR="00E52274" w:rsidRPr="004F246B" w:rsidRDefault="00E52274" w:rsidP="00ED035A">
            <w:pPr>
              <w:pStyle w:val="Tabletext"/>
            </w:pPr>
            <w:r w:rsidRPr="004F246B">
              <w:t>Unused optical fibre, available for use in fibre-optic communication.</w:t>
            </w:r>
          </w:p>
        </w:tc>
      </w:tr>
      <w:tr w:rsidR="00E52274" w:rsidRPr="004F246B" w14:paraId="07F3CB69" w14:textId="77777777" w:rsidTr="00ED035A">
        <w:trPr>
          <w:jc w:val="center"/>
        </w:trPr>
        <w:tc>
          <w:tcPr>
            <w:tcW w:w="3212" w:type="dxa"/>
          </w:tcPr>
          <w:p w14:paraId="5400C4C5" w14:textId="77777777" w:rsidR="00E52274" w:rsidRPr="00454EDF" w:rsidRDefault="00E52274" w:rsidP="00ED035A">
            <w:pPr>
              <w:pStyle w:val="Tabletext"/>
              <w:rPr>
                <w:b/>
                <w:bCs/>
              </w:rPr>
            </w:pPr>
            <w:r w:rsidRPr="00454EDF">
              <w:rPr>
                <w:b/>
                <w:bCs/>
              </w:rPr>
              <w:t>Link go-live date</w:t>
            </w:r>
          </w:p>
        </w:tc>
        <w:tc>
          <w:tcPr>
            <w:tcW w:w="6427" w:type="dxa"/>
          </w:tcPr>
          <w:p w14:paraId="3C89A7B6" w14:textId="77777777" w:rsidR="00E52274" w:rsidRPr="004F246B" w:rsidRDefault="00E52274" w:rsidP="00ED035A">
            <w:pPr>
              <w:pStyle w:val="Tabletext"/>
            </w:pPr>
            <w:r w:rsidRPr="004F246B">
              <w:t>Year the network went live.</w:t>
            </w:r>
          </w:p>
        </w:tc>
      </w:tr>
      <w:tr w:rsidR="00E52274" w:rsidRPr="004F246B" w14:paraId="4C387B9A" w14:textId="77777777" w:rsidTr="00ED035A">
        <w:trPr>
          <w:jc w:val="center"/>
        </w:trPr>
        <w:tc>
          <w:tcPr>
            <w:tcW w:w="3212" w:type="dxa"/>
          </w:tcPr>
          <w:p w14:paraId="2ECF29E7" w14:textId="77777777" w:rsidR="00E52274" w:rsidRPr="00454EDF" w:rsidRDefault="00E52274" w:rsidP="00ED035A">
            <w:pPr>
              <w:pStyle w:val="Tabletext"/>
              <w:rPr>
                <w:b/>
                <w:bCs/>
              </w:rPr>
            </w:pPr>
            <w:r w:rsidRPr="00454EDF">
              <w:rPr>
                <w:b/>
                <w:bCs/>
              </w:rPr>
              <w:t>Link length</w:t>
            </w:r>
          </w:p>
        </w:tc>
        <w:tc>
          <w:tcPr>
            <w:tcW w:w="6427" w:type="dxa"/>
          </w:tcPr>
          <w:p w14:paraId="5C874394" w14:textId="77777777" w:rsidR="00E52274" w:rsidRPr="004F246B" w:rsidRDefault="00E52274" w:rsidP="00ED035A">
            <w:pPr>
              <w:pStyle w:val="Tabletext"/>
            </w:pPr>
            <w:r w:rsidRPr="004F246B">
              <w:t>The physical length of fibre optic cable between the endpoints.</w:t>
            </w:r>
          </w:p>
        </w:tc>
      </w:tr>
      <w:tr w:rsidR="00E52274" w:rsidRPr="004F246B" w14:paraId="174E6B1A" w14:textId="77777777" w:rsidTr="00ED035A">
        <w:trPr>
          <w:jc w:val="center"/>
        </w:trPr>
        <w:tc>
          <w:tcPr>
            <w:tcW w:w="3212" w:type="dxa"/>
          </w:tcPr>
          <w:p w14:paraId="2DEA9FEF" w14:textId="77777777" w:rsidR="00E52274" w:rsidRPr="00454EDF" w:rsidRDefault="00E52274" w:rsidP="00ED035A">
            <w:pPr>
              <w:pStyle w:val="Tabletext"/>
              <w:rPr>
                <w:b/>
                <w:bCs/>
              </w:rPr>
            </w:pPr>
            <w:r w:rsidRPr="00454EDF">
              <w:rPr>
                <w:b/>
                <w:bCs/>
              </w:rPr>
              <w:t>Link network provider</w:t>
            </w:r>
          </w:p>
        </w:tc>
        <w:tc>
          <w:tcPr>
            <w:tcW w:w="6427" w:type="dxa"/>
          </w:tcPr>
          <w:p w14:paraId="1D065743" w14:textId="1EFCE062" w:rsidR="00E52274" w:rsidRPr="004F246B" w:rsidRDefault="00E52274" w:rsidP="00ED035A">
            <w:pPr>
              <w:pStyle w:val="Tabletext"/>
            </w:pPr>
            <w:r w:rsidRPr="004F246B">
              <w:t>The organization that operates the active network infrastructure, i.e.</w:t>
            </w:r>
            <w:r w:rsidR="00773154">
              <w:t>,</w:t>
            </w:r>
            <w:r w:rsidRPr="004F246B">
              <w:t xml:space="preserve"> the electrical elements, such as lit fibre, access node switches and broadband remote access servers. The network provider delivers service providers' services to end users. It can own or lease the active network infrastructure.</w:t>
            </w:r>
          </w:p>
        </w:tc>
      </w:tr>
      <w:tr w:rsidR="00E52274" w:rsidRPr="004F246B" w14:paraId="2517B129" w14:textId="77777777" w:rsidTr="00ED035A">
        <w:trPr>
          <w:jc w:val="center"/>
        </w:trPr>
        <w:tc>
          <w:tcPr>
            <w:tcW w:w="3212" w:type="dxa"/>
          </w:tcPr>
          <w:p w14:paraId="366F7C0B" w14:textId="77777777" w:rsidR="00E52274" w:rsidRPr="00454EDF" w:rsidRDefault="00E52274" w:rsidP="00ED035A">
            <w:pPr>
              <w:pStyle w:val="Tabletext"/>
              <w:rPr>
                <w:b/>
                <w:bCs/>
              </w:rPr>
            </w:pPr>
            <w:r w:rsidRPr="00454EDF">
              <w:rPr>
                <w:b/>
                <w:bCs/>
              </w:rPr>
              <w:t>Link number of fibres</w:t>
            </w:r>
          </w:p>
        </w:tc>
        <w:tc>
          <w:tcPr>
            <w:tcW w:w="6427" w:type="dxa"/>
          </w:tcPr>
          <w:p w14:paraId="6DF6834A" w14:textId="77777777" w:rsidR="00E52274" w:rsidRPr="004F246B" w:rsidRDefault="00E52274" w:rsidP="00ED035A">
            <w:pPr>
              <w:pStyle w:val="Tabletext"/>
            </w:pPr>
            <w:r w:rsidRPr="004F246B">
              <w:t>The number of individual optical fibres in a cable.</w:t>
            </w:r>
          </w:p>
        </w:tc>
      </w:tr>
      <w:tr w:rsidR="00E52274" w:rsidRPr="004F246B" w14:paraId="1AFFAA59" w14:textId="77777777" w:rsidTr="00ED035A">
        <w:trPr>
          <w:jc w:val="center"/>
        </w:trPr>
        <w:tc>
          <w:tcPr>
            <w:tcW w:w="3212" w:type="dxa"/>
          </w:tcPr>
          <w:p w14:paraId="18F42E5D" w14:textId="77777777" w:rsidR="00E52274" w:rsidRPr="00454EDF" w:rsidRDefault="00E52274" w:rsidP="00ED035A">
            <w:pPr>
              <w:pStyle w:val="Tabletext"/>
              <w:rPr>
                <w:b/>
                <w:bCs/>
              </w:rPr>
            </w:pPr>
            <w:r w:rsidRPr="00454EDF">
              <w:rPr>
                <w:b/>
                <w:bCs/>
              </w:rPr>
              <w:t>Link physical infrastructure provider</w:t>
            </w:r>
          </w:p>
        </w:tc>
        <w:tc>
          <w:tcPr>
            <w:tcW w:w="6427" w:type="dxa"/>
          </w:tcPr>
          <w:p w14:paraId="6AA36FAA" w14:textId="6638DEE0" w:rsidR="00E52274" w:rsidRPr="004F246B" w:rsidRDefault="00E52274" w:rsidP="00ED035A">
            <w:pPr>
              <w:pStyle w:val="Tabletext"/>
            </w:pPr>
            <w:r w:rsidRPr="004F246B">
              <w:t>The organization that owns and operates the passive network infrastructure, i.e.</w:t>
            </w:r>
            <w:r w:rsidR="00773154">
              <w:t>,</w:t>
            </w:r>
            <w:r w:rsidRPr="004F246B">
              <w:t xml:space="preserve"> the non-electrical elements, such as dark fibre, ducts and physical sites.</w:t>
            </w:r>
          </w:p>
        </w:tc>
      </w:tr>
      <w:tr w:rsidR="00E52274" w:rsidRPr="004F246B" w14:paraId="3855AEBA" w14:textId="77777777" w:rsidTr="00ED035A">
        <w:trPr>
          <w:jc w:val="center"/>
        </w:trPr>
        <w:tc>
          <w:tcPr>
            <w:tcW w:w="3212" w:type="dxa"/>
          </w:tcPr>
          <w:p w14:paraId="5D36C6C9" w14:textId="77777777" w:rsidR="00E52274" w:rsidRPr="00454EDF" w:rsidRDefault="00E52274" w:rsidP="00ED035A">
            <w:pPr>
              <w:pStyle w:val="Tabletext"/>
              <w:rPr>
                <w:b/>
                <w:bCs/>
              </w:rPr>
            </w:pPr>
            <w:r w:rsidRPr="00454EDF">
              <w:rPr>
                <w:b/>
                <w:bCs/>
              </w:rPr>
              <w:t>Link route</w:t>
            </w:r>
          </w:p>
        </w:tc>
        <w:tc>
          <w:tcPr>
            <w:tcW w:w="6427" w:type="dxa"/>
          </w:tcPr>
          <w:p w14:paraId="1974FE8A" w14:textId="77777777" w:rsidR="00E52274" w:rsidRPr="004F246B" w:rsidRDefault="00E52274" w:rsidP="00ED035A">
            <w:pPr>
              <w:pStyle w:val="Tabletext"/>
            </w:pPr>
            <w:r w:rsidRPr="004F246B">
              <w:t>A polyline showing a more detailed route of the span / The physical route of the link between its endpoints.</w:t>
            </w:r>
          </w:p>
        </w:tc>
      </w:tr>
      <w:tr w:rsidR="00E52274" w:rsidRPr="004F246B" w14:paraId="09B124EA" w14:textId="77777777" w:rsidTr="00ED035A">
        <w:trPr>
          <w:jc w:val="center"/>
        </w:trPr>
        <w:tc>
          <w:tcPr>
            <w:tcW w:w="3212" w:type="dxa"/>
          </w:tcPr>
          <w:p w14:paraId="4A1CF10F" w14:textId="77777777" w:rsidR="00E52274" w:rsidRPr="00454EDF" w:rsidRDefault="00E52274" w:rsidP="00ED035A">
            <w:pPr>
              <w:pStyle w:val="Tabletext"/>
              <w:rPr>
                <w:b/>
                <w:bCs/>
                <w:lang w:val="it-IT"/>
              </w:rPr>
            </w:pPr>
            <w:r w:rsidRPr="00454EDF">
              <w:rPr>
                <w:b/>
                <w:bCs/>
                <w:lang w:val="it-IT"/>
              </w:rPr>
              <w:t>Multi-protocol label switching (MPLS)</w:t>
            </w:r>
          </w:p>
        </w:tc>
        <w:tc>
          <w:tcPr>
            <w:tcW w:w="6427" w:type="dxa"/>
          </w:tcPr>
          <w:p w14:paraId="53589DF8" w14:textId="77777777" w:rsidR="00E52274" w:rsidRPr="004F246B" w:rsidRDefault="00E52274" w:rsidP="00ED035A">
            <w:pPr>
              <w:pStyle w:val="Tabletext"/>
            </w:pPr>
            <w:r w:rsidRPr="004F246B">
              <w:t>A routing technique that directs data from one node to the next based on labels rather than network addresses.</w:t>
            </w:r>
          </w:p>
        </w:tc>
      </w:tr>
      <w:tr w:rsidR="00E52274" w:rsidRPr="004F246B" w14:paraId="551E753A" w14:textId="77777777" w:rsidTr="00ED035A">
        <w:trPr>
          <w:jc w:val="center"/>
        </w:trPr>
        <w:tc>
          <w:tcPr>
            <w:tcW w:w="3212" w:type="dxa"/>
          </w:tcPr>
          <w:p w14:paraId="6BE1D51C" w14:textId="77777777" w:rsidR="00E52274" w:rsidRPr="00454EDF" w:rsidRDefault="00E52274" w:rsidP="00ED035A">
            <w:pPr>
              <w:pStyle w:val="Tabletext"/>
              <w:rPr>
                <w:b/>
                <w:bCs/>
              </w:rPr>
            </w:pPr>
            <w:r w:rsidRPr="00454EDF">
              <w:rPr>
                <w:b/>
                <w:bCs/>
              </w:rPr>
              <w:t>Network</w:t>
            </w:r>
          </w:p>
        </w:tc>
        <w:tc>
          <w:tcPr>
            <w:tcW w:w="6427" w:type="dxa"/>
          </w:tcPr>
          <w:p w14:paraId="51B9848A" w14:textId="77777777" w:rsidR="00E52274" w:rsidRPr="004F246B" w:rsidRDefault="00E52274" w:rsidP="00ED035A">
            <w:pPr>
              <w:pStyle w:val="Tabletext"/>
            </w:pPr>
            <w:r w:rsidRPr="004F246B">
              <w:t>A telecommunication network. A network consists of a set of nodes interconnected by links.</w:t>
            </w:r>
          </w:p>
        </w:tc>
      </w:tr>
      <w:tr w:rsidR="00E52274" w:rsidRPr="004F246B" w14:paraId="0206FD38" w14:textId="77777777" w:rsidTr="00ED035A">
        <w:trPr>
          <w:jc w:val="center"/>
        </w:trPr>
        <w:tc>
          <w:tcPr>
            <w:tcW w:w="3212" w:type="dxa"/>
          </w:tcPr>
          <w:p w14:paraId="0C841CC6" w14:textId="77777777" w:rsidR="00E52274" w:rsidRPr="00454EDF" w:rsidRDefault="00E52274" w:rsidP="00ED035A">
            <w:pPr>
              <w:pStyle w:val="Tabletext"/>
              <w:rPr>
                <w:b/>
                <w:bCs/>
              </w:rPr>
            </w:pPr>
            <w:r w:rsidRPr="00454EDF">
              <w:rPr>
                <w:b/>
                <w:bCs/>
              </w:rPr>
              <w:t>Network phase</w:t>
            </w:r>
          </w:p>
        </w:tc>
        <w:tc>
          <w:tcPr>
            <w:tcW w:w="6427" w:type="dxa"/>
          </w:tcPr>
          <w:p w14:paraId="43507E38" w14:textId="77777777" w:rsidR="00E52274" w:rsidRPr="004F246B" w:rsidRDefault="00E52274" w:rsidP="00ED035A">
            <w:pPr>
              <w:pStyle w:val="Tabletext"/>
            </w:pPr>
            <w:r w:rsidRPr="004F246B">
              <w:t>A set of nodes and/or links deployed as a group.</w:t>
            </w:r>
          </w:p>
        </w:tc>
      </w:tr>
      <w:tr w:rsidR="00E52274" w:rsidRPr="004F246B" w14:paraId="4F98FCAA" w14:textId="77777777" w:rsidTr="00ED035A">
        <w:trPr>
          <w:jc w:val="center"/>
        </w:trPr>
        <w:tc>
          <w:tcPr>
            <w:tcW w:w="3212" w:type="dxa"/>
          </w:tcPr>
          <w:p w14:paraId="612CFCC6" w14:textId="77777777" w:rsidR="00E52274" w:rsidRPr="00454EDF" w:rsidRDefault="00E52274" w:rsidP="00ED035A">
            <w:pPr>
              <w:pStyle w:val="Tabletext"/>
              <w:rPr>
                <w:b/>
                <w:bCs/>
              </w:rPr>
            </w:pPr>
            <w:r w:rsidRPr="00454EDF">
              <w:rPr>
                <w:b/>
                <w:bCs/>
              </w:rPr>
              <w:t>Node services</w:t>
            </w:r>
          </w:p>
        </w:tc>
        <w:tc>
          <w:tcPr>
            <w:tcW w:w="6427" w:type="dxa"/>
          </w:tcPr>
          <w:p w14:paraId="15EA10F3" w14:textId="77777777" w:rsidR="00E52274" w:rsidRPr="004F246B" w:rsidRDefault="00E52274" w:rsidP="00ED035A">
            <w:pPr>
              <w:pStyle w:val="Tabletext"/>
            </w:pPr>
            <w:r w:rsidRPr="004F246B">
              <w:t>The services available at the endpoint, using the open node services codelist.</w:t>
            </w:r>
          </w:p>
        </w:tc>
      </w:tr>
      <w:tr w:rsidR="00E52274" w:rsidRPr="004F246B" w14:paraId="704E00B8" w14:textId="77777777" w:rsidTr="00ED035A">
        <w:trPr>
          <w:jc w:val="center"/>
        </w:trPr>
        <w:tc>
          <w:tcPr>
            <w:tcW w:w="3212" w:type="dxa"/>
          </w:tcPr>
          <w:p w14:paraId="3B21DD0D" w14:textId="77777777" w:rsidR="00E52274" w:rsidRPr="00454EDF" w:rsidRDefault="00E52274" w:rsidP="00ED035A">
            <w:pPr>
              <w:pStyle w:val="Tabletext"/>
              <w:rPr>
                <w:b/>
                <w:bCs/>
              </w:rPr>
            </w:pPr>
            <w:r w:rsidRPr="00454EDF">
              <w:rPr>
                <w:b/>
                <w:bCs/>
              </w:rPr>
              <w:t>Node type: add drop site</w:t>
            </w:r>
          </w:p>
        </w:tc>
        <w:tc>
          <w:tcPr>
            <w:tcW w:w="6427" w:type="dxa"/>
          </w:tcPr>
          <w:p w14:paraId="1D2A06A7" w14:textId="77777777" w:rsidR="00E52274" w:rsidRPr="004F246B" w:rsidRDefault="00E52274" w:rsidP="00ED035A">
            <w:pPr>
              <w:pStyle w:val="Tabletext"/>
            </w:pPr>
            <w:r w:rsidRPr="004F246B">
              <w:t>A point at which individual digital bit streams can be added to or dropped from a multiplexed signal in order to redirect bit streams between network paths.</w:t>
            </w:r>
          </w:p>
        </w:tc>
      </w:tr>
      <w:tr w:rsidR="00E52274" w:rsidRPr="004F246B" w14:paraId="315B2EA6" w14:textId="77777777" w:rsidTr="00ED035A">
        <w:trPr>
          <w:jc w:val="center"/>
        </w:trPr>
        <w:tc>
          <w:tcPr>
            <w:tcW w:w="3212" w:type="dxa"/>
          </w:tcPr>
          <w:p w14:paraId="7B7E7AB1" w14:textId="77777777" w:rsidR="00E52274" w:rsidRPr="00454EDF" w:rsidRDefault="00E52274" w:rsidP="00ED035A">
            <w:pPr>
              <w:pStyle w:val="Tabletext"/>
              <w:rPr>
                <w:b/>
                <w:bCs/>
              </w:rPr>
            </w:pPr>
            <w:r w:rsidRPr="00454EDF">
              <w:rPr>
                <w:b/>
                <w:bCs/>
              </w:rPr>
              <w:t>Node type: aggregation</w:t>
            </w:r>
          </w:p>
        </w:tc>
        <w:tc>
          <w:tcPr>
            <w:tcW w:w="6427" w:type="dxa"/>
          </w:tcPr>
          <w:p w14:paraId="3E35CF36" w14:textId="77777777" w:rsidR="00E52274" w:rsidRPr="004F246B" w:rsidRDefault="00E52274" w:rsidP="00ED035A">
            <w:pPr>
              <w:pStyle w:val="Tabletext"/>
            </w:pPr>
            <w:r w:rsidRPr="004F246B">
              <w:t>A point at which multiple fibre optic cables are spliced together. Typically located between an exchange or POP and GPON splitters or customer premises.</w:t>
            </w:r>
          </w:p>
        </w:tc>
      </w:tr>
      <w:tr w:rsidR="00E52274" w:rsidRPr="004F246B" w14:paraId="4A69F576" w14:textId="77777777" w:rsidTr="00ED035A">
        <w:trPr>
          <w:jc w:val="center"/>
        </w:trPr>
        <w:tc>
          <w:tcPr>
            <w:tcW w:w="3212" w:type="dxa"/>
          </w:tcPr>
          <w:p w14:paraId="12195C97" w14:textId="77777777" w:rsidR="00E52274" w:rsidRPr="00454EDF" w:rsidRDefault="00E52274" w:rsidP="00ED035A">
            <w:pPr>
              <w:pStyle w:val="Tabletext"/>
              <w:rPr>
                <w:b/>
                <w:bCs/>
              </w:rPr>
            </w:pPr>
            <w:r w:rsidRPr="00454EDF">
              <w:rPr>
                <w:b/>
                <w:bCs/>
              </w:rPr>
              <w:t>Node type: Cabinet</w:t>
            </w:r>
          </w:p>
        </w:tc>
        <w:tc>
          <w:tcPr>
            <w:tcW w:w="6427" w:type="dxa"/>
          </w:tcPr>
          <w:p w14:paraId="7201CEDD" w14:textId="77777777" w:rsidR="00E52274" w:rsidRPr="004F246B" w:rsidRDefault="00E52274" w:rsidP="00ED035A">
            <w:pPr>
              <w:pStyle w:val="Tabletext"/>
            </w:pPr>
            <w:r w:rsidRPr="004F246B">
              <w:t>A distribution cabinet to which end users are connected by a standard phone line.</w:t>
            </w:r>
          </w:p>
        </w:tc>
      </w:tr>
      <w:tr w:rsidR="00E52274" w:rsidRPr="004F246B" w14:paraId="1B27BCAE" w14:textId="77777777" w:rsidTr="00ED035A">
        <w:trPr>
          <w:jc w:val="center"/>
        </w:trPr>
        <w:tc>
          <w:tcPr>
            <w:tcW w:w="3212" w:type="dxa"/>
          </w:tcPr>
          <w:p w14:paraId="5DFA8F66" w14:textId="77777777" w:rsidR="00E52274" w:rsidRPr="00454EDF" w:rsidRDefault="00E52274" w:rsidP="00ED035A">
            <w:pPr>
              <w:pStyle w:val="Tabletext"/>
              <w:rPr>
                <w:b/>
                <w:bCs/>
              </w:rPr>
            </w:pPr>
            <w:r w:rsidRPr="00454EDF">
              <w:rPr>
                <w:b/>
                <w:bCs/>
              </w:rPr>
              <w:lastRenderedPageBreak/>
              <w:t>Node type: cable landing</w:t>
            </w:r>
          </w:p>
        </w:tc>
        <w:tc>
          <w:tcPr>
            <w:tcW w:w="6427" w:type="dxa"/>
          </w:tcPr>
          <w:p w14:paraId="705C2C98" w14:textId="77777777" w:rsidR="00E52274" w:rsidRPr="004F246B" w:rsidRDefault="00E52274" w:rsidP="00ED035A">
            <w:pPr>
              <w:pStyle w:val="Tabletext"/>
            </w:pPr>
            <w:r w:rsidRPr="004F246B">
              <w:t>The location where a submarine or other underwater cable makes landfall.</w:t>
            </w:r>
          </w:p>
        </w:tc>
      </w:tr>
      <w:tr w:rsidR="00E52274" w:rsidRPr="004F246B" w14:paraId="5616A45A" w14:textId="77777777" w:rsidTr="00ED035A">
        <w:trPr>
          <w:jc w:val="center"/>
        </w:trPr>
        <w:tc>
          <w:tcPr>
            <w:tcW w:w="3212" w:type="dxa"/>
          </w:tcPr>
          <w:p w14:paraId="5E7E239E" w14:textId="77777777" w:rsidR="00E52274" w:rsidRPr="00454EDF" w:rsidRDefault="00E52274" w:rsidP="00ED035A">
            <w:pPr>
              <w:pStyle w:val="Tabletext"/>
              <w:rPr>
                <w:b/>
                <w:bCs/>
              </w:rPr>
            </w:pPr>
            <w:r w:rsidRPr="00454EDF">
              <w:rPr>
                <w:b/>
                <w:bCs/>
              </w:rPr>
              <w:t>Node type: CAI</w:t>
            </w:r>
          </w:p>
        </w:tc>
        <w:tc>
          <w:tcPr>
            <w:tcW w:w="6427" w:type="dxa"/>
          </w:tcPr>
          <w:p w14:paraId="28295E62" w14:textId="77777777" w:rsidR="00E52274" w:rsidRPr="004F246B" w:rsidRDefault="00E52274" w:rsidP="00ED035A">
            <w:pPr>
              <w:pStyle w:val="Tabletext"/>
            </w:pPr>
            <w:r w:rsidRPr="004F246B">
              <w:t>Community anchor institution.</w:t>
            </w:r>
          </w:p>
        </w:tc>
      </w:tr>
      <w:tr w:rsidR="00E52274" w:rsidRPr="004F246B" w14:paraId="3BB392CC" w14:textId="77777777" w:rsidTr="00ED035A">
        <w:trPr>
          <w:jc w:val="center"/>
        </w:trPr>
        <w:tc>
          <w:tcPr>
            <w:tcW w:w="3212" w:type="dxa"/>
          </w:tcPr>
          <w:p w14:paraId="3DABE6DD" w14:textId="77777777" w:rsidR="00E52274" w:rsidRPr="00454EDF" w:rsidRDefault="00E52274" w:rsidP="00ED035A">
            <w:pPr>
              <w:pStyle w:val="Tabletext"/>
              <w:rPr>
                <w:b/>
                <w:bCs/>
              </w:rPr>
            </w:pPr>
            <w:r w:rsidRPr="00454EDF">
              <w:rPr>
                <w:b/>
                <w:bCs/>
              </w:rPr>
              <w:t>Node type: chamber</w:t>
            </w:r>
          </w:p>
        </w:tc>
        <w:tc>
          <w:tcPr>
            <w:tcW w:w="6427" w:type="dxa"/>
          </w:tcPr>
          <w:p w14:paraId="06C481C8" w14:textId="77777777" w:rsidR="00E52274" w:rsidRPr="004F246B" w:rsidRDefault="00E52274" w:rsidP="00ED035A">
            <w:pPr>
              <w:pStyle w:val="Tabletext"/>
            </w:pPr>
            <w:r w:rsidRPr="004F246B">
              <w:t>An optical cable connection chamber. Normally used to house splice closures or excess fibre optic cable.</w:t>
            </w:r>
          </w:p>
        </w:tc>
      </w:tr>
      <w:tr w:rsidR="00E52274" w:rsidRPr="004F246B" w14:paraId="0C4BE393" w14:textId="77777777" w:rsidTr="00ED035A">
        <w:trPr>
          <w:jc w:val="center"/>
        </w:trPr>
        <w:tc>
          <w:tcPr>
            <w:tcW w:w="3212" w:type="dxa"/>
          </w:tcPr>
          <w:p w14:paraId="73137E56" w14:textId="77777777" w:rsidR="00E52274" w:rsidRPr="00454EDF" w:rsidRDefault="00E52274" w:rsidP="00ED035A">
            <w:pPr>
              <w:pStyle w:val="Tabletext"/>
              <w:rPr>
                <w:b/>
                <w:bCs/>
              </w:rPr>
            </w:pPr>
            <w:r w:rsidRPr="00454EDF">
              <w:rPr>
                <w:b/>
                <w:bCs/>
              </w:rPr>
              <w:t>Node type: exchange</w:t>
            </w:r>
          </w:p>
        </w:tc>
        <w:tc>
          <w:tcPr>
            <w:tcW w:w="6427" w:type="dxa"/>
          </w:tcPr>
          <w:p w14:paraId="4DE2AE77" w14:textId="77777777" w:rsidR="00E52274" w:rsidRPr="004F246B" w:rsidRDefault="00E52274" w:rsidP="00ED035A">
            <w:pPr>
              <w:pStyle w:val="Tabletext"/>
            </w:pPr>
            <w:r w:rsidRPr="004F246B">
              <w:t>A telephone exchange.</w:t>
            </w:r>
          </w:p>
        </w:tc>
      </w:tr>
      <w:tr w:rsidR="00E52274" w:rsidRPr="004F246B" w14:paraId="427E80E6" w14:textId="77777777" w:rsidTr="00ED035A">
        <w:trPr>
          <w:jc w:val="center"/>
        </w:trPr>
        <w:tc>
          <w:tcPr>
            <w:tcW w:w="3212" w:type="dxa"/>
          </w:tcPr>
          <w:p w14:paraId="566637CC" w14:textId="77777777" w:rsidR="00E52274" w:rsidRPr="00454EDF" w:rsidRDefault="00E52274" w:rsidP="00ED035A">
            <w:pPr>
              <w:pStyle w:val="Tabletext"/>
              <w:rPr>
                <w:b/>
                <w:bCs/>
              </w:rPr>
            </w:pPr>
            <w:r w:rsidRPr="00454EDF">
              <w:rPr>
                <w:b/>
                <w:bCs/>
              </w:rPr>
              <w:t>Node type: peering point</w:t>
            </w:r>
          </w:p>
        </w:tc>
        <w:tc>
          <w:tcPr>
            <w:tcW w:w="6427" w:type="dxa"/>
          </w:tcPr>
          <w:p w14:paraId="2A776C32" w14:textId="77777777" w:rsidR="00E52274" w:rsidRPr="004F246B" w:rsidRDefault="00E52274" w:rsidP="00ED035A">
            <w:pPr>
              <w:pStyle w:val="Tabletext"/>
            </w:pPr>
            <w:r w:rsidRPr="004F246B">
              <w:t>A point at which two or more networks agree to exchange their traffic.</w:t>
            </w:r>
          </w:p>
        </w:tc>
      </w:tr>
      <w:tr w:rsidR="00E52274" w:rsidRPr="004F246B" w14:paraId="461603EA" w14:textId="77777777" w:rsidTr="00ED035A">
        <w:trPr>
          <w:jc w:val="center"/>
        </w:trPr>
        <w:tc>
          <w:tcPr>
            <w:tcW w:w="3212" w:type="dxa"/>
          </w:tcPr>
          <w:p w14:paraId="0A23BD04" w14:textId="77777777" w:rsidR="00E52274" w:rsidRPr="00454EDF" w:rsidRDefault="00E52274" w:rsidP="00ED035A">
            <w:pPr>
              <w:pStyle w:val="Tabletext"/>
              <w:rPr>
                <w:b/>
                <w:bCs/>
              </w:rPr>
            </w:pPr>
            <w:r w:rsidRPr="00454EDF">
              <w:rPr>
                <w:b/>
                <w:bCs/>
              </w:rPr>
              <w:t>Node type: point of interconnection</w:t>
            </w:r>
          </w:p>
        </w:tc>
        <w:tc>
          <w:tcPr>
            <w:tcW w:w="6427" w:type="dxa"/>
          </w:tcPr>
          <w:p w14:paraId="1817048B" w14:textId="77777777" w:rsidR="00E52274" w:rsidRPr="004F246B" w:rsidRDefault="00E52274" w:rsidP="00ED035A">
            <w:pPr>
              <w:pStyle w:val="Tabletext"/>
            </w:pPr>
            <w:r w:rsidRPr="004F246B">
              <w:t>A point at which networks interconnect. An interconnection point is a demarcation point between networks.</w:t>
            </w:r>
          </w:p>
        </w:tc>
      </w:tr>
      <w:tr w:rsidR="00E52274" w:rsidRPr="004F246B" w14:paraId="1949E4F6" w14:textId="77777777" w:rsidTr="00ED035A">
        <w:trPr>
          <w:jc w:val="center"/>
        </w:trPr>
        <w:tc>
          <w:tcPr>
            <w:tcW w:w="3212" w:type="dxa"/>
          </w:tcPr>
          <w:p w14:paraId="55A1036B" w14:textId="77777777" w:rsidR="00E52274" w:rsidRPr="00454EDF" w:rsidRDefault="00E52274" w:rsidP="00ED035A">
            <w:pPr>
              <w:pStyle w:val="Tabletext"/>
              <w:rPr>
                <w:b/>
                <w:bCs/>
              </w:rPr>
            </w:pPr>
            <w:r w:rsidRPr="00454EDF">
              <w:rPr>
                <w:b/>
                <w:bCs/>
              </w:rPr>
              <w:t>Node type: point of presence (PoP)</w:t>
            </w:r>
          </w:p>
        </w:tc>
        <w:tc>
          <w:tcPr>
            <w:tcW w:w="6427" w:type="dxa"/>
          </w:tcPr>
          <w:p w14:paraId="1D0D10CA" w14:textId="77777777" w:rsidR="00E52274" w:rsidRPr="004F246B" w:rsidRDefault="00E52274" w:rsidP="00ED035A">
            <w:pPr>
              <w:pStyle w:val="Tabletext"/>
            </w:pPr>
            <w:r w:rsidRPr="004F246B">
              <w:t>A demarcation point, access point, or physical location at which two or more networks or communication devices share a connection.</w:t>
            </w:r>
          </w:p>
        </w:tc>
      </w:tr>
      <w:tr w:rsidR="00E52274" w:rsidRPr="004F246B" w14:paraId="2BA783F0" w14:textId="77777777" w:rsidTr="00ED035A">
        <w:trPr>
          <w:jc w:val="center"/>
        </w:trPr>
        <w:tc>
          <w:tcPr>
            <w:tcW w:w="3212" w:type="dxa"/>
          </w:tcPr>
          <w:p w14:paraId="42E16119" w14:textId="77777777" w:rsidR="00E52274" w:rsidRPr="00454EDF" w:rsidRDefault="00E52274" w:rsidP="00ED035A">
            <w:pPr>
              <w:pStyle w:val="Tabletext"/>
              <w:rPr>
                <w:b/>
                <w:bCs/>
              </w:rPr>
            </w:pPr>
            <w:r w:rsidRPr="00454EDF">
              <w:rPr>
                <w:b/>
                <w:bCs/>
              </w:rPr>
              <w:t>Node type: pole</w:t>
            </w:r>
          </w:p>
        </w:tc>
        <w:tc>
          <w:tcPr>
            <w:tcW w:w="6427" w:type="dxa"/>
          </w:tcPr>
          <w:p w14:paraId="5B56CA9B" w14:textId="77777777" w:rsidR="00E52274" w:rsidRPr="004F246B" w:rsidRDefault="00E52274" w:rsidP="00ED035A">
            <w:pPr>
              <w:pStyle w:val="Tabletext"/>
            </w:pPr>
            <w:r w:rsidRPr="004F246B">
              <w:t>A pole used to support aerial fibre optic cable.</w:t>
            </w:r>
          </w:p>
        </w:tc>
      </w:tr>
      <w:tr w:rsidR="00E52274" w:rsidRPr="004F246B" w14:paraId="0CEBDFA8" w14:textId="77777777" w:rsidTr="00ED035A">
        <w:trPr>
          <w:jc w:val="center"/>
        </w:trPr>
        <w:tc>
          <w:tcPr>
            <w:tcW w:w="3212" w:type="dxa"/>
          </w:tcPr>
          <w:p w14:paraId="547D49AE" w14:textId="77777777" w:rsidR="00E52274" w:rsidRPr="00454EDF" w:rsidRDefault="00E52274" w:rsidP="00ED035A">
            <w:pPr>
              <w:pStyle w:val="Tabletext"/>
              <w:rPr>
                <w:b/>
                <w:bCs/>
              </w:rPr>
            </w:pPr>
            <w:r w:rsidRPr="00454EDF">
              <w:rPr>
                <w:b/>
                <w:bCs/>
              </w:rPr>
              <w:t>Node type: repeater site</w:t>
            </w:r>
          </w:p>
        </w:tc>
        <w:tc>
          <w:tcPr>
            <w:tcW w:w="6427" w:type="dxa"/>
          </w:tcPr>
          <w:p w14:paraId="65807A97" w14:textId="77777777" w:rsidR="00E52274" w:rsidRPr="004F246B" w:rsidRDefault="00E52274" w:rsidP="00ED035A">
            <w:pPr>
              <w:pStyle w:val="Tabletext"/>
            </w:pPr>
            <w:r w:rsidRPr="004F246B">
              <w:t>A site at which fibre optic signals are amplified or repeated. Also known as a regeneration facility.</w:t>
            </w:r>
          </w:p>
        </w:tc>
      </w:tr>
      <w:tr w:rsidR="00E52274" w:rsidRPr="004F246B" w14:paraId="1FD48E61" w14:textId="77777777" w:rsidTr="00ED035A">
        <w:trPr>
          <w:jc w:val="center"/>
        </w:trPr>
        <w:tc>
          <w:tcPr>
            <w:tcW w:w="3212" w:type="dxa"/>
          </w:tcPr>
          <w:p w14:paraId="4FEFD99E" w14:textId="77777777" w:rsidR="00E52274" w:rsidRPr="00454EDF" w:rsidRDefault="00E52274" w:rsidP="00ED035A">
            <w:pPr>
              <w:pStyle w:val="Tabletext"/>
              <w:rPr>
                <w:b/>
                <w:bCs/>
              </w:rPr>
            </w:pPr>
            <w:r w:rsidRPr="00454EDF">
              <w:rPr>
                <w:b/>
                <w:bCs/>
              </w:rPr>
              <w:t>Operational</w:t>
            </w:r>
          </w:p>
        </w:tc>
        <w:tc>
          <w:tcPr>
            <w:tcW w:w="6427" w:type="dxa"/>
          </w:tcPr>
          <w:p w14:paraId="3F7C54F8" w14:textId="77777777" w:rsidR="00E52274" w:rsidRPr="004F246B" w:rsidRDefault="00E52274" w:rsidP="00ED035A">
            <w:pPr>
              <w:pStyle w:val="Tabletext"/>
            </w:pPr>
            <w:r w:rsidRPr="004F246B">
              <w:t>The span is live and carries traffic.</w:t>
            </w:r>
          </w:p>
        </w:tc>
      </w:tr>
      <w:tr w:rsidR="00E52274" w:rsidRPr="004F246B" w14:paraId="59268CB4" w14:textId="77777777" w:rsidTr="00ED035A">
        <w:trPr>
          <w:jc w:val="center"/>
        </w:trPr>
        <w:tc>
          <w:tcPr>
            <w:tcW w:w="3212" w:type="dxa"/>
          </w:tcPr>
          <w:p w14:paraId="3866E260" w14:textId="77777777" w:rsidR="00E52274" w:rsidRPr="00454EDF" w:rsidRDefault="00E52274" w:rsidP="00ED035A">
            <w:pPr>
              <w:pStyle w:val="Tabletext"/>
              <w:rPr>
                <w:b/>
                <w:bCs/>
              </w:rPr>
            </w:pPr>
            <w:r w:rsidRPr="00454EDF">
              <w:rPr>
                <w:b/>
                <w:bCs/>
              </w:rPr>
              <w:t>Operational status</w:t>
            </w:r>
          </w:p>
        </w:tc>
        <w:tc>
          <w:tcPr>
            <w:tcW w:w="6427" w:type="dxa"/>
          </w:tcPr>
          <w:p w14:paraId="5E074D1F" w14:textId="77777777" w:rsidR="00E52274" w:rsidRPr="004F246B" w:rsidRDefault="00E52274" w:rsidP="00ED035A">
            <w:pPr>
              <w:pStyle w:val="Tabletext"/>
            </w:pPr>
            <w:r w:rsidRPr="004F246B">
              <w:t>The status of the network infrastructure.</w:t>
            </w:r>
          </w:p>
        </w:tc>
      </w:tr>
      <w:tr w:rsidR="00E52274" w:rsidRPr="004F246B" w14:paraId="622A0BDE" w14:textId="77777777" w:rsidTr="00ED035A">
        <w:trPr>
          <w:jc w:val="center"/>
        </w:trPr>
        <w:tc>
          <w:tcPr>
            <w:tcW w:w="3212" w:type="dxa"/>
          </w:tcPr>
          <w:p w14:paraId="36F0CB8E" w14:textId="77777777" w:rsidR="00E52274" w:rsidRPr="00454EDF" w:rsidRDefault="00E52274" w:rsidP="00ED035A">
            <w:pPr>
              <w:pStyle w:val="Tabletext"/>
              <w:rPr>
                <w:b/>
                <w:bCs/>
              </w:rPr>
            </w:pPr>
            <w:r w:rsidRPr="00454EDF">
              <w:rPr>
                <w:b/>
                <w:bCs/>
              </w:rPr>
              <w:t>Planned</w:t>
            </w:r>
          </w:p>
        </w:tc>
        <w:tc>
          <w:tcPr>
            <w:tcW w:w="6427" w:type="dxa"/>
          </w:tcPr>
          <w:p w14:paraId="4EBDCB38" w14:textId="77777777" w:rsidR="00E52274" w:rsidRPr="004F246B" w:rsidRDefault="00E52274" w:rsidP="00ED035A">
            <w:pPr>
              <w:pStyle w:val="Tabletext"/>
            </w:pPr>
            <w:r w:rsidRPr="004F246B">
              <w:t>Financing for the link has been arranged. Advanced network plan for which financing has been finalized, but a contract may not yet have been awarded.</w:t>
            </w:r>
          </w:p>
        </w:tc>
      </w:tr>
      <w:tr w:rsidR="00E52274" w:rsidRPr="004F246B" w14:paraId="76F64D42" w14:textId="77777777" w:rsidTr="00ED035A">
        <w:trPr>
          <w:jc w:val="center"/>
        </w:trPr>
        <w:tc>
          <w:tcPr>
            <w:tcW w:w="3212" w:type="dxa"/>
          </w:tcPr>
          <w:p w14:paraId="02162C67" w14:textId="77777777" w:rsidR="00E52274" w:rsidRPr="00454EDF" w:rsidRDefault="00E52274" w:rsidP="00ED035A">
            <w:pPr>
              <w:pStyle w:val="Tabletext"/>
              <w:rPr>
                <w:b/>
                <w:bCs/>
              </w:rPr>
            </w:pPr>
            <w:r w:rsidRPr="00454EDF">
              <w:rPr>
                <w:b/>
                <w:bCs/>
              </w:rPr>
              <w:t>Private</w:t>
            </w:r>
          </w:p>
        </w:tc>
        <w:tc>
          <w:tcPr>
            <w:tcW w:w="6427" w:type="dxa"/>
          </w:tcPr>
          <w:p w14:paraId="27B21C59" w14:textId="77777777" w:rsidR="00E52274" w:rsidRPr="004F246B" w:rsidRDefault="00E52274" w:rsidP="00ED035A">
            <w:pPr>
              <w:pStyle w:val="Tabletext"/>
            </w:pPr>
            <w:r w:rsidRPr="004F246B">
              <w:t>A for-profit business that is not owned or operated by the government.</w:t>
            </w:r>
          </w:p>
        </w:tc>
      </w:tr>
      <w:tr w:rsidR="00E52274" w:rsidRPr="004F246B" w14:paraId="5767CC48" w14:textId="77777777" w:rsidTr="00ED035A">
        <w:trPr>
          <w:jc w:val="center"/>
        </w:trPr>
        <w:tc>
          <w:tcPr>
            <w:tcW w:w="3212" w:type="dxa"/>
          </w:tcPr>
          <w:p w14:paraId="61FEE665" w14:textId="77777777" w:rsidR="00E52274" w:rsidRPr="00454EDF" w:rsidRDefault="00E52274" w:rsidP="00ED035A">
            <w:pPr>
              <w:pStyle w:val="Tabletext"/>
              <w:rPr>
                <w:b/>
                <w:bCs/>
              </w:rPr>
            </w:pPr>
            <w:r w:rsidRPr="00454EDF">
              <w:rPr>
                <w:b/>
                <w:bCs/>
              </w:rPr>
              <w:t>Proposed</w:t>
            </w:r>
          </w:p>
        </w:tc>
        <w:tc>
          <w:tcPr>
            <w:tcW w:w="6427" w:type="dxa"/>
          </w:tcPr>
          <w:p w14:paraId="0AD98FA1" w14:textId="77777777" w:rsidR="00E52274" w:rsidRPr="004F246B" w:rsidRDefault="00E52274" w:rsidP="00ED035A">
            <w:pPr>
              <w:pStyle w:val="Tabletext"/>
            </w:pPr>
            <w:r w:rsidRPr="004F246B">
              <w:t>An early network plan for which financing is being sought.</w:t>
            </w:r>
          </w:p>
        </w:tc>
      </w:tr>
      <w:tr w:rsidR="00E52274" w:rsidRPr="004F246B" w14:paraId="1A6454D3" w14:textId="77777777" w:rsidTr="00ED035A">
        <w:trPr>
          <w:jc w:val="center"/>
        </w:trPr>
        <w:tc>
          <w:tcPr>
            <w:tcW w:w="3212" w:type="dxa"/>
          </w:tcPr>
          <w:p w14:paraId="4414DA38" w14:textId="77777777" w:rsidR="00E52274" w:rsidRPr="00454EDF" w:rsidRDefault="00E52274" w:rsidP="00ED035A">
            <w:pPr>
              <w:pStyle w:val="Tabletext"/>
              <w:rPr>
                <w:b/>
                <w:bCs/>
              </w:rPr>
            </w:pPr>
            <w:r w:rsidRPr="00454EDF">
              <w:rPr>
                <w:b/>
                <w:bCs/>
              </w:rPr>
              <w:t>Public private partnership (PPP)</w:t>
            </w:r>
          </w:p>
        </w:tc>
        <w:tc>
          <w:tcPr>
            <w:tcW w:w="6427" w:type="dxa"/>
          </w:tcPr>
          <w:p w14:paraId="6F047E0B" w14:textId="77777777" w:rsidR="00E52274" w:rsidRPr="004F246B" w:rsidRDefault="00E52274" w:rsidP="00ED035A">
            <w:pPr>
              <w:pStyle w:val="Tabletext"/>
            </w:pPr>
            <w:r w:rsidRPr="004F246B">
              <w:t>A long-term contract between a private party and a government entity, for providing a public asset or service, in which the private party bears significant risk and management responsibility and remuneration is linked to performance.</w:t>
            </w:r>
          </w:p>
        </w:tc>
      </w:tr>
      <w:tr w:rsidR="00E52274" w:rsidRPr="004F246B" w14:paraId="49F8DB39" w14:textId="77777777" w:rsidTr="00ED035A">
        <w:trPr>
          <w:jc w:val="center"/>
        </w:trPr>
        <w:tc>
          <w:tcPr>
            <w:tcW w:w="3212" w:type="dxa"/>
          </w:tcPr>
          <w:p w14:paraId="1616DAA0" w14:textId="77777777" w:rsidR="00E52274" w:rsidRPr="00454EDF" w:rsidRDefault="00E52274" w:rsidP="00ED035A">
            <w:pPr>
              <w:pStyle w:val="Tabletext"/>
              <w:rPr>
                <w:b/>
                <w:bCs/>
              </w:rPr>
            </w:pPr>
            <w:r w:rsidRPr="00454EDF">
              <w:rPr>
                <w:b/>
                <w:bCs/>
              </w:rPr>
              <w:t>Service providers</w:t>
            </w:r>
          </w:p>
        </w:tc>
        <w:tc>
          <w:tcPr>
            <w:tcW w:w="6427" w:type="dxa"/>
          </w:tcPr>
          <w:p w14:paraId="05CDF9E8" w14:textId="295C684C" w:rsidR="00E52274" w:rsidRPr="004F246B" w:rsidRDefault="00E52274" w:rsidP="00ED035A">
            <w:pPr>
              <w:pStyle w:val="Tabletext"/>
            </w:pPr>
            <w:r w:rsidRPr="004F246B">
              <w:t>Sells services (e.g.</w:t>
            </w:r>
            <w:r w:rsidR="00773154">
              <w:t>,</w:t>
            </w:r>
            <w:r w:rsidRPr="004F246B">
              <w:t xml:space="preserve"> Internet, TV, telephony, etc.) to the end user.</w:t>
            </w:r>
          </w:p>
        </w:tc>
      </w:tr>
      <w:tr w:rsidR="00E52274" w:rsidRPr="004F246B" w14:paraId="79261C03" w14:textId="77777777" w:rsidTr="00ED035A">
        <w:trPr>
          <w:jc w:val="center"/>
        </w:trPr>
        <w:tc>
          <w:tcPr>
            <w:tcW w:w="3212" w:type="dxa"/>
          </w:tcPr>
          <w:p w14:paraId="6AFEFE69" w14:textId="77777777" w:rsidR="00E52274" w:rsidRPr="00454EDF" w:rsidRDefault="00E52274" w:rsidP="00ED035A">
            <w:pPr>
              <w:pStyle w:val="Tabletext"/>
              <w:rPr>
                <w:b/>
                <w:bCs/>
              </w:rPr>
            </w:pPr>
            <w:r w:rsidRPr="00454EDF">
              <w:rPr>
                <w:b/>
                <w:bCs/>
              </w:rPr>
              <w:t>Synchronous optical networking (SONET)</w:t>
            </w:r>
          </w:p>
        </w:tc>
        <w:tc>
          <w:tcPr>
            <w:tcW w:w="6427" w:type="dxa"/>
          </w:tcPr>
          <w:p w14:paraId="5372E0C7" w14:textId="77777777" w:rsidR="00E52274" w:rsidRPr="004F246B" w:rsidRDefault="00E52274" w:rsidP="00ED035A">
            <w:pPr>
              <w:pStyle w:val="Tabletext"/>
            </w:pPr>
            <w:r w:rsidRPr="004F246B">
              <w:t>A standardized protocol for transferring multiple digital bit streams synchronously over optical fibre. SONET is used in the US and Canada.</w:t>
            </w:r>
          </w:p>
        </w:tc>
      </w:tr>
      <w:tr w:rsidR="00E52274" w:rsidRPr="004F246B" w14:paraId="40A432FE" w14:textId="77777777" w:rsidTr="00ED035A">
        <w:trPr>
          <w:jc w:val="center"/>
        </w:trPr>
        <w:tc>
          <w:tcPr>
            <w:tcW w:w="3212" w:type="dxa"/>
          </w:tcPr>
          <w:p w14:paraId="460DAA9B" w14:textId="77777777" w:rsidR="00E52274" w:rsidRPr="00454EDF" w:rsidRDefault="00E52274" w:rsidP="00ED035A">
            <w:pPr>
              <w:pStyle w:val="Tabletext"/>
              <w:rPr>
                <w:b/>
                <w:bCs/>
              </w:rPr>
            </w:pPr>
            <w:r w:rsidRPr="00454EDF">
              <w:rPr>
                <w:b/>
                <w:bCs/>
              </w:rPr>
              <w:t>Span</w:t>
            </w:r>
          </w:p>
        </w:tc>
        <w:tc>
          <w:tcPr>
            <w:tcW w:w="6427" w:type="dxa"/>
          </w:tcPr>
          <w:p w14:paraId="1556DE8B" w14:textId="77777777" w:rsidR="00E52274" w:rsidRPr="004F246B" w:rsidRDefault="00E52274" w:rsidP="00ED035A">
            <w:pPr>
              <w:pStyle w:val="Tabletext"/>
            </w:pPr>
            <w:r w:rsidRPr="004F246B">
              <w:t>A direct physical connection between two nodes.</w:t>
            </w:r>
          </w:p>
        </w:tc>
      </w:tr>
      <w:tr w:rsidR="00E52274" w:rsidRPr="004F246B" w14:paraId="4A80A70C" w14:textId="77777777" w:rsidTr="00ED035A">
        <w:trPr>
          <w:jc w:val="center"/>
        </w:trPr>
        <w:tc>
          <w:tcPr>
            <w:tcW w:w="3212" w:type="dxa"/>
          </w:tcPr>
          <w:p w14:paraId="76451276" w14:textId="77777777" w:rsidR="00E52274" w:rsidRPr="00454EDF" w:rsidRDefault="00E52274" w:rsidP="00ED035A">
            <w:pPr>
              <w:pStyle w:val="Tabletext"/>
              <w:rPr>
                <w:b/>
                <w:bCs/>
              </w:rPr>
            </w:pPr>
            <w:r w:rsidRPr="00454EDF">
              <w:rPr>
                <w:b/>
                <w:bCs/>
              </w:rPr>
              <w:t>Synchronous digital hierarchy (SDH)</w:t>
            </w:r>
          </w:p>
        </w:tc>
        <w:tc>
          <w:tcPr>
            <w:tcW w:w="6427" w:type="dxa"/>
          </w:tcPr>
          <w:p w14:paraId="52E2310D" w14:textId="77777777" w:rsidR="00E52274" w:rsidRPr="004F246B" w:rsidRDefault="00E52274" w:rsidP="00ED035A">
            <w:pPr>
              <w:pStyle w:val="Tabletext"/>
            </w:pPr>
            <w:r w:rsidRPr="004F246B">
              <w:t>A group of fibre optic transmission rates that transport digital signals with different capacities.</w:t>
            </w:r>
          </w:p>
        </w:tc>
      </w:tr>
      <w:tr w:rsidR="00E52274" w:rsidRPr="004F246B" w14:paraId="66011FE9" w14:textId="77777777" w:rsidTr="00ED035A">
        <w:trPr>
          <w:jc w:val="center"/>
        </w:trPr>
        <w:tc>
          <w:tcPr>
            <w:tcW w:w="3212" w:type="dxa"/>
          </w:tcPr>
          <w:p w14:paraId="449563B5" w14:textId="77777777" w:rsidR="00E52274" w:rsidRPr="00454EDF" w:rsidRDefault="00E52274" w:rsidP="00ED035A">
            <w:pPr>
              <w:pStyle w:val="Tabletext"/>
              <w:rPr>
                <w:b/>
                <w:bCs/>
              </w:rPr>
            </w:pPr>
            <w:r w:rsidRPr="00454EDF">
              <w:rPr>
                <w:b/>
                <w:bCs/>
              </w:rPr>
              <w:t>Tower</w:t>
            </w:r>
          </w:p>
        </w:tc>
        <w:tc>
          <w:tcPr>
            <w:tcW w:w="6427" w:type="dxa"/>
          </w:tcPr>
          <w:p w14:paraId="321EE342" w14:textId="77777777" w:rsidR="00E52274" w:rsidRPr="004F246B" w:rsidRDefault="00E52274" w:rsidP="00ED035A">
            <w:pPr>
              <w:pStyle w:val="Tabletext"/>
            </w:pPr>
            <w:r w:rsidRPr="004F246B">
              <w:t>A self-supporting or cantilevered structure, while a mast is held up by stays or guys. A mast is a ground-based or rooftop structure that supports antennas at a height where they can satisfactorily send or receive radio waves.</w:t>
            </w:r>
          </w:p>
        </w:tc>
      </w:tr>
      <w:tr w:rsidR="00E52274" w:rsidRPr="004F246B" w14:paraId="018E231D" w14:textId="77777777" w:rsidTr="00ED035A">
        <w:trPr>
          <w:jc w:val="center"/>
        </w:trPr>
        <w:tc>
          <w:tcPr>
            <w:tcW w:w="3212" w:type="dxa"/>
          </w:tcPr>
          <w:p w14:paraId="54320BAE" w14:textId="77777777" w:rsidR="00E52274" w:rsidRPr="00454EDF" w:rsidRDefault="00E52274" w:rsidP="00ED035A">
            <w:pPr>
              <w:pStyle w:val="Tabletext"/>
              <w:rPr>
                <w:b/>
                <w:bCs/>
              </w:rPr>
            </w:pPr>
            <w:r w:rsidRPr="00454EDF">
              <w:rPr>
                <w:b/>
                <w:bCs/>
              </w:rPr>
              <w:t>Under construction</w:t>
            </w:r>
          </w:p>
        </w:tc>
        <w:tc>
          <w:tcPr>
            <w:tcW w:w="6427" w:type="dxa"/>
          </w:tcPr>
          <w:p w14:paraId="1EF6EA7B" w14:textId="77777777" w:rsidR="00E52274" w:rsidRPr="004F246B" w:rsidRDefault="00E52274" w:rsidP="00ED035A">
            <w:pPr>
              <w:pStyle w:val="Tabletext"/>
            </w:pPr>
            <w:r w:rsidRPr="004F246B">
              <w:t>The span is in the process of being physically deployed.</w:t>
            </w:r>
          </w:p>
        </w:tc>
      </w:tr>
      <w:tr w:rsidR="00ED035A" w:rsidRPr="004F246B" w14:paraId="251B7BEB" w14:textId="77777777" w:rsidTr="00E443F4">
        <w:trPr>
          <w:jc w:val="center"/>
        </w:trPr>
        <w:tc>
          <w:tcPr>
            <w:tcW w:w="9639" w:type="dxa"/>
            <w:gridSpan w:val="2"/>
          </w:tcPr>
          <w:p w14:paraId="7C42AE09" w14:textId="46584791" w:rsidR="00ED035A" w:rsidRPr="004F246B" w:rsidRDefault="00454EDF" w:rsidP="00ED035A">
            <w:pPr>
              <w:pStyle w:val="Tabletext"/>
            </w:pPr>
            <w:r w:rsidRPr="001822D5">
              <w:t>Source: Table on glossary for the Standard.</w:t>
            </w:r>
            <w:r>
              <w:t xml:space="preserve"> </w:t>
            </w:r>
            <w:hyperlink r:id="rId65" w:history="1">
              <w:r w:rsidRPr="004F246B">
                <w:rPr>
                  <w:rStyle w:val="Hyperlink"/>
                  <w:kern w:val="2"/>
                  <w:szCs w:val="22"/>
                  <w14:ligatures w14:val="standardContextual"/>
                </w:rPr>
                <w:t>https://documents1.worldbank.org/curated/en/099063023160023332/pdf/P1761460fac12e0b09cb90f26880158a4f.pdf</w:t>
              </w:r>
            </w:hyperlink>
            <w:r>
              <w:t>.</w:t>
            </w:r>
          </w:p>
        </w:tc>
      </w:tr>
    </w:tbl>
    <w:p w14:paraId="263A8418" w14:textId="2F3A422D" w:rsidR="005700F8" w:rsidRDefault="005700F8" w:rsidP="007C62AC">
      <w:r>
        <w:br w:type="page"/>
      </w:r>
    </w:p>
    <w:p w14:paraId="4FEFF638" w14:textId="77777777" w:rsidR="005700F8" w:rsidRPr="004F246B" w:rsidRDefault="005700F8" w:rsidP="005700F8">
      <w:pPr>
        <w:pStyle w:val="AppendixNoTitle"/>
      </w:pPr>
      <w:bookmarkStart w:id="99" w:name="_Toc239238931"/>
      <w:bookmarkStart w:id="100" w:name="_Toc239239756"/>
      <w:bookmarkStart w:id="101" w:name="_Toc239248549"/>
      <w:r>
        <w:lastRenderedPageBreak/>
        <w:t>Bibliography</w:t>
      </w:r>
      <w:bookmarkEnd w:id="99"/>
      <w:bookmarkEnd w:id="100"/>
      <w:bookmarkEnd w:id="101"/>
    </w:p>
    <w:p w14:paraId="43C59BCF" w14:textId="77777777" w:rsidR="005700F8" w:rsidRDefault="005700F8" w:rsidP="005700F8">
      <w:pPr>
        <w:spacing w:before="0" w:after="160" w:line="259" w:lineRule="auto"/>
        <w:rPr>
          <w:kern w:val="2"/>
          <w:sz w:val="22"/>
          <w:szCs w:val="22"/>
          <w14:ligatures w14:val="standardContextual"/>
        </w:rPr>
      </w:pPr>
    </w:p>
    <w:p w14:paraId="3AFBCF53" w14:textId="77777777" w:rsidR="005700F8" w:rsidRPr="00303062" w:rsidRDefault="005700F8" w:rsidP="005700F8">
      <w:pPr>
        <w:pStyle w:val="Reftext"/>
        <w:tabs>
          <w:tab w:val="clear" w:pos="1588"/>
          <w:tab w:val="clear" w:pos="1985"/>
        </w:tabs>
        <w:ind w:left="2880" w:hanging="2880"/>
        <w:rPr>
          <w:szCs w:val="24"/>
        </w:rPr>
      </w:pPr>
      <w:r w:rsidRPr="00303062">
        <w:rPr>
          <w:szCs w:val="24"/>
        </w:rPr>
        <w:t>[b-ITU 2018]</w:t>
      </w:r>
      <w:r w:rsidRPr="00303062">
        <w:rPr>
          <w:szCs w:val="24"/>
        </w:rPr>
        <w:tab/>
        <w:t xml:space="preserve">International Telecommunication Union (ITU), (2020), </w:t>
      </w:r>
      <w:r w:rsidRPr="00303062">
        <w:rPr>
          <w:i/>
          <w:iCs/>
          <w:szCs w:val="24"/>
        </w:rPr>
        <w:t>Infrastructure Sharing in Telecommunications: Issues and Best Practices</w:t>
      </w:r>
      <w:r w:rsidRPr="00303062">
        <w:rPr>
          <w:szCs w:val="24"/>
        </w:rPr>
        <w:t>.</w:t>
      </w:r>
    </w:p>
    <w:p w14:paraId="694D6F81" w14:textId="77777777" w:rsidR="005700F8" w:rsidRPr="00303062" w:rsidRDefault="005700F8" w:rsidP="005700F8">
      <w:pPr>
        <w:pStyle w:val="Reftext"/>
        <w:tabs>
          <w:tab w:val="clear" w:pos="1588"/>
          <w:tab w:val="clear" w:pos="1985"/>
        </w:tabs>
        <w:ind w:left="2880" w:hanging="2880"/>
        <w:rPr>
          <w:szCs w:val="24"/>
        </w:rPr>
      </w:pPr>
      <w:r w:rsidRPr="00303062">
        <w:rPr>
          <w:szCs w:val="24"/>
        </w:rPr>
        <w:t>[b-ITU 2020a]</w:t>
      </w:r>
      <w:r w:rsidRPr="00303062">
        <w:rPr>
          <w:szCs w:val="24"/>
        </w:rPr>
        <w:tab/>
        <w:t xml:space="preserve">International Telecommunication Union (ITU), (2020), </w:t>
      </w:r>
      <w:r w:rsidRPr="00303062">
        <w:rPr>
          <w:i/>
          <w:iCs/>
          <w:szCs w:val="24"/>
        </w:rPr>
        <w:t>Spectrum Management for Mobile Broadband</w:t>
      </w:r>
      <w:r w:rsidRPr="00303062">
        <w:rPr>
          <w:szCs w:val="24"/>
        </w:rPr>
        <w:t>.</w:t>
      </w:r>
    </w:p>
    <w:p w14:paraId="5ABB8539" w14:textId="10CE7D50" w:rsidR="005700F8" w:rsidRPr="00303062" w:rsidRDefault="005700F8" w:rsidP="005700F8">
      <w:pPr>
        <w:pStyle w:val="Reftext"/>
        <w:tabs>
          <w:tab w:val="clear" w:pos="1588"/>
          <w:tab w:val="clear" w:pos="1985"/>
        </w:tabs>
        <w:ind w:left="2880" w:hanging="2880"/>
        <w:rPr>
          <w:rFonts w:ascii="Arial" w:hAnsi="Arial" w:cs="Arial"/>
          <w:szCs w:val="24"/>
        </w:rPr>
      </w:pPr>
      <w:r w:rsidRPr="00303062">
        <w:rPr>
          <w:szCs w:val="24"/>
        </w:rPr>
        <w:t>[b-ITU 2020b]</w:t>
      </w:r>
      <w:r w:rsidRPr="00303062">
        <w:rPr>
          <w:szCs w:val="24"/>
        </w:rPr>
        <w:tab/>
        <w:t xml:space="preserve">International Telecommunication Union (ITU), (2020), </w:t>
      </w:r>
      <w:r w:rsidRPr="00303062">
        <w:rPr>
          <w:i/>
          <w:iCs/>
          <w:szCs w:val="24"/>
        </w:rPr>
        <w:t>The Last-mile Internet Connectivity Solutions Guide: Sustainable Connectivity Options for Unconnected Sites</w:t>
      </w:r>
      <w:r w:rsidRPr="00303062">
        <w:rPr>
          <w:szCs w:val="24"/>
        </w:rPr>
        <w:t xml:space="preserve">. </w:t>
      </w:r>
      <w:hyperlink r:id="rId66" w:history="1">
        <w:r w:rsidR="008A76DA" w:rsidRPr="004B44CE">
          <w:rPr>
            <w:rStyle w:val="Hyperlink"/>
            <w:rFonts w:ascii="Arial" w:hAnsi="Arial" w:cs="Arial"/>
            <w:sz w:val="16"/>
            <w:szCs w:val="16"/>
          </w:rPr>
          <w:t>https://www.itu.int/en/myitu/Publications/2020/12/16/09/24/Last-mile-Internet-Connectivity-Solutions-Guide-2020</w:t>
        </w:r>
      </w:hyperlink>
    </w:p>
    <w:p w14:paraId="66F2C1FB" w14:textId="5CAA2EE4" w:rsidR="005700F8" w:rsidRPr="00303062" w:rsidRDefault="005700F8" w:rsidP="005700F8">
      <w:pPr>
        <w:pStyle w:val="Reftext"/>
        <w:tabs>
          <w:tab w:val="clear" w:pos="1588"/>
          <w:tab w:val="clear" w:pos="1985"/>
        </w:tabs>
        <w:ind w:left="2880" w:hanging="2880"/>
        <w:rPr>
          <w:szCs w:val="24"/>
        </w:rPr>
      </w:pPr>
      <w:r w:rsidRPr="00303062">
        <w:rPr>
          <w:szCs w:val="24"/>
        </w:rPr>
        <w:t>[b-ITU 2021]</w:t>
      </w:r>
      <w:r w:rsidRPr="00303062">
        <w:rPr>
          <w:szCs w:val="24"/>
        </w:rPr>
        <w:tab/>
        <w:t xml:space="preserve">International Telecommunication Union (ITU), (2021), </w:t>
      </w:r>
      <w:r w:rsidRPr="00303062">
        <w:rPr>
          <w:i/>
          <w:iCs/>
          <w:szCs w:val="24"/>
        </w:rPr>
        <w:t>Economic policies and methods of determining the costs of services related to national telecommunication/ICT networks</w:t>
      </w:r>
      <w:r w:rsidRPr="00303062">
        <w:rPr>
          <w:szCs w:val="24"/>
        </w:rPr>
        <w:t xml:space="preserve">. </w:t>
      </w:r>
      <w:hyperlink r:id="rId67" w:history="1">
        <w:r w:rsidRPr="00303062">
          <w:rPr>
            <w:rStyle w:val="Hyperlink"/>
            <w:rFonts w:ascii="Arial" w:hAnsi="Arial" w:cs="Arial"/>
            <w:kern w:val="2"/>
            <w:sz w:val="16"/>
            <w:szCs w:val="16"/>
            <w14:ligatures w14:val="standardContextual"/>
          </w:rPr>
          <w:t>https://www.itu.int/hub/publication/d-stg-sg01-04-2-2021/</w:t>
        </w:r>
      </w:hyperlink>
    </w:p>
    <w:p w14:paraId="0A08B811" w14:textId="0E68C4B6" w:rsidR="005700F8" w:rsidRPr="00303062" w:rsidRDefault="005700F8" w:rsidP="005700F8">
      <w:pPr>
        <w:pStyle w:val="Reftext"/>
        <w:ind w:left="2880" w:hanging="2880"/>
        <w:rPr>
          <w:szCs w:val="24"/>
        </w:rPr>
      </w:pPr>
      <w:r w:rsidRPr="00303062">
        <w:rPr>
          <w:szCs w:val="24"/>
        </w:rPr>
        <w:t>[b-ITU-World Bank 2022]</w:t>
      </w:r>
      <w:r w:rsidRPr="00303062">
        <w:rPr>
          <w:szCs w:val="24"/>
        </w:rPr>
        <w:tab/>
        <w:t xml:space="preserve">Digital Regulation Platform, </w:t>
      </w:r>
      <w:hyperlink r:id="rId68" w:history="1">
        <w:r w:rsidRPr="00303062">
          <w:rPr>
            <w:rStyle w:val="Hyperlink"/>
            <w:rFonts w:ascii="Arial" w:hAnsi="Arial" w:cs="Arial"/>
            <w:kern w:val="2"/>
            <w:sz w:val="16"/>
            <w:szCs w:val="16"/>
            <w14:ligatures w14:val="standardContextual"/>
          </w:rPr>
          <w:t>https://digitalregulation.org/the-infrastructure-sharing-imperative/</w:t>
        </w:r>
      </w:hyperlink>
    </w:p>
    <w:p w14:paraId="0B8A1DA6" w14:textId="77777777" w:rsidR="005700F8" w:rsidRPr="00303062" w:rsidRDefault="005700F8" w:rsidP="005700F8">
      <w:pPr>
        <w:pStyle w:val="Reftext"/>
        <w:tabs>
          <w:tab w:val="clear" w:pos="794"/>
          <w:tab w:val="clear" w:pos="1191"/>
          <w:tab w:val="clear" w:pos="1588"/>
          <w:tab w:val="clear" w:pos="1985"/>
        </w:tabs>
        <w:ind w:left="2880" w:hanging="2880"/>
        <w:rPr>
          <w:szCs w:val="24"/>
        </w:rPr>
      </w:pPr>
      <w:r w:rsidRPr="00303062">
        <w:rPr>
          <w:szCs w:val="24"/>
        </w:rPr>
        <w:t>[b-APC]</w:t>
      </w:r>
      <w:r w:rsidRPr="00303062">
        <w:rPr>
          <w:szCs w:val="24"/>
        </w:rPr>
        <w:tab/>
        <w:t xml:space="preserve">Association for Progressive Communications (APC), (2020), </w:t>
      </w:r>
      <w:r w:rsidRPr="00303062">
        <w:rPr>
          <w:i/>
          <w:iCs/>
          <w:szCs w:val="24"/>
        </w:rPr>
        <w:t>Community Networks and Local Access: Promoting Alternatives to Internet Infrastructure</w:t>
      </w:r>
      <w:r w:rsidRPr="00303062">
        <w:rPr>
          <w:szCs w:val="24"/>
        </w:rPr>
        <w:t>.</w:t>
      </w:r>
    </w:p>
    <w:p w14:paraId="4CA028FE" w14:textId="4FB1D8E5" w:rsidR="005700F8" w:rsidRPr="00303062" w:rsidRDefault="005700F8" w:rsidP="005700F8">
      <w:pPr>
        <w:pStyle w:val="Reftext"/>
        <w:tabs>
          <w:tab w:val="clear" w:pos="1588"/>
          <w:tab w:val="clear" w:pos="1985"/>
        </w:tabs>
        <w:ind w:left="2880" w:hanging="2880"/>
        <w:rPr>
          <w:szCs w:val="24"/>
        </w:rPr>
      </w:pPr>
      <w:r w:rsidRPr="00303062">
        <w:rPr>
          <w:szCs w:val="24"/>
        </w:rPr>
        <w:t>[b-D'Ignazio 2009]</w:t>
      </w:r>
      <w:r w:rsidRPr="00303062">
        <w:rPr>
          <w:szCs w:val="24"/>
        </w:rPr>
        <w:tab/>
        <w:t>D'Ignazio A. and Giovannetti E. (2009)</w:t>
      </w:r>
      <w:r>
        <w:rPr>
          <w:szCs w:val="24"/>
        </w:rPr>
        <w:t>,</w:t>
      </w:r>
      <w:r w:rsidRPr="00303062">
        <w:rPr>
          <w:szCs w:val="24"/>
        </w:rPr>
        <w:t xml:space="preserve"> </w:t>
      </w:r>
      <w:r w:rsidRPr="00303062">
        <w:rPr>
          <w:i/>
          <w:iCs/>
          <w:szCs w:val="24"/>
        </w:rPr>
        <w:t>Asymmetry and Discrimination in Internet Peering</w:t>
      </w:r>
      <w:r w:rsidR="00D40C92">
        <w:rPr>
          <w:i/>
          <w:iCs/>
          <w:szCs w:val="24"/>
        </w:rPr>
        <w:t>:</w:t>
      </w:r>
      <w:r w:rsidRPr="00303062">
        <w:rPr>
          <w:i/>
          <w:iCs/>
          <w:szCs w:val="24"/>
        </w:rPr>
        <w:t xml:space="preserve"> Evidence from the LINX</w:t>
      </w:r>
      <w:r w:rsidRPr="00303062">
        <w:rPr>
          <w:szCs w:val="24"/>
        </w:rPr>
        <w:t xml:space="preserve">, International Journal of Industrial Organization, </w:t>
      </w:r>
      <w:hyperlink r:id="rId69" w:history="1">
        <w:r w:rsidRPr="008A76DA">
          <w:rPr>
            <w:rStyle w:val="Hyperlink"/>
          </w:rPr>
          <w:t>Vol.27</w:t>
        </w:r>
      </w:hyperlink>
      <w:r w:rsidRPr="00303062">
        <w:rPr>
          <w:szCs w:val="24"/>
        </w:rPr>
        <w:t>, pp. 441-448.</w:t>
      </w:r>
    </w:p>
    <w:p w14:paraId="37518140" w14:textId="28253D13" w:rsidR="005700F8" w:rsidRPr="00303062" w:rsidRDefault="005700F8" w:rsidP="005700F8">
      <w:pPr>
        <w:pStyle w:val="Reftext"/>
        <w:tabs>
          <w:tab w:val="clear" w:pos="1588"/>
          <w:tab w:val="clear" w:pos="1985"/>
        </w:tabs>
        <w:ind w:left="2880" w:hanging="2880"/>
        <w:rPr>
          <w:szCs w:val="24"/>
        </w:rPr>
      </w:pPr>
      <w:r w:rsidRPr="00303062">
        <w:rPr>
          <w:szCs w:val="24"/>
        </w:rPr>
        <w:t>[b-D'Ignazio 2014]</w:t>
      </w:r>
      <w:r w:rsidRPr="00303062">
        <w:rPr>
          <w:szCs w:val="24"/>
        </w:rPr>
        <w:tab/>
        <w:t>D'Ignazio A. and Giovannetti E. (2014)</w:t>
      </w:r>
      <w:r w:rsidR="00D40C92">
        <w:rPr>
          <w:szCs w:val="24"/>
        </w:rPr>
        <w:t>,</w:t>
      </w:r>
      <w:r w:rsidRPr="00303062">
        <w:rPr>
          <w:szCs w:val="24"/>
        </w:rPr>
        <w:t xml:space="preserve"> </w:t>
      </w:r>
      <w:r w:rsidRPr="00303062">
        <w:rPr>
          <w:i/>
          <w:iCs/>
          <w:szCs w:val="24"/>
        </w:rPr>
        <w:t>Continental Differences in the Clusters of Integration: Empirical Evidence from the Digital Commodities Global Supply Chain Networks</w:t>
      </w:r>
      <w:r w:rsidRPr="00303062">
        <w:rPr>
          <w:szCs w:val="24"/>
        </w:rPr>
        <w:t xml:space="preserve">, International Journal of Production Economics, </w:t>
      </w:r>
      <w:hyperlink r:id="rId70" w:history="1">
        <w:r w:rsidRPr="008A76DA">
          <w:rPr>
            <w:rStyle w:val="Hyperlink"/>
          </w:rPr>
          <w:t>Volume 147-B</w:t>
        </w:r>
        <w:r w:rsidRPr="00303062">
          <w:rPr>
            <w:szCs w:val="24"/>
          </w:rPr>
          <w:t>, pp 486–497</w:t>
        </w:r>
      </w:hyperlink>
      <w:r w:rsidRPr="00303062">
        <w:rPr>
          <w:szCs w:val="24"/>
        </w:rPr>
        <w:t>.</w:t>
      </w:r>
    </w:p>
    <w:p w14:paraId="4CD83A15" w14:textId="13AE6544" w:rsidR="005700F8" w:rsidRPr="00303062" w:rsidRDefault="005700F8" w:rsidP="005700F8">
      <w:pPr>
        <w:pStyle w:val="Reftext"/>
        <w:tabs>
          <w:tab w:val="clear" w:pos="1588"/>
          <w:tab w:val="clear" w:pos="1985"/>
        </w:tabs>
        <w:ind w:left="2880" w:hanging="2880"/>
        <w:rPr>
          <w:szCs w:val="24"/>
        </w:rPr>
      </w:pPr>
      <w:r w:rsidRPr="00303062">
        <w:rPr>
          <w:szCs w:val="24"/>
        </w:rPr>
        <w:t>[b-</w:t>
      </w:r>
      <w:r w:rsidR="00D40C92" w:rsidRPr="00D40C92">
        <w:rPr>
          <w:szCs w:val="24"/>
        </w:rPr>
        <w:t>Giovannetti</w:t>
      </w:r>
      <w:r w:rsidRPr="00303062">
        <w:rPr>
          <w:szCs w:val="24"/>
        </w:rPr>
        <w:t xml:space="preserve"> 2015] </w:t>
      </w:r>
      <w:r w:rsidRPr="00303062">
        <w:rPr>
          <w:szCs w:val="24"/>
        </w:rPr>
        <w:tab/>
        <w:t>Giovannetti, E. and Sigloch S. (2015)</w:t>
      </w:r>
      <w:r>
        <w:rPr>
          <w:szCs w:val="24"/>
        </w:rPr>
        <w:t>,</w:t>
      </w:r>
      <w:r w:rsidRPr="00303062">
        <w:rPr>
          <w:szCs w:val="24"/>
        </w:rPr>
        <w:t xml:space="preserve"> </w:t>
      </w:r>
      <w:r w:rsidRPr="00303062">
        <w:rPr>
          <w:i/>
          <w:iCs/>
          <w:szCs w:val="24"/>
        </w:rPr>
        <w:t>An "Internet Periphery Study: Network Centrality and Clustering for Mobile Access in Bhutan"</w:t>
      </w:r>
      <w:r>
        <w:rPr>
          <w:szCs w:val="24"/>
        </w:rPr>
        <w:t>.</w:t>
      </w:r>
      <w:r w:rsidRPr="00303062">
        <w:rPr>
          <w:szCs w:val="24"/>
        </w:rPr>
        <w:t xml:space="preserve"> </w:t>
      </w:r>
      <w:r w:rsidRPr="00D40C92">
        <w:rPr>
          <w:iCs/>
          <w:kern w:val="2"/>
          <w:szCs w:val="24"/>
          <w14:ligatures w14:val="standardContextual"/>
        </w:rPr>
        <w:t>Telecommunications Policy</w:t>
      </w:r>
      <w:r w:rsidRPr="00D40C92">
        <w:rPr>
          <w:iCs/>
          <w:szCs w:val="24"/>
        </w:rPr>
        <w:t>,</w:t>
      </w:r>
      <w:r w:rsidRPr="00303062">
        <w:rPr>
          <w:szCs w:val="24"/>
        </w:rPr>
        <w:t xml:space="preserve"> </w:t>
      </w:r>
      <w:hyperlink r:id="rId71" w:history="1">
        <w:r w:rsidRPr="008A76DA">
          <w:rPr>
            <w:rStyle w:val="Hyperlink"/>
          </w:rPr>
          <w:t>Volume 39, Issue 7</w:t>
        </w:r>
      </w:hyperlink>
      <w:r w:rsidRPr="00303062">
        <w:rPr>
          <w:szCs w:val="24"/>
        </w:rPr>
        <w:t>, August 2015, Pages</w:t>
      </w:r>
      <w:r>
        <w:rPr>
          <w:szCs w:val="24"/>
        </w:rPr>
        <w:t> </w:t>
      </w:r>
      <w:r w:rsidRPr="00303062">
        <w:rPr>
          <w:szCs w:val="24"/>
        </w:rPr>
        <w:t>608</w:t>
      </w:r>
      <w:r w:rsidR="00D40C92">
        <w:rPr>
          <w:szCs w:val="24"/>
        </w:rPr>
        <w:t>-</w:t>
      </w:r>
      <w:r w:rsidRPr="00303062">
        <w:rPr>
          <w:szCs w:val="24"/>
        </w:rPr>
        <w:t>622.</w:t>
      </w:r>
    </w:p>
    <w:p w14:paraId="1E391C8F" w14:textId="246FA331" w:rsidR="005700F8" w:rsidRPr="00303062" w:rsidRDefault="005700F8" w:rsidP="005700F8">
      <w:pPr>
        <w:pStyle w:val="Reftext"/>
        <w:tabs>
          <w:tab w:val="clear" w:pos="1588"/>
          <w:tab w:val="clear" w:pos="1985"/>
        </w:tabs>
        <w:ind w:left="2880" w:hanging="2880"/>
        <w:rPr>
          <w:szCs w:val="24"/>
        </w:rPr>
      </w:pPr>
      <w:r w:rsidRPr="00303062">
        <w:rPr>
          <w:szCs w:val="24"/>
          <w:lang w:val="it-IT"/>
        </w:rPr>
        <w:t>[b-</w:t>
      </w:r>
      <w:r w:rsidR="00D40C92" w:rsidRPr="00D40C92">
        <w:rPr>
          <w:szCs w:val="24"/>
          <w:lang w:val="it-IT"/>
        </w:rPr>
        <w:t>Giovannetti</w:t>
      </w:r>
      <w:r w:rsidRPr="00303062">
        <w:rPr>
          <w:szCs w:val="24"/>
          <w:lang w:val="it-IT"/>
        </w:rPr>
        <w:t xml:space="preserve"> 2016]</w:t>
      </w:r>
      <w:r w:rsidRPr="00303062">
        <w:rPr>
          <w:szCs w:val="24"/>
          <w:lang w:val="it-IT"/>
        </w:rPr>
        <w:tab/>
      </w:r>
      <w:r w:rsidRPr="00303062">
        <w:rPr>
          <w:szCs w:val="24"/>
        </w:rPr>
        <w:t xml:space="preserve">Sigloch, Sebastian, Giovannetti, Emanuele &amp; Fennell, Shailaja, (2016), </w:t>
      </w:r>
      <w:hyperlink r:id="rId72" w:history="1">
        <w:r w:rsidRPr="008A76DA">
          <w:rPr>
            <w:rStyle w:val="Hyperlink"/>
            <w:i/>
            <w:iCs/>
          </w:rPr>
          <w:t>An exploratory network analysis of mobile broadband provider's infrastructure relationships in Tamil Nadu, India</w:t>
        </w:r>
      </w:hyperlink>
      <w:r w:rsidRPr="008A76DA">
        <w:rPr>
          <w:rStyle w:val="Hyperlink"/>
          <w:i/>
          <w:iCs/>
        </w:rPr>
        <w:t xml:space="preserve">, </w:t>
      </w:r>
      <w:hyperlink r:id="rId73" w:history="1">
        <w:r w:rsidRPr="008A76DA">
          <w:rPr>
            <w:rStyle w:val="Hyperlink"/>
            <w:i/>
            <w:iCs/>
          </w:rPr>
          <w:t>27th European Regional ITS Conference, Cambridge (UK) 2016</w:t>
        </w:r>
      </w:hyperlink>
      <w:r w:rsidRPr="00303062">
        <w:rPr>
          <w:szCs w:val="24"/>
        </w:rPr>
        <w:t>, 148705, International Telecommunications Society (ITS).</w:t>
      </w:r>
    </w:p>
    <w:p w14:paraId="10096721" w14:textId="19FF20B7" w:rsidR="005700F8" w:rsidRPr="00303062" w:rsidRDefault="005700F8" w:rsidP="005700F8">
      <w:pPr>
        <w:pStyle w:val="Reftext"/>
        <w:tabs>
          <w:tab w:val="clear" w:pos="1588"/>
          <w:tab w:val="clear" w:pos="1985"/>
        </w:tabs>
        <w:ind w:left="2880" w:hanging="2880"/>
        <w:rPr>
          <w:color w:val="000000"/>
          <w:szCs w:val="24"/>
        </w:rPr>
      </w:pPr>
      <w:r w:rsidRPr="00303062">
        <w:rPr>
          <w:szCs w:val="24"/>
        </w:rPr>
        <w:t>[b-</w:t>
      </w:r>
      <w:r w:rsidR="00D40C92" w:rsidRPr="00D40C92">
        <w:rPr>
          <w:szCs w:val="24"/>
        </w:rPr>
        <w:t xml:space="preserve">Giovannetti </w:t>
      </w:r>
      <w:r w:rsidRPr="00303062">
        <w:rPr>
          <w:szCs w:val="24"/>
        </w:rPr>
        <w:t>2022]</w:t>
      </w:r>
      <w:r w:rsidRPr="00303062">
        <w:rPr>
          <w:szCs w:val="24"/>
        </w:rPr>
        <w:tab/>
        <w:t>Giovannetti</w:t>
      </w:r>
      <w:r w:rsidRPr="00303062">
        <w:rPr>
          <w:color w:val="000000"/>
          <w:szCs w:val="24"/>
        </w:rPr>
        <w:t xml:space="preserve">, E. and Hamoudia, M. (2022), </w:t>
      </w:r>
      <w:hyperlink r:id="rId74" w:history="1">
        <w:r w:rsidRPr="008A76DA">
          <w:rPr>
            <w:rStyle w:val="Hyperlink"/>
            <w:i/>
            <w:iCs/>
          </w:rPr>
          <w:t>The Interaction between Direct and Indirect Network Externalities in the Early Diffusion of Mobile Social Networking</w:t>
        </w:r>
      </w:hyperlink>
      <w:r w:rsidRPr="00303062">
        <w:rPr>
          <w:color w:val="000000"/>
          <w:szCs w:val="24"/>
        </w:rPr>
        <w:t xml:space="preserve">, </w:t>
      </w:r>
      <w:r w:rsidRPr="00D40C92">
        <w:rPr>
          <w:iCs/>
          <w:color w:val="000000"/>
          <w:szCs w:val="24"/>
        </w:rPr>
        <w:t>Eurasian Business Review</w:t>
      </w:r>
      <w:r w:rsidR="00D40C92">
        <w:rPr>
          <w:color w:val="000000"/>
          <w:szCs w:val="24"/>
        </w:rPr>
        <w:t>,</w:t>
      </w:r>
      <w:r w:rsidRPr="00303062">
        <w:rPr>
          <w:color w:val="000000"/>
          <w:szCs w:val="24"/>
        </w:rPr>
        <w:t xml:space="preserve"> </w:t>
      </w:r>
      <w:r w:rsidRPr="00303062">
        <w:rPr>
          <w:szCs w:val="24"/>
        </w:rPr>
        <w:t>March 2022</w:t>
      </w:r>
      <w:r w:rsidRPr="00303062">
        <w:rPr>
          <w:color w:val="000000"/>
          <w:szCs w:val="24"/>
        </w:rPr>
        <w:t>.</w:t>
      </w:r>
    </w:p>
    <w:p w14:paraId="53C613E9" w14:textId="77777777" w:rsidR="005700F8" w:rsidRPr="00303062" w:rsidRDefault="005700F8" w:rsidP="005700F8">
      <w:pPr>
        <w:pStyle w:val="Reftext"/>
        <w:tabs>
          <w:tab w:val="clear" w:pos="1588"/>
          <w:tab w:val="clear" w:pos="1985"/>
        </w:tabs>
        <w:ind w:left="2880" w:hanging="2880"/>
        <w:rPr>
          <w:szCs w:val="24"/>
        </w:rPr>
      </w:pPr>
      <w:r w:rsidRPr="00303062">
        <w:rPr>
          <w:szCs w:val="24"/>
        </w:rPr>
        <w:t>[b-GSMA]</w:t>
      </w:r>
      <w:r w:rsidRPr="00303062">
        <w:rPr>
          <w:szCs w:val="24"/>
        </w:rPr>
        <w:tab/>
      </w:r>
      <w:r w:rsidRPr="00303062">
        <w:rPr>
          <w:szCs w:val="24"/>
        </w:rPr>
        <w:tab/>
        <w:t xml:space="preserve">GSMA (2019), </w:t>
      </w:r>
      <w:r w:rsidRPr="00303062">
        <w:rPr>
          <w:i/>
          <w:iCs/>
          <w:szCs w:val="24"/>
        </w:rPr>
        <w:t>Maximizing Mobile Spectrum Utilization: A Guide to Spectrum Refarming</w:t>
      </w:r>
      <w:r w:rsidRPr="00303062">
        <w:rPr>
          <w:szCs w:val="24"/>
        </w:rPr>
        <w:t xml:space="preserve">. </w:t>
      </w:r>
    </w:p>
    <w:p w14:paraId="70F6B0F3" w14:textId="5A827924" w:rsidR="005700F8" w:rsidRPr="00303062" w:rsidRDefault="005700F8" w:rsidP="005700F8">
      <w:pPr>
        <w:pStyle w:val="Reftext"/>
        <w:tabs>
          <w:tab w:val="clear" w:pos="1588"/>
          <w:tab w:val="clear" w:pos="1985"/>
        </w:tabs>
        <w:ind w:left="2880" w:hanging="2880"/>
        <w:rPr>
          <w:szCs w:val="24"/>
        </w:rPr>
      </w:pPr>
      <w:r w:rsidRPr="00303062">
        <w:rPr>
          <w:szCs w:val="24"/>
        </w:rPr>
        <w:t>[b-Internet Society]</w:t>
      </w:r>
      <w:r w:rsidRPr="00303062">
        <w:rPr>
          <w:szCs w:val="24"/>
        </w:rPr>
        <w:tab/>
        <w:t>Internet Society (2018)</w:t>
      </w:r>
      <w:r w:rsidR="00D40C92">
        <w:rPr>
          <w:szCs w:val="24"/>
        </w:rPr>
        <w:t>,</w:t>
      </w:r>
      <w:r w:rsidRPr="00303062">
        <w:rPr>
          <w:szCs w:val="24"/>
        </w:rPr>
        <w:t xml:space="preserve"> </w:t>
      </w:r>
      <w:r w:rsidRPr="00303062">
        <w:rPr>
          <w:i/>
          <w:iCs/>
          <w:szCs w:val="24"/>
        </w:rPr>
        <w:t>Community Networks: The Internet by the People, for the People</w:t>
      </w:r>
      <w:r w:rsidRPr="00303062">
        <w:rPr>
          <w:szCs w:val="24"/>
        </w:rPr>
        <w:t>.</w:t>
      </w:r>
    </w:p>
    <w:p w14:paraId="42EF5C47" w14:textId="20317236" w:rsidR="005700F8" w:rsidRPr="00303062" w:rsidRDefault="005700F8" w:rsidP="005700F8">
      <w:pPr>
        <w:pStyle w:val="Reftext"/>
        <w:tabs>
          <w:tab w:val="clear" w:pos="1588"/>
          <w:tab w:val="clear" w:pos="1985"/>
        </w:tabs>
        <w:ind w:left="2880" w:hanging="2880"/>
        <w:rPr>
          <w:szCs w:val="24"/>
        </w:rPr>
      </w:pPr>
      <w:r w:rsidRPr="00303062">
        <w:rPr>
          <w:szCs w:val="24"/>
        </w:rPr>
        <w:t>[b-Tactikom, 2025-1]</w:t>
      </w:r>
      <w:r w:rsidRPr="00303062">
        <w:rPr>
          <w:szCs w:val="24"/>
        </w:rPr>
        <w:tab/>
        <w:t xml:space="preserve">Tactikom, FG-CD-I-87, </w:t>
      </w:r>
      <w:r w:rsidRPr="00303062">
        <w:rPr>
          <w:i/>
          <w:iCs/>
          <w:szCs w:val="24"/>
        </w:rPr>
        <w:t>Compared evolutions of markets, regulation and cost modelling</w:t>
      </w:r>
      <w:r w:rsidRPr="00303062">
        <w:rPr>
          <w:szCs w:val="24"/>
        </w:rPr>
        <w:t>.</w:t>
      </w:r>
      <w:r w:rsidR="008A76DA">
        <w:rPr>
          <w:szCs w:val="24"/>
        </w:rPr>
        <w:t xml:space="preserve"> </w:t>
      </w:r>
      <w:hyperlink r:id="rId75" w:history="1">
        <w:r w:rsidRPr="008A76DA">
          <w:rPr>
            <w:rStyle w:val="Hyperlink"/>
            <w:rFonts w:ascii="Arial" w:hAnsi="Arial" w:cs="Arial"/>
            <w:kern w:val="2"/>
            <w:sz w:val="16"/>
            <w:szCs w:val="16"/>
            <w14:ligatures w14:val="standardContextual"/>
          </w:rPr>
          <w:t>https://extranet.itu.int/sites/itu-t/focusgroups/cd/input/Forms/06.aspx</w:t>
        </w:r>
      </w:hyperlink>
      <w:r w:rsidRPr="00303062">
        <w:rPr>
          <w:szCs w:val="24"/>
        </w:rPr>
        <w:t xml:space="preserve"> (access restricted to the focus group)</w:t>
      </w:r>
      <w:r>
        <w:rPr>
          <w:szCs w:val="24"/>
        </w:rPr>
        <w:t>.</w:t>
      </w:r>
    </w:p>
    <w:p w14:paraId="73B3EF53" w14:textId="5FFA9B7D" w:rsidR="005700F8" w:rsidRPr="00303062" w:rsidRDefault="005700F8" w:rsidP="005700F8">
      <w:pPr>
        <w:pStyle w:val="Reftext"/>
        <w:tabs>
          <w:tab w:val="clear" w:pos="1588"/>
          <w:tab w:val="clear" w:pos="1985"/>
        </w:tabs>
        <w:ind w:left="2880" w:hanging="2880"/>
        <w:rPr>
          <w:szCs w:val="24"/>
        </w:rPr>
      </w:pPr>
      <w:r w:rsidRPr="00303062">
        <w:rPr>
          <w:szCs w:val="24"/>
        </w:rPr>
        <w:lastRenderedPageBreak/>
        <w:t>[b-Tactikom, 2025-2]</w:t>
      </w:r>
      <w:r w:rsidRPr="00303062">
        <w:rPr>
          <w:szCs w:val="24"/>
        </w:rPr>
        <w:tab/>
        <w:t xml:space="preserve">Tactikom, FG-CD-I-86, </w:t>
      </w:r>
      <w:r w:rsidRPr="00303062">
        <w:rPr>
          <w:i/>
          <w:iCs/>
          <w:szCs w:val="24"/>
        </w:rPr>
        <w:t>Activity Based Costing (ABC) role and implementation</w:t>
      </w:r>
      <w:r w:rsidRPr="00303062">
        <w:rPr>
          <w:szCs w:val="24"/>
        </w:rPr>
        <w:t>.</w:t>
      </w:r>
      <w:r w:rsidR="008A76DA">
        <w:rPr>
          <w:szCs w:val="24"/>
        </w:rPr>
        <w:t xml:space="preserve"> </w:t>
      </w:r>
      <w:hyperlink r:id="rId76" w:history="1">
        <w:r w:rsidRPr="008A76DA">
          <w:rPr>
            <w:rStyle w:val="Hyperlink"/>
            <w:rFonts w:ascii="Arial" w:hAnsi="Arial" w:cs="Arial"/>
            <w:kern w:val="2"/>
            <w:sz w:val="16"/>
            <w:szCs w:val="16"/>
            <w14:ligatures w14:val="standardContextual"/>
          </w:rPr>
          <w:t>https://extranet.itu.int/sites/itu-t/focusgroups/cd/input/Forms/06.aspx</w:t>
        </w:r>
      </w:hyperlink>
      <w:r w:rsidRPr="00303062">
        <w:rPr>
          <w:szCs w:val="24"/>
        </w:rPr>
        <w:t xml:space="preserve"> (access restricted to the focus group)</w:t>
      </w:r>
      <w:r>
        <w:rPr>
          <w:szCs w:val="24"/>
        </w:rPr>
        <w:t>.</w:t>
      </w:r>
    </w:p>
    <w:p w14:paraId="58F133B2" w14:textId="0E83260B" w:rsidR="005700F8" w:rsidRPr="00303062" w:rsidRDefault="005700F8" w:rsidP="005700F8">
      <w:pPr>
        <w:pStyle w:val="Reftext"/>
        <w:tabs>
          <w:tab w:val="clear" w:pos="1588"/>
          <w:tab w:val="clear" w:pos="1985"/>
        </w:tabs>
        <w:ind w:left="2880" w:hanging="2880"/>
        <w:rPr>
          <w:szCs w:val="24"/>
        </w:rPr>
      </w:pPr>
      <w:r w:rsidRPr="00303062">
        <w:rPr>
          <w:szCs w:val="24"/>
        </w:rPr>
        <w:t>[b-Tactikom, 2025-3]</w:t>
      </w:r>
      <w:r w:rsidRPr="00303062">
        <w:rPr>
          <w:szCs w:val="24"/>
        </w:rPr>
        <w:tab/>
        <w:t>Tactikom, FG-CD-I-8</w:t>
      </w:r>
      <w:r w:rsidR="0052328A">
        <w:rPr>
          <w:szCs w:val="24"/>
        </w:rPr>
        <w:t>5</w:t>
      </w:r>
      <w:r w:rsidRPr="00303062">
        <w:rPr>
          <w:szCs w:val="24"/>
        </w:rPr>
        <w:t xml:space="preserve">, </w:t>
      </w:r>
      <w:r w:rsidRPr="00303062">
        <w:rPr>
          <w:i/>
          <w:iCs/>
          <w:szCs w:val="24"/>
        </w:rPr>
        <w:t>Hybrid cost models broad guidelines for affordable communication data</w:t>
      </w:r>
      <w:r w:rsidRPr="00303062">
        <w:rPr>
          <w:szCs w:val="24"/>
        </w:rPr>
        <w:t>.</w:t>
      </w:r>
      <w:hyperlink r:id="rId77" w:history="1">
        <w:r w:rsidRPr="008A76DA">
          <w:rPr>
            <w:rStyle w:val="Hyperlink"/>
            <w:rFonts w:ascii="Arial" w:hAnsi="Arial" w:cs="Arial"/>
            <w:kern w:val="2"/>
            <w:sz w:val="16"/>
            <w:szCs w:val="16"/>
            <w14:ligatures w14:val="standardContextual"/>
          </w:rPr>
          <w:t>https://extranet.itu.int/sites/itu-t/focusgroups/cd/input/Forms/06.aspx</w:t>
        </w:r>
      </w:hyperlink>
      <w:r w:rsidRPr="00303062">
        <w:rPr>
          <w:szCs w:val="24"/>
        </w:rPr>
        <w:t xml:space="preserve"> (access restricted to the focus group)</w:t>
      </w:r>
      <w:r>
        <w:rPr>
          <w:szCs w:val="24"/>
        </w:rPr>
        <w:t>.</w:t>
      </w:r>
    </w:p>
    <w:p w14:paraId="385906E9" w14:textId="5AE1F6FB" w:rsidR="005700F8" w:rsidRPr="00303062" w:rsidRDefault="005700F8" w:rsidP="005700F8">
      <w:pPr>
        <w:pStyle w:val="Reftext"/>
        <w:tabs>
          <w:tab w:val="clear" w:pos="1588"/>
          <w:tab w:val="clear" w:pos="1985"/>
        </w:tabs>
        <w:ind w:left="2880" w:hanging="2880"/>
        <w:rPr>
          <w:szCs w:val="24"/>
        </w:rPr>
      </w:pPr>
      <w:r w:rsidRPr="00303062">
        <w:rPr>
          <w:szCs w:val="24"/>
        </w:rPr>
        <w:t>[b-Tactikom, 2025-4]</w:t>
      </w:r>
      <w:r w:rsidRPr="00303062">
        <w:rPr>
          <w:szCs w:val="24"/>
        </w:rPr>
        <w:tab/>
        <w:t xml:space="preserve">Tactikom, FG-CD-I-85, </w:t>
      </w:r>
      <w:r w:rsidRPr="00303062">
        <w:rPr>
          <w:i/>
          <w:iCs/>
          <w:szCs w:val="24"/>
        </w:rPr>
        <w:t>Costs sharing, routing factor and market slicing in complex networks using hybrid cost models</w:t>
      </w:r>
      <w:r w:rsidRPr="00303062">
        <w:rPr>
          <w:szCs w:val="24"/>
        </w:rPr>
        <w:t xml:space="preserve">. </w:t>
      </w:r>
      <w:hyperlink r:id="rId78" w:history="1">
        <w:r w:rsidRPr="008A76DA">
          <w:rPr>
            <w:rStyle w:val="Hyperlink"/>
            <w:rFonts w:ascii="Arial" w:hAnsi="Arial" w:cs="Arial"/>
            <w:kern w:val="2"/>
            <w:sz w:val="16"/>
            <w:szCs w:val="16"/>
            <w14:ligatures w14:val="standardContextual"/>
          </w:rPr>
          <w:t>https://extranet.itu.int/sites/itu-t/focusgroups/cd/input/Forms/06.aspx</w:t>
        </w:r>
      </w:hyperlink>
      <w:r w:rsidRPr="00303062">
        <w:rPr>
          <w:szCs w:val="24"/>
        </w:rPr>
        <w:t xml:space="preserve"> (access restricted to the focus group)</w:t>
      </w:r>
      <w:r>
        <w:rPr>
          <w:szCs w:val="24"/>
        </w:rPr>
        <w:t>.</w:t>
      </w:r>
    </w:p>
    <w:p w14:paraId="4A6AEAEA" w14:textId="77777777" w:rsidR="005700F8" w:rsidRPr="00303062" w:rsidRDefault="005700F8" w:rsidP="005700F8">
      <w:pPr>
        <w:pStyle w:val="Reftext"/>
        <w:tabs>
          <w:tab w:val="clear" w:pos="1588"/>
          <w:tab w:val="clear" w:pos="1985"/>
        </w:tabs>
        <w:ind w:left="2880" w:hanging="2880"/>
        <w:rPr>
          <w:szCs w:val="24"/>
        </w:rPr>
      </w:pPr>
      <w:r w:rsidRPr="00303062">
        <w:rPr>
          <w:szCs w:val="24"/>
        </w:rPr>
        <w:t>[b-World Bank 2020]</w:t>
      </w:r>
      <w:r w:rsidRPr="00303062">
        <w:rPr>
          <w:szCs w:val="24"/>
        </w:rPr>
        <w:tab/>
        <w:t xml:space="preserve">World Bank (2020), </w:t>
      </w:r>
      <w:r w:rsidRPr="00303062">
        <w:rPr>
          <w:i/>
          <w:iCs/>
          <w:szCs w:val="24"/>
        </w:rPr>
        <w:t>Wholesale Open Access Networks: A New Approach to Connectivity</w:t>
      </w:r>
      <w:r w:rsidRPr="00303062">
        <w:rPr>
          <w:szCs w:val="24"/>
        </w:rPr>
        <w:t>.</w:t>
      </w:r>
    </w:p>
    <w:p w14:paraId="29CCD8C5" w14:textId="77777777" w:rsidR="008A76DA" w:rsidRDefault="008A76DA" w:rsidP="008A76DA"/>
    <w:p w14:paraId="32A4D263" w14:textId="77777777" w:rsidR="008A76DA" w:rsidRDefault="008A76DA">
      <w:pPr>
        <w:jc w:val="center"/>
      </w:pPr>
      <w:r>
        <w:t>______________</w:t>
      </w:r>
    </w:p>
    <w:sectPr w:rsidR="008A76DA" w:rsidSect="005700F8">
      <w:headerReference w:type="even" r:id="rId79"/>
      <w:type w:val="oddPage"/>
      <w:pgSz w:w="11907" w:h="16834" w:code="9"/>
      <w:pgMar w:top="1134" w:right="1134" w:bottom="1134" w:left="1134" w:header="567" w:footer="567" w:gutter="0"/>
      <w:paperSrc w:first="15" w:other="15"/>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1E0F8" w14:textId="77777777" w:rsidR="005A60C6" w:rsidRDefault="005A60C6">
      <w:r>
        <w:separator/>
      </w:r>
    </w:p>
  </w:endnote>
  <w:endnote w:type="continuationSeparator" w:id="0">
    <w:p w14:paraId="34E7730D" w14:textId="77777777" w:rsidR="005A60C6" w:rsidRDefault="005A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venir Next W1G Medium">
    <w:altName w:val="Calibri"/>
    <w:panose1 w:val="00000000000000000000"/>
    <w:charset w:val="00"/>
    <w:family w:val="swiss"/>
    <w:notTrueType/>
    <w:pitch w:val="variable"/>
    <w:sig w:usb0="A00002EF"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
    <w:altName w:val="Yu Gothic"/>
    <w:charset w:val="80"/>
    <w:family w:val="auto"/>
    <w:pitch w:val="default"/>
    <w:sig w:usb0="00000000" w:usb1="0000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7354" w14:textId="77777777" w:rsidR="00CE6FBD" w:rsidRDefault="00CE6FBD" w:rsidP="00CE6FB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F9D8" w14:textId="00F94991" w:rsidR="008F0E27" w:rsidRPr="008F0E27" w:rsidRDefault="008F0E27" w:rsidP="008F0E27">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ii</w:t>
    </w:r>
    <w:r w:rsidRPr="00926B6C">
      <w:fldChar w:fldCharType="end"/>
    </w:r>
    <w:r>
      <w:tab/>
    </w:r>
    <w:r w:rsidR="00F37429">
      <w:rPr>
        <w:b/>
        <w:bCs/>
      </w:rPr>
      <w:t>FG-CD-D6 (</w:t>
    </w:r>
    <w:r w:rsidR="00AD4B70">
      <w:rPr>
        <w:b/>
        <w:bCs/>
      </w:rPr>
      <w:t>2025-10</w:t>
    </w:r>
    <w:r w:rsidR="00F37429">
      <w:rPr>
        <w:b/>
        <w:bC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C19B7" w14:textId="1A3902DB" w:rsidR="008F0E27" w:rsidRPr="008F0E27" w:rsidRDefault="008F0E27" w:rsidP="008F0E27">
    <w:pPr>
      <w:pStyle w:val="Footer"/>
      <w:tabs>
        <w:tab w:val="clear" w:pos="5954"/>
        <w:tab w:val="right" w:pos="8789"/>
      </w:tabs>
      <w:jc w:val="right"/>
      <w:rPr>
        <w:b/>
        <w:bCs/>
      </w:rPr>
    </w:pPr>
    <w:r w:rsidRPr="00926B6C">
      <w:rPr>
        <w:b/>
        <w:bCs/>
      </w:rPr>
      <w:tab/>
    </w:r>
    <w:r w:rsidR="00F37429">
      <w:rPr>
        <w:b/>
        <w:bCs/>
      </w:rPr>
      <w:t>FG-CD-D6 (202</w:t>
    </w:r>
    <w:r w:rsidR="00AD4B70">
      <w:rPr>
        <w:b/>
        <w:bCs/>
      </w:rPr>
      <w:t>5</w:t>
    </w:r>
    <w:r w:rsidR="005E11CD">
      <w:rPr>
        <w:b/>
        <w:bCs/>
      </w:rPr>
      <w:t>-</w:t>
    </w:r>
    <w:r w:rsidR="00AD4B70">
      <w:rPr>
        <w:b/>
        <w:bCs/>
      </w:rPr>
      <w:t>10</w:t>
    </w:r>
    <w:r w:rsidR="00F37429">
      <w:rPr>
        <w:b/>
        <w:bCs/>
      </w:rPr>
      <w:t>)</w:t>
    </w:r>
    <w:r w:rsidRPr="00926B6C">
      <w:rPr>
        <w:b/>
        <w:bCs/>
      </w:rPr>
      <w:tab/>
    </w:r>
    <w:r w:rsidRPr="00926B6C">
      <w:fldChar w:fldCharType="begin"/>
    </w:r>
    <w:r w:rsidRPr="00926B6C">
      <w:instrText xml:space="preserve"> PAGE </w:instrText>
    </w:r>
    <w:r w:rsidRPr="00926B6C">
      <w:fldChar w:fldCharType="separate"/>
    </w:r>
    <w:r>
      <w:t>i</w:t>
    </w:r>
    <w:r w:rsidRPr="00926B6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C24F9" w14:textId="77777777" w:rsidR="005A60C6" w:rsidRDefault="005A60C6">
      <w:r>
        <w:t>____________________</w:t>
      </w:r>
    </w:p>
  </w:footnote>
  <w:footnote w:type="continuationSeparator" w:id="0">
    <w:p w14:paraId="53DC9F67" w14:textId="77777777" w:rsidR="005A60C6" w:rsidRDefault="005A60C6">
      <w:r>
        <w:continuationSeparator/>
      </w:r>
    </w:p>
  </w:footnote>
  <w:footnote w:id="1">
    <w:p w14:paraId="1BD8EF4C" w14:textId="638950DE" w:rsidR="00E52274" w:rsidRPr="00B06989" w:rsidRDefault="00E52274" w:rsidP="00E52274">
      <w:pPr>
        <w:pStyle w:val="FootnoteText"/>
        <w:spacing w:after="120"/>
        <w:rPr>
          <w:kern w:val="2"/>
          <w14:ligatures w14:val="standardContextual"/>
        </w:rPr>
      </w:pPr>
      <w:r w:rsidRPr="006D57D6">
        <w:rPr>
          <w:rStyle w:val="FootnoteReference"/>
          <w:szCs w:val="18"/>
        </w:rPr>
        <w:footnoteRef/>
      </w:r>
      <w:r w:rsidR="006D57D6">
        <w:rPr>
          <w:szCs w:val="22"/>
        </w:rPr>
        <w:tab/>
      </w:r>
      <w:r w:rsidRPr="000150EB">
        <w:rPr>
          <w:kern w:val="2"/>
          <w14:ligatures w14:val="standardContextual"/>
        </w:rPr>
        <w:t>Guidelines</w:t>
      </w:r>
      <w:r w:rsidRPr="00B06989">
        <w:rPr>
          <w:kern w:val="2"/>
          <w14:ligatures w14:val="standardContextual"/>
        </w:rPr>
        <w:t xml:space="preserve"> on cost modelling: Economic policies and methods of determining the costs of services related to national telecommunication/ICT networks (ITU-D Question 4/1).</w:t>
      </w:r>
      <w:r w:rsidRPr="00B06989">
        <w:t xml:space="preserve"> </w:t>
      </w:r>
      <w:hyperlink r:id="rId1" w:history="1">
        <w:r w:rsidRPr="00B06989">
          <w:rPr>
            <w:rStyle w:val="Hyperlink"/>
            <w:kern w:val="2"/>
            <w14:ligatures w14:val="standardContextual"/>
          </w:rPr>
          <w:t>https://www.itu.int/dms_pub/itu-d/opb/stg/D-STG-SG01.04_CST_MOD-2021-PDF-E.pdf</w:t>
        </w:r>
      </w:hyperlink>
      <w:r>
        <w:rPr>
          <w:kern w:val="2"/>
          <w14:ligatures w14:val="standardContextual"/>
        </w:rPr>
        <w:t>.</w:t>
      </w:r>
    </w:p>
  </w:footnote>
  <w:footnote w:id="2">
    <w:p w14:paraId="6C60EAAF" w14:textId="633AD8D2" w:rsidR="00E52274" w:rsidRPr="00B06989" w:rsidRDefault="00E52274" w:rsidP="00E52274">
      <w:pPr>
        <w:pStyle w:val="FootnoteText"/>
        <w:spacing w:after="120"/>
      </w:pPr>
      <w:r w:rsidRPr="006D57D6">
        <w:rPr>
          <w:rStyle w:val="FootnoteReference"/>
        </w:rPr>
        <w:footnoteRef/>
      </w:r>
      <w:r w:rsidR="000150EB">
        <w:rPr>
          <w:szCs w:val="22"/>
        </w:rPr>
        <w:tab/>
      </w:r>
      <w:r w:rsidRPr="00B06989">
        <w:t>Independent Regulators Group (IRG). Principles of implementation and best practice regarding FL-LRIC cost modelling. 24 November 2000.</w:t>
      </w:r>
    </w:p>
  </w:footnote>
  <w:footnote w:id="3">
    <w:p w14:paraId="5D181EA1" w14:textId="6652E74B" w:rsidR="00E52274" w:rsidRPr="00AB3B68" w:rsidRDefault="00E52274" w:rsidP="00E52274">
      <w:pPr>
        <w:pStyle w:val="FootnoteText"/>
        <w:rPr>
          <w:szCs w:val="22"/>
        </w:rPr>
      </w:pPr>
      <w:r w:rsidRPr="007773AA">
        <w:rPr>
          <w:rStyle w:val="FootnoteReference"/>
        </w:rPr>
        <w:footnoteRef/>
      </w:r>
      <w:r w:rsidR="007773AA">
        <w:rPr>
          <w:kern w:val="2"/>
          <w14:ligatures w14:val="standardContextual"/>
        </w:rPr>
        <w:tab/>
      </w:r>
      <w:r w:rsidRPr="00B06989">
        <w:rPr>
          <w:kern w:val="2"/>
          <w14:ligatures w14:val="standardContextual"/>
        </w:rPr>
        <w:t>Uyen Tu Tran, Hien Thi Tran, Factors of application of activity-based costing method: Evidence from a transitional country, Asia Pacific Management Review, Volume 27, Issue 4, 2022, Pages 303-311, ISSN</w:t>
      </w:r>
      <w:r w:rsidR="007773AA">
        <w:rPr>
          <w:kern w:val="2"/>
          <w14:ligatures w14:val="standardContextual"/>
        </w:rPr>
        <w:t> </w:t>
      </w:r>
      <w:r w:rsidRPr="00B06989">
        <w:rPr>
          <w:kern w:val="2"/>
          <w14:ligatures w14:val="standardContextual"/>
        </w:rPr>
        <w:t>1029-3132</w:t>
      </w:r>
      <w:r>
        <w:rPr>
          <w:kern w:val="2"/>
          <w14:ligatures w14:val="standardContextual"/>
        </w:rPr>
        <w:t>.</w:t>
      </w:r>
    </w:p>
  </w:footnote>
  <w:footnote w:id="4">
    <w:p w14:paraId="54E372F1" w14:textId="6B59C68B" w:rsidR="000150EB" w:rsidRPr="00AB3B68" w:rsidRDefault="000150EB" w:rsidP="000150EB">
      <w:pPr>
        <w:pStyle w:val="FootnoteText"/>
        <w:rPr>
          <w:szCs w:val="22"/>
        </w:rPr>
      </w:pPr>
      <w:r w:rsidRPr="007773AA">
        <w:rPr>
          <w:rStyle w:val="FootnoteReference"/>
        </w:rPr>
        <w:footnoteRef/>
      </w:r>
      <w:r w:rsidR="007773AA">
        <w:rPr>
          <w:szCs w:val="22"/>
        </w:rPr>
        <w:tab/>
      </w:r>
      <w:r w:rsidRPr="00B06989">
        <w:t xml:space="preserve">See The infrastructure sharing imperative, ITU-World Bank 2022, </w:t>
      </w:r>
      <w:hyperlink r:id="rId2" w:anchor=":~:text=Passive%20infrastructure%20sharing%20is%20where,of%20a%20smaller%20network%20operator" w:history="1">
        <w:r w:rsidRPr="00943F5E">
          <w:rPr>
            <w:rStyle w:val="Hyperlink"/>
          </w:rPr>
          <w:t>https://digitalregulation.org/the-infrastructure-sharing-imperative/#:~:text=Passive%20infrastructure%20sharing%20is%20where,of%20a%20smaller%20network%20operator</w:t>
        </w:r>
      </w:hyperlink>
      <w:r w:rsidRPr="00B06989">
        <w:t>.</w:t>
      </w:r>
    </w:p>
  </w:footnote>
  <w:footnote w:id="5">
    <w:p w14:paraId="3D7D3F65" w14:textId="6E22B98E" w:rsidR="00E52274" w:rsidRPr="00AB3B68" w:rsidRDefault="00E52274" w:rsidP="00E52274">
      <w:pPr>
        <w:pStyle w:val="FootnoteText"/>
        <w:rPr>
          <w:szCs w:val="22"/>
        </w:rPr>
      </w:pPr>
      <w:r w:rsidRPr="007773AA">
        <w:rPr>
          <w:rStyle w:val="FootnoteReference"/>
        </w:rPr>
        <w:footnoteRef/>
      </w:r>
      <w:r w:rsidR="007773AA">
        <w:tab/>
      </w:r>
      <w:hyperlink r:id="rId3" w:history="1">
        <w:r w:rsidRPr="00B06989">
          <w:rPr>
            <w:rStyle w:val="Hyperlink"/>
          </w:rPr>
          <w:t>https://www.ofcom.org.uk/siteassets/resources/documents/consultations/uncategorised/8036-cost-orientation/summary/cost_orientation.pdf?v=333902</w:t>
        </w:r>
      </w:hyperlink>
    </w:p>
  </w:footnote>
  <w:footnote w:id="6">
    <w:p w14:paraId="08F5D366" w14:textId="0BB26478" w:rsidR="00E52274" w:rsidRPr="00AB3B68" w:rsidRDefault="00E52274" w:rsidP="00E52274">
      <w:pPr>
        <w:pStyle w:val="FootnoteText"/>
        <w:rPr>
          <w:szCs w:val="22"/>
        </w:rPr>
      </w:pPr>
      <w:r w:rsidRPr="007773AA">
        <w:rPr>
          <w:rStyle w:val="FootnoteReference"/>
        </w:rPr>
        <w:footnoteRef/>
      </w:r>
      <w:r w:rsidR="007773AA">
        <w:rPr>
          <w:rStyle w:val="FootnoteReference"/>
        </w:rPr>
        <w:tab/>
      </w:r>
      <w:r w:rsidRPr="00B06989">
        <w:t>When considering allocative efficiency, it is important to consider</w:t>
      </w:r>
      <w:r>
        <w:t xml:space="preserve"> only</w:t>
      </w:r>
      <w:r w:rsidRPr="00B06989">
        <w:t xml:space="preserve"> future or forward-looking costs. In other words, costs </w:t>
      </w:r>
      <w:r>
        <w:t>that</w:t>
      </w:r>
      <w:r w:rsidRPr="00B06989">
        <w:t xml:space="preserve"> occur</w:t>
      </w:r>
      <w:r>
        <w:t>red</w:t>
      </w:r>
      <w:r w:rsidRPr="00B06989">
        <w:t xml:space="preserve"> in the past or </w:t>
      </w:r>
      <w:r>
        <w:t xml:space="preserve">that </w:t>
      </w:r>
      <w:r w:rsidRPr="00B06989">
        <w:t xml:space="preserve">do not contribute to present or future production should not </w:t>
      </w:r>
      <w:r w:rsidRPr="007773AA">
        <w:t>be</w:t>
      </w:r>
      <w:r w:rsidRPr="00B06989">
        <w:t xml:space="preserve"> included in a cost calculation for pricing purposes</w:t>
      </w:r>
      <w:r>
        <w:t xml:space="preserve"> when</w:t>
      </w:r>
      <w:r w:rsidRPr="00B06989">
        <w:t xml:space="preserve"> the goal is to achieve allocative efficiency. This is essentially because past costs are not relevant for future decision</w:t>
      </w:r>
      <w:r>
        <w:t>-</w:t>
      </w:r>
      <w:r w:rsidRPr="00B06989">
        <w:t>making (i.e.</w:t>
      </w:r>
      <w:r w:rsidR="00BB7865">
        <w:t>,</w:t>
      </w:r>
      <w:r w:rsidRPr="00B06989">
        <w:t xml:space="preserve"> as expended costs, they cannot be influenced by future production</w:t>
      </w:r>
      <w:r>
        <w:t>,</w:t>
      </w:r>
      <w:r w:rsidRPr="00B06989">
        <w:t xml:space="preserve"> and </w:t>
      </w:r>
      <w:r>
        <w:t>therefore</w:t>
      </w:r>
      <w:r w:rsidRPr="00B06989">
        <w:t xml:space="preserve"> future </w:t>
      </w:r>
      <w:r>
        <w:t xml:space="preserve">production </w:t>
      </w:r>
      <w:r w:rsidRPr="00B06989">
        <w:t xml:space="preserve">decisions should not take them into account). To describe a cost as </w:t>
      </w:r>
      <w:r w:rsidR="00783838">
        <w:t>"</w:t>
      </w:r>
      <w:r w:rsidRPr="00B06989">
        <w:t>forward-looking</w:t>
      </w:r>
      <w:r w:rsidR="009841B1">
        <w:t>"</w:t>
      </w:r>
      <w:r w:rsidRPr="00B06989">
        <w:t xml:space="preserve"> is therefore to make a statement about cost causation, not one simply about its timing.</w:t>
      </w:r>
    </w:p>
  </w:footnote>
  <w:footnote w:id="7">
    <w:p w14:paraId="0C894096" w14:textId="6678559D" w:rsidR="00E52274" w:rsidRPr="00AB3B68" w:rsidRDefault="00E52274" w:rsidP="00E52274">
      <w:pPr>
        <w:pStyle w:val="FootnoteText"/>
        <w:rPr>
          <w:szCs w:val="22"/>
        </w:rPr>
      </w:pPr>
      <w:r w:rsidRPr="007773AA">
        <w:rPr>
          <w:rStyle w:val="FootnoteReference"/>
        </w:rPr>
        <w:footnoteRef/>
      </w:r>
      <w:r w:rsidR="007773AA">
        <w:rPr>
          <w:rStyle w:val="FootnoteReference"/>
        </w:rPr>
        <w:tab/>
      </w:r>
      <w:r w:rsidRPr="00B06989">
        <w:t xml:space="preserve">See Ericsson, Network slicing – an essential enabler of differentiated connectivity, at </w:t>
      </w:r>
      <w:hyperlink r:id="rId4" w:history="1">
        <w:r w:rsidRPr="00FB388D">
          <w:rPr>
            <w:rStyle w:val="Hyperlink"/>
          </w:rPr>
          <w:t>https://www.ericsson.com/en/network-slicing</w:t>
        </w:r>
      </w:hyperlink>
      <w:r w:rsidR="007773AA">
        <w:t>.</w:t>
      </w:r>
    </w:p>
  </w:footnote>
  <w:footnote w:id="8">
    <w:p w14:paraId="087F61AF" w14:textId="5F8EC220" w:rsidR="00E52274" w:rsidRPr="00AB3B68" w:rsidRDefault="00E52274" w:rsidP="00E52274">
      <w:pPr>
        <w:pStyle w:val="FootnoteText"/>
        <w:rPr>
          <w:szCs w:val="22"/>
        </w:rPr>
      </w:pPr>
      <w:r w:rsidRPr="00A81124">
        <w:rPr>
          <w:rStyle w:val="FootnoteReference"/>
        </w:rPr>
        <w:footnoteRef/>
      </w:r>
      <w:r w:rsidR="00A81124">
        <w:rPr>
          <w:szCs w:val="22"/>
        </w:rPr>
        <w:tab/>
      </w:r>
      <w:r w:rsidRPr="00B06989">
        <w:t xml:space="preserve">See </w:t>
      </w:r>
      <w:r>
        <w:t>[</w:t>
      </w:r>
      <w:r w:rsidR="001337E1">
        <w:t>b-</w:t>
      </w:r>
      <w:r>
        <w:t>ITU 2020b].</w:t>
      </w:r>
    </w:p>
  </w:footnote>
  <w:footnote w:id="9">
    <w:p w14:paraId="19D329FA" w14:textId="192ED943" w:rsidR="00E52274" w:rsidRPr="00AB3B68" w:rsidRDefault="00E52274" w:rsidP="00E52274">
      <w:pPr>
        <w:pStyle w:val="FootnoteText"/>
        <w:rPr>
          <w:szCs w:val="22"/>
        </w:rPr>
      </w:pPr>
      <w:r w:rsidRPr="00A81124">
        <w:rPr>
          <w:rStyle w:val="FootnoteReference"/>
        </w:rPr>
        <w:footnoteRef/>
      </w:r>
      <w:r w:rsidR="00A81124">
        <w:rPr>
          <w:szCs w:val="22"/>
        </w:rPr>
        <w:tab/>
      </w:r>
      <w:r w:rsidRPr="00B06989">
        <w:t xml:space="preserve">See for example </w:t>
      </w:r>
      <w:hyperlink r:id="rId5" w:history="1">
        <w:r w:rsidRPr="00B06989">
          <w:rPr>
            <w:rStyle w:val="Hyperlink"/>
          </w:rPr>
          <w:t>https://digitalregulation.org/the-evolving-internet-value-chain/</w:t>
        </w:r>
      </w:hyperlink>
      <w:r w:rsidR="00A81124">
        <w:t>.</w:t>
      </w:r>
    </w:p>
  </w:footnote>
  <w:footnote w:id="10">
    <w:p w14:paraId="3518C031" w14:textId="6112A7A9" w:rsidR="00E52274" w:rsidRPr="00762DE5" w:rsidRDefault="00E52274" w:rsidP="00762DE5">
      <w:pPr>
        <w:pStyle w:val="FootnoteText"/>
        <w:rPr>
          <w:szCs w:val="22"/>
        </w:rPr>
      </w:pPr>
      <w:r w:rsidRPr="00762DE5">
        <w:rPr>
          <w:rStyle w:val="FootnoteReference"/>
        </w:rPr>
        <w:footnoteRef/>
      </w:r>
      <w:r w:rsidR="00762DE5">
        <w:tab/>
      </w:r>
      <w:r w:rsidRPr="00B06989">
        <w:t xml:space="preserve">This new edition of the Submarine Cable Map by TeleGeography depicts </w:t>
      </w:r>
      <w:r w:rsidR="00783838">
        <w:t>"</w:t>
      </w:r>
      <w:r w:rsidRPr="00B06989">
        <w:t>529 cable systems and 1,444</w:t>
      </w:r>
      <w:r w:rsidR="00762DE5">
        <w:t> </w:t>
      </w:r>
      <w:r w:rsidRPr="00B06989">
        <w:t>landings that are currently active or under construction</w:t>
      </w:r>
      <w:r w:rsidR="009841B1">
        <w:t>"</w:t>
      </w:r>
      <w:r w:rsidRPr="00B06989">
        <w:t>.</w:t>
      </w:r>
    </w:p>
  </w:footnote>
  <w:footnote w:id="11">
    <w:p w14:paraId="3253EFF0" w14:textId="42AD771A" w:rsidR="00762DE5" w:rsidRPr="00762DE5" w:rsidRDefault="00762DE5">
      <w:pPr>
        <w:pStyle w:val="FootnoteText"/>
      </w:pPr>
      <w:r>
        <w:rPr>
          <w:rStyle w:val="FootnoteReference"/>
        </w:rPr>
        <w:t>*</w:t>
      </w:r>
      <w:r>
        <w:tab/>
      </w:r>
      <w:r w:rsidRPr="00762DE5">
        <w:t>The designations employed and the presentation of material on this map do not imply the expression of any opinion whatsoever on the part of ITU and of the Secretariat of the ITU concerning the legal status of the country, territory, city or area or its authorities, or concerning the delimitation of its frontiers or boundaries.</w:t>
      </w:r>
    </w:p>
  </w:footnote>
  <w:footnote w:id="12">
    <w:p w14:paraId="1191E5A8" w14:textId="204A5665" w:rsidR="00E52274" w:rsidRPr="00AB3B68" w:rsidRDefault="00E52274" w:rsidP="00E52274">
      <w:pPr>
        <w:pStyle w:val="FootnoteText"/>
        <w:rPr>
          <w:szCs w:val="22"/>
        </w:rPr>
      </w:pPr>
      <w:r w:rsidRPr="00762DE5">
        <w:rPr>
          <w:rStyle w:val="FootnoteReference"/>
        </w:rPr>
        <w:footnoteRef/>
      </w:r>
      <w:r w:rsidR="00762DE5">
        <w:rPr>
          <w:szCs w:val="22"/>
        </w:rPr>
        <w:tab/>
      </w:r>
      <w:r w:rsidRPr="00B06989">
        <w:t xml:space="preserve">In 2024, several countries in Africa had their </w:t>
      </w:r>
      <w:r w:rsidR="00A95AF8" w:rsidRPr="00B06989">
        <w:t xml:space="preserve">Internet </w:t>
      </w:r>
      <w:r w:rsidRPr="00B06989">
        <w:t>severely disrupted by an undersea rock fall on the west coast of Africa cutting 4 subsea cables, as well as a separate incident which cut 3 subsea cables due to an ongoing spree of attacks on ships in the Red Sea.</w:t>
      </w:r>
    </w:p>
  </w:footnote>
  <w:footnote w:id="13">
    <w:p w14:paraId="252406F2" w14:textId="1473EAC5" w:rsidR="00E52274" w:rsidRPr="00AB3B68" w:rsidRDefault="00E52274" w:rsidP="00E52274">
      <w:pPr>
        <w:pStyle w:val="FootnoteText"/>
        <w:rPr>
          <w:szCs w:val="22"/>
          <w:lang w:val="en-US"/>
        </w:rPr>
      </w:pPr>
      <w:r w:rsidRPr="0099465C">
        <w:rPr>
          <w:rStyle w:val="FootnoteReference"/>
        </w:rPr>
        <w:footnoteRef/>
      </w:r>
      <w:r w:rsidR="0099465C">
        <w:rPr>
          <w:szCs w:val="22"/>
        </w:rPr>
        <w:tab/>
      </w:r>
      <w:r w:rsidRPr="005C442D">
        <w:rPr>
          <w:lang w:val="en-US"/>
        </w:rPr>
        <w:t xml:space="preserve">Why More is Better When it Comes to Subsea cables, Ben Roberts </w:t>
      </w:r>
      <w:hyperlink r:id="rId6" w:history="1">
        <w:r w:rsidRPr="005C442D">
          <w:rPr>
            <w:rStyle w:val="Hyperlink"/>
            <w:lang w:val="en-US"/>
          </w:rPr>
          <w:t>https://www.afpif.org/2016/08/why-more-is-better-when-it-comes-to-subsea-cables-and-africa/</w:t>
        </w:r>
      </w:hyperlink>
      <w:r w:rsidR="0099465C">
        <w:rPr>
          <w:lang w:val="en-US"/>
        </w:rPr>
        <w:t>.</w:t>
      </w:r>
    </w:p>
  </w:footnote>
  <w:footnote w:id="14">
    <w:p w14:paraId="722B2C21" w14:textId="078D785C" w:rsidR="00E52274" w:rsidRPr="00DF4E6F" w:rsidRDefault="00E52274" w:rsidP="007F7325">
      <w:pPr>
        <w:pStyle w:val="FootnoteText"/>
      </w:pPr>
      <w:r>
        <w:rPr>
          <w:rStyle w:val="FootnoteReference"/>
        </w:rPr>
        <w:footnoteRef/>
      </w:r>
      <w:r w:rsidR="007F7325">
        <w:tab/>
      </w:r>
      <w:r w:rsidRPr="00B06989">
        <w:t>Typical data sources for costs associated to satellite launch are industry reports and databases from organizations like SpaceX or Arianespace.</w:t>
      </w:r>
    </w:p>
    <w:p w14:paraId="7D48F35B" w14:textId="77777777" w:rsidR="00E52274" w:rsidRDefault="00E52274" w:rsidP="00E52274">
      <w:pPr>
        <w:pStyle w:val="FootnoteText"/>
      </w:pPr>
    </w:p>
  </w:footnote>
  <w:footnote w:id="15">
    <w:p w14:paraId="72ACF68C" w14:textId="39C5A338" w:rsidR="00E52274" w:rsidRDefault="00E52274" w:rsidP="00337AF3">
      <w:pPr>
        <w:pStyle w:val="FootnoteText"/>
      </w:pPr>
      <w:r>
        <w:rPr>
          <w:rStyle w:val="FootnoteReference"/>
        </w:rPr>
        <w:footnoteRef/>
      </w:r>
      <w:r w:rsidR="00337AF3">
        <w:tab/>
      </w:r>
      <w:r w:rsidRPr="008515C1">
        <w:t>The data obtained from reports published by national communications authorities, and cheapest prices from companies</w:t>
      </w:r>
      <w:r w:rsidR="00375C6D">
        <w:t>'</w:t>
      </w:r>
      <w:r w:rsidRPr="008515C1">
        <w:t xml:space="preserve"> </w:t>
      </w:r>
      <w:r w:rsidRPr="00E52274">
        <w:rPr>
          <w:kern w:val="2"/>
          <w:szCs w:val="22"/>
          <w14:ligatures w14:val="standardContextual"/>
        </w:rPr>
        <w:t>websites</w:t>
      </w:r>
      <w:r w:rsidRPr="008515C1">
        <w:t>. Source Rest of the World [</w:t>
      </w:r>
      <w:hyperlink r:id="rId7" w:history="1">
        <w:r w:rsidRPr="001337E1">
          <w:rPr>
            <w:rStyle w:val="Hyperlink"/>
          </w:rPr>
          <w:t>https://restofworld.org/2025/starlink-cheaper-internet-africa/</w:t>
        </w:r>
      </w:hyperlink>
      <w:r w:rsidRPr="008515C1">
        <w:t>].</w:t>
      </w:r>
    </w:p>
  </w:footnote>
  <w:footnote w:id="16">
    <w:p w14:paraId="707B48E0" w14:textId="33AF833C" w:rsidR="00E52274" w:rsidRPr="00AB3B68" w:rsidRDefault="00E52274" w:rsidP="00337AF3">
      <w:pPr>
        <w:pStyle w:val="FootnoteText"/>
        <w:jc w:val="left"/>
        <w:rPr>
          <w:szCs w:val="22"/>
        </w:rPr>
      </w:pPr>
      <w:r w:rsidRPr="00337AF3">
        <w:rPr>
          <w:rStyle w:val="FootnoteReference"/>
        </w:rPr>
        <w:footnoteRef/>
      </w:r>
      <w:r w:rsidR="00337AF3">
        <w:tab/>
      </w:r>
      <w:r w:rsidRPr="00B06989">
        <w:t xml:space="preserve">See </w:t>
      </w:r>
      <w:hyperlink r:id="rId8" w:history="1">
        <w:r w:rsidR="00337AF3" w:rsidRPr="006D0D08">
          <w:rPr>
            <w:rStyle w:val="Hyperlink"/>
          </w:rPr>
          <w:t>https://defence-industry-space.ec.europa.eu/eu-space/iris2-secure-connectivity_en?utm_source=chatgpt.com</w:t>
        </w:r>
      </w:hyperlink>
    </w:p>
  </w:footnote>
  <w:footnote w:id="17">
    <w:p w14:paraId="6EF7D1FF" w14:textId="5095E313" w:rsidR="00E52274" w:rsidRPr="00AB3B68" w:rsidRDefault="00E52274" w:rsidP="00E52274">
      <w:pPr>
        <w:pStyle w:val="FootnoteText"/>
        <w:rPr>
          <w:szCs w:val="22"/>
        </w:rPr>
      </w:pPr>
      <w:r w:rsidRPr="00337AF3">
        <w:rPr>
          <w:rStyle w:val="FootnoteReference"/>
        </w:rPr>
        <w:footnoteRef/>
      </w:r>
      <w:r w:rsidR="00337AF3">
        <w:rPr>
          <w:szCs w:val="22"/>
        </w:rPr>
        <w:tab/>
      </w:r>
      <w:r w:rsidRPr="00B06989">
        <w:rPr>
          <w:b/>
          <w:bCs/>
        </w:rPr>
        <w:t>Active infrastructure sharing</w:t>
      </w:r>
      <w:r w:rsidRPr="00337AF3">
        <w:t xml:space="preserve">: </w:t>
      </w:r>
      <w:r w:rsidRPr="00B06989">
        <w:t>involving</w:t>
      </w:r>
      <w:r w:rsidRPr="00B06989">
        <w:rPr>
          <w:b/>
          <w:bCs/>
        </w:rPr>
        <w:t xml:space="preserve"> </w:t>
      </w:r>
      <w:r w:rsidRPr="00B06989">
        <w:t xml:space="preserve">advanced technical models and a more complex type of sharing, whereby operators share not only passive elements but also the active layer of their networks. Active sharing can be extended to joint management systems, whereby an operator can negotiate access to its mobile switching centres and/or its packet-switching core network with other operators </w:t>
      </w:r>
      <w:r>
        <w:t>[</w:t>
      </w:r>
      <w:r w:rsidR="00A95AF8" w:rsidRPr="00A95AF8">
        <w:t>b-ITU 2021</w:t>
      </w:r>
      <w:r>
        <w:t>].</w:t>
      </w:r>
    </w:p>
  </w:footnote>
  <w:footnote w:id="18">
    <w:p w14:paraId="344016E1" w14:textId="7C4F7490" w:rsidR="00E52274" w:rsidRPr="00AB3B68" w:rsidRDefault="00E52274" w:rsidP="00337AF3">
      <w:pPr>
        <w:pStyle w:val="FootnoteText"/>
        <w:rPr>
          <w:szCs w:val="22"/>
        </w:rPr>
      </w:pPr>
      <w:r w:rsidRPr="00337AF3">
        <w:rPr>
          <w:rStyle w:val="FootnoteReference"/>
        </w:rPr>
        <w:footnoteRef/>
      </w:r>
      <w:r w:rsidR="00337AF3">
        <w:rPr>
          <w:szCs w:val="22"/>
        </w:rPr>
        <w:tab/>
      </w:r>
      <w:r w:rsidRPr="005C442D">
        <w:t xml:space="preserve">Eyeball networks are data networks that predominantly serve end users by offering fixed or mobile data </w:t>
      </w:r>
      <w:r w:rsidRPr="00337AF3">
        <w:t>services</w:t>
      </w:r>
      <w:r w:rsidRPr="005C442D">
        <w:t>.</w:t>
      </w:r>
      <w:r w:rsidR="00F9561C">
        <w:t xml:space="preserve"> </w:t>
      </w:r>
      <w:r w:rsidRPr="005C442D">
        <w:t>In Africa, mobile network operators providing mobile data, serve the largest number of eyeballs, or end users.</w:t>
      </w:r>
      <w:r w:rsidR="00F9561C">
        <w:t xml:space="preserve"> </w:t>
      </w:r>
      <w:r w:rsidRPr="005C442D">
        <w:t>ISPs however provide fixed line data services using wired (normally fibre), fixed wireless access (FWA), or direct satellite VSAT services.</w:t>
      </w:r>
      <w:r w:rsidR="00F9561C">
        <w:t xml:space="preserve"> </w:t>
      </w:r>
      <w:r w:rsidRPr="005C442D">
        <w:t>In the case of Malawi, the largest eyeball networks are MNOs Airtel Malawi and TNM Malawi, but there are also several ISPs such as Datanet Malawi and Converged Networks Malawi (CNM).</w:t>
      </w:r>
    </w:p>
  </w:footnote>
  <w:footnote w:id="19">
    <w:p w14:paraId="19BA774E" w14:textId="5A6608C8" w:rsidR="00E52274" w:rsidRPr="00337AF3" w:rsidRDefault="00E52274" w:rsidP="00337AF3">
      <w:pPr>
        <w:pStyle w:val="FootnoteText"/>
        <w:rPr>
          <w:lang w:val="en-US"/>
        </w:rPr>
      </w:pPr>
      <w:r w:rsidRPr="00337AF3">
        <w:rPr>
          <w:rStyle w:val="FootnoteReference"/>
        </w:rPr>
        <w:footnoteRef/>
      </w:r>
      <w:r w:rsidR="00337AF3">
        <w:rPr>
          <w:szCs w:val="22"/>
        </w:rPr>
        <w:tab/>
      </w:r>
      <w:r w:rsidRPr="00337AF3">
        <w:t xml:space="preserve">Moving Toward an Interconnected Africa: The 80/20 Initiative </w:t>
      </w:r>
      <w:r w:rsidR="00337AF3">
        <w:t>–</w:t>
      </w:r>
      <w:r w:rsidRPr="00337AF3">
        <w:t xml:space="preserve"> Internet Society </w:t>
      </w:r>
      <w:hyperlink r:id="rId9" w:history="1">
        <w:r w:rsidR="00337AF3" w:rsidRPr="006D0D08">
          <w:rPr>
            <w:rStyle w:val="Hyperlink"/>
          </w:rPr>
          <w:t>https://www.internetsociety.org/resources/doc/2021/moving-toward-an-interconnected-africa-the-80-20-initiative/</w:t>
        </w:r>
      </w:hyperlink>
      <w:r w:rsidRPr="00337AF3">
        <w:t xml:space="preserve"> </w:t>
      </w:r>
    </w:p>
  </w:footnote>
  <w:footnote w:id="20">
    <w:p w14:paraId="217F9C57" w14:textId="1C627A5A" w:rsidR="00E52274" w:rsidRPr="00AB3B68" w:rsidRDefault="00E52274" w:rsidP="00E52274">
      <w:pPr>
        <w:pStyle w:val="FootnoteText"/>
        <w:spacing w:after="120"/>
        <w:rPr>
          <w:szCs w:val="22"/>
          <w:lang w:val="en-US"/>
        </w:rPr>
      </w:pPr>
      <w:r w:rsidRPr="00337AF3">
        <w:rPr>
          <w:rStyle w:val="FootnoteReference"/>
        </w:rPr>
        <w:footnoteRef/>
      </w:r>
      <w:r w:rsidR="00337AF3">
        <w:tab/>
      </w:r>
      <w:r w:rsidRPr="005C442D">
        <w:t xml:space="preserve">Live Traffic Data from Internet Exchanges in Africa </w:t>
      </w:r>
      <w:hyperlink r:id="rId10" w:history="1">
        <w:r w:rsidRPr="005C442D">
          <w:rPr>
            <w:rStyle w:val="Hyperlink"/>
          </w:rPr>
          <w:t>https://ixpdb.euro-ix.net/en/explore/ixps/?reverse=&amp;sort=name&amp;q=&amp;region=2</w:t>
        </w:r>
      </w:hyperlink>
      <w:r w:rsidRPr="005C442D">
        <w:t xml:space="preserve"> </w:t>
      </w:r>
    </w:p>
  </w:footnote>
  <w:footnote w:id="21">
    <w:p w14:paraId="379D8781" w14:textId="69B93BC1" w:rsidR="00E52274" w:rsidRPr="00D5698E" w:rsidRDefault="00E52274" w:rsidP="00E52274">
      <w:pPr>
        <w:pStyle w:val="FootnoteText"/>
      </w:pPr>
      <w:r w:rsidRPr="00CD7E3A">
        <w:rPr>
          <w:rStyle w:val="FootnoteReference"/>
        </w:rPr>
        <w:footnoteRef/>
      </w:r>
      <w:r w:rsidR="00CD7E3A">
        <w:rPr>
          <w:szCs w:val="22"/>
        </w:rPr>
        <w:tab/>
      </w:r>
      <w:r w:rsidRPr="00D5698E">
        <w:t xml:space="preserve">Whereby PNI is </w:t>
      </w:r>
      <w:r>
        <w:t xml:space="preserve">a </w:t>
      </w:r>
      <w:r w:rsidRPr="00D5698E">
        <w:t>private network interconnect</w:t>
      </w:r>
      <w:r>
        <w:t>.</w:t>
      </w:r>
    </w:p>
  </w:footnote>
  <w:footnote w:id="22">
    <w:p w14:paraId="316427CC" w14:textId="12FE7E7B" w:rsidR="00E52274" w:rsidRPr="00AB3B68" w:rsidRDefault="00E52274" w:rsidP="00E52274">
      <w:pPr>
        <w:pStyle w:val="FootnoteText"/>
        <w:rPr>
          <w:szCs w:val="22"/>
        </w:rPr>
      </w:pPr>
      <w:r w:rsidRPr="00CD7E3A">
        <w:rPr>
          <w:rStyle w:val="FootnoteReference"/>
        </w:rPr>
        <w:footnoteRef/>
      </w:r>
      <w:r w:rsidR="00CD7E3A">
        <w:tab/>
      </w:r>
      <w:r w:rsidRPr="00D5698E">
        <w:t xml:space="preserve">See the EU Digital Market Act (DMA). </w:t>
      </w:r>
      <w:r w:rsidR="00783838">
        <w:t>"</w:t>
      </w:r>
      <w:r w:rsidRPr="00D5698E">
        <w:t>Gatekeepers are large digital platforms providing so</w:t>
      </w:r>
      <w:r>
        <w:t>-</w:t>
      </w:r>
      <w:r w:rsidRPr="00D5698E">
        <w:t>called core platform services, such as for example online search engines, app stores</w:t>
      </w:r>
      <w:r>
        <w:t xml:space="preserve"> and</w:t>
      </w:r>
      <w:r w:rsidRPr="00D5698E">
        <w:t xml:space="preserve"> messenger services. Gatekeepers will have to comply with the do</w:t>
      </w:r>
      <w:r w:rsidR="00375C6D">
        <w:t>'</w:t>
      </w:r>
      <w:r w:rsidRPr="00D5698E">
        <w:t>s (i.e.</w:t>
      </w:r>
      <w:r w:rsidR="00DB4FA7">
        <w:t>,</w:t>
      </w:r>
      <w:r w:rsidRPr="00D5698E">
        <w:t xml:space="preserve"> obligations) and don</w:t>
      </w:r>
      <w:r w:rsidR="00375C6D">
        <w:t>'</w:t>
      </w:r>
      <w:r w:rsidRPr="00D5698E">
        <w:t>ts (i.e.</w:t>
      </w:r>
      <w:r w:rsidR="00DB4FA7">
        <w:t>,</w:t>
      </w:r>
      <w:r w:rsidRPr="00D5698E">
        <w:t xml:space="preserve"> prohibitions) listed in the DMA.</w:t>
      </w:r>
      <w:r w:rsidR="009841B1">
        <w:t>"</w:t>
      </w:r>
      <w:r w:rsidRPr="00D5698E">
        <w:t xml:space="preserve"> </w:t>
      </w:r>
      <w:hyperlink r:id="rId11" w:history="1">
        <w:r w:rsidRPr="00FB388D">
          <w:rPr>
            <w:rStyle w:val="Hyperlink"/>
          </w:rPr>
          <w:t>https://digital-markets-act.ec.europa.eu/index_en</w:t>
        </w:r>
      </w:hyperlink>
      <w:r w:rsidR="00CD7E3A">
        <w:t>.</w:t>
      </w:r>
    </w:p>
  </w:footnote>
  <w:footnote w:id="23">
    <w:p w14:paraId="6A577EF8" w14:textId="199B05CA" w:rsidR="00E52274" w:rsidRPr="005C442D" w:rsidRDefault="00E52274" w:rsidP="00E52274">
      <w:pPr>
        <w:pStyle w:val="FootnoteText"/>
      </w:pPr>
      <w:r w:rsidRPr="001A724C">
        <w:rPr>
          <w:rStyle w:val="FootnoteReference"/>
        </w:rPr>
        <w:footnoteRef/>
      </w:r>
      <w:r w:rsidR="001A724C">
        <w:tab/>
      </w:r>
      <w:hyperlink r:id="rId12" w:history="1">
        <w:r w:rsidRPr="00FB388D">
          <w:rPr>
            <w:rStyle w:val="Hyperlink"/>
          </w:rPr>
          <w:t>https://www.caida.org/</w:t>
        </w:r>
      </w:hyperlink>
    </w:p>
  </w:footnote>
  <w:footnote w:id="24">
    <w:p w14:paraId="39AEE356" w14:textId="2E32899C" w:rsidR="00E52274" w:rsidRPr="00AB3B68" w:rsidRDefault="00E52274" w:rsidP="001A724C">
      <w:pPr>
        <w:pStyle w:val="FootnoteText"/>
        <w:rPr>
          <w:szCs w:val="22"/>
        </w:rPr>
      </w:pPr>
      <w:r w:rsidRPr="001A724C">
        <w:rPr>
          <w:rStyle w:val="FootnoteReference"/>
        </w:rPr>
        <w:footnoteRef/>
      </w:r>
      <w:r w:rsidR="001A724C" w:rsidRPr="001A724C">
        <w:rPr>
          <w:rStyle w:val="FootnoteReference"/>
        </w:rPr>
        <w:tab/>
      </w:r>
      <w:r w:rsidRPr="005C442D">
        <w:t xml:space="preserve">Two studies followed these steps </w:t>
      </w:r>
      <w:r>
        <w:t>to explore</w:t>
      </w:r>
      <w:r w:rsidRPr="005C442D">
        <w:t xml:space="preserve"> the level of concentration of the international </w:t>
      </w:r>
      <w:r>
        <w:t>I</w:t>
      </w:r>
      <w:r w:rsidRPr="005C442D">
        <w:t xml:space="preserve">nternet connectivity markets: one focusing on the Internet connectivity network in Bhutan </w:t>
      </w:r>
      <w:r>
        <w:t>[</w:t>
      </w:r>
      <w:r w:rsidR="00D40C92">
        <w:t>b-</w:t>
      </w:r>
      <w:r w:rsidRPr="005C442D">
        <w:t>Giovannetti</w:t>
      </w:r>
      <w:r>
        <w:t xml:space="preserve"> </w:t>
      </w:r>
      <w:r w:rsidRPr="005C442D">
        <w:t>2015</w:t>
      </w:r>
      <w:r>
        <w:t>]</w:t>
      </w:r>
      <w:r w:rsidRPr="005C442D">
        <w:t xml:space="preserve"> and a second </w:t>
      </w:r>
      <w:r>
        <w:t>[</w:t>
      </w:r>
      <w:r w:rsidR="00D40C92">
        <w:t>b-</w:t>
      </w:r>
      <w:r w:rsidRPr="005C442D">
        <w:t>Giovannetti 2016</w:t>
      </w:r>
      <w:r>
        <w:t>]</w:t>
      </w:r>
      <w:r w:rsidRPr="005C442D">
        <w:t xml:space="preserve"> </w:t>
      </w:r>
      <w:r>
        <w:t>conducting</w:t>
      </w:r>
      <w:r w:rsidRPr="005C442D">
        <w:t xml:space="preserve"> a similar exploration for the mobile access upstream connectivity of three major Tamil Nadu mobile broadband providers (Aircel, Bharti Airtel, and Vodafone). Both studies used crowdsourced traceroute-based active Internet periphery measurements to retrieve the complex networks prior to applying the metrics to identify the potential gatekeepers.</w:t>
      </w:r>
    </w:p>
  </w:footnote>
  <w:footnote w:id="25">
    <w:p w14:paraId="51DCC7AA" w14:textId="274EAF8B" w:rsidR="006D0A1B" w:rsidRPr="006D0A1B" w:rsidRDefault="006D0A1B">
      <w:pPr>
        <w:pStyle w:val="FootnoteText"/>
      </w:pPr>
      <w:r>
        <w:rPr>
          <w:rStyle w:val="FootnoteReference"/>
        </w:rPr>
        <w:t>*</w:t>
      </w:r>
      <w:r>
        <w:tab/>
      </w:r>
      <w:r w:rsidRPr="006D0A1B">
        <w:t>The designations employed and the presentation of material on this map do not imply the expression of any opinion whatsoever on the part of ITU and of the Secretariat of the ITU concerning the legal status of the country, territory, city or area or its authorities, or concerning the delimitation of its frontiers or boundaries.</w:t>
      </w:r>
    </w:p>
  </w:footnote>
  <w:footnote w:id="26">
    <w:p w14:paraId="05541BA9" w14:textId="55791ACE" w:rsidR="00E52274" w:rsidRDefault="00E52274" w:rsidP="00E52274">
      <w:pPr>
        <w:pStyle w:val="FootnoteText"/>
      </w:pPr>
      <w:r>
        <w:rPr>
          <w:rStyle w:val="FootnoteReference"/>
        </w:rPr>
        <w:footnoteRef/>
      </w:r>
      <w:r w:rsidR="002D4726">
        <w:tab/>
      </w:r>
      <w:hyperlink r:id="rId13" w:history="1">
        <w:r w:rsidRPr="007C43BB">
          <w:rPr>
            <w:rStyle w:val="Hyperlink"/>
          </w:rPr>
          <w:t>https://peering.google.com/#/options/peering</w:t>
        </w:r>
      </w:hyperlink>
      <w:r>
        <w:t>.</w:t>
      </w:r>
    </w:p>
  </w:footnote>
  <w:footnote w:id="27">
    <w:p w14:paraId="06B5C577" w14:textId="72BF62B7" w:rsidR="00E52274" w:rsidRPr="00AB3B68" w:rsidRDefault="00E52274" w:rsidP="00E52274">
      <w:pPr>
        <w:pStyle w:val="FootnoteText"/>
        <w:rPr>
          <w:szCs w:val="22"/>
        </w:rPr>
      </w:pPr>
      <w:r w:rsidRPr="00F2544A">
        <w:rPr>
          <w:rStyle w:val="FootnoteReference"/>
        </w:rPr>
        <w:footnoteRef/>
      </w:r>
      <w:r w:rsidR="00F2544A">
        <w:rPr>
          <w:kern w:val="2"/>
          <w14:ligatures w14:val="standardContextual"/>
        </w:rPr>
        <w:tab/>
      </w:r>
      <w:r w:rsidRPr="00D5698E">
        <w:rPr>
          <w:kern w:val="2"/>
          <w14:ligatures w14:val="standardContextual"/>
        </w:rPr>
        <w:t xml:space="preserve">See </w:t>
      </w:r>
      <w:r>
        <w:rPr>
          <w:kern w:val="2"/>
          <w14:ligatures w14:val="standardContextual"/>
        </w:rPr>
        <w:t>[</w:t>
      </w:r>
      <w:r w:rsidR="003F4946">
        <w:rPr>
          <w:kern w:val="2"/>
          <w14:ligatures w14:val="standardContextual"/>
        </w:rPr>
        <w:t>b-</w:t>
      </w:r>
      <w:r w:rsidRPr="00D5698E">
        <w:rPr>
          <w:kern w:val="2"/>
          <w14:ligatures w14:val="standardContextual"/>
        </w:rPr>
        <w:t>ITU 2018</w:t>
      </w:r>
      <w:r>
        <w:rPr>
          <w:kern w:val="2"/>
          <w14:ligatures w14:val="standardContextual"/>
        </w:rPr>
        <w:t>] a</w:t>
      </w:r>
      <w:r w:rsidRPr="00D5698E">
        <w:rPr>
          <w:kern w:val="2"/>
          <w14:ligatures w14:val="standardContextual"/>
        </w:rPr>
        <w:t xml:space="preserve">nd </w:t>
      </w:r>
      <w:r>
        <w:rPr>
          <w:kern w:val="2"/>
          <w14:ligatures w14:val="standardContextual"/>
        </w:rPr>
        <w:t>[</w:t>
      </w:r>
      <w:r w:rsidR="003F4946">
        <w:rPr>
          <w:kern w:val="2"/>
          <w14:ligatures w14:val="standardContextual"/>
        </w:rPr>
        <w:t>b-</w:t>
      </w:r>
      <w:r w:rsidRPr="00D5698E">
        <w:rPr>
          <w:kern w:val="2"/>
          <w14:ligatures w14:val="standardContextual"/>
        </w:rPr>
        <w:t>World Bank</w:t>
      </w:r>
      <w:r>
        <w:rPr>
          <w:kern w:val="2"/>
          <w14:ligatures w14:val="standardContextual"/>
        </w:rPr>
        <w:t xml:space="preserve"> </w:t>
      </w:r>
      <w:r w:rsidRPr="00D5698E">
        <w:rPr>
          <w:kern w:val="2"/>
          <w14:ligatures w14:val="standardContextual"/>
        </w:rPr>
        <w:t>2020</w:t>
      </w:r>
      <w:r>
        <w:rPr>
          <w:kern w:val="2"/>
          <w14:ligatures w14:val="standardContextual"/>
        </w:rPr>
        <w:t>]</w:t>
      </w:r>
      <w:r w:rsidRPr="00D5698E">
        <w:rPr>
          <w:kern w:val="2"/>
          <w14:ligatures w14:val="standardContextual"/>
        </w:rPr>
        <w:t>.</w:t>
      </w:r>
    </w:p>
  </w:footnote>
  <w:footnote w:id="28">
    <w:p w14:paraId="6F55048C" w14:textId="3C450F08" w:rsidR="00E52274" w:rsidRPr="007F3EB8" w:rsidRDefault="00E52274" w:rsidP="00871EF8">
      <w:pPr>
        <w:pStyle w:val="FootnoteText"/>
      </w:pPr>
      <w:r w:rsidRPr="00871EF8">
        <w:rPr>
          <w:rStyle w:val="FootnoteReference"/>
        </w:rPr>
        <w:footnoteRef/>
      </w:r>
      <w:r w:rsidR="00871EF8">
        <w:rPr>
          <w:szCs w:val="22"/>
        </w:rPr>
        <w:tab/>
      </w:r>
      <w:r w:rsidRPr="007F3EB8">
        <w:t>Method of collection: Data can be collected from facilities-based carriers that provide wholesale international connectivity. An alternative would be to collect the data from all operators in the country that contract or self-supply international bandwidth, namely fixed, mobile and satellite operators. There are other entities that may have direct connections to international carriers, namely over-the-top providers and content</w:t>
      </w:r>
      <w:r>
        <w:t xml:space="preserve"> </w:t>
      </w:r>
      <w:r w:rsidRPr="007F3EB8">
        <w:t xml:space="preserve">providers. For the sake of completeness, national authorities should strive to take these operators into account. Care should be taken to avoid double counting when collecting data both from service providers and facilities-based carriers. Relationship with other ITU indicators: This indicator (i4212l) concerns the actual usage of the </w:t>
      </w:r>
      <w:r w:rsidR="00375C6D">
        <w:t>'</w:t>
      </w:r>
      <w:r w:rsidRPr="007F3EB8">
        <w:t>lit</w:t>
      </w:r>
      <w:r w:rsidR="00375C6D">
        <w:t>'</w:t>
      </w:r>
      <w:r w:rsidRPr="007F3EB8">
        <w:t xml:space="preserve">/equipped bandwidth measured in indicator 3.2: International bandwidth usage, in Mbit/s (i4214u). </w:t>
      </w:r>
    </w:p>
  </w:footnote>
  <w:footnote w:id="29">
    <w:p w14:paraId="5F6AAE28" w14:textId="2222AA02" w:rsidR="008A76DA" w:rsidRPr="00871EF8" w:rsidRDefault="008A76DA" w:rsidP="008A76DA">
      <w:pPr>
        <w:pStyle w:val="FootnoteText"/>
      </w:pPr>
      <w:r w:rsidRPr="00871EF8">
        <w:rPr>
          <w:rStyle w:val="FootnoteReference"/>
        </w:rPr>
        <w:footnoteRef/>
      </w:r>
      <w:r>
        <w:rPr>
          <w:b/>
          <w:bCs/>
        </w:rPr>
        <w:tab/>
      </w:r>
      <w:r w:rsidRPr="00871EF8">
        <w:rPr>
          <w:b/>
          <w:bCs/>
        </w:rPr>
        <w:t>M</w:t>
      </w:r>
      <w:r w:rsidRPr="007F3EB8">
        <w:rPr>
          <w:b/>
          <w:bCs/>
        </w:rPr>
        <w:t>ethodological issues</w:t>
      </w:r>
      <w:r w:rsidRPr="007F3EB8">
        <w:t>: 1. Some operators will be able to report international bandwidth data provided by widely available network monitoring systems and tools (i.e., MRTG-Multi Router Traffic Grapher, PRTG, Cacti, OpenNMS, etc.). In general, these network monitoring tools compute average traffic usage in the following way: The basic unit or data point used to compute this indicator is the number of bits (or octets) transferred during the sampling interval divided by the duration of the sampling interval in seconds: The sampling interval is the period of time over which the measurement is taken. The more usual sampling interval is five minutes.</w:t>
      </w:r>
    </w:p>
  </w:footnote>
  <w:footnote w:id="30">
    <w:p w14:paraId="05BE02F6" w14:textId="15F1DF4B" w:rsidR="00E52274" w:rsidRDefault="00E52274" w:rsidP="00E52274">
      <w:pPr>
        <w:pStyle w:val="FootnoteText"/>
      </w:pPr>
      <w:r>
        <w:rPr>
          <w:rStyle w:val="FootnoteReference"/>
        </w:rPr>
        <w:footnoteRef/>
      </w:r>
      <w:r w:rsidR="00DC4ED1">
        <w:tab/>
      </w:r>
      <w:hyperlink r:id="rId14" w:history="1">
        <w:r w:rsidR="00DC4ED1" w:rsidRPr="00DC4ED1">
          <w:rPr>
            <w:rStyle w:val="Hyperlink"/>
            <w:szCs w:val="22"/>
          </w:rPr>
          <w:t>https://www.itu.int/en/ITU-D/Statistics/Documents/facts/FactsFigures2021.pdf</w:t>
        </w:r>
      </w:hyperlink>
      <w:r w:rsidR="00975050">
        <w:rPr>
          <w:szCs w:val="22"/>
        </w:rPr>
        <w:t>.</w:t>
      </w:r>
    </w:p>
  </w:footnote>
  <w:footnote w:id="31">
    <w:p w14:paraId="658455A1" w14:textId="7A7CCFF3" w:rsidR="00E52274" w:rsidRPr="00AB3B68" w:rsidRDefault="00E52274" w:rsidP="00E52274">
      <w:pPr>
        <w:pStyle w:val="FootnoteText"/>
        <w:rPr>
          <w:szCs w:val="22"/>
        </w:rPr>
      </w:pPr>
      <w:r w:rsidRPr="00454EDF">
        <w:rPr>
          <w:rStyle w:val="FootnoteReference"/>
        </w:rPr>
        <w:footnoteRef/>
      </w:r>
      <w:r w:rsidR="00454EDF">
        <w:rPr>
          <w:szCs w:val="22"/>
        </w:rPr>
        <w:tab/>
      </w:r>
      <w:r w:rsidRPr="00AB3B68">
        <w:rPr>
          <w:szCs w:val="22"/>
        </w:rPr>
        <w:t xml:space="preserve">All documentation and consultation records are available publicly online following the open approach. Two main online sources for information related to OFDS can be found at </w:t>
      </w:r>
      <w:hyperlink r:id="rId15" w:history="1">
        <w:r w:rsidRPr="00AB3B68">
          <w:rPr>
            <w:rStyle w:val="Hyperlink"/>
            <w:szCs w:val="22"/>
          </w:rPr>
          <w:t>OFDS GitHub</w:t>
        </w:r>
      </w:hyperlink>
      <w:r w:rsidRPr="00AB3B68">
        <w:rPr>
          <w:szCs w:val="22"/>
        </w:rPr>
        <w:t xml:space="preserve"> repository and </w:t>
      </w:r>
      <w:hyperlink r:id="rId16" w:history="1">
        <w:r w:rsidRPr="00AB3B68">
          <w:rPr>
            <w:rStyle w:val="Hyperlink"/>
            <w:szCs w:val="22"/>
          </w:rPr>
          <w:t>OFDS documentation site</w:t>
        </w:r>
      </w:hyperlink>
      <w:r w:rsidRPr="00AB3B68">
        <w:rPr>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0FA1E" w14:textId="77777777" w:rsidR="002A2404" w:rsidRDefault="002A2404">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7C2F" w14:textId="77777777" w:rsidR="002A2404" w:rsidRDefault="002A2404" w:rsidP="00CE6FBD">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51705" w14:textId="77777777" w:rsidR="002A2404" w:rsidRDefault="002A2404">
    <w:pPr>
      <w:pStyle w:val="Header"/>
      <w:ind w:right="360" w:firstLine="36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4D68D" w14:textId="77777777" w:rsidR="002A2404" w:rsidRDefault="002A2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1CE4C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0D69C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DB8611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DBEFD3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94AAFE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56AE0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E2ACF6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E44B24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B82CA5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04EBB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CD27D4"/>
    <w:multiLevelType w:val="hybridMultilevel"/>
    <w:tmpl w:val="452641FE"/>
    <w:lvl w:ilvl="0" w:tplc="1F208C98">
      <w:start w:val="1"/>
      <w:numFmt w:val="decimal"/>
      <w:pStyle w:val="References"/>
      <w:lvlText w:val="[%1]"/>
      <w:lvlJc w:val="left"/>
      <w:pPr>
        <w:tabs>
          <w:tab w:val="num" w:pos="1418"/>
        </w:tabs>
        <w:ind w:left="1418" w:hanging="141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E1329F"/>
    <w:multiLevelType w:val="hybridMultilevel"/>
    <w:tmpl w:val="8DB2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23122C"/>
    <w:multiLevelType w:val="multilevel"/>
    <w:tmpl w:val="9C1675B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593C4B"/>
    <w:multiLevelType w:val="multilevel"/>
    <w:tmpl w:val="B298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4F95633"/>
    <w:multiLevelType w:val="multilevel"/>
    <w:tmpl w:val="468CBD8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5" w15:restartNumberingAfterBreak="0">
    <w:nsid w:val="1CFC2E18"/>
    <w:multiLevelType w:val="multilevel"/>
    <w:tmpl w:val="FA5C6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CC5357"/>
    <w:multiLevelType w:val="hybridMultilevel"/>
    <w:tmpl w:val="AF7A7770"/>
    <w:lvl w:ilvl="0" w:tplc="1B16884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EF507A"/>
    <w:multiLevelType w:val="hybridMultilevel"/>
    <w:tmpl w:val="C59A3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AE60DE"/>
    <w:multiLevelType w:val="hybridMultilevel"/>
    <w:tmpl w:val="D4D8145C"/>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D8B6C37"/>
    <w:multiLevelType w:val="multilevel"/>
    <w:tmpl w:val="95544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002AD"/>
    <w:multiLevelType w:val="multilevel"/>
    <w:tmpl w:val="BA24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117BC3"/>
    <w:multiLevelType w:val="multilevel"/>
    <w:tmpl w:val="680C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AA003A"/>
    <w:multiLevelType w:val="multilevel"/>
    <w:tmpl w:val="02222F5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E110D6"/>
    <w:multiLevelType w:val="hybridMultilevel"/>
    <w:tmpl w:val="341809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D018E1"/>
    <w:multiLevelType w:val="multilevel"/>
    <w:tmpl w:val="43A2EB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2D0AFB"/>
    <w:multiLevelType w:val="hybridMultilevel"/>
    <w:tmpl w:val="D43ED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BE124E"/>
    <w:multiLevelType w:val="hybridMultilevel"/>
    <w:tmpl w:val="FE92D7A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D5123DC"/>
    <w:multiLevelType w:val="multilevel"/>
    <w:tmpl w:val="9C1675B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D765E1"/>
    <w:multiLevelType w:val="multilevel"/>
    <w:tmpl w:val="5386BC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F3734C"/>
    <w:multiLevelType w:val="multilevel"/>
    <w:tmpl w:val="E2E6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1D2EEC"/>
    <w:multiLevelType w:val="hybridMultilevel"/>
    <w:tmpl w:val="8CA41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013ABE"/>
    <w:multiLevelType w:val="multilevel"/>
    <w:tmpl w:val="2E909B8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11C1BE5"/>
    <w:multiLevelType w:val="multilevel"/>
    <w:tmpl w:val="B400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3A1887"/>
    <w:multiLevelType w:val="multilevel"/>
    <w:tmpl w:val="644E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213E80"/>
    <w:multiLevelType w:val="multilevel"/>
    <w:tmpl w:val="F4CE3B78"/>
    <w:lvl w:ilvl="0">
      <w:start w:val="1"/>
      <w:numFmt w:val="decimal"/>
      <w:lvlText w:val="%1."/>
      <w:lvlJc w:val="left"/>
      <w:pPr>
        <w:ind w:left="1080" w:hanging="360"/>
      </w:pPr>
      <w:rPr>
        <w:b w:val="0"/>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72B00BD5"/>
    <w:multiLevelType w:val="hybridMultilevel"/>
    <w:tmpl w:val="4AB8D1A4"/>
    <w:lvl w:ilvl="0" w:tplc="0012FA70">
      <w:start w:val="1"/>
      <w:numFmt w:val="decimal"/>
      <w:lvlText w:val="%1."/>
      <w:lvlJc w:val="left"/>
      <w:pPr>
        <w:ind w:left="720" w:hanging="360"/>
      </w:pPr>
    </w:lvl>
    <w:lvl w:ilvl="1" w:tplc="40FA44E6">
      <w:start w:val="1"/>
      <w:numFmt w:val="decimal"/>
      <w:lvlText w:val="%2."/>
      <w:lvlJc w:val="left"/>
      <w:pPr>
        <w:ind w:left="720" w:hanging="360"/>
      </w:pPr>
    </w:lvl>
    <w:lvl w:ilvl="2" w:tplc="7FEC16A2">
      <w:start w:val="1"/>
      <w:numFmt w:val="decimal"/>
      <w:lvlText w:val="%3."/>
      <w:lvlJc w:val="left"/>
      <w:pPr>
        <w:ind w:left="720" w:hanging="360"/>
      </w:pPr>
    </w:lvl>
    <w:lvl w:ilvl="3" w:tplc="940897F4">
      <w:start w:val="1"/>
      <w:numFmt w:val="decimal"/>
      <w:lvlText w:val="%4."/>
      <w:lvlJc w:val="left"/>
      <w:pPr>
        <w:ind w:left="720" w:hanging="360"/>
      </w:pPr>
    </w:lvl>
    <w:lvl w:ilvl="4" w:tplc="E5CA072E">
      <w:start w:val="1"/>
      <w:numFmt w:val="decimal"/>
      <w:lvlText w:val="%5."/>
      <w:lvlJc w:val="left"/>
      <w:pPr>
        <w:ind w:left="720" w:hanging="360"/>
      </w:pPr>
    </w:lvl>
    <w:lvl w:ilvl="5" w:tplc="A7FC168A">
      <w:start w:val="1"/>
      <w:numFmt w:val="decimal"/>
      <w:lvlText w:val="%6."/>
      <w:lvlJc w:val="left"/>
      <w:pPr>
        <w:ind w:left="720" w:hanging="360"/>
      </w:pPr>
    </w:lvl>
    <w:lvl w:ilvl="6" w:tplc="19C88AFC">
      <w:start w:val="1"/>
      <w:numFmt w:val="decimal"/>
      <w:lvlText w:val="%7."/>
      <w:lvlJc w:val="left"/>
      <w:pPr>
        <w:ind w:left="720" w:hanging="360"/>
      </w:pPr>
    </w:lvl>
    <w:lvl w:ilvl="7" w:tplc="89A4E426">
      <w:start w:val="1"/>
      <w:numFmt w:val="decimal"/>
      <w:lvlText w:val="%8."/>
      <w:lvlJc w:val="left"/>
      <w:pPr>
        <w:ind w:left="720" w:hanging="360"/>
      </w:pPr>
    </w:lvl>
    <w:lvl w:ilvl="8" w:tplc="27787DA2">
      <w:start w:val="1"/>
      <w:numFmt w:val="decimal"/>
      <w:lvlText w:val="%9."/>
      <w:lvlJc w:val="left"/>
      <w:pPr>
        <w:ind w:left="720" w:hanging="360"/>
      </w:pPr>
    </w:lvl>
  </w:abstractNum>
  <w:abstractNum w:abstractNumId="36" w15:restartNumberingAfterBreak="0">
    <w:nsid w:val="7B251E08"/>
    <w:multiLevelType w:val="multilevel"/>
    <w:tmpl w:val="8576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661FD"/>
    <w:multiLevelType w:val="hybridMultilevel"/>
    <w:tmpl w:val="D2C0BB46"/>
    <w:lvl w:ilvl="0" w:tplc="0809001B">
      <w:start w:val="1"/>
      <w:numFmt w:val="lowerRoman"/>
      <w:lvlText w:val="%1."/>
      <w:lvlJc w:val="righ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776753825">
    <w:abstractNumId w:val="31"/>
  </w:num>
  <w:num w:numId="2" w16cid:durableId="259990309">
    <w:abstractNumId w:val="10"/>
  </w:num>
  <w:num w:numId="3" w16cid:durableId="1040087198">
    <w:abstractNumId w:val="9"/>
  </w:num>
  <w:num w:numId="4" w16cid:durableId="223223027">
    <w:abstractNumId w:val="7"/>
  </w:num>
  <w:num w:numId="5" w16cid:durableId="1902207539">
    <w:abstractNumId w:val="6"/>
  </w:num>
  <w:num w:numId="6" w16cid:durableId="617222980">
    <w:abstractNumId w:val="5"/>
  </w:num>
  <w:num w:numId="7" w16cid:durableId="1179194037">
    <w:abstractNumId w:val="4"/>
  </w:num>
  <w:num w:numId="8" w16cid:durableId="1208182546">
    <w:abstractNumId w:val="8"/>
  </w:num>
  <w:num w:numId="9" w16cid:durableId="177041798">
    <w:abstractNumId w:val="3"/>
  </w:num>
  <w:num w:numId="10" w16cid:durableId="1648781533">
    <w:abstractNumId w:val="2"/>
  </w:num>
  <w:num w:numId="11" w16cid:durableId="604919727">
    <w:abstractNumId w:val="1"/>
  </w:num>
  <w:num w:numId="12" w16cid:durableId="1560021697">
    <w:abstractNumId w:val="0"/>
  </w:num>
  <w:num w:numId="13" w16cid:durableId="1171988232">
    <w:abstractNumId w:val="18"/>
  </w:num>
  <w:num w:numId="14" w16cid:durableId="227307846">
    <w:abstractNumId w:val="25"/>
  </w:num>
  <w:num w:numId="15" w16cid:durableId="1184900707">
    <w:abstractNumId w:val="24"/>
  </w:num>
  <w:num w:numId="16" w16cid:durableId="1179393781">
    <w:abstractNumId w:val="27"/>
  </w:num>
  <w:num w:numId="17" w16cid:durableId="11460525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8501182">
    <w:abstractNumId w:val="12"/>
  </w:num>
  <w:num w:numId="19" w16cid:durableId="2113164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5793075">
    <w:abstractNumId w:val="23"/>
  </w:num>
  <w:num w:numId="21" w16cid:durableId="409497804">
    <w:abstractNumId w:val="11"/>
  </w:num>
  <w:num w:numId="22" w16cid:durableId="414207011">
    <w:abstractNumId w:val="19"/>
  </w:num>
  <w:num w:numId="23" w16cid:durableId="1561942646">
    <w:abstractNumId w:val="32"/>
  </w:num>
  <w:num w:numId="24" w16cid:durableId="27066782">
    <w:abstractNumId w:val="29"/>
  </w:num>
  <w:num w:numId="25" w16cid:durableId="1083643424">
    <w:abstractNumId w:val="30"/>
  </w:num>
  <w:num w:numId="26" w16cid:durableId="823812548">
    <w:abstractNumId w:val="14"/>
  </w:num>
  <w:num w:numId="27" w16cid:durableId="29846298">
    <w:abstractNumId w:val="16"/>
  </w:num>
  <w:num w:numId="28" w16cid:durableId="1923292475">
    <w:abstractNumId w:val="17"/>
  </w:num>
  <w:num w:numId="29" w16cid:durableId="185366857">
    <w:abstractNumId w:val="21"/>
  </w:num>
  <w:num w:numId="30" w16cid:durableId="436677365">
    <w:abstractNumId w:val="28"/>
  </w:num>
  <w:num w:numId="31" w16cid:durableId="1154294455">
    <w:abstractNumId w:val="36"/>
  </w:num>
  <w:num w:numId="32" w16cid:durableId="186605036">
    <w:abstractNumId w:val="15"/>
  </w:num>
  <w:num w:numId="33" w16cid:durableId="1734306079">
    <w:abstractNumId w:val="33"/>
  </w:num>
  <w:num w:numId="34" w16cid:durableId="36782883">
    <w:abstractNumId w:val="20"/>
  </w:num>
  <w:num w:numId="35" w16cid:durableId="1904680199">
    <w:abstractNumId w:val="13"/>
  </w:num>
  <w:num w:numId="36" w16cid:durableId="501362107">
    <w:abstractNumId w:val="35"/>
  </w:num>
  <w:num w:numId="37" w16cid:durableId="1488982161">
    <w:abstractNumId w:val="22"/>
  </w:num>
  <w:num w:numId="38" w16cid:durableId="6597691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5" w:nlCheck="1" w:checkStyle="1"/>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fillcolor="#9d170a" stroke="f">
      <v:fill color="#9d170a"/>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B4E"/>
    <w:rsid w:val="000150EB"/>
    <w:rsid w:val="00021011"/>
    <w:rsid w:val="00041437"/>
    <w:rsid w:val="000548F1"/>
    <w:rsid w:val="00060BF3"/>
    <w:rsid w:val="00076210"/>
    <w:rsid w:val="000839B3"/>
    <w:rsid w:val="00083B33"/>
    <w:rsid w:val="0009116F"/>
    <w:rsid w:val="000A287B"/>
    <w:rsid w:val="000B08C7"/>
    <w:rsid w:val="000B48BF"/>
    <w:rsid w:val="000C2243"/>
    <w:rsid w:val="000C60F6"/>
    <w:rsid w:val="000E355E"/>
    <w:rsid w:val="000F346B"/>
    <w:rsid w:val="000F76BA"/>
    <w:rsid w:val="00104D75"/>
    <w:rsid w:val="00123A60"/>
    <w:rsid w:val="00133661"/>
    <w:rsid w:val="001337E1"/>
    <w:rsid w:val="0013384E"/>
    <w:rsid w:val="001423A8"/>
    <w:rsid w:val="00156515"/>
    <w:rsid w:val="0016509B"/>
    <w:rsid w:val="001811BB"/>
    <w:rsid w:val="001822D5"/>
    <w:rsid w:val="0018403B"/>
    <w:rsid w:val="001A724C"/>
    <w:rsid w:val="001B5D54"/>
    <w:rsid w:val="001C107A"/>
    <w:rsid w:val="001C23F2"/>
    <w:rsid w:val="001C7FDD"/>
    <w:rsid w:val="001D4A6E"/>
    <w:rsid w:val="001D6AC9"/>
    <w:rsid w:val="001E37D7"/>
    <w:rsid w:val="001E6C55"/>
    <w:rsid w:val="001F1D7C"/>
    <w:rsid w:val="00201F80"/>
    <w:rsid w:val="002309F5"/>
    <w:rsid w:val="00240FAD"/>
    <w:rsid w:val="00257333"/>
    <w:rsid w:val="00263DE1"/>
    <w:rsid w:val="0028016E"/>
    <w:rsid w:val="002810DF"/>
    <w:rsid w:val="00296206"/>
    <w:rsid w:val="002971EE"/>
    <w:rsid w:val="0029775A"/>
    <w:rsid w:val="002A2404"/>
    <w:rsid w:val="002A3258"/>
    <w:rsid w:val="002A5E68"/>
    <w:rsid w:val="002B2170"/>
    <w:rsid w:val="002B534E"/>
    <w:rsid w:val="002D4726"/>
    <w:rsid w:val="002E0F55"/>
    <w:rsid w:val="002E5890"/>
    <w:rsid w:val="003014F0"/>
    <w:rsid w:val="00302845"/>
    <w:rsid w:val="00302A5B"/>
    <w:rsid w:val="00303062"/>
    <w:rsid w:val="003239B9"/>
    <w:rsid w:val="003243DD"/>
    <w:rsid w:val="00325985"/>
    <w:rsid w:val="0033378F"/>
    <w:rsid w:val="00337AF3"/>
    <w:rsid w:val="003427ED"/>
    <w:rsid w:val="003477D8"/>
    <w:rsid w:val="00353892"/>
    <w:rsid w:val="00356D5E"/>
    <w:rsid w:val="00375C6D"/>
    <w:rsid w:val="003A0344"/>
    <w:rsid w:val="003A3E2B"/>
    <w:rsid w:val="003D02CB"/>
    <w:rsid w:val="003F4946"/>
    <w:rsid w:val="0041539F"/>
    <w:rsid w:val="00445C10"/>
    <w:rsid w:val="00454EDF"/>
    <w:rsid w:val="00456680"/>
    <w:rsid w:val="004765B6"/>
    <w:rsid w:val="004906E9"/>
    <w:rsid w:val="004913E7"/>
    <w:rsid w:val="004A7FC7"/>
    <w:rsid w:val="004B0939"/>
    <w:rsid w:val="004C569D"/>
    <w:rsid w:val="004D0937"/>
    <w:rsid w:val="004E7D87"/>
    <w:rsid w:val="004F2339"/>
    <w:rsid w:val="004F71CF"/>
    <w:rsid w:val="00511056"/>
    <w:rsid w:val="0052328A"/>
    <w:rsid w:val="00535F83"/>
    <w:rsid w:val="005700F8"/>
    <w:rsid w:val="00582FF1"/>
    <w:rsid w:val="005A06F2"/>
    <w:rsid w:val="005A60C6"/>
    <w:rsid w:val="005C552F"/>
    <w:rsid w:val="005D379B"/>
    <w:rsid w:val="005E11CD"/>
    <w:rsid w:val="00601551"/>
    <w:rsid w:val="006106B4"/>
    <w:rsid w:val="00616128"/>
    <w:rsid w:val="0062037B"/>
    <w:rsid w:val="00623D17"/>
    <w:rsid w:val="00641E3E"/>
    <w:rsid w:val="0064207A"/>
    <w:rsid w:val="00657AFF"/>
    <w:rsid w:val="00666C02"/>
    <w:rsid w:val="00671ADD"/>
    <w:rsid w:val="00676F9C"/>
    <w:rsid w:val="00681642"/>
    <w:rsid w:val="00694C7A"/>
    <w:rsid w:val="006B01E4"/>
    <w:rsid w:val="006C28C2"/>
    <w:rsid w:val="006D0A1B"/>
    <w:rsid w:val="006D57D6"/>
    <w:rsid w:val="006E0D4C"/>
    <w:rsid w:val="006F3E3B"/>
    <w:rsid w:val="006F7BB6"/>
    <w:rsid w:val="0070360F"/>
    <w:rsid w:val="00720A42"/>
    <w:rsid w:val="00726163"/>
    <w:rsid w:val="00751783"/>
    <w:rsid w:val="00752C1A"/>
    <w:rsid w:val="00762DE5"/>
    <w:rsid w:val="0076675B"/>
    <w:rsid w:val="00773154"/>
    <w:rsid w:val="007773AA"/>
    <w:rsid w:val="00783586"/>
    <w:rsid w:val="00783838"/>
    <w:rsid w:val="007A125F"/>
    <w:rsid w:val="007A7AB6"/>
    <w:rsid w:val="007C62AC"/>
    <w:rsid w:val="007C7328"/>
    <w:rsid w:val="007D2075"/>
    <w:rsid w:val="007F4AFD"/>
    <w:rsid w:val="007F7325"/>
    <w:rsid w:val="00821CBF"/>
    <w:rsid w:val="00850BF9"/>
    <w:rsid w:val="00863002"/>
    <w:rsid w:val="00865987"/>
    <w:rsid w:val="00871EF8"/>
    <w:rsid w:val="00872040"/>
    <w:rsid w:val="008A76DA"/>
    <w:rsid w:val="008E03B2"/>
    <w:rsid w:val="008F0E27"/>
    <w:rsid w:val="00921A03"/>
    <w:rsid w:val="00923C60"/>
    <w:rsid w:val="00927DB6"/>
    <w:rsid w:val="00934B4E"/>
    <w:rsid w:val="009374E1"/>
    <w:rsid w:val="00944D03"/>
    <w:rsid w:val="00955972"/>
    <w:rsid w:val="00956289"/>
    <w:rsid w:val="00957911"/>
    <w:rsid w:val="00962E60"/>
    <w:rsid w:val="009637BC"/>
    <w:rsid w:val="00975050"/>
    <w:rsid w:val="00975251"/>
    <w:rsid w:val="009841B1"/>
    <w:rsid w:val="0099465C"/>
    <w:rsid w:val="00994FE7"/>
    <w:rsid w:val="009A64BD"/>
    <w:rsid w:val="009C4BD0"/>
    <w:rsid w:val="009E01F9"/>
    <w:rsid w:val="009F1303"/>
    <w:rsid w:val="00A13637"/>
    <w:rsid w:val="00A2301A"/>
    <w:rsid w:val="00A27CA7"/>
    <w:rsid w:val="00A3658D"/>
    <w:rsid w:val="00A411E9"/>
    <w:rsid w:val="00A43177"/>
    <w:rsid w:val="00A55AB3"/>
    <w:rsid w:val="00A6114B"/>
    <w:rsid w:val="00A81124"/>
    <w:rsid w:val="00A83973"/>
    <w:rsid w:val="00A927A7"/>
    <w:rsid w:val="00A9292D"/>
    <w:rsid w:val="00A95AF8"/>
    <w:rsid w:val="00AA3ADA"/>
    <w:rsid w:val="00AC6E7E"/>
    <w:rsid w:val="00AD0BA8"/>
    <w:rsid w:val="00AD4B70"/>
    <w:rsid w:val="00AD60E6"/>
    <w:rsid w:val="00AE4B73"/>
    <w:rsid w:val="00AF1FCB"/>
    <w:rsid w:val="00B004F0"/>
    <w:rsid w:val="00B01B93"/>
    <w:rsid w:val="00B06F7D"/>
    <w:rsid w:val="00B267B9"/>
    <w:rsid w:val="00B30B53"/>
    <w:rsid w:val="00B46FF3"/>
    <w:rsid w:val="00B72114"/>
    <w:rsid w:val="00B84159"/>
    <w:rsid w:val="00BB0D08"/>
    <w:rsid w:val="00BB6081"/>
    <w:rsid w:val="00BB7865"/>
    <w:rsid w:val="00BC7350"/>
    <w:rsid w:val="00BD7411"/>
    <w:rsid w:val="00BE5DE9"/>
    <w:rsid w:val="00C11E4B"/>
    <w:rsid w:val="00C22B81"/>
    <w:rsid w:val="00C2521F"/>
    <w:rsid w:val="00C43A59"/>
    <w:rsid w:val="00C62C39"/>
    <w:rsid w:val="00C812BE"/>
    <w:rsid w:val="00CA5826"/>
    <w:rsid w:val="00CB65F3"/>
    <w:rsid w:val="00CC0394"/>
    <w:rsid w:val="00CD7E3A"/>
    <w:rsid w:val="00CE6FBD"/>
    <w:rsid w:val="00D12B60"/>
    <w:rsid w:val="00D24760"/>
    <w:rsid w:val="00D40C92"/>
    <w:rsid w:val="00D41983"/>
    <w:rsid w:val="00D45101"/>
    <w:rsid w:val="00D5148D"/>
    <w:rsid w:val="00D52618"/>
    <w:rsid w:val="00D70E68"/>
    <w:rsid w:val="00D94EB5"/>
    <w:rsid w:val="00DB2E1F"/>
    <w:rsid w:val="00DB4FA7"/>
    <w:rsid w:val="00DC4ED1"/>
    <w:rsid w:val="00DD73B6"/>
    <w:rsid w:val="00DD742A"/>
    <w:rsid w:val="00DE45D7"/>
    <w:rsid w:val="00DE5104"/>
    <w:rsid w:val="00E20291"/>
    <w:rsid w:val="00E503F8"/>
    <w:rsid w:val="00E52274"/>
    <w:rsid w:val="00E539A4"/>
    <w:rsid w:val="00E5596B"/>
    <w:rsid w:val="00E71E21"/>
    <w:rsid w:val="00EA2536"/>
    <w:rsid w:val="00EB6FEE"/>
    <w:rsid w:val="00EC34CE"/>
    <w:rsid w:val="00ED035A"/>
    <w:rsid w:val="00EE10E8"/>
    <w:rsid w:val="00EE45E0"/>
    <w:rsid w:val="00EF0B52"/>
    <w:rsid w:val="00EF115B"/>
    <w:rsid w:val="00F2544A"/>
    <w:rsid w:val="00F37429"/>
    <w:rsid w:val="00F44D58"/>
    <w:rsid w:val="00F550D4"/>
    <w:rsid w:val="00F63630"/>
    <w:rsid w:val="00F83095"/>
    <w:rsid w:val="00F927C2"/>
    <w:rsid w:val="00F9561C"/>
    <w:rsid w:val="00FA2375"/>
    <w:rsid w:val="00FF44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d170a" stroke="f">
      <v:fill color="#9d170a"/>
      <v:stroke on="f"/>
    </o:shapedefaults>
    <o:shapelayout v:ext="edit">
      <o:idmap v:ext="edit" data="2"/>
    </o:shapelayout>
  </w:shapeDefaults>
  <w:decimalSymbol w:val="."/>
  <w:listSeparator w:val=","/>
  <w14:docId w14:val="174E365E"/>
  <w15:docId w15:val="{938C2942-2F7F-4D56-BA5E-537F0C7F9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43DD"/>
    <w:pPr>
      <w:tabs>
        <w:tab w:val="left" w:pos="794"/>
        <w:tab w:val="left" w:pos="1191"/>
        <w:tab w:val="left" w:pos="1588"/>
        <w:tab w:val="left" w:pos="1985"/>
      </w:tabs>
      <w:overflowPunct w:val="0"/>
      <w:autoSpaceDE w:val="0"/>
      <w:autoSpaceDN w:val="0"/>
      <w:adjustRightInd w:val="0"/>
      <w:spacing w:before="120"/>
      <w:jc w:val="both"/>
      <w:textAlignment w:val="baseline"/>
    </w:pPr>
    <w:rPr>
      <w:rFonts w:ascii="Times New Roman" w:eastAsiaTheme="minorEastAsia" w:hAnsi="Times New Roman"/>
      <w:sz w:val="24"/>
      <w:lang w:val="en-GB" w:eastAsia="en-US"/>
    </w:rPr>
  </w:style>
  <w:style w:type="paragraph" w:styleId="Heading1">
    <w:name w:val="heading 1"/>
    <w:basedOn w:val="Normal"/>
    <w:next w:val="Normal"/>
    <w:link w:val="Heading1Char"/>
    <w:qFormat/>
    <w:rsid w:val="006D57D6"/>
    <w:pPr>
      <w:keepNext/>
      <w:keepLines/>
      <w:spacing w:before="360"/>
      <w:ind w:left="794" w:hanging="794"/>
      <w:jc w:val="left"/>
      <w:outlineLvl w:val="0"/>
    </w:pPr>
    <w:rPr>
      <w:b/>
    </w:rPr>
  </w:style>
  <w:style w:type="paragraph" w:styleId="Heading2">
    <w:name w:val="heading 2"/>
    <w:basedOn w:val="Heading1"/>
    <w:next w:val="Normal"/>
    <w:link w:val="Heading2Char"/>
    <w:qFormat/>
    <w:rsid w:val="006D57D6"/>
    <w:pPr>
      <w:spacing w:before="240"/>
      <w:outlineLvl w:val="1"/>
    </w:pPr>
  </w:style>
  <w:style w:type="paragraph" w:styleId="Heading3">
    <w:name w:val="heading 3"/>
    <w:basedOn w:val="Heading1"/>
    <w:next w:val="Normal"/>
    <w:link w:val="Heading3Char"/>
    <w:qFormat/>
    <w:rsid w:val="006D57D6"/>
    <w:pPr>
      <w:spacing w:before="160"/>
      <w:outlineLvl w:val="2"/>
    </w:pPr>
  </w:style>
  <w:style w:type="paragraph" w:styleId="Heading4">
    <w:name w:val="heading 4"/>
    <w:basedOn w:val="Heading3"/>
    <w:next w:val="Normal"/>
    <w:link w:val="Heading4Char"/>
    <w:qFormat/>
    <w:rsid w:val="006D57D6"/>
    <w:pPr>
      <w:tabs>
        <w:tab w:val="clear" w:pos="794"/>
        <w:tab w:val="left" w:pos="1021"/>
      </w:tabs>
      <w:ind w:left="1021" w:hanging="1021"/>
      <w:outlineLvl w:val="3"/>
    </w:pPr>
  </w:style>
  <w:style w:type="paragraph" w:styleId="Heading5">
    <w:name w:val="heading 5"/>
    <w:basedOn w:val="Heading4"/>
    <w:next w:val="Normal"/>
    <w:link w:val="Heading5Char"/>
    <w:qFormat/>
    <w:rsid w:val="006D57D6"/>
    <w:pPr>
      <w:outlineLvl w:val="4"/>
    </w:pPr>
  </w:style>
  <w:style w:type="paragraph" w:styleId="Heading6">
    <w:name w:val="heading 6"/>
    <w:basedOn w:val="Heading4"/>
    <w:next w:val="Normal"/>
    <w:link w:val="Heading6Char"/>
    <w:qFormat/>
    <w:rsid w:val="006D57D6"/>
    <w:pPr>
      <w:tabs>
        <w:tab w:val="clear" w:pos="1021"/>
        <w:tab w:val="clear" w:pos="1191"/>
      </w:tabs>
      <w:ind w:left="1588" w:hanging="1588"/>
      <w:outlineLvl w:val="5"/>
    </w:pPr>
  </w:style>
  <w:style w:type="paragraph" w:styleId="Heading7">
    <w:name w:val="heading 7"/>
    <w:basedOn w:val="Heading6"/>
    <w:next w:val="Normal"/>
    <w:link w:val="Heading7Char"/>
    <w:qFormat/>
    <w:rsid w:val="006D57D6"/>
    <w:pPr>
      <w:outlineLvl w:val="6"/>
    </w:pPr>
  </w:style>
  <w:style w:type="paragraph" w:styleId="Heading8">
    <w:name w:val="heading 8"/>
    <w:basedOn w:val="Heading6"/>
    <w:next w:val="Normal"/>
    <w:link w:val="Heading8Char"/>
    <w:qFormat/>
    <w:rsid w:val="006D57D6"/>
    <w:pPr>
      <w:outlineLvl w:val="7"/>
    </w:pPr>
  </w:style>
  <w:style w:type="paragraph" w:styleId="Heading9">
    <w:name w:val="heading 9"/>
    <w:basedOn w:val="Heading6"/>
    <w:next w:val="Normal"/>
    <w:link w:val="Heading9Char"/>
    <w:qFormat/>
    <w:rsid w:val="006D57D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6D57D6"/>
  </w:style>
  <w:style w:type="paragraph" w:styleId="TOC4">
    <w:name w:val="toc 4"/>
    <w:basedOn w:val="TOC3"/>
    <w:semiHidden/>
    <w:rsid w:val="006D57D6"/>
  </w:style>
  <w:style w:type="paragraph" w:styleId="TOC3">
    <w:name w:val="toc 3"/>
    <w:basedOn w:val="TOC2"/>
    <w:rsid w:val="006D57D6"/>
  </w:style>
  <w:style w:type="paragraph" w:styleId="TOC2">
    <w:name w:val="toc 2"/>
    <w:basedOn w:val="TOC1"/>
    <w:uiPriority w:val="39"/>
    <w:rsid w:val="006D57D6"/>
    <w:pPr>
      <w:spacing w:before="80"/>
      <w:ind w:left="1531" w:hanging="851"/>
    </w:pPr>
  </w:style>
  <w:style w:type="paragraph" w:styleId="TOC1">
    <w:name w:val="toc 1"/>
    <w:basedOn w:val="Normal"/>
    <w:uiPriority w:val="39"/>
    <w:rsid w:val="006D57D6"/>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7">
    <w:name w:val="toc 7"/>
    <w:basedOn w:val="TOC4"/>
    <w:semiHidden/>
    <w:rsid w:val="006D57D6"/>
  </w:style>
  <w:style w:type="paragraph" w:styleId="TOC6">
    <w:name w:val="toc 6"/>
    <w:basedOn w:val="TOC4"/>
    <w:semiHidden/>
    <w:rsid w:val="006D57D6"/>
  </w:style>
  <w:style w:type="paragraph" w:styleId="TOC5">
    <w:name w:val="toc 5"/>
    <w:basedOn w:val="TOC4"/>
    <w:semiHidden/>
    <w:rsid w:val="006D57D6"/>
  </w:style>
  <w:style w:type="paragraph" w:styleId="Footer">
    <w:name w:val="footer"/>
    <w:basedOn w:val="Normal"/>
    <w:link w:val="FooterChar"/>
    <w:rsid w:val="006D57D6"/>
    <w:pPr>
      <w:tabs>
        <w:tab w:val="clear" w:pos="794"/>
        <w:tab w:val="clear" w:pos="1191"/>
        <w:tab w:val="clear" w:pos="1588"/>
        <w:tab w:val="clear" w:pos="1985"/>
        <w:tab w:val="left" w:pos="5954"/>
        <w:tab w:val="right" w:pos="9639"/>
      </w:tabs>
      <w:spacing w:before="0"/>
    </w:pPr>
    <w:rPr>
      <w:caps/>
      <w:noProof/>
      <w:sz w:val="16"/>
    </w:rPr>
  </w:style>
  <w:style w:type="paragraph" w:styleId="Header">
    <w:name w:val="header"/>
    <w:basedOn w:val="Normal"/>
    <w:link w:val="HeaderChar"/>
    <w:rsid w:val="006D57D6"/>
    <w:pPr>
      <w:tabs>
        <w:tab w:val="clear" w:pos="794"/>
        <w:tab w:val="clear" w:pos="1191"/>
        <w:tab w:val="clear" w:pos="1588"/>
        <w:tab w:val="clear" w:pos="1985"/>
      </w:tabs>
      <w:spacing w:before="0"/>
      <w:jc w:val="center"/>
    </w:pPr>
    <w:rPr>
      <w:sz w:val="18"/>
    </w:rPr>
  </w:style>
  <w:style w:type="character" w:styleId="FootnoteReference">
    <w:name w:val="footnote reference"/>
    <w:basedOn w:val="DefaultParagraphFont"/>
    <w:semiHidden/>
    <w:rsid w:val="006D57D6"/>
    <w:rPr>
      <w:position w:val="6"/>
      <w:sz w:val="18"/>
    </w:rPr>
  </w:style>
  <w:style w:type="paragraph" w:styleId="FootnoteText">
    <w:name w:val="footnote text"/>
    <w:basedOn w:val="Note"/>
    <w:link w:val="FootnoteTextChar"/>
    <w:semiHidden/>
    <w:rsid w:val="006D57D6"/>
    <w:pPr>
      <w:keepLines/>
      <w:tabs>
        <w:tab w:val="left" w:pos="255"/>
      </w:tabs>
      <w:ind w:left="255" w:hanging="255"/>
    </w:pPr>
  </w:style>
  <w:style w:type="paragraph" w:customStyle="1" w:styleId="Note">
    <w:name w:val="Note"/>
    <w:basedOn w:val="Normal"/>
    <w:rsid w:val="006D57D6"/>
    <w:pPr>
      <w:spacing w:before="80"/>
    </w:pPr>
    <w:rPr>
      <w:sz w:val="22"/>
    </w:rPr>
  </w:style>
  <w:style w:type="paragraph" w:customStyle="1" w:styleId="enumlev1">
    <w:name w:val="enumlev1"/>
    <w:basedOn w:val="Normal"/>
    <w:rsid w:val="006D57D6"/>
    <w:pPr>
      <w:spacing w:before="80"/>
      <w:ind w:left="794" w:hanging="794"/>
    </w:pPr>
  </w:style>
  <w:style w:type="paragraph" w:customStyle="1" w:styleId="enumlev2">
    <w:name w:val="enumlev2"/>
    <w:basedOn w:val="enumlev1"/>
    <w:rsid w:val="006D57D6"/>
    <w:pPr>
      <w:ind w:left="1191" w:hanging="397"/>
    </w:pPr>
  </w:style>
  <w:style w:type="paragraph" w:customStyle="1" w:styleId="enumlev3">
    <w:name w:val="enumlev3"/>
    <w:basedOn w:val="enumlev2"/>
    <w:rsid w:val="006D57D6"/>
    <w:pPr>
      <w:ind w:left="1588"/>
    </w:pPr>
  </w:style>
  <w:style w:type="paragraph" w:customStyle="1" w:styleId="Equation">
    <w:name w:val="Equation"/>
    <w:basedOn w:val="Normal"/>
    <w:rsid w:val="006D57D6"/>
    <w:pPr>
      <w:tabs>
        <w:tab w:val="clear" w:pos="1191"/>
        <w:tab w:val="clear" w:pos="1588"/>
        <w:tab w:val="clear" w:pos="1985"/>
        <w:tab w:val="center" w:pos="4820"/>
        <w:tab w:val="right" w:pos="9639"/>
      </w:tabs>
      <w:jc w:val="left"/>
    </w:pPr>
  </w:style>
  <w:style w:type="paragraph" w:customStyle="1" w:styleId="toc0">
    <w:name w:val="toc 0"/>
    <w:basedOn w:val="Normal"/>
    <w:next w:val="TOC1"/>
    <w:rsid w:val="006D57D6"/>
    <w:pPr>
      <w:keepLines/>
      <w:tabs>
        <w:tab w:val="clear" w:pos="794"/>
        <w:tab w:val="clear" w:pos="1191"/>
        <w:tab w:val="clear" w:pos="1588"/>
        <w:tab w:val="clear" w:pos="1985"/>
        <w:tab w:val="right" w:pos="9639"/>
      </w:tabs>
      <w:jc w:val="left"/>
    </w:pPr>
    <w:rPr>
      <w:b/>
    </w:rPr>
  </w:style>
  <w:style w:type="paragraph" w:customStyle="1" w:styleId="ASN1">
    <w:name w:val="ASN.1"/>
    <w:rsid w:val="006D57D6"/>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eastAsiaTheme="minorEastAsia" w:hAnsi="Courier New"/>
      <w:b/>
      <w:noProof/>
      <w:lang w:val="en-GB" w:eastAsia="en-US"/>
    </w:rPr>
  </w:style>
  <w:style w:type="paragraph" w:styleId="TOC9">
    <w:name w:val="toc 9"/>
    <w:basedOn w:val="TOC3"/>
    <w:semiHidden/>
    <w:rsid w:val="006D57D6"/>
  </w:style>
  <w:style w:type="paragraph" w:customStyle="1" w:styleId="Chaptitle">
    <w:name w:val="Chap_title"/>
    <w:basedOn w:val="Normal"/>
    <w:next w:val="Normalaftertitle"/>
    <w:rsid w:val="006D57D6"/>
    <w:pPr>
      <w:keepNext/>
      <w:keepLines/>
      <w:spacing w:before="240"/>
      <w:jc w:val="center"/>
    </w:pPr>
    <w:rPr>
      <w:b/>
      <w:sz w:val="28"/>
    </w:rPr>
  </w:style>
  <w:style w:type="character" w:styleId="PageNumber">
    <w:name w:val="page number"/>
    <w:basedOn w:val="DefaultParagraphFont"/>
    <w:rsid w:val="006D57D6"/>
  </w:style>
  <w:style w:type="paragraph" w:styleId="Index1">
    <w:name w:val="index 1"/>
    <w:basedOn w:val="Normal"/>
    <w:next w:val="Normal"/>
    <w:semiHidden/>
    <w:rsid w:val="006D57D6"/>
    <w:pPr>
      <w:jc w:val="left"/>
    </w:pPr>
  </w:style>
  <w:style w:type="paragraph" w:customStyle="1" w:styleId="AnnexNoTitle">
    <w:name w:val="Annex_NoTitle"/>
    <w:basedOn w:val="Normal"/>
    <w:next w:val="Normalaftertitle"/>
    <w:rsid w:val="006D57D6"/>
    <w:pPr>
      <w:keepNext/>
      <w:keepLines/>
      <w:spacing w:before="720"/>
      <w:jc w:val="center"/>
    </w:pPr>
    <w:rPr>
      <w:b/>
      <w:sz w:val="28"/>
    </w:rPr>
  </w:style>
  <w:style w:type="character" w:customStyle="1" w:styleId="Appdef">
    <w:name w:val="App_def"/>
    <w:basedOn w:val="DefaultParagraphFont"/>
    <w:rsid w:val="006D57D6"/>
    <w:rPr>
      <w:rFonts w:ascii="Times New Roman" w:hAnsi="Times New Roman"/>
      <w:b/>
    </w:rPr>
  </w:style>
  <w:style w:type="character" w:customStyle="1" w:styleId="Appref">
    <w:name w:val="App_ref"/>
    <w:basedOn w:val="DefaultParagraphFont"/>
    <w:rsid w:val="006D57D6"/>
  </w:style>
  <w:style w:type="paragraph" w:customStyle="1" w:styleId="AppendixNoTitle">
    <w:name w:val="Appendix_NoTitle"/>
    <w:basedOn w:val="AnnexNoTitle"/>
    <w:next w:val="Normalaftertitle"/>
    <w:rsid w:val="008A76DA"/>
    <w:pPr>
      <w:outlineLvl w:val="0"/>
    </w:pPr>
  </w:style>
  <w:style w:type="character" w:customStyle="1" w:styleId="Artdef">
    <w:name w:val="Art_def"/>
    <w:basedOn w:val="DefaultParagraphFont"/>
    <w:rsid w:val="006D57D6"/>
    <w:rPr>
      <w:rFonts w:ascii="Times New Roman" w:hAnsi="Times New Roman"/>
      <w:b/>
    </w:rPr>
  </w:style>
  <w:style w:type="character" w:styleId="CommentReference">
    <w:name w:val="annotation reference"/>
    <w:basedOn w:val="DefaultParagraphFont"/>
    <w:qFormat/>
    <w:rsid w:val="006D57D6"/>
    <w:rPr>
      <w:sz w:val="16"/>
      <w:szCs w:val="16"/>
    </w:rPr>
  </w:style>
  <w:style w:type="paragraph" w:customStyle="1" w:styleId="Reftitle">
    <w:name w:val="Ref_title"/>
    <w:basedOn w:val="Normal"/>
    <w:next w:val="Reftext"/>
    <w:rsid w:val="006D57D6"/>
    <w:pPr>
      <w:spacing w:before="480"/>
      <w:jc w:val="center"/>
    </w:pPr>
    <w:rPr>
      <w:b/>
    </w:rPr>
  </w:style>
  <w:style w:type="paragraph" w:customStyle="1" w:styleId="ArtNo">
    <w:name w:val="Art_No"/>
    <w:basedOn w:val="Normal"/>
    <w:next w:val="Arttitle"/>
    <w:rsid w:val="006D57D6"/>
    <w:pPr>
      <w:keepNext/>
      <w:keepLines/>
      <w:spacing w:before="480"/>
      <w:jc w:val="center"/>
    </w:pPr>
    <w:rPr>
      <w:caps/>
      <w:sz w:val="28"/>
    </w:rPr>
  </w:style>
  <w:style w:type="paragraph" w:customStyle="1" w:styleId="Arttitle">
    <w:name w:val="Art_title"/>
    <w:basedOn w:val="Normal"/>
    <w:next w:val="Normalaftertitle"/>
    <w:rsid w:val="006D57D6"/>
    <w:pPr>
      <w:keepNext/>
      <w:keepLines/>
      <w:spacing w:before="240"/>
      <w:jc w:val="center"/>
    </w:pPr>
    <w:rPr>
      <w:b/>
      <w:sz w:val="28"/>
    </w:rPr>
  </w:style>
  <w:style w:type="character" w:customStyle="1" w:styleId="Artref">
    <w:name w:val="Art_ref"/>
    <w:basedOn w:val="DefaultParagraphFont"/>
    <w:rsid w:val="006D57D6"/>
  </w:style>
  <w:style w:type="paragraph" w:customStyle="1" w:styleId="Call">
    <w:name w:val="Call"/>
    <w:basedOn w:val="Normal"/>
    <w:next w:val="Normal"/>
    <w:rsid w:val="006D57D6"/>
    <w:pPr>
      <w:keepNext/>
      <w:keepLines/>
      <w:spacing w:before="160"/>
      <w:ind w:left="794"/>
      <w:jc w:val="left"/>
    </w:pPr>
    <w:rPr>
      <w:i/>
    </w:rPr>
  </w:style>
  <w:style w:type="paragraph" w:customStyle="1" w:styleId="ChapNo">
    <w:name w:val="Chap_No"/>
    <w:basedOn w:val="Normal"/>
    <w:next w:val="Chaptitle"/>
    <w:rsid w:val="006D57D6"/>
    <w:pPr>
      <w:keepNext/>
      <w:keepLines/>
      <w:spacing w:before="480"/>
      <w:jc w:val="center"/>
    </w:pPr>
    <w:rPr>
      <w:b/>
      <w:caps/>
      <w:sz w:val="28"/>
    </w:rPr>
  </w:style>
  <w:style w:type="paragraph" w:customStyle="1" w:styleId="Equationlegend">
    <w:name w:val="Equation_legend"/>
    <w:basedOn w:val="Normal"/>
    <w:rsid w:val="006D57D6"/>
    <w:pPr>
      <w:tabs>
        <w:tab w:val="clear" w:pos="794"/>
        <w:tab w:val="clear" w:pos="1191"/>
        <w:tab w:val="clear" w:pos="1588"/>
        <w:tab w:val="right" w:pos="1814"/>
      </w:tabs>
      <w:spacing w:before="80"/>
      <w:ind w:left="1985" w:hanging="1985"/>
    </w:pPr>
  </w:style>
  <w:style w:type="paragraph" w:customStyle="1" w:styleId="Figurelegend">
    <w:name w:val="Figure_legend"/>
    <w:basedOn w:val="Normal"/>
    <w:rsid w:val="006D57D6"/>
    <w:pPr>
      <w:keepNext/>
      <w:keepLines/>
      <w:tabs>
        <w:tab w:val="clear" w:pos="794"/>
        <w:tab w:val="clear" w:pos="1191"/>
        <w:tab w:val="clear" w:pos="1588"/>
        <w:tab w:val="clear" w:pos="1985"/>
      </w:tabs>
      <w:spacing w:before="20" w:after="20"/>
      <w:jc w:val="left"/>
    </w:pPr>
    <w:rPr>
      <w:sz w:val="18"/>
    </w:rPr>
  </w:style>
  <w:style w:type="paragraph" w:customStyle="1" w:styleId="Figure">
    <w:name w:val="Figure"/>
    <w:basedOn w:val="Normal"/>
    <w:next w:val="FigureNoTitle"/>
    <w:link w:val="FigureChar"/>
    <w:rsid w:val="006D57D6"/>
    <w:pPr>
      <w:keepNext/>
      <w:keepLines/>
      <w:spacing w:before="240" w:after="120"/>
      <w:jc w:val="center"/>
    </w:pPr>
  </w:style>
  <w:style w:type="paragraph" w:customStyle="1" w:styleId="FigureNoTitle">
    <w:name w:val="Figure_NoTitle"/>
    <w:basedOn w:val="Normal"/>
    <w:next w:val="Normalaftertitle"/>
    <w:rsid w:val="006D57D6"/>
    <w:pPr>
      <w:keepLines/>
      <w:spacing w:before="240" w:after="120"/>
      <w:jc w:val="center"/>
    </w:pPr>
    <w:rPr>
      <w:b/>
    </w:rPr>
  </w:style>
  <w:style w:type="paragraph" w:customStyle="1" w:styleId="Figurewithouttitle">
    <w:name w:val="Figure_without_title"/>
    <w:basedOn w:val="Normal"/>
    <w:next w:val="Normalaftertitle"/>
    <w:rsid w:val="006D57D6"/>
    <w:pPr>
      <w:keepLines/>
      <w:spacing w:before="240" w:after="120"/>
      <w:jc w:val="center"/>
    </w:pPr>
  </w:style>
  <w:style w:type="paragraph" w:customStyle="1" w:styleId="FooterQP">
    <w:name w:val="Footer_QP"/>
    <w:basedOn w:val="Normal"/>
    <w:rsid w:val="006D57D6"/>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FirstFooter">
    <w:name w:val="FirstFooter"/>
    <w:basedOn w:val="Footer"/>
    <w:rsid w:val="006D57D6"/>
    <w:pPr>
      <w:tabs>
        <w:tab w:val="clear" w:pos="5954"/>
        <w:tab w:val="clear" w:pos="9639"/>
      </w:tabs>
      <w:overflowPunct/>
      <w:autoSpaceDE/>
      <w:autoSpaceDN/>
      <w:adjustRightInd/>
      <w:spacing w:before="40"/>
      <w:jc w:val="left"/>
      <w:textAlignment w:val="auto"/>
    </w:pPr>
    <w:rPr>
      <w:caps w:val="0"/>
      <w:noProof w:val="0"/>
    </w:rPr>
  </w:style>
  <w:style w:type="paragraph" w:customStyle="1" w:styleId="Formal">
    <w:name w:val="Formal"/>
    <w:basedOn w:val="ASN1"/>
    <w:rsid w:val="006D57D6"/>
    <w:rPr>
      <w:b w:val="0"/>
    </w:rPr>
  </w:style>
  <w:style w:type="paragraph" w:customStyle="1" w:styleId="Headingb">
    <w:name w:val="Heading_b"/>
    <w:basedOn w:val="Normal"/>
    <w:next w:val="Normal"/>
    <w:rsid w:val="006D57D6"/>
    <w:pPr>
      <w:keepNext/>
      <w:spacing w:before="160"/>
      <w:jc w:val="left"/>
    </w:pPr>
    <w:rPr>
      <w:b/>
    </w:rPr>
  </w:style>
  <w:style w:type="paragraph" w:customStyle="1" w:styleId="Headingi">
    <w:name w:val="Heading_i"/>
    <w:basedOn w:val="Normal"/>
    <w:next w:val="Normal"/>
    <w:rsid w:val="006D57D6"/>
    <w:pPr>
      <w:keepNext/>
      <w:spacing w:before="160"/>
      <w:jc w:val="left"/>
    </w:pPr>
    <w:rPr>
      <w:i/>
    </w:rPr>
  </w:style>
  <w:style w:type="paragraph" w:styleId="Index2">
    <w:name w:val="index 2"/>
    <w:basedOn w:val="Normal"/>
    <w:next w:val="Normal"/>
    <w:semiHidden/>
    <w:rsid w:val="006D57D6"/>
    <w:pPr>
      <w:ind w:left="284"/>
      <w:jc w:val="left"/>
    </w:pPr>
  </w:style>
  <w:style w:type="paragraph" w:styleId="Index3">
    <w:name w:val="index 3"/>
    <w:basedOn w:val="Normal"/>
    <w:next w:val="Normal"/>
    <w:semiHidden/>
    <w:rsid w:val="006D57D6"/>
    <w:pPr>
      <w:ind w:left="567"/>
      <w:jc w:val="left"/>
    </w:pPr>
  </w:style>
  <w:style w:type="paragraph" w:customStyle="1" w:styleId="Normalaftertitle">
    <w:name w:val="Normal_after_title"/>
    <w:basedOn w:val="Normal"/>
    <w:next w:val="Normal"/>
    <w:rsid w:val="006D57D6"/>
    <w:pPr>
      <w:spacing w:before="360"/>
    </w:pPr>
  </w:style>
  <w:style w:type="paragraph" w:customStyle="1" w:styleId="PartNo">
    <w:name w:val="Part_No"/>
    <w:basedOn w:val="Normal"/>
    <w:next w:val="Partref"/>
    <w:rsid w:val="006D57D6"/>
    <w:pPr>
      <w:keepNext/>
      <w:keepLines/>
      <w:spacing w:before="480" w:after="80"/>
      <w:jc w:val="center"/>
    </w:pPr>
    <w:rPr>
      <w:caps/>
      <w:sz w:val="28"/>
    </w:rPr>
  </w:style>
  <w:style w:type="paragraph" w:customStyle="1" w:styleId="Partref">
    <w:name w:val="Part_ref"/>
    <w:basedOn w:val="Normal"/>
    <w:next w:val="Parttitle"/>
    <w:rsid w:val="006D57D6"/>
    <w:pPr>
      <w:keepNext/>
      <w:keepLines/>
      <w:spacing w:before="280"/>
      <w:jc w:val="center"/>
    </w:pPr>
  </w:style>
  <w:style w:type="paragraph" w:customStyle="1" w:styleId="Parttitle">
    <w:name w:val="Part_title"/>
    <w:basedOn w:val="Normal"/>
    <w:next w:val="Normalaftertitle"/>
    <w:rsid w:val="006D57D6"/>
    <w:pPr>
      <w:keepNext/>
      <w:keepLines/>
      <w:spacing w:before="240" w:after="280"/>
      <w:jc w:val="center"/>
    </w:pPr>
    <w:rPr>
      <w:b/>
      <w:sz w:val="28"/>
    </w:rPr>
  </w:style>
  <w:style w:type="paragraph" w:customStyle="1" w:styleId="Recdate">
    <w:name w:val="Rec_date"/>
    <w:basedOn w:val="Normal"/>
    <w:next w:val="Normalaftertitle"/>
    <w:rsid w:val="006D57D6"/>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6D57D6"/>
  </w:style>
  <w:style w:type="paragraph" w:customStyle="1" w:styleId="RecNo">
    <w:name w:val="Rec_No"/>
    <w:basedOn w:val="Normal"/>
    <w:next w:val="Rectitle"/>
    <w:rsid w:val="006D57D6"/>
    <w:pPr>
      <w:keepNext/>
      <w:keepLines/>
      <w:spacing w:before="0"/>
      <w:jc w:val="left"/>
    </w:pPr>
    <w:rPr>
      <w:b/>
      <w:sz w:val="28"/>
    </w:rPr>
  </w:style>
  <w:style w:type="paragraph" w:customStyle="1" w:styleId="QuestionNo">
    <w:name w:val="Question_No"/>
    <w:basedOn w:val="RecNo"/>
    <w:next w:val="Questiontitle"/>
    <w:rsid w:val="006D57D6"/>
  </w:style>
  <w:style w:type="paragraph" w:customStyle="1" w:styleId="Recref">
    <w:name w:val="Rec_ref"/>
    <w:basedOn w:val="Normal"/>
    <w:next w:val="Recdate"/>
    <w:rsid w:val="006D57D6"/>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6D57D6"/>
  </w:style>
  <w:style w:type="paragraph" w:customStyle="1" w:styleId="Rectitle">
    <w:name w:val="Rec_title"/>
    <w:basedOn w:val="Normal"/>
    <w:next w:val="Normalaftertitle"/>
    <w:rsid w:val="006D57D6"/>
    <w:pPr>
      <w:keepNext/>
      <w:keepLines/>
      <w:spacing w:before="360"/>
      <w:jc w:val="center"/>
    </w:pPr>
    <w:rPr>
      <w:b/>
      <w:sz w:val="28"/>
    </w:rPr>
  </w:style>
  <w:style w:type="paragraph" w:customStyle="1" w:styleId="Questiontitle">
    <w:name w:val="Question_title"/>
    <w:basedOn w:val="Rectitle"/>
    <w:next w:val="Questionref"/>
    <w:rsid w:val="006D57D6"/>
  </w:style>
  <w:style w:type="paragraph" w:customStyle="1" w:styleId="Reftext">
    <w:name w:val="Ref_text"/>
    <w:basedOn w:val="Normal"/>
    <w:rsid w:val="006D57D6"/>
    <w:pPr>
      <w:ind w:left="794" w:hanging="794"/>
      <w:jc w:val="left"/>
    </w:pPr>
  </w:style>
  <w:style w:type="paragraph" w:customStyle="1" w:styleId="Repdate">
    <w:name w:val="Rep_date"/>
    <w:basedOn w:val="Recdate"/>
    <w:next w:val="Normalaftertitle"/>
    <w:rsid w:val="006D57D6"/>
  </w:style>
  <w:style w:type="paragraph" w:customStyle="1" w:styleId="RepNo">
    <w:name w:val="Rep_No"/>
    <w:basedOn w:val="RecNo"/>
    <w:next w:val="Reptitle"/>
    <w:rsid w:val="006D57D6"/>
  </w:style>
  <w:style w:type="paragraph" w:customStyle="1" w:styleId="Repref">
    <w:name w:val="Rep_ref"/>
    <w:basedOn w:val="Recref"/>
    <w:next w:val="Repdate"/>
    <w:rsid w:val="006D57D6"/>
  </w:style>
  <w:style w:type="paragraph" w:customStyle="1" w:styleId="Reptitle">
    <w:name w:val="Rep_title"/>
    <w:basedOn w:val="Rectitle"/>
    <w:next w:val="Repref"/>
    <w:rsid w:val="006D57D6"/>
  </w:style>
  <w:style w:type="paragraph" w:customStyle="1" w:styleId="Resdate">
    <w:name w:val="Res_date"/>
    <w:basedOn w:val="Recdate"/>
    <w:next w:val="Normalaftertitle"/>
    <w:rsid w:val="006D57D6"/>
  </w:style>
  <w:style w:type="character" w:customStyle="1" w:styleId="Resdef">
    <w:name w:val="Res_def"/>
    <w:basedOn w:val="DefaultParagraphFont"/>
    <w:rsid w:val="006D57D6"/>
    <w:rPr>
      <w:rFonts w:ascii="Times New Roman" w:hAnsi="Times New Roman"/>
      <w:b/>
    </w:rPr>
  </w:style>
  <w:style w:type="paragraph" w:customStyle="1" w:styleId="ResNo">
    <w:name w:val="Res_No"/>
    <w:basedOn w:val="RecNo"/>
    <w:next w:val="Restitle"/>
    <w:rsid w:val="006D57D6"/>
  </w:style>
  <w:style w:type="paragraph" w:customStyle="1" w:styleId="Resref">
    <w:name w:val="Res_ref"/>
    <w:basedOn w:val="Recref"/>
    <w:next w:val="Resdate"/>
    <w:rsid w:val="006D57D6"/>
  </w:style>
  <w:style w:type="paragraph" w:customStyle="1" w:styleId="Restitle">
    <w:name w:val="Res_title"/>
    <w:basedOn w:val="Rectitle"/>
    <w:next w:val="Resref"/>
    <w:rsid w:val="006D57D6"/>
  </w:style>
  <w:style w:type="paragraph" w:customStyle="1" w:styleId="Section1">
    <w:name w:val="Section_1"/>
    <w:basedOn w:val="Normal"/>
    <w:next w:val="Normal"/>
    <w:rsid w:val="006D57D6"/>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6D57D6"/>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6D57D6"/>
    <w:pPr>
      <w:keepNext/>
      <w:keepLines/>
      <w:spacing w:before="480" w:after="80"/>
      <w:jc w:val="center"/>
    </w:pPr>
    <w:rPr>
      <w:caps/>
      <w:sz w:val="28"/>
    </w:rPr>
  </w:style>
  <w:style w:type="paragraph" w:customStyle="1" w:styleId="Sectiontitle">
    <w:name w:val="Section_title"/>
    <w:basedOn w:val="Normal"/>
    <w:next w:val="Normalaftertitle"/>
    <w:rsid w:val="006D57D6"/>
    <w:pPr>
      <w:keepNext/>
      <w:keepLines/>
      <w:spacing w:before="480" w:after="280"/>
      <w:jc w:val="center"/>
    </w:pPr>
    <w:rPr>
      <w:b/>
      <w:sz w:val="28"/>
    </w:rPr>
  </w:style>
  <w:style w:type="paragraph" w:customStyle="1" w:styleId="Source">
    <w:name w:val="Source"/>
    <w:basedOn w:val="Normal"/>
    <w:next w:val="Normalaftertitle"/>
    <w:rsid w:val="006D57D6"/>
    <w:pPr>
      <w:spacing w:before="840" w:after="200"/>
      <w:jc w:val="center"/>
    </w:pPr>
    <w:rPr>
      <w:b/>
      <w:sz w:val="28"/>
    </w:rPr>
  </w:style>
  <w:style w:type="paragraph" w:customStyle="1" w:styleId="SpecialFooter">
    <w:name w:val="Special Footer"/>
    <w:basedOn w:val="Footer"/>
    <w:rsid w:val="006D57D6"/>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6D57D6"/>
    <w:rPr>
      <w:b/>
      <w:color w:val="auto"/>
    </w:rPr>
  </w:style>
  <w:style w:type="paragraph" w:customStyle="1" w:styleId="Tablehead">
    <w:name w:val="Table_head"/>
    <w:basedOn w:val="Normal"/>
    <w:next w:val="Tabletext"/>
    <w:rsid w:val="006D57D6"/>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6D57D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styleId="CommentText">
    <w:name w:val="annotation text"/>
    <w:basedOn w:val="Normal"/>
    <w:link w:val="CommentTextChar"/>
    <w:qFormat/>
    <w:rsid w:val="006D57D6"/>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paragraph" w:customStyle="1" w:styleId="Tabletext">
    <w:name w:val="Table_text"/>
    <w:basedOn w:val="Normal"/>
    <w:rsid w:val="006D57D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TableNoTitle">
    <w:name w:val="Table_NoTitle"/>
    <w:basedOn w:val="Normal"/>
    <w:next w:val="Tablehead"/>
    <w:rsid w:val="006D57D6"/>
    <w:pPr>
      <w:keepNext/>
      <w:keepLines/>
      <w:spacing w:before="360" w:after="120"/>
      <w:jc w:val="center"/>
    </w:pPr>
    <w:rPr>
      <w:b/>
    </w:rPr>
  </w:style>
  <w:style w:type="paragraph" w:customStyle="1" w:styleId="Title1">
    <w:name w:val="Title 1"/>
    <w:basedOn w:val="Source"/>
    <w:next w:val="Title2"/>
    <w:rsid w:val="006D57D6"/>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6D57D6"/>
  </w:style>
  <w:style w:type="paragraph" w:customStyle="1" w:styleId="Title3">
    <w:name w:val="Title 3"/>
    <w:basedOn w:val="Title2"/>
    <w:next w:val="Title4"/>
    <w:rsid w:val="006D57D6"/>
    <w:rPr>
      <w:caps w:val="0"/>
    </w:rPr>
  </w:style>
  <w:style w:type="paragraph" w:customStyle="1" w:styleId="Title4">
    <w:name w:val="Title 4"/>
    <w:basedOn w:val="Title3"/>
    <w:next w:val="Heading1"/>
    <w:rsid w:val="006D57D6"/>
    <w:rPr>
      <w:b/>
    </w:rPr>
  </w:style>
  <w:style w:type="paragraph" w:customStyle="1" w:styleId="Artheading">
    <w:name w:val="Art_heading"/>
    <w:basedOn w:val="Normal"/>
    <w:next w:val="Normalaftertitle"/>
    <w:rsid w:val="006D57D6"/>
    <w:pPr>
      <w:spacing w:before="480"/>
      <w:jc w:val="center"/>
    </w:pPr>
    <w:rPr>
      <w:b/>
      <w:sz w:val="28"/>
    </w:rPr>
  </w:style>
  <w:style w:type="character" w:styleId="Hyperlink">
    <w:name w:val="Hyperlink"/>
    <w:basedOn w:val="DefaultParagraphFont"/>
    <w:uiPriority w:val="99"/>
    <w:rsid w:val="006D57D6"/>
    <w:rPr>
      <w:color w:val="0000FF"/>
      <w:u w:val="single"/>
    </w:rPr>
  </w:style>
  <w:style w:type="paragraph" w:styleId="BalloonText">
    <w:name w:val="Balloon Text"/>
    <w:basedOn w:val="Normal"/>
    <w:link w:val="BalloonTextChar"/>
    <w:unhideWhenUsed/>
    <w:rsid w:val="006D57D6"/>
    <w:pPr>
      <w:spacing w:before="0"/>
    </w:pPr>
    <w:rPr>
      <w:sz w:val="18"/>
      <w:szCs w:val="18"/>
    </w:rPr>
  </w:style>
  <w:style w:type="character" w:customStyle="1" w:styleId="BalloonTextChar">
    <w:name w:val="Balloon Text Char"/>
    <w:basedOn w:val="DefaultParagraphFont"/>
    <w:link w:val="BalloonText"/>
    <w:rsid w:val="006D57D6"/>
    <w:rPr>
      <w:rFonts w:ascii="Times New Roman" w:eastAsiaTheme="minorEastAsia" w:hAnsi="Times New Roman"/>
      <w:sz w:val="18"/>
      <w:szCs w:val="18"/>
      <w:lang w:val="en-GB" w:eastAsia="en-US"/>
    </w:rPr>
  </w:style>
  <w:style w:type="paragraph" w:styleId="BodyText">
    <w:name w:val="Body Text"/>
    <w:basedOn w:val="Normal"/>
    <w:link w:val="BodyTextChar"/>
    <w:uiPriority w:val="1"/>
    <w:qFormat/>
    <w:rsid w:val="006D57D6"/>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6D57D6"/>
    <w:rPr>
      <w:rFonts w:ascii="Avenir Next W1G Medium" w:eastAsia="Avenir Next W1G Medium" w:hAnsi="Avenir Next W1G Medium" w:cs="Avenir Next W1G Medium"/>
      <w:b/>
      <w:bCs/>
      <w:sz w:val="48"/>
      <w:szCs w:val="48"/>
      <w:lang w:eastAsia="en-US"/>
    </w:rPr>
  </w:style>
  <w:style w:type="table" w:styleId="TableGrid">
    <w:name w:val="Table Grid"/>
    <w:basedOn w:val="TableNormal"/>
    <w:rsid w:val="006D57D6"/>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6D57D6"/>
    <w:rPr>
      <w:color w:val="605E5C"/>
      <w:shd w:val="clear" w:color="auto" w:fill="E1DFDD"/>
    </w:rPr>
  </w:style>
  <w:style w:type="paragraph" w:styleId="Revision">
    <w:name w:val="Revision"/>
    <w:hidden/>
    <w:uiPriority w:val="99"/>
    <w:semiHidden/>
    <w:rsid w:val="001B5D54"/>
    <w:rPr>
      <w:rFonts w:ascii="Times New Roman" w:hAnsi="Times New Roman"/>
      <w:sz w:val="24"/>
      <w:lang w:val="en-GB" w:eastAsia="en-US"/>
    </w:rPr>
  </w:style>
  <w:style w:type="paragraph" w:customStyle="1" w:styleId="Default">
    <w:name w:val="Default"/>
    <w:rsid w:val="002810DF"/>
    <w:pPr>
      <w:autoSpaceDE w:val="0"/>
      <w:autoSpaceDN w:val="0"/>
      <w:adjustRightInd w:val="0"/>
    </w:pPr>
    <w:rPr>
      <w:rFonts w:ascii="Times New Roman" w:hAnsi="Times New Roman"/>
      <w:color w:val="000000"/>
      <w:sz w:val="24"/>
      <w:szCs w:val="24"/>
      <w:lang w:val="en-GB"/>
    </w:rPr>
  </w:style>
  <w:style w:type="character" w:customStyle="1" w:styleId="Heading1Char">
    <w:name w:val="Heading 1 Char"/>
    <w:basedOn w:val="DefaultParagraphFont"/>
    <w:link w:val="Heading1"/>
    <w:rsid w:val="006D57D6"/>
    <w:rPr>
      <w:rFonts w:ascii="Times New Roman" w:eastAsiaTheme="minorEastAsia" w:hAnsi="Times New Roman"/>
      <w:b/>
      <w:sz w:val="24"/>
      <w:lang w:val="en-GB" w:eastAsia="en-US"/>
    </w:rPr>
  </w:style>
  <w:style w:type="paragraph" w:customStyle="1" w:styleId="FigureNotitle0">
    <w:name w:val="Figure_No &amp; title"/>
    <w:basedOn w:val="Normal"/>
    <w:next w:val="Normal"/>
    <w:qFormat/>
    <w:rsid w:val="002810DF"/>
    <w:pPr>
      <w:keepLines/>
      <w:spacing w:before="240" w:after="120"/>
      <w:jc w:val="center"/>
    </w:pPr>
    <w:rPr>
      <w:b/>
    </w:rPr>
  </w:style>
  <w:style w:type="paragraph" w:customStyle="1" w:styleId="TableNotitle0">
    <w:name w:val="Table_No &amp; title"/>
    <w:basedOn w:val="Normal"/>
    <w:next w:val="Normal"/>
    <w:qFormat/>
    <w:rsid w:val="002810DF"/>
    <w:pPr>
      <w:keepNext/>
      <w:keepLines/>
      <w:spacing w:before="360" w:after="120"/>
      <w:jc w:val="center"/>
    </w:pPr>
    <w:rPr>
      <w:b/>
    </w:rPr>
  </w:style>
  <w:style w:type="paragraph" w:customStyle="1" w:styleId="AnnexNotitle0">
    <w:name w:val="Annex_No &amp; title"/>
    <w:basedOn w:val="Normal"/>
    <w:next w:val="Normal"/>
    <w:rsid w:val="002810DF"/>
    <w:pPr>
      <w:keepNext/>
      <w:keepLines/>
      <w:spacing w:before="480"/>
      <w:jc w:val="center"/>
    </w:pPr>
    <w:rPr>
      <w:b/>
      <w:sz w:val="28"/>
    </w:rPr>
  </w:style>
  <w:style w:type="paragraph" w:customStyle="1" w:styleId="AppendixNotitle0">
    <w:name w:val="Appendix_No &amp; title"/>
    <w:basedOn w:val="AnnexNotitle0"/>
    <w:next w:val="Normal"/>
    <w:rsid w:val="002810DF"/>
  </w:style>
  <w:style w:type="character" w:customStyle="1" w:styleId="apple-converted-space">
    <w:name w:val="apple-converted-space"/>
    <w:basedOn w:val="DefaultParagraphFont"/>
    <w:rsid w:val="000F76BA"/>
  </w:style>
  <w:style w:type="paragraph" w:customStyle="1" w:styleId="CorrectionSeparatorBegin">
    <w:name w:val="Correction Separator Begin"/>
    <w:basedOn w:val="Normal"/>
    <w:rsid w:val="007C62AC"/>
    <w:pPr>
      <w:keepNext/>
      <w:pBdr>
        <w:bottom w:val="single" w:sz="12" w:space="1" w:color="auto"/>
      </w:pBdr>
      <w:tabs>
        <w:tab w:val="clear" w:pos="794"/>
        <w:tab w:val="clear" w:pos="1191"/>
        <w:tab w:val="clear" w:pos="1588"/>
        <w:tab w:val="clear" w:pos="1985"/>
      </w:tabs>
      <w:overflowPunct/>
      <w:autoSpaceDE/>
      <w:autoSpaceDN/>
      <w:adjustRightInd/>
      <w:spacing w:before="240" w:after="240"/>
      <w:ind w:left="1440" w:right="1440"/>
      <w:jc w:val="center"/>
      <w:textAlignment w:val="auto"/>
    </w:pPr>
    <w:rPr>
      <w:b/>
      <w:i/>
      <w:sz w:val="20"/>
      <w:lang w:val="en-US"/>
    </w:rPr>
  </w:style>
  <w:style w:type="paragraph" w:customStyle="1" w:styleId="CorrectionSeparatorEnd">
    <w:name w:val="Correction Separator End"/>
    <w:basedOn w:val="Normal"/>
    <w:rsid w:val="007C62AC"/>
    <w:pPr>
      <w:pBdr>
        <w:top w:val="single" w:sz="12" w:space="1" w:color="auto"/>
      </w:pBdr>
      <w:tabs>
        <w:tab w:val="clear" w:pos="794"/>
        <w:tab w:val="clear" w:pos="1191"/>
        <w:tab w:val="clear" w:pos="1588"/>
        <w:tab w:val="clear" w:pos="1985"/>
      </w:tabs>
      <w:overflowPunct/>
      <w:autoSpaceDE/>
      <w:autoSpaceDN/>
      <w:adjustRightInd/>
      <w:spacing w:before="240" w:after="240"/>
      <w:ind w:left="1440" w:right="1440"/>
      <w:jc w:val="center"/>
      <w:textAlignment w:val="auto"/>
    </w:pPr>
    <w:rPr>
      <w:b/>
      <w:i/>
      <w:sz w:val="20"/>
      <w:lang w:val="en-US"/>
    </w:rPr>
  </w:style>
  <w:style w:type="paragraph" w:customStyle="1" w:styleId="Heading1Centered">
    <w:name w:val="Heading 1 Centered"/>
    <w:basedOn w:val="Heading1"/>
    <w:rsid w:val="007C62AC"/>
    <w:pPr>
      <w:ind w:left="0" w:firstLine="0"/>
      <w:jc w:val="center"/>
    </w:pPr>
    <w:rPr>
      <w:rFonts w:eastAsia="MS Mincho"/>
      <w:bCs/>
    </w:rPr>
  </w:style>
  <w:style w:type="character" w:customStyle="1" w:styleId="Heading2Char">
    <w:name w:val="Heading 2 Char"/>
    <w:basedOn w:val="DefaultParagraphFont"/>
    <w:link w:val="Heading2"/>
    <w:rsid w:val="006D57D6"/>
    <w:rPr>
      <w:rFonts w:ascii="Times New Roman" w:eastAsiaTheme="minorEastAsia" w:hAnsi="Times New Roman"/>
      <w:b/>
      <w:sz w:val="24"/>
      <w:lang w:val="en-GB" w:eastAsia="en-US"/>
    </w:rPr>
  </w:style>
  <w:style w:type="character" w:customStyle="1" w:styleId="Heading3Char">
    <w:name w:val="Heading 3 Char"/>
    <w:basedOn w:val="DefaultParagraphFont"/>
    <w:link w:val="Heading3"/>
    <w:rsid w:val="006D57D6"/>
    <w:rPr>
      <w:rFonts w:ascii="Times New Roman" w:eastAsiaTheme="minorEastAsia" w:hAnsi="Times New Roman"/>
      <w:b/>
      <w:sz w:val="24"/>
      <w:lang w:val="en-GB" w:eastAsia="en-US"/>
    </w:rPr>
  </w:style>
  <w:style w:type="character" w:customStyle="1" w:styleId="Heading4Char">
    <w:name w:val="Heading 4 Char"/>
    <w:basedOn w:val="DefaultParagraphFont"/>
    <w:link w:val="Heading4"/>
    <w:rsid w:val="006D57D6"/>
    <w:rPr>
      <w:rFonts w:ascii="Times New Roman" w:eastAsiaTheme="minorEastAsia" w:hAnsi="Times New Roman"/>
      <w:b/>
      <w:sz w:val="24"/>
      <w:lang w:val="en-GB" w:eastAsia="en-US"/>
    </w:rPr>
  </w:style>
  <w:style w:type="character" w:customStyle="1" w:styleId="Heading5Char">
    <w:name w:val="Heading 5 Char"/>
    <w:basedOn w:val="DefaultParagraphFont"/>
    <w:link w:val="Heading5"/>
    <w:rsid w:val="006D57D6"/>
    <w:rPr>
      <w:rFonts w:ascii="Times New Roman" w:eastAsiaTheme="minorEastAsia" w:hAnsi="Times New Roman"/>
      <w:b/>
      <w:sz w:val="24"/>
      <w:lang w:val="en-GB" w:eastAsia="en-US"/>
    </w:rPr>
  </w:style>
  <w:style w:type="character" w:customStyle="1" w:styleId="Heading6Char">
    <w:name w:val="Heading 6 Char"/>
    <w:link w:val="Heading6"/>
    <w:rsid w:val="007C62AC"/>
    <w:rPr>
      <w:rFonts w:ascii="Times New Roman" w:eastAsiaTheme="minorEastAsia" w:hAnsi="Times New Roman"/>
      <w:b/>
      <w:sz w:val="24"/>
      <w:lang w:val="en-GB" w:eastAsia="en-US"/>
    </w:rPr>
  </w:style>
  <w:style w:type="character" w:customStyle="1" w:styleId="Heading7Char">
    <w:name w:val="Heading 7 Char"/>
    <w:link w:val="Heading7"/>
    <w:rsid w:val="007C62AC"/>
    <w:rPr>
      <w:rFonts w:ascii="Times New Roman" w:eastAsiaTheme="minorEastAsia" w:hAnsi="Times New Roman"/>
      <w:b/>
      <w:sz w:val="24"/>
      <w:lang w:val="en-GB" w:eastAsia="en-US"/>
    </w:rPr>
  </w:style>
  <w:style w:type="character" w:customStyle="1" w:styleId="Heading8Char">
    <w:name w:val="Heading 8 Char"/>
    <w:link w:val="Heading8"/>
    <w:rsid w:val="007C62AC"/>
    <w:rPr>
      <w:rFonts w:ascii="Times New Roman" w:eastAsiaTheme="minorEastAsia" w:hAnsi="Times New Roman"/>
      <w:b/>
      <w:sz w:val="24"/>
      <w:lang w:val="en-GB" w:eastAsia="en-US"/>
    </w:rPr>
  </w:style>
  <w:style w:type="character" w:customStyle="1" w:styleId="Heading9Char">
    <w:name w:val="Heading 9 Char"/>
    <w:link w:val="Heading9"/>
    <w:rsid w:val="007C62AC"/>
    <w:rPr>
      <w:rFonts w:ascii="Times New Roman" w:eastAsiaTheme="minorEastAsia" w:hAnsi="Times New Roman"/>
      <w:b/>
      <w:sz w:val="24"/>
      <w:lang w:val="en-GB" w:eastAsia="en-US"/>
    </w:rPr>
  </w:style>
  <w:style w:type="paragraph" w:customStyle="1" w:styleId="LSDeadline">
    <w:name w:val="LSDeadline"/>
    <w:basedOn w:val="LSForAction"/>
    <w:next w:val="Normal"/>
    <w:rsid w:val="007C62AC"/>
    <w:rPr>
      <w:bCs w:val="0"/>
    </w:rPr>
  </w:style>
  <w:style w:type="paragraph" w:customStyle="1" w:styleId="LSSource">
    <w:name w:val="LSSource"/>
    <w:basedOn w:val="LSForAction"/>
    <w:next w:val="Normal"/>
    <w:rsid w:val="007C62AC"/>
    <w:rPr>
      <w:rFonts w:eastAsia="Calibri"/>
      <w:bCs w:val="0"/>
    </w:rPr>
  </w:style>
  <w:style w:type="paragraph" w:customStyle="1" w:styleId="LSTitle">
    <w:name w:val="LSTitle"/>
    <w:basedOn w:val="LSForAction"/>
    <w:next w:val="Normal"/>
    <w:rsid w:val="007C62AC"/>
    <w:rPr>
      <w:rFonts w:eastAsia="Calibri"/>
      <w:bCs w:val="0"/>
    </w:rPr>
  </w:style>
  <w:style w:type="paragraph" w:customStyle="1" w:styleId="Normalbeforetable">
    <w:name w:val="Normal before table"/>
    <w:basedOn w:val="Normal"/>
    <w:rsid w:val="007C62AC"/>
    <w:pPr>
      <w:keepNext/>
      <w:tabs>
        <w:tab w:val="clear" w:pos="794"/>
        <w:tab w:val="clear" w:pos="1191"/>
        <w:tab w:val="clear" w:pos="1588"/>
        <w:tab w:val="clear" w:pos="1985"/>
      </w:tabs>
      <w:overflowPunct/>
      <w:autoSpaceDE/>
      <w:autoSpaceDN/>
      <w:adjustRightInd/>
      <w:spacing w:after="120"/>
      <w:jc w:val="left"/>
      <w:textAlignment w:val="auto"/>
    </w:pPr>
    <w:rPr>
      <w:rFonts w:eastAsia="????"/>
      <w:szCs w:val="24"/>
    </w:rPr>
  </w:style>
  <w:style w:type="paragraph" w:customStyle="1" w:styleId="Headingib">
    <w:name w:val="Heading_ib"/>
    <w:basedOn w:val="Headingi"/>
    <w:next w:val="Normal"/>
    <w:qFormat/>
    <w:rsid w:val="007C62AC"/>
    <w:rPr>
      <w:rFonts w:eastAsiaTheme="minorHAnsi"/>
      <w:b/>
      <w:bCs/>
      <w:lang w:eastAsia="ja-JP"/>
    </w:rPr>
  </w:style>
  <w:style w:type="paragraph" w:customStyle="1" w:styleId="References">
    <w:name w:val="References"/>
    <w:basedOn w:val="Normal"/>
    <w:rsid w:val="007C62AC"/>
    <w:pPr>
      <w:widowControl w:val="0"/>
      <w:numPr>
        <w:numId w:val="2"/>
      </w:numPr>
      <w:tabs>
        <w:tab w:val="clear" w:pos="794"/>
        <w:tab w:val="clear" w:pos="1191"/>
        <w:tab w:val="clear" w:pos="1418"/>
        <w:tab w:val="clear" w:pos="1588"/>
        <w:tab w:val="clear" w:pos="1985"/>
      </w:tabs>
      <w:ind w:left="0" w:firstLine="0"/>
      <w:jc w:val="left"/>
    </w:pPr>
    <w:rPr>
      <w:lang w:eastAsia="zh-CN"/>
    </w:rPr>
  </w:style>
  <w:style w:type="paragraph" w:customStyle="1" w:styleId="NormalITU">
    <w:name w:val="Normal_ITU"/>
    <w:basedOn w:val="Normal"/>
    <w:rsid w:val="007C62AC"/>
    <w:pPr>
      <w:tabs>
        <w:tab w:val="clear" w:pos="794"/>
        <w:tab w:val="clear" w:pos="1191"/>
        <w:tab w:val="clear" w:pos="1588"/>
        <w:tab w:val="clear" w:pos="1985"/>
      </w:tabs>
      <w:overflowPunct/>
      <w:jc w:val="left"/>
      <w:textAlignment w:val="auto"/>
    </w:pPr>
    <w:rPr>
      <w:rFonts w:eastAsiaTheme="minorHAnsi" w:cs="Arial"/>
      <w:lang w:val="en-US"/>
    </w:rPr>
  </w:style>
  <w:style w:type="paragraph" w:customStyle="1" w:styleId="Docnumber">
    <w:name w:val="Docnumber"/>
    <w:basedOn w:val="Normal"/>
    <w:link w:val="DocnumberChar"/>
    <w:qFormat/>
    <w:rsid w:val="006D57D6"/>
    <w:pPr>
      <w:jc w:val="right"/>
    </w:pPr>
    <w:rPr>
      <w:rFonts w:eastAsia="Times New Roman"/>
      <w:b/>
      <w:bCs/>
      <w:sz w:val="40"/>
    </w:rPr>
  </w:style>
  <w:style w:type="character" w:customStyle="1" w:styleId="DocnumberChar">
    <w:name w:val="Docnumber Char"/>
    <w:basedOn w:val="DefaultParagraphFont"/>
    <w:link w:val="Docnumber"/>
    <w:rsid w:val="006D57D6"/>
    <w:rPr>
      <w:rFonts w:ascii="Times New Roman" w:hAnsi="Times New Roman"/>
      <w:b/>
      <w:bCs/>
      <w:sz w:val="40"/>
      <w:lang w:val="en-GB" w:eastAsia="en-US"/>
    </w:rPr>
  </w:style>
  <w:style w:type="paragraph" w:styleId="TableofFigures">
    <w:name w:val="table of figures"/>
    <w:basedOn w:val="Normal"/>
    <w:next w:val="Normal"/>
    <w:uiPriority w:val="99"/>
    <w:rsid w:val="007C62AC"/>
    <w:pPr>
      <w:tabs>
        <w:tab w:val="clear" w:pos="794"/>
        <w:tab w:val="clear" w:pos="1191"/>
        <w:tab w:val="clear" w:pos="1588"/>
        <w:tab w:val="clear" w:pos="1985"/>
        <w:tab w:val="right" w:leader="dot" w:pos="9639"/>
      </w:tabs>
      <w:overflowPunct/>
      <w:autoSpaceDE/>
      <w:autoSpaceDN/>
      <w:adjustRightInd/>
      <w:jc w:val="left"/>
      <w:textAlignment w:val="auto"/>
    </w:pPr>
    <w:rPr>
      <w:rFonts w:eastAsia="MS Mincho"/>
      <w:szCs w:val="24"/>
      <w:lang w:eastAsia="ja-JP"/>
    </w:rPr>
  </w:style>
  <w:style w:type="character" w:customStyle="1" w:styleId="HeaderChar">
    <w:name w:val="Header Char"/>
    <w:basedOn w:val="DefaultParagraphFont"/>
    <w:link w:val="Header"/>
    <w:rsid w:val="006D57D6"/>
    <w:rPr>
      <w:rFonts w:ascii="Times New Roman" w:eastAsiaTheme="minorEastAsia" w:hAnsi="Times New Roman"/>
      <w:sz w:val="18"/>
      <w:lang w:val="en-GB" w:eastAsia="en-US"/>
    </w:rPr>
  </w:style>
  <w:style w:type="character" w:customStyle="1" w:styleId="ReftextArial9pt">
    <w:name w:val="Ref_text Arial 9 pt"/>
    <w:rsid w:val="007C62AC"/>
    <w:rPr>
      <w:rFonts w:ascii="Arial" w:hAnsi="Arial" w:cs="Arial"/>
      <w:sz w:val="18"/>
      <w:szCs w:val="18"/>
    </w:rPr>
  </w:style>
  <w:style w:type="paragraph" w:customStyle="1" w:styleId="LSForAction">
    <w:name w:val="LSForAction"/>
    <w:basedOn w:val="Normal"/>
    <w:rsid w:val="007C62AC"/>
    <w:pPr>
      <w:jc w:val="left"/>
    </w:pPr>
    <w:rPr>
      <w:bCs/>
    </w:rPr>
  </w:style>
  <w:style w:type="paragraph" w:customStyle="1" w:styleId="LSForComment">
    <w:name w:val="LSForComment"/>
    <w:basedOn w:val="LSForAction"/>
    <w:next w:val="Normal"/>
    <w:rsid w:val="007C62AC"/>
  </w:style>
  <w:style w:type="paragraph" w:customStyle="1" w:styleId="LSForInfo">
    <w:name w:val="LSForInfo"/>
    <w:basedOn w:val="LSForAction"/>
    <w:next w:val="Normal"/>
    <w:rsid w:val="007C62AC"/>
  </w:style>
  <w:style w:type="character" w:styleId="PlaceholderText">
    <w:name w:val="Placeholder Text"/>
    <w:uiPriority w:val="99"/>
    <w:semiHidden/>
    <w:rsid w:val="007C62AC"/>
    <w:rPr>
      <w:rFonts w:ascii="Times New Roman" w:hAnsi="Times New Roman"/>
      <w:color w:val="808080"/>
    </w:rPr>
  </w:style>
  <w:style w:type="paragraph" w:styleId="Caption">
    <w:name w:val="caption"/>
    <w:aliases w:val="cap"/>
    <w:basedOn w:val="Normal"/>
    <w:next w:val="Normal"/>
    <w:unhideWhenUsed/>
    <w:qFormat/>
    <w:rsid w:val="006D57D6"/>
    <w:pPr>
      <w:tabs>
        <w:tab w:val="clear" w:pos="794"/>
        <w:tab w:val="clear" w:pos="1191"/>
        <w:tab w:val="clear" w:pos="1588"/>
        <w:tab w:val="clear" w:pos="1985"/>
      </w:tabs>
      <w:overflowPunct/>
      <w:autoSpaceDE/>
      <w:autoSpaceDN/>
      <w:adjustRightInd/>
      <w:spacing w:before="0" w:after="200"/>
      <w:jc w:val="left"/>
      <w:textAlignment w:val="auto"/>
    </w:pPr>
    <w:rPr>
      <w:i/>
      <w:iCs/>
      <w:color w:val="1F497D" w:themeColor="text2"/>
      <w:sz w:val="18"/>
      <w:szCs w:val="18"/>
      <w:lang w:eastAsia="ja-JP"/>
    </w:rPr>
  </w:style>
  <w:style w:type="character" w:customStyle="1" w:styleId="FooterChar">
    <w:name w:val="Footer Char"/>
    <w:basedOn w:val="DefaultParagraphFont"/>
    <w:link w:val="Footer"/>
    <w:qFormat/>
    <w:rsid w:val="006D57D6"/>
    <w:rPr>
      <w:rFonts w:ascii="Times New Roman" w:eastAsiaTheme="minorEastAsia" w:hAnsi="Times New Roman"/>
      <w:caps/>
      <w:noProof/>
      <w:sz w:val="16"/>
      <w:lang w:val="en-GB" w:eastAsia="en-US"/>
    </w:rPr>
  </w:style>
  <w:style w:type="character" w:customStyle="1" w:styleId="FootnoteTextChar">
    <w:name w:val="Footnote Text Char"/>
    <w:basedOn w:val="DefaultParagraphFont"/>
    <w:link w:val="FootnoteText"/>
    <w:semiHidden/>
    <w:rsid w:val="006D57D6"/>
    <w:rPr>
      <w:rFonts w:ascii="Times New Roman" w:eastAsiaTheme="minorEastAsia" w:hAnsi="Times New Roman"/>
      <w:sz w:val="22"/>
      <w:lang w:val="en-GB" w:eastAsia="en-US"/>
    </w:rPr>
  </w:style>
  <w:style w:type="paragraph" w:styleId="Bibliography">
    <w:name w:val="Bibliography"/>
    <w:basedOn w:val="Normal"/>
    <w:next w:val="Normal"/>
    <w:uiPriority w:val="37"/>
    <w:semiHidden/>
    <w:unhideWhenUsed/>
    <w:rsid w:val="007C62AC"/>
    <w:pPr>
      <w:tabs>
        <w:tab w:val="clear" w:pos="794"/>
        <w:tab w:val="clear" w:pos="1191"/>
        <w:tab w:val="clear" w:pos="1588"/>
        <w:tab w:val="clear" w:pos="1985"/>
      </w:tabs>
      <w:overflowPunct/>
      <w:autoSpaceDE/>
      <w:autoSpaceDN/>
      <w:adjustRightInd/>
      <w:jc w:val="left"/>
      <w:textAlignment w:val="auto"/>
    </w:pPr>
    <w:rPr>
      <w:rFonts w:eastAsiaTheme="minorHAnsi"/>
      <w:szCs w:val="24"/>
      <w:lang w:eastAsia="ja-JP"/>
    </w:rPr>
  </w:style>
  <w:style w:type="paragraph" w:styleId="BlockText">
    <w:name w:val="Block Text"/>
    <w:basedOn w:val="Normal"/>
    <w:uiPriority w:val="99"/>
    <w:semiHidden/>
    <w:unhideWhenUsed/>
    <w:rsid w:val="007C62AC"/>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tabs>
        <w:tab w:val="clear" w:pos="794"/>
        <w:tab w:val="clear" w:pos="1191"/>
        <w:tab w:val="clear" w:pos="1588"/>
        <w:tab w:val="clear" w:pos="1985"/>
      </w:tabs>
      <w:overflowPunct/>
      <w:autoSpaceDE/>
      <w:autoSpaceDN/>
      <w:adjustRightInd/>
      <w:ind w:left="1152" w:right="1152"/>
      <w:jc w:val="left"/>
      <w:textAlignment w:val="auto"/>
    </w:pPr>
    <w:rPr>
      <w:rFonts w:asciiTheme="minorHAnsi" w:hAnsiTheme="minorHAnsi" w:cstheme="minorBidi"/>
      <w:i/>
      <w:iCs/>
      <w:color w:val="4F81BD" w:themeColor="accent1"/>
      <w:szCs w:val="24"/>
      <w:lang w:eastAsia="ja-JP"/>
    </w:rPr>
  </w:style>
  <w:style w:type="paragraph" w:styleId="BodyText2">
    <w:name w:val="Body Text 2"/>
    <w:basedOn w:val="Normal"/>
    <w:link w:val="BodyText2Char"/>
    <w:uiPriority w:val="99"/>
    <w:semiHidden/>
    <w:unhideWhenUsed/>
    <w:rsid w:val="007C62AC"/>
    <w:pPr>
      <w:tabs>
        <w:tab w:val="clear" w:pos="794"/>
        <w:tab w:val="clear" w:pos="1191"/>
        <w:tab w:val="clear" w:pos="1588"/>
        <w:tab w:val="clear" w:pos="1985"/>
      </w:tabs>
      <w:overflowPunct/>
      <w:autoSpaceDE/>
      <w:autoSpaceDN/>
      <w:adjustRightInd/>
      <w:spacing w:after="120" w:line="480" w:lineRule="auto"/>
      <w:jc w:val="left"/>
      <w:textAlignment w:val="auto"/>
    </w:pPr>
    <w:rPr>
      <w:rFonts w:eastAsia="Calibri"/>
      <w:szCs w:val="24"/>
      <w:lang w:eastAsia="ja-JP"/>
    </w:rPr>
  </w:style>
  <w:style w:type="character" w:customStyle="1" w:styleId="BodyText2Char">
    <w:name w:val="Body Text 2 Char"/>
    <w:basedOn w:val="DefaultParagraphFont"/>
    <w:link w:val="BodyText2"/>
    <w:uiPriority w:val="99"/>
    <w:semiHidden/>
    <w:rsid w:val="007C62AC"/>
    <w:rPr>
      <w:rFonts w:ascii="Times New Roman" w:eastAsia="Calibri" w:hAnsi="Times New Roman"/>
      <w:sz w:val="24"/>
      <w:szCs w:val="24"/>
      <w:lang w:val="en-GB" w:eastAsia="ja-JP"/>
    </w:rPr>
  </w:style>
  <w:style w:type="paragraph" w:styleId="BodyText3">
    <w:name w:val="Body Text 3"/>
    <w:basedOn w:val="Normal"/>
    <w:link w:val="BodyText3Char"/>
    <w:uiPriority w:val="99"/>
    <w:semiHidden/>
    <w:unhideWhenUsed/>
    <w:rsid w:val="007C62AC"/>
    <w:pPr>
      <w:tabs>
        <w:tab w:val="clear" w:pos="794"/>
        <w:tab w:val="clear" w:pos="1191"/>
        <w:tab w:val="clear" w:pos="1588"/>
        <w:tab w:val="clear" w:pos="1985"/>
      </w:tabs>
      <w:overflowPunct/>
      <w:autoSpaceDE/>
      <w:autoSpaceDN/>
      <w:adjustRightInd/>
      <w:spacing w:after="120"/>
      <w:jc w:val="left"/>
      <w:textAlignment w:val="auto"/>
    </w:pPr>
    <w:rPr>
      <w:rFonts w:eastAsia="Calibri"/>
      <w:sz w:val="16"/>
      <w:szCs w:val="16"/>
      <w:lang w:eastAsia="ja-JP"/>
    </w:rPr>
  </w:style>
  <w:style w:type="character" w:customStyle="1" w:styleId="BodyText3Char">
    <w:name w:val="Body Text 3 Char"/>
    <w:basedOn w:val="DefaultParagraphFont"/>
    <w:link w:val="BodyText3"/>
    <w:uiPriority w:val="99"/>
    <w:semiHidden/>
    <w:rsid w:val="007C62AC"/>
    <w:rPr>
      <w:rFonts w:ascii="Times New Roman" w:eastAsia="Calibri" w:hAnsi="Times New Roman"/>
      <w:sz w:val="16"/>
      <w:szCs w:val="16"/>
      <w:lang w:val="en-GB" w:eastAsia="ja-JP"/>
    </w:rPr>
  </w:style>
  <w:style w:type="paragraph" w:styleId="BodyTextFirstIndent">
    <w:name w:val="Body Text First Indent"/>
    <w:basedOn w:val="BodyText"/>
    <w:link w:val="BodyTextFirstIndentChar"/>
    <w:uiPriority w:val="99"/>
    <w:unhideWhenUsed/>
    <w:rsid w:val="007C62AC"/>
    <w:pPr>
      <w:widowControl/>
      <w:autoSpaceDE/>
      <w:autoSpaceDN/>
      <w:spacing w:before="120"/>
      <w:ind w:firstLine="360"/>
    </w:pPr>
    <w:rPr>
      <w:rFonts w:ascii="Times New Roman" w:eastAsiaTheme="minorHAnsi" w:hAnsi="Times New Roman" w:cs="Times New Roman"/>
      <w:b w:val="0"/>
      <w:bCs w:val="0"/>
      <w:sz w:val="24"/>
      <w:szCs w:val="24"/>
      <w:lang w:val="en-GB" w:eastAsia="ja-JP"/>
    </w:rPr>
  </w:style>
  <w:style w:type="character" w:customStyle="1" w:styleId="BodyTextFirstIndentChar">
    <w:name w:val="Body Text First Indent Char"/>
    <w:basedOn w:val="BodyTextChar"/>
    <w:link w:val="BodyTextFirstIndent"/>
    <w:uiPriority w:val="99"/>
    <w:rsid w:val="007C62AC"/>
    <w:rPr>
      <w:rFonts w:ascii="Times New Roman" w:eastAsiaTheme="minorHAnsi" w:hAnsi="Times New Roman" w:cs="Avenir Next W1G Medium"/>
      <w:b w:val="0"/>
      <w:bCs w:val="0"/>
      <w:sz w:val="24"/>
      <w:szCs w:val="24"/>
      <w:lang w:val="en-GB" w:eastAsia="ja-JP"/>
    </w:rPr>
  </w:style>
  <w:style w:type="paragraph" w:styleId="BodyTextIndent">
    <w:name w:val="Body Text Indent"/>
    <w:basedOn w:val="Normal"/>
    <w:link w:val="BodyTextIndentChar"/>
    <w:uiPriority w:val="99"/>
    <w:semiHidden/>
    <w:unhideWhenUsed/>
    <w:rsid w:val="007C62AC"/>
    <w:pPr>
      <w:tabs>
        <w:tab w:val="clear" w:pos="794"/>
        <w:tab w:val="clear" w:pos="1191"/>
        <w:tab w:val="clear" w:pos="1588"/>
        <w:tab w:val="clear" w:pos="1985"/>
      </w:tabs>
      <w:overflowPunct/>
      <w:autoSpaceDE/>
      <w:autoSpaceDN/>
      <w:adjustRightInd/>
      <w:spacing w:after="120"/>
      <w:ind w:left="360"/>
      <w:jc w:val="left"/>
      <w:textAlignment w:val="auto"/>
    </w:pPr>
    <w:rPr>
      <w:rFonts w:eastAsia="Calibri"/>
      <w:szCs w:val="24"/>
      <w:lang w:eastAsia="ja-JP"/>
    </w:rPr>
  </w:style>
  <w:style w:type="character" w:customStyle="1" w:styleId="BodyTextIndentChar">
    <w:name w:val="Body Text Indent Char"/>
    <w:basedOn w:val="DefaultParagraphFont"/>
    <w:link w:val="BodyTextIndent"/>
    <w:uiPriority w:val="99"/>
    <w:semiHidden/>
    <w:rsid w:val="007C62AC"/>
    <w:rPr>
      <w:rFonts w:ascii="Times New Roman" w:eastAsia="Calibri" w:hAnsi="Times New Roman"/>
      <w:sz w:val="24"/>
      <w:szCs w:val="24"/>
      <w:lang w:val="en-GB" w:eastAsia="ja-JP"/>
    </w:rPr>
  </w:style>
  <w:style w:type="paragraph" w:styleId="BodyTextFirstIndent2">
    <w:name w:val="Body Text First Indent 2"/>
    <w:basedOn w:val="BodyTextIndent"/>
    <w:link w:val="BodyTextFirstIndent2Char"/>
    <w:uiPriority w:val="99"/>
    <w:semiHidden/>
    <w:unhideWhenUsed/>
    <w:rsid w:val="007C62AC"/>
    <w:pPr>
      <w:spacing w:after="0"/>
      <w:ind w:firstLine="360"/>
    </w:pPr>
  </w:style>
  <w:style w:type="character" w:customStyle="1" w:styleId="BodyTextFirstIndent2Char">
    <w:name w:val="Body Text First Indent 2 Char"/>
    <w:basedOn w:val="BodyTextIndentChar"/>
    <w:link w:val="BodyTextFirstIndent2"/>
    <w:uiPriority w:val="99"/>
    <w:semiHidden/>
    <w:rsid w:val="007C62AC"/>
    <w:rPr>
      <w:rFonts w:ascii="Times New Roman" w:eastAsia="Calibri" w:hAnsi="Times New Roman"/>
      <w:sz w:val="24"/>
      <w:szCs w:val="24"/>
      <w:lang w:val="en-GB" w:eastAsia="ja-JP"/>
    </w:rPr>
  </w:style>
  <w:style w:type="paragraph" w:styleId="BodyTextIndent2">
    <w:name w:val="Body Text Indent 2"/>
    <w:basedOn w:val="Normal"/>
    <w:link w:val="BodyTextIndent2Char"/>
    <w:uiPriority w:val="99"/>
    <w:semiHidden/>
    <w:unhideWhenUsed/>
    <w:rsid w:val="007C62AC"/>
    <w:pPr>
      <w:tabs>
        <w:tab w:val="clear" w:pos="794"/>
        <w:tab w:val="clear" w:pos="1191"/>
        <w:tab w:val="clear" w:pos="1588"/>
        <w:tab w:val="clear" w:pos="1985"/>
      </w:tabs>
      <w:overflowPunct/>
      <w:autoSpaceDE/>
      <w:autoSpaceDN/>
      <w:adjustRightInd/>
      <w:spacing w:after="120" w:line="480" w:lineRule="auto"/>
      <w:ind w:left="360"/>
      <w:jc w:val="left"/>
      <w:textAlignment w:val="auto"/>
    </w:pPr>
    <w:rPr>
      <w:rFonts w:eastAsia="Calibri"/>
      <w:szCs w:val="24"/>
      <w:lang w:eastAsia="ja-JP"/>
    </w:rPr>
  </w:style>
  <w:style w:type="character" w:customStyle="1" w:styleId="BodyTextIndent2Char">
    <w:name w:val="Body Text Indent 2 Char"/>
    <w:basedOn w:val="DefaultParagraphFont"/>
    <w:link w:val="BodyTextIndent2"/>
    <w:uiPriority w:val="99"/>
    <w:semiHidden/>
    <w:rsid w:val="007C62AC"/>
    <w:rPr>
      <w:rFonts w:ascii="Times New Roman" w:eastAsia="Calibri" w:hAnsi="Times New Roman"/>
      <w:sz w:val="24"/>
      <w:szCs w:val="24"/>
      <w:lang w:val="en-GB" w:eastAsia="ja-JP"/>
    </w:rPr>
  </w:style>
  <w:style w:type="paragraph" w:styleId="BodyTextIndent3">
    <w:name w:val="Body Text Indent 3"/>
    <w:basedOn w:val="Normal"/>
    <w:link w:val="BodyTextIndent3Char"/>
    <w:uiPriority w:val="99"/>
    <w:semiHidden/>
    <w:unhideWhenUsed/>
    <w:rsid w:val="007C62AC"/>
    <w:pPr>
      <w:tabs>
        <w:tab w:val="clear" w:pos="794"/>
        <w:tab w:val="clear" w:pos="1191"/>
        <w:tab w:val="clear" w:pos="1588"/>
        <w:tab w:val="clear" w:pos="1985"/>
      </w:tabs>
      <w:overflowPunct/>
      <w:autoSpaceDE/>
      <w:autoSpaceDN/>
      <w:adjustRightInd/>
      <w:spacing w:after="120"/>
      <w:ind w:left="360"/>
      <w:jc w:val="left"/>
      <w:textAlignment w:val="auto"/>
    </w:pPr>
    <w:rPr>
      <w:rFonts w:eastAsia="Calibri"/>
      <w:sz w:val="16"/>
      <w:szCs w:val="16"/>
      <w:lang w:eastAsia="ja-JP"/>
    </w:rPr>
  </w:style>
  <w:style w:type="character" w:customStyle="1" w:styleId="BodyTextIndent3Char">
    <w:name w:val="Body Text Indent 3 Char"/>
    <w:basedOn w:val="DefaultParagraphFont"/>
    <w:link w:val="BodyTextIndent3"/>
    <w:uiPriority w:val="99"/>
    <w:semiHidden/>
    <w:rsid w:val="007C62AC"/>
    <w:rPr>
      <w:rFonts w:ascii="Times New Roman" w:eastAsia="Calibri" w:hAnsi="Times New Roman"/>
      <w:sz w:val="16"/>
      <w:szCs w:val="16"/>
      <w:lang w:val="en-GB" w:eastAsia="ja-JP"/>
    </w:rPr>
  </w:style>
  <w:style w:type="character" w:styleId="BookTitle">
    <w:name w:val="Book Title"/>
    <w:basedOn w:val="DefaultParagraphFont"/>
    <w:uiPriority w:val="33"/>
    <w:rsid w:val="007C62AC"/>
    <w:rPr>
      <w:b/>
      <w:bCs/>
      <w:i/>
      <w:iCs/>
      <w:spacing w:val="5"/>
    </w:rPr>
  </w:style>
  <w:style w:type="paragraph" w:styleId="Closing">
    <w:name w:val="Closing"/>
    <w:basedOn w:val="Normal"/>
    <w:link w:val="ClosingChar"/>
    <w:uiPriority w:val="99"/>
    <w:semiHidden/>
    <w:unhideWhenUsed/>
    <w:rsid w:val="007C62AC"/>
    <w:pPr>
      <w:tabs>
        <w:tab w:val="clear" w:pos="794"/>
        <w:tab w:val="clear" w:pos="1191"/>
        <w:tab w:val="clear" w:pos="1588"/>
        <w:tab w:val="clear" w:pos="1985"/>
      </w:tabs>
      <w:overflowPunct/>
      <w:autoSpaceDE/>
      <w:autoSpaceDN/>
      <w:adjustRightInd/>
      <w:spacing w:before="0"/>
      <w:ind w:left="4320"/>
      <w:jc w:val="left"/>
      <w:textAlignment w:val="auto"/>
    </w:pPr>
    <w:rPr>
      <w:rFonts w:eastAsia="Calibri"/>
      <w:szCs w:val="24"/>
      <w:lang w:eastAsia="ja-JP"/>
    </w:rPr>
  </w:style>
  <w:style w:type="character" w:customStyle="1" w:styleId="ClosingChar">
    <w:name w:val="Closing Char"/>
    <w:basedOn w:val="DefaultParagraphFont"/>
    <w:link w:val="Closing"/>
    <w:uiPriority w:val="99"/>
    <w:semiHidden/>
    <w:rsid w:val="007C62AC"/>
    <w:rPr>
      <w:rFonts w:ascii="Times New Roman" w:eastAsia="Calibri" w:hAnsi="Times New Roman"/>
      <w:sz w:val="24"/>
      <w:szCs w:val="24"/>
      <w:lang w:val="en-GB" w:eastAsia="ja-JP"/>
    </w:rPr>
  </w:style>
  <w:style w:type="character" w:customStyle="1" w:styleId="CommentTextChar">
    <w:name w:val="Comment Text Char"/>
    <w:basedOn w:val="DefaultParagraphFont"/>
    <w:link w:val="CommentText"/>
    <w:qFormat/>
    <w:rsid w:val="006D57D6"/>
    <w:rPr>
      <w:rFonts w:ascii="Times New Roman" w:eastAsiaTheme="minorEastAsia" w:hAnsi="Times New Roman"/>
      <w:lang w:eastAsia="en-US"/>
    </w:rPr>
  </w:style>
  <w:style w:type="paragraph" w:styleId="CommentSubject">
    <w:name w:val="annotation subject"/>
    <w:basedOn w:val="CommentText"/>
    <w:next w:val="CommentText"/>
    <w:link w:val="CommentSubjectChar"/>
    <w:semiHidden/>
    <w:unhideWhenUsed/>
    <w:rsid w:val="006D57D6"/>
    <w:pPr>
      <w:tabs>
        <w:tab w:val="left" w:pos="794"/>
        <w:tab w:val="left" w:pos="1191"/>
        <w:tab w:val="left" w:pos="1588"/>
        <w:tab w:val="left" w:pos="1985"/>
      </w:tabs>
      <w:overflowPunct w:val="0"/>
      <w:autoSpaceDE w:val="0"/>
      <w:autoSpaceDN w:val="0"/>
      <w:adjustRightInd w:val="0"/>
      <w:spacing w:before="120"/>
      <w:textAlignment w:val="baseline"/>
    </w:pPr>
    <w:rPr>
      <w:b/>
      <w:bCs/>
      <w:sz w:val="24"/>
      <w:lang w:val="en-GB"/>
    </w:rPr>
  </w:style>
  <w:style w:type="character" w:customStyle="1" w:styleId="CommentTextChar1">
    <w:name w:val="Comment Text Char1"/>
    <w:basedOn w:val="DefaultParagraphFont"/>
    <w:uiPriority w:val="99"/>
    <w:rsid w:val="007C62AC"/>
    <w:rPr>
      <w:rFonts w:ascii="Times New Roman" w:hAnsi="Times New Roman"/>
      <w:lang w:eastAsia="en-US"/>
    </w:rPr>
  </w:style>
  <w:style w:type="character" w:customStyle="1" w:styleId="CommentSubjectChar">
    <w:name w:val="Comment Subject Char"/>
    <w:basedOn w:val="CommentTextChar"/>
    <w:link w:val="CommentSubject"/>
    <w:semiHidden/>
    <w:rsid w:val="006D57D6"/>
    <w:rPr>
      <w:rFonts w:ascii="Times New Roman" w:eastAsiaTheme="minorEastAsia" w:hAnsi="Times New Roman"/>
      <w:b/>
      <w:bCs/>
      <w:sz w:val="24"/>
      <w:lang w:val="en-GB" w:eastAsia="en-US"/>
    </w:rPr>
  </w:style>
  <w:style w:type="paragraph" w:styleId="Date">
    <w:name w:val="Date"/>
    <w:basedOn w:val="Normal"/>
    <w:next w:val="Normal"/>
    <w:link w:val="DateChar"/>
    <w:uiPriority w:val="99"/>
    <w:unhideWhenUsed/>
    <w:rsid w:val="007C62AC"/>
    <w:pPr>
      <w:tabs>
        <w:tab w:val="clear" w:pos="794"/>
        <w:tab w:val="clear" w:pos="1191"/>
        <w:tab w:val="clear" w:pos="1588"/>
        <w:tab w:val="clear" w:pos="1985"/>
      </w:tabs>
      <w:overflowPunct/>
      <w:autoSpaceDE/>
      <w:autoSpaceDN/>
      <w:adjustRightInd/>
      <w:jc w:val="left"/>
      <w:textAlignment w:val="auto"/>
    </w:pPr>
    <w:rPr>
      <w:rFonts w:eastAsia="Calibri"/>
      <w:szCs w:val="24"/>
      <w:lang w:eastAsia="ja-JP"/>
    </w:rPr>
  </w:style>
  <w:style w:type="character" w:customStyle="1" w:styleId="DateChar">
    <w:name w:val="Date Char"/>
    <w:basedOn w:val="DefaultParagraphFont"/>
    <w:link w:val="Date"/>
    <w:uiPriority w:val="99"/>
    <w:rsid w:val="007C62AC"/>
    <w:rPr>
      <w:rFonts w:ascii="Times New Roman" w:eastAsia="Calibri" w:hAnsi="Times New Roman"/>
      <w:sz w:val="24"/>
      <w:szCs w:val="24"/>
      <w:lang w:val="en-GB" w:eastAsia="ja-JP"/>
    </w:rPr>
  </w:style>
  <w:style w:type="paragraph" w:styleId="DocumentMap">
    <w:name w:val="Document Map"/>
    <w:basedOn w:val="Normal"/>
    <w:link w:val="DocumentMapChar"/>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ascii="Segoe UI" w:eastAsia="Calibri" w:hAnsi="Segoe UI" w:cs="Segoe UI"/>
      <w:sz w:val="16"/>
      <w:szCs w:val="16"/>
      <w:lang w:eastAsia="ja-JP"/>
    </w:rPr>
  </w:style>
  <w:style w:type="character" w:customStyle="1" w:styleId="DocumentMapChar">
    <w:name w:val="Document Map Char"/>
    <w:basedOn w:val="DefaultParagraphFont"/>
    <w:link w:val="DocumentMap"/>
    <w:uiPriority w:val="99"/>
    <w:semiHidden/>
    <w:rsid w:val="007C62AC"/>
    <w:rPr>
      <w:rFonts w:ascii="Segoe UI" w:eastAsia="Calibri" w:hAnsi="Segoe UI" w:cs="Segoe UI"/>
      <w:sz w:val="16"/>
      <w:szCs w:val="16"/>
      <w:lang w:val="en-GB" w:eastAsia="ja-JP"/>
    </w:rPr>
  </w:style>
  <w:style w:type="paragraph" w:styleId="E-mailSignature">
    <w:name w:val="E-mail Signature"/>
    <w:basedOn w:val="Normal"/>
    <w:link w:val="E-mailSignatureChar"/>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eastAsia="Calibri"/>
      <w:szCs w:val="24"/>
      <w:lang w:eastAsia="ja-JP"/>
    </w:rPr>
  </w:style>
  <w:style w:type="character" w:customStyle="1" w:styleId="E-mailSignatureChar">
    <w:name w:val="E-mail Signature Char"/>
    <w:basedOn w:val="DefaultParagraphFont"/>
    <w:link w:val="E-mailSignature"/>
    <w:uiPriority w:val="99"/>
    <w:semiHidden/>
    <w:rsid w:val="007C62AC"/>
    <w:rPr>
      <w:rFonts w:ascii="Times New Roman" w:eastAsia="Calibri" w:hAnsi="Times New Roman"/>
      <w:sz w:val="24"/>
      <w:szCs w:val="24"/>
      <w:lang w:val="en-GB" w:eastAsia="ja-JP"/>
    </w:rPr>
  </w:style>
  <w:style w:type="character" w:styleId="Emphasis">
    <w:name w:val="Emphasis"/>
    <w:basedOn w:val="DefaultParagraphFont"/>
    <w:uiPriority w:val="20"/>
    <w:rsid w:val="007C62AC"/>
    <w:rPr>
      <w:i/>
      <w:iCs/>
    </w:rPr>
  </w:style>
  <w:style w:type="character" w:styleId="EndnoteReference">
    <w:name w:val="endnote reference"/>
    <w:basedOn w:val="DefaultParagraphFont"/>
    <w:rsid w:val="006D57D6"/>
    <w:rPr>
      <w:vertAlign w:val="superscript"/>
    </w:rPr>
  </w:style>
  <w:style w:type="paragraph" w:styleId="EndnoteText">
    <w:name w:val="endnote text"/>
    <w:basedOn w:val="Normal"/>
    <w:link w:val="EndnoteTextChar"/>
    <w:rsid w:val="006D57D6"/>
    <w:pPr>
      <w:spacing w:before="0"/>
    </w:pPr>
    <w:rPr>
      <w:sz w:val="20"/>
    </w:rPr>
  </w:style>
  <w:style w:type="character" w:customStyle="1" w:styleId="EndnoteTextChar">
    <w:name w:val="Endnote Text Char"/>
    <w:basedOn w:val="DefaultParagraphFont"/>
    <w:link w:val="EndnoteText"/>
    <w:rsid w:val="006D57D6"/>
    <w:rPr>
      <w:rFonts w:ascii="Times New Roman" w:eastAsiaTheme="minorEastAsia" w:hAnsi="Times New Roman"/>
      <w:lang w:val="en-GB" w:eastAsia="en-US"/>
    </w:rPr>
  </w:style>
  <w:style w:type="paragraph" w:styleId="EnvelopeAddress">
    <w:name w:val="envelope address"/>
    <w:basedOn w:val="Normal"/>
    <w:uiPriority w:val="99"/>
    <w:semiHidden/>
    <w:unhideWhenUsed/>
    <w:rsid w:val="007C62AC"/>
    <w:pPr>
      <w:framePr w:w="7920" w:h="1980" w:hRule="exact" w:hSpace="180" w:wrap="auto" w:hAnchor="page" w:xAlign="center" w:yAlign="bottom"/>
      <w:tabs>
        <w:tab w:val="clear" w:pos="794"/>
        <w:tab w:val="clear" w:pos="1191"/>
        <w:tab w:val="clear" w:pos="1588"/>
        <w:tab w:val="clear" w:pos="1985"/>
      </w:tabs>
      <w:overflowPunct/>
      <w:autoSpaceDE/>
      <w:autoSpaceDN/>
      <w:adjustRightInd/>
      <w:spacing w:before="0"/>
      <w:ind w:left="2880"/>
      <w:jc w:val="left"/>
      <w:textAlignment w:val="auto"/>
    </w:pPr>
    <w:rPr>
      <w:rFonts w:asciiTheme="majorHAnsi" w:eastAsiaTheme="majorEastAsia" w:hAnsiTheme="majorHAnsi" w:cstheme="majorBidi"/>
      <w:szCs w:val="24"/>
      <w:lang w:eastAsia="ja-JP"/>
    </w:rPr>
  </w:style>
  <w:style w:type="paragraph" w:styleId="EnvelopeReturn">
    <w:name w:val="envelope return"/>
    <w:basedOn w:val="Normal"/>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asciiTheme="majorHAnsi" w:eastAsiaTheme="majorEastAsia" w:hAnsiTheme="majorHAnsi" w:cstheme="majorBidi"/>
      <w:sz w:val="20"/>
      <w:lang w:eastAsia="ja-JP"/>
    </w:rPr>
  </w:style>
  <w:style w:type="character" w:styleId="FollowedHyperlink">
    <w:name w:val="FollowedHyperlink"/>
    <w:basedOn w:val="DefaultParagraphFont"/>
    <w:uiPriority w:val="99"/>
    <w:semiHidden/>
    <w:unhideWhenUsed/>
    <w:rsid w:val="007C62AC"/>
    <w:rPr>
      <w:color w:val="800080" w:themeColor="followedHyperlink"/>
      <w:u w:val="single"/>
    </w:rPr>
  </w:style>
  <w:style w:type="character" w:customStyle="1" w:styleId="Hashtag1">
    <w:name w:val="Hashtag1"/>
    <w:basedOn w:val="DefaultParagraphFont"/>
    <w:uiPriority w:val="99"/>
    <w:semiHidden/>
    <w:unhideWhenUsed/>
    <w:rsid w:val="007C62AC"/>
    <w:rPr>
      <w:color w:val="2B579A"/>
      <w:shd w:val="clear" w:color="auto" w:fill="E6E6E6"/>
    </w:rPr>
  </w:style>
  <w:style w:type="character" w:styleId="HTMLAcronym">
    <w:name w:val="HTML Acronym"/>
    <w:basedOn w:val="DefaultParagraphFont"/>
    <w:uiPriority w:val="99"/>
    <w:semiHidden/>
    <w:unhideWhenUsed/>
    <w:rsid w:val="007C62AC"/>
  </w:style>
  <w:style w:type="paragraph" w:styleId="HTMLAddress">
    <w:name w:val="HTML Address"/>
    <w:basedOn w:val="Normal"/>
    <w:link w:val="HTMLAddressChar"/>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eastAsia="Calibri"/>
      <w:i/>
      <w:iCs/>
      <w:szCs w:val="24"/>
      <w:lang w:eastAsia="ja-JP"/>
    </w:rPr>
  </w:style>
  <w:style w:type="character" w:customStyle="1" w:styleId="HTMLAddressChar">
    <w:name w:val="HTML Address Char"/>
    <w:basedOn w:val="DefaultParagraphFont"/>
    <w:link w:val="HTMLAddress"/>
    <w:uiPriority w:val="99"/>
    <w:semiHidden/>
    <w:rsid w:val="007C62AC"/>
    <w:rPr>
      <w:rFonts w:ascii="Times New Roman" w:eastAsia="Calibri" w:hAnsi="Times New Roman"/>
      <w:i/>
      <w:iCs/>
      <w:sz w:val="24"/>
      <w:szCs w:val="24"/>
      <w:lang w:val="en-GB" w:eastAsia="ja-JP"/>
    </w:rPr>
  </w:style>
  <w:style w:type="character" w:styleId="HTMLCite">
    <w:name w:val="HTML Cite"/>
    <w:basedOn w:val="DefaultParagraphFont"/>
    <w:uiPriority w:val="99"/>
    <w:semiHidden/>
    <w:unhideWhenUsed/>
    <w:rsid w:val="007C62AC"/>
    <w:rPr>
      <w:i/>
      <w:iCs/>
    </w:rPr>
  </w:style>
  <w:style w:type="character" w:styleId="HTMLCode">
    <w:name w:val="HTML Code"/>
    <w:basedOn w:val="DefaultParagraphFont"/>
    <w:uiPriority w:val="99"/>
    <w:semiHidden/>
    <w:unhideWhenUsed/>
    <w:rsid w:val="007C62AC"/>
    <w:rPr>
      <w:rFonts w:ascii="Consolas" w:hAnsi="Consolas"/>
      <w:sz w:val="20"/>
      <w:szCs w:val="20"/>
    </w:rPr>
  </w:style>
  <w:style w:type="character" w:styleId="HTMLDefinition">
    <w:name w:val="HTML Definition"/>
    <w:basedOn w:val="DefaultParagraphFont"/>
    <w:uiPriority w:val="99"/>
    <w:semiHidden/>
    <w:unhideWhenUsed/>
    <w:rsid w:val="007C62AC"/>
    <w:rPr>
      <w:i/>
      <w:iCs/>
    </w:rPr>
  </w:style>
  <w:style w:type="character" w:styleId="HTMLKeyboard">
    <w:name w:val="HTML Keyboard"/>
    <w:basedOn w:val="DefaultParagraphFont"/>
    <w:uiPriority w:val="99"/>
    <w:semiHidden/>
    <w:unhideWhenUsed/>
    <w:rsid w:val="007C62AC"/>
    <w:rPr>
      <w:rFonts w:ascii="Consolas" w:hAnsi="Consolas"/>
      <w:sz w:val="20"/>
      <w:szCs w:val="20"/>
    </w:rPr>
  </w:style>
  <w:style w:type="paragraph" w:styleId="HTMLPreformatted">
    <w:name w:val="HTML Preformatted"/>
    <w:basedOn w:val="Normal"/>
    <w:link w:val="HTMLPreformattedChar"/>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ascii="Consolas" w:eastAsia="Calibri" w:hAnsi="Consolas"/>
      <w:sz w:val="20"/>
      <w:lang w:eastAsia="ja-JP"/>
    </w:rPr>
  </w:style>
  <w:style w:type="character" w:customStyle="1" w:styleId="HTMLPreformattedChar">
    <w:name w:val="HTML Preformatted Char"/>
    <w:basedOn w:val="DefaultParagraphFont"/>
    <w:link w:val="HTMLPreformatted"/>
    <w:uiPriority w:val="99"/>
    <w:semiHidden/>
    <w:rsid w:val="007C62AC"/>
    <w:rPr>
      <w:rFonts w:ascii="Consolas" w:eastAsia="Calibri" w:hAnsi="Consolas"/>
      <w:lang w:val="en-GB" w:eastAsia="ja-JP"/>
    </w:rPr>
  </w:style>
  <w:style w:type="character" w:styleId="HTMLSample">
    <w:name w:val="HTML Sample"/>
    <w:basedOn w:val="DefaultParagraphFont"/>
    <w:uiPriority w:val="99"/>
    <w:semiHidden/>
    <w:unhideWhenUsed/>
    <w:rsid w:val="007C62AC"/>
    <w:rPr>
      <w:rFonts w:ascii="Consolas" w:hAnsi="Consolas"/>
      <w:sz w:val="24"/>
      <w:szCs w:val="24"/>
    </w:rPr>
  </w:style>
  <w:style w:type="character" w:styleId="HTMLTypewriter">
    <w:name w:val="HTML Typewriter"/>
    <w:basedOn w:val="DefaultParagraphFont"/>
    <w:uiPriority w:val="99"/>
    <w:semiHidden/>
    <w:unhideWhenUsed/>
    <w:rsid w:val="007C62AC"/>
    <w:rPr>
      <w:rFonts w:ascii="Consolas" w:hAnsi="Consolas"/>
      <w:sz w:val="20"/>
      <w:szCs w:val="20"/>
    </w:rPr>
  </w:style>
  <w:style w:type="character" w:styleId="HTMLVariable">
    <w:name w:val="HTML Variable"/>
    <w:basedOn w:val="DefaultParagraphFont"/>
    <w:uiPriority w:val="99"/>
    <w:semiHidden/>
    <w:unhideWhenUsed/>
    <w:rsid w:val="007C62AC"/>
    <w:rPr>
      <w:i/>
      <w:iCs/>
    </w:rPr>
  </w:style>
  <w:style w:type="paragraph" w:styleId="Index4">
    <w:name w:val="index 4"/>
    <w:basedOn w:val="Normal"/>
    <w:next w:val="Normal"/>
    <w:autoRedefine/>
    <w:uiPriority w:val="99"/>
    <w:semiHidden/>
    <w:unhideWhenUsed/>
    <w:rsid w:val="007C62AC"/>
    <w:pPr>
      <w:tabs>
        <w:tab w:val="clear" w:pos="794"/>
        <w:tab w:val="clear" w:pos="1191"/>
        <w:tab w:val="clear" w:pos="1588"/>
        <w:tab w:val="clear" w:pos="1985"/>
      </w:tabs>
      <w:overflowPunct/>
      <w:autoSpaceDE/>
      <w:autoSpaceDN/>
      <w:adjustRightInd/>
      <w:spacing w:before="0"/>
      <w:ind w:left="960" w:hanging="240"/>
      <w:jc w:val="left"/>
      <w:textAlignment w:val="auto"/>
    </w:pPr>
    <w:rPr>
      <w:rFonts w:eastAsia="Calibri"/>
      <w:szCs w:val="24"/>
      <w:lang w:eastAsia="ja-JP"/>
    </w:rPr>
  </w:style>
  <w:style w:type="paragraph" w:styleId="Index5">
    <w:name w:val="index 5"/>
    <w:basedOn w:val="Normal"/>
    <w:next w:val="Normal"/>
    <w:autoRedefine/>
    <w:uiPriority w:val="99"/>
    <w:semiHidden/>
    <w:unhideWhenUsed/>
    <w:rsid w:val="007C62AC"/>
    <w:pPr>
      <w:tabs>
        <w:tab w:val="clear" w:pos="794"/>
        <w:tab w:val="clear" w:pos="1191"/>
        <w:tab w:val="clear" w:pos="1588"/>
        <w:tab w:val="clear" w:pos="1985"/>
      </w:tabs>
      <w:overflowPunct/>
      <w:autoSpaceDE/>
      <w:autoSpaceDN/>
      <w:adjustRightInd/>
      <w:spacing w:before="0"/>
      <w:ind w:left="1200" w:hanging="240"/>
      <w:jc w:val="left"/>
      <w:textAlignment w:val="auto"/>
    </w:pPr>
    <w:rPr>
      <w:rFonts w:eastAsia="Calibri"/>
      <w:szCs w:val="24"/>
      <w:lang w:eastAsia="ja-JP"/>
    </w:rPr>
  </w:style>
  <w:style w:type="paragraph" w:styleId="Index6">
    <w:name w:val="index 6"/>
    <w:basedOn w:val="Normal"/>
    <w:next w:val="Normal"/>
    <w:autoRedefine/>
    <w:uiPriority w:val="99"/>
    <w:semiHidden/>
    <w:unhideWhenUsed/>
    <w:rsid w:val="007C62AC"/>
    <w:pPr>
      <w:tabs>
        <w:tab w:val="clear" w:pos="794"/>
        <w:tab w:val="clear" w:pos="1191"/>
        <w:tab w:val="clear" w:pos="1588"/>
        <w:tab w:val="clear" w:pos="1985"/>
      </w:tabs>
      <w:overflowPunct/>
      <w:autoSpaceDE/>
      <w:autoSpaceDN/>
      <w:adjustRightInd/>
      <w:spacing w:before="0"/>
      <w:ind w:left="1440" w:hanging="240"/>
      <w:jc w:val="left"/>
      <w:textAlignment w:val="auto"/>
    </w:pPr>
    <w:rPr>
      <w:rFonts w:eastAsia="Calibri"/>
      <w:szCs w:val="24"/>
      <w:lang w:eastAsia="ja-JP"/>
    </w:rPr>
  </w:style>
  <w:style w:type="paragraph" w:styleId="Index7">
    <w:name w:val="index 7"/>
    <w:basedOn w:val="Normal"/>
    <w:next w:val="Normal"/>
    <w:autoRedefine/>
    <w:uiPriority w:val="99"/>
    <w:semiHidden/>
    <w:unhideWhenUsed/>
    <w:rsid w:val="007C62AC"/>
    <w:pPr>
      <w:tabs>
        <w:tab w:val="clear" w:pos="794"/>
        <w:tab w:val="clear" w:pos="1191"/>
        <w:tab w:val="clear" w:pos="1588"/>
        <w:tab w:val="clear" w:pos="1985"/>
      </w:tabs>
      <w:overflowPunct/>
      <w:autoSpaceDE/>
      <w:autoSpaceDN/>
      <w:adjustRightInd/>
      <w:spacing w:before="0"/>
      <w:ind w:left="1680" w:hanging="240"/>
      <w:jc w:val="left"/>
      <w:textAlignment w:val="auto"/>
    </w:pPr>
    <w:rPr>
      <w:rFonts w:eastAsia="Calibri"/>
      <w:szCs w:val="24"/>
      <w:lang w:eastAsia="ja-JP"/>
    </w:rPr>
  </w:style>
  <w:style w:type="paragraph" w:styleId="Index8">
    <w:name w:val="index 8"/>
    <w:basedOn w:val="Normal"/>
    <w:next w:val="Normal"/>
    <w:autoRedefine/>
    <w:uiPriority w:val="99"/>
    <w:semiHidden/>
    <w:unhideWhenUsed/>
    <w:rsid w:val="007C62AC"/>
    <w:pPr>
      <w:tabs>
        <w:tab w:val="clear" w:pos="794"/>
        <w:tab w:val="clear" w:pos="1191"/>
        <w:tab w:val="clear" w:pos="1588"/>
        <w:tab w:val="clear" w:pos="1985"/>
      </w:tabs>
      <w:overflowPunct/>
      <w:autoSpaceDE/>
      <w:autoSpaceDN/>
      <w:adjustRightInd/>
      <w:spacing w:before="0"/>
      <w:ind w:left="1920" w:hanging="240"/>
      <w:jc w:val="left"/>
      <w:textAlignment w:val="auto"/>
    </w:pPr>
    <w:rPr>
      <w:rFonts w:eastAsia="Calibri"/>
      <w:szCs w:val="24"/>
      <w:lang w:eastAsia="ja-JP"/>
    </w:rPr>
  </w:style>
  <w:style w:type="paragraph" w:styleId="Index9">
    <w:name w:val="index 9"/>
    <w:basedOn w:val="Normal"/>
    <w:next w:val="Normal"/>
    <w:autoRedefine/>
    <w:uiPriority w:val="99"/>
    <w:semiHidden/>
    <w:unhideWhenUsed/>
    <w:rsid w:val="007C62AC"/>
    <w:pPr>
      <w:tabs>
        <w:tab w:val="clear" w:pos="794"/>
        <w:tab w:val="clear" w:pos="1191"/>
        <w:tab w:val="clear" w:pos="1588"/>
        <w:tab w:val="clear" w:pos="1985"/>
      </w:tabs>
      <w:overflowPunct/>
      <w:autoSpaceDE/>
      <w:autoSpaceDN/>
      <w:adjustRightInd/>
      <w:spacing w:before="0"/>
      <w:ind w:left="2160" w:hanging="240"/>
      <w:jc w:val="left"/>
      <w:textAlignment w:val="auto"/>
    </w:pPr>
    <w:rPr>
      <w:rFonts w:eastAsia="Calibri"/>
      <w:szCs w:val="24"/>
      <w:lang w:eastAsia="ja-JP"/>
    </w:rPr>
  </w:style>
  <w:style w:type="paragraph" w:styleId="IndexHeading">
    <w:name w:val="index heading"/>
    <w:basedOn w:val="Normal"/>
    <w:next w:val="Index1"/>
    <w:uiPriority w:val="99"/>
    <w:semiHidden/>
    <w:unhideWhenUsed/>
    <w:rsid w:val="007C62AC"/>
    <w:pPr>
      <w:tabs>
        <w:tab w:val="clear" w:pos="794"/>
        <w:tab w:val="clear" w:pos="1191"/>
        <w:tab w:val="clear" w:pos="1588"/>
        <w:tab w:val="clear" w:pos="1985"/>
      </w:tabs>
      <w:overflowPunct/>
      <w:autoSpaceDE/>
      <w:autoSpaceDN/>
      <w:adjustRightInd/>
      <w:jc w:val="left"/>
      <w:textAlignment w:val="auto"/>
    </w:pPr>
    <w:rPr>
      <w:rFonts w:asciiTheme="majorHAnsi" w:eastAsiaTheme="majorEastAsia" w:hAnsiTheme="majorHAnsi" w:cstheme="majorBidi"/>
      <w:b/>
      <w:bCs/>
      <w:szCs w:val="24"/>
      <w:lang w:eastAsia="ja-JP"/>
    </w:rPr>
  </w:style>
  <w:style w:type="character" w:styleId="IntenseEmphasis">
    <w:name w:val="Intense Emphasis"/>
    <w:basedOn w:val="DefaultParagraphFont"/>
    <w:uiPriority w:val="21"/>
    <w:rsid w:val="007C62AC"/>
    <w:rPr>
      <w:i/>
      <w:iCs/>
      <w:color w:val="4F81BD" w:themeColor="accent1"/>
    </w:rPr>
  </w:style>
  <w:style w:type="paragraph" w:styleId="IntenseQuote">
    <w:name w:val="Intense Quote"/>
    <w:basedOn w:val="Normal"/>
    <w:next w:val="Normal"/>
    <w:link w:val="IntenseQuoteChar"/>
    <w:uiPriority w:val="30"/>
    <w:rsid w:val="007C62AC"/>
    <w:pPr>
      <w:pBdr>
        <w:top w:val="single" w:sz="4" w:space="10" w:color="4F81BD" w:themeColor="accent1"/>
        <w:bottom w:val="single" w:sz="4" w:space="10" w:color="4F81BD" w:themeColor="accent1"/>
      </w:pBdr>
      <w:tabs>
        <w:tab w:val="clear" w:pos="794"/>
        <w:tab w:val="clear" w:pos="1191"/>
        <w:tab w:val="clear" w:pos="1588"/>
        <w:tab w:val="clear" w:pos="1985"/>
      </w:tabs>
      <w:overflowPunct/>
      <w:autoSpaceDE/>
      <w:autoSpaceDN/>
      <w:adjustRightInd/>
      <w:spacing w:before="360" w:after="360"/>
      <w:ind w:left="864" w:right="864"/>
      <w:jc w:val="center"/>
      <w:textAlignment w:val="auto"/>
    </w:pPr>
    <w:rPr>
      <w:rFonts w:eastAsiaTheme="minorHAnsi"/>
      <w:i/>
      <w:iCs/>
      <w:color w:val="4F81BD" w:themeColor="accent1"/>
      <w:szCs w:val="24"/>
      <w:lang w:eastAsia="ja-JP"/>
    </w:rPr>
  </w:style>
  <w:style w:type="character" w:customStyle="1" w:styleId="IntenseQuoteChar">
    <w:name w:val="Intense Quote Char"/>
    <w:basedOn w:val="DefaultParagraphFont"/>
    <w:link w:val="IntenseQuote"/>
    <w:uiPriority w:val="30"/>
    <w:rsid w:val="007C62AC"/>
    <w:rPr>
      <w:rFonts w:ascii="Times New Roman" w:eastAsiaTheme="minorHAnsi" w:hAnsi="Times New Roman"/>
      <w:i/>
      <w:iCs/>
      <w:color w:val="4F81BD" w:themeColor="accent1"/>
      <w:sz w:val="24"/>
      <w:szCs w:val="24"/>
      <w:lang w:val="en-GB" w:eastAsia="ja-JP"/>
    </w:rPr>
  </w:style>
  <w:style w:type="character" w:styleId="IntenseReference">
    <w:name w:val="Intense Reference"/>
    <w:basedOn w:val="DefaultParagraphFont"/>
    <w:uiPriority w:val="32"/>
    <w:rsid w:val="007C62AC"/>
    <w:rPr>
      <w:b/>
      <w:bCs/>
      <w:smallCaps/>
      <w:color w:val="4F81BD" w:themeColor="accent1"/>
      <w:spacing w:val="5"/>
    </w:rPr>
  </w:style>
  <w:style w:type="character" w:styleId="LineNumber">
    <w:name w:val="line number"/>
    <w:basedOn w:val="DefaultParagraphFont"/>
    <w:uiPriority w:val="99"/>
    <w:semiHidden/>
    <w:unhideWhenUsed/>
    <w:rsid w:val="007C62AC"/>
  </w:style>
  <w:style w:type="paragraph" w:styleId="List">
    <w:name w:val="List"/>
    <w:basedOn w:val="Normal"/>
    <w:uiPriority w:val="99"/>
    <w:semiHidden/>
    <w:unhideWhenUsed/>
    <w:rsid w:val="007C62AC"/>
    <w:pPr>
      <w:tabs>
        <w:tab w:val="clear" w:pos="794"/>
        <w:tab w:val="clear" w:pos="1191"/>
        <w:tab w:val="clear" w:pos="1588"/>
        <w:tab w:val="clear" w:pos="1985"/>
      </w:tabs>
      <w:overflowPunct/>
      <w:autoSpaceDE/>
      <w:autoSpaceDN/>
      <w:adjustRightInd/>
      <w:ind w:left="360" w:hanging="360"/>
      <w:contextualSpacing/>
      <w:jc w:val="left"/>
      <w:textAlignment w:val="auto"/>
    </w:pPr>
    <w:rPr>
      <w:rFonts w:eastAsiaTheme="minorHAnsi"/>
      <w:szCs w:val="24"/>
      <w:lang w:eastAsia="ja-JP"/>
    </w:rPr>
  </w:style>
  <w:style w:type="paragraph" w:styleId="List2">
    <w:name w:val="List 2"/>
    <w:basedOn w:val="Normal"/>
    <w:uiPriority w:val="99"/>
    <w:semiHidden/>
    <w:unhideWhenUsed/>
    <w:rsid w:val="007C62AC"/>
    <w:pPr>
      <w:tabs>
        <w:tab w:val="clear" w:pos="794"/>
        <w:tab w:val="clear" w:pos="1191"/>
        <w:tab w:val="clear" w:pos="1588"/>
        <w:tab w:val="clear" w:pos="1985"/>
      </w:tabs>
      <w:overflowPunct/>
      <w:autoSpaceDE/>
      <w:autoSpaceDN/>
      <w:adjustRightInd/>
      <w:ind w:left="720" w:hanging="360"/>
      <w:contextualSpacing/>
      <w:jc w:val="left"/>
      <w:textAlignment w:val="auto"/>
    </w:pPr>
    <w:rPr>
      <w:rFonts w:eastAsia="Calibri"/>
      <w:szCs w:val="24"/>
      <w:lang w:eastAsia="ja-JP"/>
    </w:rPr>
  </w:style>
  <w:style w:type="paragraph" w:styleId="List3">
    <w:name w:val="List 3"/>
    <w:basedOn w:val="Normal"/>
    <w:uiPriority w:val="99"/>
    <w:semiHidden/>
    <w:unhideWhenUsed/>
    <w:rsid w:val="007C62AC"/>
    <w:pPr>
      <w:tabs>
        <w:tab w:val="clear" w:pos="794"/>
        <w:tab w:val="clear" w:pos="1191"/>
        <w:tab w:val="clear" w:pos="1588"/>
        <w:tab w:val="clear" w:pos="1985"/>
      </w:tabs>
      <w:overflowPunct/>
      <w:autoSpaceDE/>
      <w:autoSpaceDN/>
      <w:adjustRightInd/>
      <w:ind w:left="1080" w:hanging="360"/>
      <w:contextualSpacing/>
      <w:jc w:val="left"/>
      <w:textAlignment w:val="auto"/>
    </w:pPr>
    <w:rPr>
      <w:rFonts w:eastAsia="Calibri"/>
      <w:szCs w:val="24"/>
      <w:lang w:eastAsia="ja-JP"/>
    </w:rPr>
  </w:style>
  <w:style w:type="paragraph" w:styleId="List4">
    <w:name w:val="List 4"/>
    <w:basedOn w:val="Normal"/>
    <w:uiPriority w:val="99"/>
    <w:unhideWhenUsed/>
    <w:rsid w:val="007C62AC"/>
    <w:pPr>
      <w:tabs>
        <w:tab w:val="clear" w:pos="794"/>
        <w:tab w:val="clear" w:pos="1191"/>
        <w:tab w:val="clear" w:pos="1588"/>
        <w:tab w:val="clear" w:pos="1985"/>
      </w:tabs>
      <w:overflowPunct/>
      <w:autoSpaceDE/>
      <w:autoSpaceDN/>
      <w:adjustRightInd/>
      <w:ind w:left="1440" w:hanging="360"/>
      <w:contextualSpacing/>
      <w:jc w:val="left"/>
      <w:textAlignment w:val="auto"/>
    </w:pPr>
    <w:rPr>
      <w:rFonts w:eastAsia="Calibri"/>
      <w:szCs w:val="24"/>
      <w:lang w:eastAsia="ja-JP"/>
    </w:rPr>
  </w:style>
  <w:style w:type="paragraph" w:styleId="List5">
    <w:name w:val="List 5"/>
    <w:basedOn w:val="Normal"/>
    <w:uiPriority w:val="99"/>
    <w:unhideWhenUsed/>
    <w:rsid w:val="007C62AC"/>
    <w:pPr>
      <w:tabs>
        <w:tab w:val="clear" w:pos="794"/>
        <w:tab w:val="clear" w:pos="1191"/>
        <w:tab w:val="clear" w:pos="1588"/>
        <w:tab w:val="clear" w:pos="1985"/>
      </w:tabs>
      <w:overflowPunct/>
      <w:autoSpaceDE/>
      <w:autoSpaceDN/>
      <w:adjustRightInd/>
      <w:ind w:left="1800" w:hanging="360"/>
      <w:contextualSpacing/>
      <w:jc w:val="left"/>
      <w:textAlignment w:val="auto"/>
    </w:pPr>
    <w:rPr>
      <w:rFonts w:eastAsia="Calibri"/>
      <w:szCs w:val="24"/>
      <w:lang w:eastAsia="ja-JP"/>
    </w:rPr>
  </w:style>
  <w:style w:type="paragraph" w:styleId="ListBullet">
    <w:name w:val="List Bullet"/>
    <w:basedOn w:val="Normal"/>
    <w:uiPriority w:val="99"/>
    <w:semiHidden/>
    <w:unhideWhenUsed/>
    <w:rsid w:val="007C62AC"/>
    <w:pPr>
      <w:numPr>
        <w:numId w:val="3"/>
      </w:numPr>
      <w:tabs>
        <w:tab w:val="clear" w:pos="360"/>
        <w:tab w:val="clear" w:pos="794"/>
        <w:tab w:val="clear" w:pos="1191"/>
        <w:tab w:val="clear" w:pos="1588"/>
        <w:tab w:val="clear" w:pos="1985"/>
      </w:tabs>
      <w:overflowPunct/>
      <w:autoSpaceDE/>
      <w:autoSpaceDN/>
      <w:adjustRightInd/>
      <w:ind w:left="0" w:firstLine="0"/>
      <w:contextualSpacing/>
      <w:jc w:val="left"/>
      <w:textAlignment w:val="auto"/>
    </w:pPr>
    <w:rPr>
      <w:rFonts w:eastAsiaTheme="minorHAnsi"/>
      <w:szCs w:val="24"/>
      <w:lang w:eastAsia="ja-JP"/>
    </w:rPr>
  </w:style>
  <w:style w:type="paragraph" w:styleId="ListBullet2">
    <w:name w:val="List Bullet 2"/>
    <w:basedOn w:val="Normal"/>
    <w:uiPriority w:val="99"/>
    <w:semiHidden/>
    <w:unhideWhenUsed/>
    <w:rsid w:val="007C62AC"/>
    <w:pPr>
      <w:numPr>
        <w:numId w:val="4"/>
      </w:numPr>
      <w:tabs>
        <w:tab w:val="clear" w:pos="720"/>
        <w:tab w:val="clear" w:pos="794"/>
        <w:tab w:val="clear" w:pos="1191"/>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Bullet3">
    <w:name w:val="List Bullet 3"/>
    <w:basedOn w:val="Normal"/>
    <w:uiPriority w:val="99"/>
    <w:semiHidden/>
    <w:unhideWhenUsed/>
    <w:rsid w:val="007C62AC"/>
    <w:pPr>
      <w:numPr>
        <w:numId w:val="5"/>
      </w:numPr>
      <w:tabs>
        <w:tab w:val="clear" w:pos="794"/>
        <w:tab w:val="clear" w:pos="1080"/>
        <w:tab w:val="clear" w:pos="1191"/>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Bullet4">
    <w:name w:val="List Bullet 4"/>
    <w:basedOn w:val="Normal"/>
    <w:uiPriority w:val="99"/>
    <w:semiHidden/>
    <w:unhideWhenUsed/>
    <w:rsid w:val="007C62AC"/>
    <w:pPr>
      <w:numPr>
        <w:numId w:val="6"/>
      </w:numPr>
      <w:tabs>
        <w:tab w:val="clear" w:pos="794"/>
        <w:tab w:val="clear" w:pos="1191"/>
        <w:tab w:val="clear" w:pos="1440"/>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Bullet5">
    <w:name w:val="List Bullet 5"/>
    <w:basedOn w:val="Normal"/>
    <w:uiPriority w:val="99"/>
    <w:semiHidden/>
    <w:unhideWhenUsed/>
    <w:rsid w:val="007C62AC"/>
    <w:pPr>
      <w:numPr>
        <w:numId w:val="7"/>
      </w:numPr>
      <w:tabs>
        <w:tab w:val="clear" w:pos="794"/>
        <w:tab w:val="clear" w:pos="1191"/>
        <w:tab w:val="clear" w:pos="1588"/>
        <w:tab w:val="clear" w:pos="1800"/>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Continue">
    <w:name w:val="List Continue"/>
    <w:basedOn w:val="Normal"/>
    <w:uiPriority w:val="99"/>
    <w:semiHidden/>
    <w:unhideWhenUsed/>
    <w:rsid w:val="007C62AC"/>
    <w:pPr>
      <w:tabs>
        <w:tab w:val="clear" w:pos="794"/>
        <w:tab w:val="clear" w:pos="1191"/>
        <w:tab w:val="clear" w:pos="1588"/>
        <w:tab w:val="clear" w:pos="1985"/>
      </w:tabs>
      <w:overflowPunct/>
      <w:autoSpaceDE/>
      <w:autoSpaceDN/>
      <w:adjustRightInd/>
      <w:spacing w:after="120"/>
      <w:ind w:left="360"/>
      <w:contextualSpacing/>
      <w:jc w:val="left"/>
      <w:textAlignment w:val="auto"/>
    </w:pPr>
    <w:rPr>
      <w:rFonts w:eastAsia="Calibri"/>
      <w:szCs w:val="24"/>
      <w:lang w:eastAsia="ja-JP"/>
    </w:rPr>
  </w:style>
  <w:style w:type="paragraph" w:styleId="ListContinue2">
    <w:name w:val="List Continue 2"/>
    <w:basedOn w:val="Normal"/>
    <w:uiPriority w:val="99"/>
    <w:semiHidden/>
    <w:unhideWhenUsed/>
    <w:rsid w:val="007C62AC"/>
    <w:pPr>
      <w:tabs>
        <w:tab w:val="clear" w:pos="794"/>
        <w:tab w:val="clear" w:pos="1191"/>
        <w:tab w:val="clear" w:pos="1588"/>
        <w:tab w:val="clear" w:pos="1985"/>
      </w:tabs>
      <w:overflowPunct/>
      <w:autoSpaceDE/>
      <w:autoSpaceDN/>
      <w:adjustRightInd/>
      <w:spacing w:after="120"/>
      <w:ind w:left="720"/>
      <w:contextualSpacing/>
      <w:jc w:val="left"/>
      <w:textAlignment w:val="auto"/>
    </w:pPr>
    <w:rPr>
      <w:rFonts w:eastAsia="Calibri"/>
      <w:szCs w:val="24"/>
      <w:lang w:eastAsia="ja-JP"/>
    </w:rPr>
  </w:style>
  <w:style w:type="paragraph" w:styleId="ListContinue3">
    <w:name w:val="List Continue 3"/>
    <w:basedOn w:val="Normal"/>
    <w:uiPriority w:val="99"/>
    <w:semiHidden/>
    <w:unhideWhenUsed/>
    <w:rsid w:val="007C62AC"/>
    <w:pPr>
      <w:tabs>
        <w:tab w:val="clear" w:pos="794"/>
        <w:tab w:val="clear" w:pos="1191"/>
        <w:tab w:val="clear" w:pos="1588"/>
        <w:tab w:val="clear" w:pos="1985"/>
      </w:tabs>
      <w:overflowPunct/>
      <w:autoSpaceDE/>
      <w:autoSpaceDN/>
      <w:adjustRightInd/>
      <w:spacing w:after="120"/>
      <w:ind w:left="1080"/>
      <w:contextualSpacing/>
      <w:jc w:val="left"/>
      <w:textAlignment w:val="auto"/>
    </w:pPr>
    <w:rPr>
      <w:rFonts w:eastAsia="Calibri"/>
      <w:szCs w:val="24"/>
      <w:lang w:eastAsia="ja-JP"/>
    </w:rPr>
  </w:style>
  <w:style w:type="paragraph" w:styleId="ListContinue4">
    <w:name w:val="List Continue 4"/>
    <w:basedOn w:val="Normal"/>
    <w:uiPriority w:val="99"/>
    <w:semiHidden/>
    <w:unhideWhenUsed/>
    <w:rsid w:val="007C62AC"/>
    <w:pPr>
      <w:tabs>
        <w:tab w:val="clear" w:pos="794"/>
        <w:tab w:val="clear" w:pos="1191"/>
        <w:tab w:val="clear" w:pos="1588"/>
        <w:tab w:val="clear" w:pos="1985"/>
      </w:tabs>
      <w:overflowPunct/>
      <w:autoSpaceDE/>
      <w:autoSpaceDN/>
      <w:adjustRightInd/>
      <w:spacing w:after="120"/>
      <w:ind w:left="1440"/>
      <w:contextualSpacing/>
      <w:jc w:val="left"/>
      <w:textAlignment w:val="auto"/>
    </w:pPr>
    <w:rPr>
      <w:rFonts w:eastAsia="Calibri"/>
      <w:szCs w:val="24"/>
      <w:lang w:eastAsia="ja-JP"/>
    </w:rPr>
  </w:style>
  <w:style w:type="paragraph" w:styleId="ListContinue5">
    <w:name w:val="List Continue 5"/>
    <w:basedOn w:val="Normal"/>
    <w:uiPriority w:val="99"/>
    <w:semiHidden/>
    <w:unhideWhenUsed/>
    <w:rsid w:val="007C62AC"/>
    <w:pPr>
      <w:tabs>
        <w:tab w:val="clear" w:pos="794"/>
        <w:tab w:val="clear" w:pos="1191"/>
        <w:tab w:val="clear" w:pos="1588"/>
        <w:tab w:val="clear" w:pos="1985"/>
      </w:tabs>
      <w:overflowPunct/>
      <w:autoSpaceDE/>
      <w:autoSpaceDN/>
      <w:adjustRightInd/>
      <w:spacing w:after="120"/>
      <w:ind w:left="1800"/>
      <w:contextualSpacing/>
      <w:jc w:val="left"/>
      <w:textAlignment w:val="auto"/>
    </w:pPr>
    <w:rPr>
      <w:rFonts w:eastAsia="Calibri"/>
      <w:szCs w:val="24"/>
      <w:lang w:eastAsia="ja-JP"/>
    </w:rPr>
  </w:style>
  <w:style w:type="paragraph" w:styleId="ListNumber">
    <w:name w:val="List Number"/>
    <w:basedOn w:val="Normal"/>
    <w:uiPriority w:val="99"/>
    <w:unhideWhenUsed/>
    <w:rsid w:val="007C62AC"/>
    <w:pPr>
      <w:numPr>
        <w:numId w:val="8"/>
      </w:numPr>
      <w:tabs>
        <w:tab w:val="clear" w:pos="360"/>
        <w:tab w:val="clear" w:pos="794"/>
        <w:tab w:val="clear" w:pos="1191"/>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Number2">
    <w:name w:val="List Number 2"/>
    <w:basedOn w:val="Normal"/>
    <w:uiPriority w:val="99"/>
    <w:semiHidden/>
    <w:unhideWhenUsed/>
    <w:rsid w:val="007C62AC"/>
    <w:pPr>
      <w:numPr>
        <w:numId w:val="9"/>
      </w:numPr>
      <w:tabs>
        <w:tab w:val="clear" w:pos="720"/>
        <w:tab w:val="clear" w:pos="794"/>
        <w:tab w:val="clear" w:pos="1191"/>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Number3">
    <w:name w:val="List Number 3"/>
    <w:basedOn w:val="Normal"/>
    <w:uiPriority w:val="99"/>
    <w:semiHidden/>
    <w:unhideWhenUsed/>
    <w:rsid w:val="007C62AC"/>
    <w:pPr>
      <w:numPr>
        <w:numId w:val="10"/>
      </w:numPr>
      <w:tabs>
        <w:tab w:val="clear" w:pos="794"/>
        <w:tab w:val="clear" w:pos="1080"/>
        <w:tab w:val="clear" w:pos="1191"/>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Number4">
    <w:name w:val="List Number 4"/>
    <w:basedOn w:val="Normal"/>
    <w:uiPriority w:val="99"/>
    <w:semiHidden/>
    <w:unhideWhenUsed/>
    <w:rsid w:val="007C62AC"/>
    <w:pPr>
      <w:numPr>
        <w:numId w:val="11"/>
      </w:numPr>
      <w:tabs>
        <w:tab w:val="clear" w:pos="794"/>
        <w:tab w:val="clear" w:pos="1191"/>
        <w:tab w:val="clear" w:pos="1440"/>
        <w:tab w:val="clear" w:pos="1588"/>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Number5">
    <w:name w:val="List Number 5"/>
    <w:basedOn w:val="Normal"/>
    <w:uiPriority w:val="99"/>
    <w:semiHidden/>
    <w:unhideWhenUsed/>
    <w:rsid w:val="007C62AC"/>
    <w:pPr>
      <w:numPr>
        <w:numId w:val="12"/>
      </w:numPr>
      <w:tabs>
        <w:tab w:val="clear" w:pos="794"/>
        <w:tab w:val="clear" w:pos="1191"/>
        <w:tab w:val="clear" w:pos="1588"/>
        <w:tab w:val="clear" w:pos="1800"/>
        <w:tab w:val="clear" w:pos="1985"/>
      </w:tabs>
      <w:overflowPunct/>
      <w:autoSpaceDE/>
      <w:autoSpaceDN/>
      <w:adjustRightInd/>
      <w:ind w:left="0" w:firstLine="0"/>
      <w:contextualSpacing/>
      <w:jc w:val="left"/>
      <w:textAlignment w:val="auto"/>
    </w:pPr>
    <w:rPr>
      <w:rFonts w:eastAsia="Calibri"/>
      <w:szCs w:val="24"/>
      <w:lang w:eastAsia="ja-JP"/>
    </w:rPr>
  </w:style>
  <w:style w:type="paragraph" w:styleId="ListParagraph">
    <w:name w:val="List Paragraph"/>
    <w:basedOn w:val="Normal"/>
    <w:link w:val="ListParagraphChar"/>
    <w:uiPriority w:val="34"/>
    <w:qFormat/>
    <w:rsid w:val="006D57D6"/>
    <w:pPr>
      <w:ind w:left="720"/>
      <w:contextualSpacing/>
    </w:pPr>
  </w:style>
  <w:style w:type="paragraph" w:styleId="MacroText">
    <w:name w:val="macro"/>
    <w:link w:val="MacroTextChar"/>
    <w:uiPriority w:val="99"/>
    <w:semiHidden/>
    <w:unhideWhenUsed/>
    <w:rsid w:val="007C62AC"/>
    <w:pPr>
      <w:tabs>
        <w:tab w:val="left" w:pos="480"/>
        <w:tab w:val="left" w:pos="960"/>
        <w:tab w:val="left" w:pos="1440"/>
        <w:tab w:val="left" w:pos="1920"/>
        <w:tab w:val="left" w:pos="2400"/>
        <w:tab w:val="left" w:pos="2880"/>
        <w:tab w:val="left" w:pos="3360"/>
        <w:tab w:val="left" w:pos="3840"/>
        <w:tab w:val="left" w:pos="4320"/>
      </w:tabs>
      <w:spacing w:before="120"/>
    </w:pPr>
    <w:rPr>
      <w:rFonts w:ascii="Consolas" w:eastAsiaTheme="minorHAnsi" w:hAnsi="Consolas"/>
      <w:lang w:val="en-GB" w:eastAsia="ja-JP"/>
    </w:rPr>
  </w:style>
  <w:style w:type="character" w:customStyle="1" w:styleId="MacroTextChar">
    <w:name w:val="Macro Text Char"/>
    <w:basedOn w:val="DefaultParagraphFont"/>
    <w:link w:val="MacroText"/>
    <w:uiPriority w:val="99"/>
    <w:semiHidden/>
    <w:rsid w:val="007C62AC"/>
    <w:rPr>
      <w:rFonts w:ascii="Consolas" w:eastAsiaTheme="minorHAnsi" w:hAnsi="Consolas"/>
      <w:lang w:val="en-GB" w:eastAsia="ja-JP"/>
    </w:rPr>
  </w:style>
  <w:style w:type="character" w:customStyle="1" w:styleId="Mention1">
    <w:name w:val="Mention1"/>
    <w:basedOn w:val="DefaultParagraphFont"/>
    <w:uiPriority w:val="99"/>
    <w:semiHidden/>
    <w:unhideWhenUsed/>
    <w:rsid w:val="007C62AC"/>
    <w:rPr>
      <w:color w:val="2B579A"/>
      <w:shd w:val="clear" w:color="auto" w:fill="E6E6E6"/>
    </w:rPr>
  </w:style>
  <w:style w:type="paragraph" w:styleId="MessageHeader">
    <w:name w:val="Message Header"/>
    <w:basedOn w:val="Normal"/>
    <w:link w:val="MessageHeaderChar"/>
    <w:uiPriority w:val="99"/>
    <w:semiHidden/>
    <w:unhideWhenUsed/>
    <w:rsid w:val="007C62AC"/>
    <w:pPr>
      <w:pBdr>
        <w:top w:val="single" w:sz="6" w:space="1" w:color="auto"/>
        <w:left w:val="single" w:sz="6" w:space="1" w:color="auto"/>
        <w:bottom w:val="single" w:sz="6" w:space="1" w:color="auto"/>
        <w:right w:val="single" w:sz="6" w:space="1" w:color="auto"/>
      </w:pBdr>
      <w:shd w:val="pct20" w:color="auto" w:fill="auto"/>
      <w:tabs>
        <w:tab w:val="clear" w:pos="794"/>
        <w:tab w:val="clear" w:pos="1191"/>
        <w:tab w:val="clear" w:pos="1588"/>
        <w:tab w:val="clear" w:pos="1985"/>
      </w:tabs>
      <w:overflowPunct/>
      <w:autoSpaceDE/>
      <w:autoSpaceDN/>
      <w:adjustRightInd/>
      <w:spacing w:before="0"/>
      <w:ind w:left="1080" w:hanging="1080"/>
      <w:jc w:val="left"/>
      <w:textAlignment w:val="auto"/>
    </w:pPr>
    <w:rPr>
      <w:rFonts w:asciiTheme="majorHAnsi" w:eastAsiaTheme="majorEastAsia" w:hAnsiTheme="majorHAnsi" w:cstheme="majorBidi"/>
      <w:szCs w:val="24"/>
      <w:lang w:eastAsia="ja-JP"/>
    </w:rPr>
  </w:style>
  <w:style w:type="character" w:customStyle="1" w:styleId="MessageHeaderChar">
    <w:name w:val="Message Header Char"/>
    <w:basedOn w:val="DefaultParagraphFont"/>
    <w:link w:val="MessageHeader"/>
    <w:uiPriority w:val="99"/>
    <w:semiHidden/>
    <w:rsid w:val="007C62AC"/>
    <w:rPr>
      <w:rFonts w:asciiTheme="majorHAnsi" w:eastAsiaTheme="majorEastAsia" w:hAnsiTheme="majorHAnsi" w:cstheme="majorBidi"/>
      <w:sz w:val="24"/>
      <w:szCs w:val="24"/>
      <w:shd w:val="pct20" w:color="auto" w:fill="auto"/>
      <w:lang w:val="en-GB" w:eastAsia="ja-JP"/>
    </w:rPr>
  </w:style>
  <w:style w:type="paragraph" w:styleId="NoSpacing">
    <w:name w:val="No Spacing"/>
    <w:uiPriority w:val="1"/>
    <w:rsid w:val="007C62AC"/>
    <w:rPr>
      <w:rFonts w:ascii="Times New Roman" w:eastAsiaTheme="minorHAnsi" w:hAnsi="Times New Roman"/>
      <w:sz w:val="24"/>
      <w:szCs w:val="24"/>
      <w:lang w:val="en-GB" w:eastAsia="ja-JP"/>
    </w:rPr>
  </w:style>
  <w:style w:type="paragraph" w:styleId="NormalWeb">
    <w:name w:val="Normal (Web)"/>
    <w:basedOn w:val="Normal"/>
    <w:uiPriority w:val="99"/>
    <w:unhideWhenUsed/>
    <w:rsid w:val="007C62AC"/>
    <w:pPr>
      <w:tabs>
        <w:tab w:val="clear" w:pos="794"/>
        <w:tab w:val="clear" w:pos="1191"/>
        <w:tab w:val="clear" w:pos="1588"/>
        <w:tab w:val="clear" w:pos="1985"/>
      </w:tabs>
      <w:overflowPunct/>
      <w:autoSpaceDE/>
      <w:autoSpaceDN/>
      <w:adjustRightInd/>
      <w:jc w:val="left"/>
      <w:textAlignment w:val="auto"/>
    </w:pPr>
    <w:rPr>
      <w:rFonts w:eastAsia="Calibri"/>
      <w:szCs w:val="24"/>
      <w:lang w:eastAsia="ja-JP"/>
    </w:rPr>
  </w:style>
  <w:style w:type="paragraph" w:styleId="NormalIndent">
    <w:name w:val="Normal Indent"/>
    <w:basedOn w:val="Normal"/>
    <w:uiPriority w:val="99"/>
    <w:semiHidden/>
    <w:unhideWhenUsed/>
    <w:rsid w:val="007C62AC"/>
    <w:pPr>
      <w:tabs>
        <w:tab w:val="clear" w:pos="794"/>
        <w:tab w:val="clear" w:pos="1191"/>
        <w:tab w:val="clear" w:pos="1588"/>
        <w:tab w:val="clear" w:pos="1985"/>
      </w:tabs>
      <w:overflowPunct/>
      <w:autoSpaceDE/>
      <w:autoSpaceDN/>
      <w:adjustRightInd/>
      <w:ind w:left="720"/>
      <w:jc w:val="left"/>
      <w:textAlignment w:val="auto"/>
    </w:pPr>
    <w:rPr>
      <w:rFonts w:eastAsiaTheme="minorHAnsi"/>
      <w:szCs w:val="24"/>
      <w:lang w:eastAsia="ja-JP"/>
    </w:rPr>
  </w:style>
  <w:style w:type="paragraph" w:styleId="NoteHeading">
    <w:name w:val="Note Heading"/>
    <w:basedOn w:val="Normal"/>
    <w:next w:val="Normal"/>
    <w:link w:val="NoteHeadingChar"/>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eastAsia="Calibri"/>
      <w:szCs w:val="24"/>
      <w:lang w:eastAsia="ja-JP"/>
    </w:rPr>
  </w:style>
  <w:style w:type="character" w:customStyle="1" w:styleId="NoteHeadingChar">
    <w:name w:val="Note Heading Char"/>
    <w:basedOn w:val="DefaultParagraphFont"/>
    <w:link w:val="NoteHeading"/>
    <w:uiPriority w:val="99"/>
    <w:semiHidden/>
    <w:rsid w:val="007C62AC"/>
    <w:rPr>
      <w:rFonts w:ascii="Times New Roman" w:eastAsia="Calibri" w:hAnsi="Times New Roman"/>
      <w:sz w:val="24"/>
      <w:szCs w:val="24"/>
      <w:lang w:val="en-GB" w:eastAsia="ja-JP"/>
    </w:rPr>
  </w:style>
  <w:style w:type="paragraph" w:styleId="PlainText">
    <w:name w:val="Plain Text"/>
    <w:basedOn w:val="Normal"/>
    <w:link w:val="PlainTextChar"/>
    <w:uiPriority w:val="99"/>
    <w:semiHidden/>
    <w:unhideWhenUsed/>
    <w:rsid w:val="007C62AC"/>
    <w:pPr>
      <w:tabs>
        <w:tab w:val="clear" w:pos="794"/>
        <w:tab w:val="clear" w:pos="1191"/>
        <w:tab w:val="clear" w:pos="1588"/>
        <w:tab w:val="clear" w:pos="1985"/>
      </w:tabs>
      <w:overflowPunct/>
      <w:autoSpaceDE/>
      <w:autoSpaceDN/>
      <w:adjustRightInd/>
      <w:spacing w:before="0"/>
      <w:jc w:val="left"/>
      <w:textAlignment w:val="auto"/>
    </w:pPr>
    <w:rPr>
      <w:rFonts w:ascii="Consolas" w:eastAsia="Calibri" w:hAnsi="Consolas"/>
      <w:sz w:val="21"/>
      <w:szCs w:val="21"/>
      <w:lang w:eastAsia="ja-JP"/>
    </w:rPr>
  </w:style>
  <w:style w:type="character" w:customStyle="1" w:styleId="PlainTextChar">
    <w:name w:val="Plain Text Char"/>
    <w:basedOn w:val="DefaultParagraphFont"/>
    <w:link w:val="PlainText"/>
    <w:uiPriority w:val="99"/>
    <w:semiHidden/>
    <w:rsid w:val="007C62AC"/>
    <w:rPr>
      <w:rFonts w:ascii="Consolas" w:eastAsia="Calibri" w:hAnsi="Consolas"/>
      <w:sz w:val="21"/>
      <w:szCs w:val="21"/>
      <w:lang w:val="en-GB" w:eastAsia="ja-JP"/>
    </w:rPr>
  </w:style>
  <w:style w:type="paragraph" w:styleId="Quote">
    <w:name w:val="Quote"/>
    <w:basedOn w:val="Normal"/>
    <w:next w:val="Normal"/>
    <w:link w:val="QuoteChar"/>
    <w:uiPriority w:val="29"/>
    <w:rsid w:val="007C62AC"/>
    <w:pPr>
      <w:tabs>
        <w:tab w:val="clear" w:pos="794"/>
        <w:tab w:val="clear" w:pos="1191"/>
        <w:tab w:val="clear" w:pos="1588"/>
        <w:tab w:val="clear" w:pos="1985"/>
      </w:tabs>
      <w:overflowPunct/>
      <w:autoSpaceDE/>
      <w:autoSpaceDN/>
      <w:adjustRightInd/>
      <w:spacing w:before="200" w:after="160"/>
      <w:ind w:left="864" w:right="864"/>
      <w:jc w:val="center"/>
      <w:textAlignment w:val="auto"/>
    </w:pPr>
    <w:rPr>
      <w:rFonts w:eastAsiaTheme="minorHAnsi"/>
      <w:i/>
      <w:iCs/>
      <w:color w:val="404040" w:themeColor="text1" w:themeTint="BF"/>
      <w:szCs w:val="24"/>
      <w:lang w:eastAsia="ja-JP"/>
    </w:rPr>
  </w:style>
  <w:style w:type="character" w:customStyle="1" w:styleId="QuoteChar">
    <w:name w:val="Quote Char"/>
    <w:basedOn w:val="DefaultParagraphFont"/>
    <w:link w:val="Quote"/>
    <w:uiPriority w:val="29"/>
    <w:rsid w:val="007C62AC"/>
    <w:rPr>
      <w:rFonts w:ascii="Times New Roman" w:eastAsiaTheme="minorHAnsi" w:hAnsi="Times New Roman"/>
      <w:i/>
      <w:iCs/>
      <w:color w:val="404040" w:themeColor="text1" w:themeTint="BF"/>
      <w:sz w:val="24"/>
      <w:szCs w:val="24"/>
      <w:lang w:val="en-GB" w:eastAsia="ja-JP"/>
    </w:rPr>
  </w:style>
  <w:style w:type="paragraph" w:styleId="Salutation">
    <w:name w:val="Salutation"/>
    <w:basedOn w:val="Normal"/>
    <w:next w:val="Normal"/>
    <w:link w:val="SalutationChar"/>
    <w:uiPriority w:val="99"/>
    <w:unhideWhenUsed/>
    <w:rsid w:val="007C62AC"/>
    <w:pPr>
      <w:tabs>
        <w:tab w:val="clear" w:pos="794"/>
        <w:tab w:val="clear" w:pos="1191"/>
        <w:tab w:val="clear" w:pos="1588"/>
        <w:tab w:val="clear" w:pos="1985"/>
      </w:tabs>
      <w:overflowPunct/>
      <w:autoSpaceDE/>
      <w:autoSpaceDN/>
      <w:adjustRightInd/>
      <w:jc w:val="left"/>
      <w:textAlignment w:val="auto"/>
    </w:pPr>
    <w:rPr>
      <w:rFonts w:eastAsia="Calibri"/>
      <w:szCs w:val="24"/>
      <w:lang w:eastAsia="ja-JP"/>
    </w:rPr>
  </w:style>
  <w:style w:type="character" w:customStyle="1" w:styleId="SalutationChar">
    <w:name w:val="Salutation Char"/>
    <w:basedOn w:val="DefaultParagraphFont"/>
    <w:link w:val="Salutation"/>
    <w:uiPriority w:val="99"/>
    <w:rsid w:val="007C62AC"/>
    <w:rPr>
      <w:rFonts w:ascii="Times New Roman" w:eastAsia="Calibri" w:hAnsi="Times New Roman"/>
      <w:sz w:val="24"/>
      <w:szCs w:val="24"/>
      <w:lang w:val="en-GB" w:eastAsia="ja-JP"/>
    </w:rPr>
  </w:style>
  <w:style w:type="paragraph" w:styleId="Signature">
    <w:name w:val="Signature"/>
    <w:basedOn w:val="Normal"/>
    <w:link w:val="SignatureChar"/>
    <w:uiPriority w:val="99"/>
    <w:semiHidden/>
    <w:unhideWhenUsed/>
    <w:rsid w:val="007C62AC"/>
    <w:pPr>
      <w:tabs>
        <w:tab w:val="clear" w:pos="794"/>
        <w:tab w:val="clear" w:pos="1191"/>
        <w:tab w:val="clear" w:pos="1588"/>
        <w:tab w:val="clear" w:pos="1985"/>
      </w:tabs>
      <w:overflowPunct/>
      <w:autoSpaceDE/>
      <w:autoSpaceDN/>
      <w:adjustRightInd/>
      <w:spacing w:before="0"/>
      <w:ind w:left="4320"/>
      <w:jc w:val="left"/>
      <w:textAlignment w:val="auto"/>
    </w:pPr>
    <w:rPr>
      <w:rFonts w:eastAsia="Calibri"/>
      <w:szCs w:val="24"/>
      <w:lang w:eastAsia="ja-JP"/>
    </w:rPr>
  </w:style>
  <w:style w:type="character" w:customStyle="1" w:styleId="SignatureChar">
    <w:name w:val="Signature Char"/>
    <w:basedOn w:val="DefaultParagraphFont"/>
    <w:link w:val="Signature"/>
    <w:uiPriority w:val="99"/>
    <w:semiHidden/>
    <w:rsid w:val="007C62AC"/>
    <w:rPr>
      <w:rFonts w:ascii="Times New Roman" w:eastAsia="Calibri" w:hAnsi="Times New Roman"/>
      <w:sz w:val="24"/>
      <w:szCs w:val="24"/>
      <w:lang w:val="en-GB" w:eastAsia="ja-JP"/>
    </w:rPr>
  </w:style>
  <w:style w:type="character" w:customStyle="1" w:styleId="SmartHyperlink1">
    <w:name w:val="Smart Hyperlink1"/>
    <w:basedOn w:val="DefaultParagraphFont"/>
    <w:uiPriority w:val="99"/>
    <w:semiHidden/>
    <w:unhideWhenUsed/>
    <w:rsid w:val="007C62AC"/>
    <w:rPr>
      <w:u w:val="dotted"/>
    </w:rPr>
  </w:style>
  <w:style w:type="character" w:styleId="Strong">
    <w:name w:val="Strong"/>
    <w:basedOn w:val="DefaultParagraphFont"/>
    <w:uiPriority w:val="22"/>
    <w:qFormat/>
    <w:rsid w:val="007C62AC"/>
    <w:rPr>
      <w:b/>
      <w:bCs/>
    </w:rPr>
  </w:style>
  <w:style w:type="paragraph" w:styleId="Subtitle">
    <w:name w:val="Subtitle"/>
    <w:basedOn w:val="Normal"/>
    <w:next w:val="Normal"/>
    <w:link w:val="SubtitleChar"/>
    <w:uiPriority w:val="11"/>
    <w:rsid w:val="007C62AC"/>
    <w:pPr>
      <w:numPr>
        <w:ilvl w:val="1"/>
      </w:numPr>
      <w:tabs>
        <w:tab w:val="clear" w:pos="794"/>
        <w:tab w:val="clear" w:pos="1191"/>
        <w:tab w:val="clear" w:pos="1588"/>
        <w:tab w:val="clear" w:pos="1985"/>
      </w:tabs>
      <w:overflowPunct/>
      <w:autoSpaceDE/>
      <w:autoSpaceDN/>
      <w:adjustRightInd/>
      <w:spacing w:after="160"/>
      <w:jc w:val="left"/>
      <w:textAlignment w:val="auto"/>
    </w:pPr>
    <w:rPr>
      <w:rFonts w:asciiTheme="minorHAnsi" w:hAnsiTheme="minorHAnsi" w:cstheme="minorBidi"/>
      <w:color w:val="5A5A5A" w:themeColor="text1" w:themeTint="A5"/>
      <w:spacing w:val="15"/>
      <w:sz w:val="22"/>
      <w:szCs w:val="22"/>
      <w:lang w:eastAsia="ja-JP"/>
    </w:rPr>
  </w:style>
  <w:style w:type="character" w:customStyle="1" w:styleId="SubtitleChar">
    <w:name w:val="Subtitle Char"/>
    <w:basedOn w:val="DefaultParagraphFont"/>
    <w:link w:val="Subtitle"/>
    <w:uiPriority w:val="11"/>
    <w:rsid w:val="007C62AC"/>
    <w:rPr>
      <w:rFonts w:asciiTheme="minorHAnsi" w:eastAsiaTheme="minorEastAsia" w:hAnsiTheme="minorHAnsi" w:cstheme="minorBidi"/>
      <w:color w:val="5A5A5A" w:themeColor="text1" w:themeTint="A5"/>
      <w:spacing w:val="15"/>
      <w:sz w:val="22"/>
      <w:szCs w:val="22"/>
      <w:lang w:val="en-GB" w:eastAsia="ja-JP"/>
    </w:rPr>
  </w:style>
  <w:style w:type="character" w:styleId="SubtleEmphasis">
    <w:name w:val="Subtle Emphasis"/>
    <w:basedOn w:val="DefaultParagraphFont"/>
    <w:uiPriority w:val="19"/>
    <w:rsid w:val="007C62AC"/>
    <w:rPr>
      <w:i/>
      <w:iCs/>
      <w:color w:val="404040" w:themeColor="text1" w:themeTint="BF"/>
    </w:rPr>
  </w:style>
  <w:style w:type="character" w:styleId="SubtleReference">
    <w:name w:val="Subtle Reference"/>
    <w:basedOn w:val="DefaultParagraphFont"/>
    <w:uiPriority w:val="31"/>
    <w:rsid w:val="007C62AC"/>
    <w:rPr>
      <w:smallCaps/>
      <w:color w:val="5A5A5A" w:themeColor="text1" w:themeTint="A5"/>
    </w:rPr>
  </w:style>
  <w:style w:type="paragraph" w:styleId="TableofAuthorities">
    <w:name w:val="table of authorities"/>
    <w:basedOn w:val="Normal"/>
    <w:next w:val="Normal"/>
    <w:uiPriority w:val="99"/>
    <w:semiHidden/>
    <w:unhideWhenUsed/>
    <w:rsid w:val="007C62AC"/>
    <w:pPr>
      <w:tabs>
        <w:tab w:val="clear" w:pos="794"/>
        <w:tab w:val="clear" w:pos="1191"/>
        <w:tab w:val="clear" w:pos="1588"/>
        <w:tab w:val="clear" w:pos="1985"/>
      </w:tabs>
      <w:overflowPunct/>
      <w:autoSpaceDE/>
      <w:autoSpaceDN/>
      <w:adjustRightInd/>
      <w:ind w:left="240" w:hanging="240"/>
      <w:jc w:val="left"/>
      <w:textAlignment w:val="auto"/>
    </w:pPr>
    <w:rPr>
      <w:rFonts w:eastAsia="Calibri"/>
      <w:szCs w:val="24"/>
      <w:lang w:eastAsia="ja-JP"/>
    </w:rPr>
  </w:style>
  <w:style w:type="paragraph" w:styleId="Title">
    <w:name w:val="Title"/>
    <w:basedOn w:val="Normal"/>
    <w:next w:val="Normal"/>
    <w:link w:val="TitleChar"/>
    <w:uiPriority w:val="10"/>
    <w:rsid w:val="007C62AC"/>
    <w:pPr>
      <w:tabs>
        <w:tab w:val="clear" w:pos="794"/>
        <w:tab w:val="clear" w:pos="1191"/>
        <w:tab w:val="clear" w:pos="1588"/>
        <w:tab w:val="clear" w:pos="1985"/>
      </w:tabs>
      <w:overflowPunct/>
      <w:autoSpaceDE/>
      <w:autoSpaceDN/>
      <w:adjustRightInd/>
      <w:spacing w:before="0"/>
      <w:contextualSpacing/>
      <w:jc w:val="left"/>
      <w:textAlignment w:val="auto"/>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7C62AC"/>
    <w:rPr>
      <w:rFonts w:asciiTheme="majorHAnsi" w:eastAsiaTheme="majorEastAsia" w:hAnsiTheme="majorHAnsi" w:cstheme="majorBidi"/>
      <w:spacing w:val="-10"/>
      <w:kern w:val="28"/>
      <w:sz w:val="56"/>
      <w:szCs w:val="56"/>
      <w:lang w:val="en-GB" w:eastAsia="ja-JP"/>
    </w:rPr>
  </w:style>
  <w:style w:type="paragraph" w:styleId="TOAHeading">
    <w:name w:val="toa heading"/>
    <w:basedOn w:val="Normal"/>
    <w:next w:val="Normal"/>
    <w:uiPriority w:val="99"/>
    <w:semiHidden/>
    <w:unhideWhenUsed/>
    <w:rsid w:val="007C62AC"/>
    <w:pPr>
      <w:tabs>
        <w:tab w:val="clear" w:pos="794"/>
        <w:tab w:val="clear" w:pos="1191"/>
        <w:tab w:val="clear" w:pos="1588"/>
        <w:tab w:val="clear" w:pos="1985"/>
      </w:tabs>
      <w:overflowPunct/>
      <w:autoSpaceDE/>
      <w:autoSpaceDN/>
      <w:adjustRightInd/>
      <w:jc w:val="left"/>
      <w:textAlignment w:val="auto"/>
    </w:pPr>
    <w:rPr>
      <w:rFonts w:asciiTheme="majorHAnsi" w:eastAsiaTheme="majorEastAsia" w:hAnsiTheme="majorHAnsi" w:cstheme="majorBidi"/>
      <w:b/>
      <w:bCs/>
      <w:szCs w:val="24"/>
      <w:lang w:eastAsia="ja-JP"/>
    </w:rPr>
  </w:style>
  <w:style w:type="paragraph" w:styleId="TOCHeading">
    <w:name w:val="TOC Heading"/>
    <w:basedOn w:val="Heading1"/>
    <w:next w:val="Normal"/>
    <w:link w:val="TOCHeadingChar"/>
    <w:uiPriority w:val="39"/>
    <w:unhideWhenUsed/>
    <w:qFormat/>
    <w:rsid w:val="007C62AC"/>
    <w:pPr>
      <w:tabs>
        <w:tab w:val="clear" w:pos="794"/>
        <w:tab w:val="clear" w:pos="1191"/>
        <w:tab w:val="clear" w:pos="1588"/>
        <w:tab w:val="clear" w:pos="1985"/>
      </w:tabs>
      <w:overflowPunct/>
      <w:autoSpaceDE/>
      <w:autoSpaceDN/>
      <w:adjustRightInd/>
      <w:spacing w:before="240"/>
      <w:ind w:left="0" w:firstLine="0"/>
      <w:textAlignment w:val="auto"/>
      <w:outlineLvl w:val="9"/>
    </w:pPr>
    <w:rPr>
      <w:rFonts w:asciiTheme="majorHAnsi" w:eastAsiaTheme="majorEastAsia" w:hAnsiTheme="majorHAnsi" w:cstheme="majorBidi"/>
      <w:b w:val="0"/>
      <w:color w:val="365F91" w:themeColor="accent1" w:themeShade="BF"/>
      <w:sz w:val="32"/>
      <w:szCs w:val="32"/>
      <w:lang w:eastAsia="ja-JP"/>
    </w:rPr>
  </w:style>
  <w:style w:type="character" w:customStyle="1" w:styleId="UnresolvedMention1">
    <w:name w:val="Unresolved Mention1"/>
    <w:basedOn w:val="DefaultParagraphFont"/>
    <w:uiPriority w:val="99"/>
    <w:semiHidden/>
    <w:unhideWhenUsed/>
    <w:rsid w:val="007C62AC"/>
    <w:rPr>
      <w:color w:val="808080"/>
      <w:shd w:val="clear" w:color="auto" w:fill="E6E6E6"/>
    </w:rPr>
  </w:style>
  <w:style w:type="numbering" w:customStyle="1" w:styleId="NoList1">
    <w:name w:val="No List1"/>
    <w:next w:val="NoList"/>
    <w:uiPriority w:val="99"/>
    <w:semiHidden/>
    <w:unhideWhenUsed/>
    <w:rsid w:val="007C62AC"/>
  </w:style>
  <w:style w:type="paragraph" w:customStyle="1" w:styleId="msonormal0">
    <w:name w:val="msonormal"/>
    <w:basedOn w:val="Normal"/>
    <w:rsid w:val="007C62AC"/>
    <w:pPr>
      <w:tabs>
        <w:tab w:val="clear" w:pos="794"/>
        <w:tab w:val="clear" w:pos="1191"/>
        <w:tab w:val="clear" w:pos="1588"/>
        <w:tab w:val="clear" w:pos="1985"/>
      </w:tabs>
      <w:overflowPunct/>
      <w:autoSpaceDE/>
      <w:autoSpaceDN/>
      <w:adjustRightInd/>
      <w:spacing w:before="100" w:beforeAutospacing="1" w:after="100" w:afterAutospacing="1"/>
      <w:jc w:val="left"/>
      <w:textAlignment w:val="auto"/>
    </w:pPr>
    <w:rPr>
      <w:szCs w:val="24"/>
      <w:lang w:eastAsia="en-GB"/>
    </w:rPr>
  </w:style>
  <w:style w:type="paragraph" w:customStyle="1" w:styleId="xl65">
    <w:name w:val="xl65"/>
    <w:basedOn w:val="Normal"/>
    <w:rsid w:val="007C62AC"/>
    <w:pPr>
      <w:pBdr>
        <w:top w:val="single" w:sz="8" w:space="0" w:color="DDDDDD"/>
        <w:bottom w:val="single" w:sz="8" w:space="0" w:color="DDDDDD"/>
      </w:pBdr>
      <w:shd w:val="clear" w:color="000000" w:fill="FFFFFF"/>
      <w:tabs>
        <w:tab w:val="clear" w:pos="794"/>
        <w:tab w:val="clear" w:pos="1191"/>
        <w:tab w:val="clear" w:pos="1588"/>
        <w:tab w:val="clear" w:pos="1985"/>
      </w:tabs>
      <w:overflowPunct/>
      <w:autoSpaceDE/>
      <w:autoSpaceDN/>
      <w:adjustRightInd/>
      <w:spacing w:before="100" w:beforeAutospacing="1" w:after="100" w:afterAutospacing="1"/>
      <w:jc w:val="left"/>
      <w:textAlignment w:val="center"/>
    </w:pPr>
    <w:rPr>
      <w:b/>
      <w:bCs/>
      <w:color w:val="2F2F2F"/>
      <w:szCs w:val="24"/>
      <w:lang w:eastAsia="en-GB"/>
    </w:rPr>
  </w:style>
  <w:style w:type="paragraph" w:customStyle="1" w:styleId="xl66">
    <w:name w:val="xl66"/>
    <w:basedOn w:val="Normal"/>
    <w:rsid w:val="007C62AC"/>
    <w:pPr>
      <w:pBdr>
        <w:top w:val="single" w:sz="8" w:space="0" w:color="DDDDDD"/>
        <w:bottom w:val="single" w:sz="8" w:space="0" w:color="DDDDDD"/>
      </w:pBdr>
      <w:shd w:val="clear" w:color="000000" w:fill="FFFFFF"/>
      <w:tabs>
        <w:tab w:val="clear" w:pos="794"/>
        <w:tab w:val="clear" w:pos="1191"/>
        <w:tab w:val="clear" w:pos="1588"/>
        <w:tab w:val="clear" w:pos="1985"/>
      </w:tabs>
      <w:overflowPunct/>
      <w:autoSpaceDE/>
      <w:autoSpaceDN/>
      <w:adjustRightInd/>
      <w:spacing w:before="100" w:beforeAutospacing="1" w:after="100" w:afterAutospacing="1"/>
      <w:jc w:val="right"/>
      <w:textAlignment w:val="center"/>
    </w:pPr>
    <w:rPr>
      <w:b/>
      <w:bCs/>
      <w:color w:val="2F2F2F"/>
      <w:szCs w:val="24"/>
      <w:lang w:eastAsia="en-GB"/>
    </w:rPr>
  </w:style>
  <w:style w:type="paragraph" w:customStyle="1" w:styleId="xl67">
    <w:name w:val="xl67"/>
    <w:basedOn w:val="Normal"/>
    <w:rsid w:val="007C62AC"/>
    <w:pPr>
      <w:pBdr>
        <w:bottom w:val="single" w:sz="8" w:space="0" w:color="DDDDDD"/>
      </w:pBdr>
      <w:shd w:val="clear" w:color="000000" w:fill="FFFFFF"/>
      <w:tabs>
        <w:tab w:val="clear" w:pos="794"/>
        <w:tab w:val="clear" w:pos="1191"/>
        <w:tab w:val="clear" w:pos="1588"/>
        <w:tab w:val="clear" w:pos="1985"/>
      </w:tabs>
      <w:overflowPunct/>
      <w:autoSpaceDE/>
      <w:autoSpaceDN/>
      <w:adjustRightInd/>
      <w:spacing w:before="100" w:beforeAutospacing="1" w:after="100" w:afterAutospacing="1"/>
      <w:jc w:val="left"/>
      <w:textAlignment w:val="center"/>
    </w:pPr>
    <w:rPr>
      <w:color w:val="0563C1"/>
      <w:szCs w:val="24"/>
      <w:u w:val="single"/>
      <w:lang w:eastAsia="en-GB"/>
    </w:rPr>
  </w:style>
  <w:style w:type="paragraph" w:customStyle="1" w:styleId="xl68">
    <w:name w:val="xl68"/>
    <w:basedOn w:val="Normal"/>
    <w:rsid w:val="007C62AC"/>
    <w:pPr>
      <w:pBdr>
        <w:bottom w:val="single" w:sz="8" w:space="0" w:color="DDDDDD"/>
      </w:pBdr>
      <w:shd w:val="clear" w:color="000000" w:fill="FFFFFF"/>
      <w:tabs>
        <w:tab w:val="clear" w:pos="794"/>
        <w:tab w:val="clear" w:pos="1191"/>
        <w:tab w:val="clear" w:pos="1588"/>
        <w:tab w:val="clear" w:pos="1985"/>
      </w:tabs>
      <w:overflowPunct/>
      <w:autoSpaceDE/>
      <w:autoSpaceDN/>
      <w:adjustRightInd/>
      <w:spacing w:before="100" w:beforeAutospacing="1" w:after="100" w:afterAutospacing="1"/>
      <w:jc w:val="left"/>
      <w:textAlignment w:val="center"/>
    </w:pPr>
    <w:rPr>
      <w:color w:val="2F2F2F"/>
      <w:szCs w:val="24"/>
      <w:lang w:eastAsia="en-GB"/>
    </w:rPr>
  </w:style>
  <w:style w:type="paragraph" w:customStyle="1" w:styleId="xl69">
    <w:name w:val="xl69"/>
    <w:basedOn w:val="Normal"/>
    <w:rsid w:val="007C62AC"/>
    <w:pPr>
      <w:pBdr>
        <w:bottom w:val="single" w:sz="8" w:space="0" w:color="DDDDDD"/>
      </w:pBdr>
      <w:shd w:val="clear" w:color="000000" w:fill="FFFFFF"/>
      <w:tabs>
        <w:tab w:val="clear" w:pos="794"/>
        <w:tab w:val="clear" w:pos="1191"/>
        <w:tab w:val="clear" w:pos="1588"/>
        <w:tab w:val="clear" w:pos="1985"/>
      </w:tabs>
      <w:overflowPunct/>
      <w:autoSpaceDE/>
      <w:autoSpaceDN/>
      <w:adjustRightInd/>
      <w:spacing w:before="100" w:beforeAutospacing="1" w:after="100" w:afterAutospacing="1"/>
      <w:jc w:val="right"/>
      <w:textAlignment w:val="center"/>
    </w:pPr>
    <w:rPr>
      <w:color w:val="2F2F2F"/>
      <w:szCs w:val="24"/>
      <w:lang w:eastAsia="en-GB"/>
    </w:rPr>
  </w:style>
  <w:style w:type="numbering" w:customStyle="1" w:styleId="NoList2">
    <w:name w:val="No List2"/>
    <w:next w:val="NoList"/>
    <w:uiPriority w:val="99"/>
    <w:semiHidden/>
    <w:unhideWhenUsed/>
    <w:rsid w:val="007C62AC"/>
  </w:style>
  <w:style w:type="table" w:customStyle="1" w:styleId="TableGrid1">
    <w:name w:val="Table Grid1"/>
    <w:basedOn w:val="TableNormal"/>
    <w:next w:val="TableGrid"/>
    <w:rsid w:val="007C62AC"/>
    <w:rPr>
      <w:rFonts w:ascii="Calibri" w:eastAsia="Calibri" w:hAnsi="Calibri"/>
      <w:kern w:val="2"/>
      <w:sz w:val="22"/>
      <w:szCs w:val="2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C62AC"/>
    <w:rPr>
      <w:rFonts w:ascii="Times New Roman" w:eastAsia="Calibri" w:hAnsi="Times New Roman"/>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tyle2">
    <w:name w:val="Style2"/>
    <w:basedOn w:val="Heading2"/>
    <w:link w:val="Style2Char"/>
    <w:qFormat/>
    <w:rsid w:val="007C62AC"/>
    <w:pPr>
      <w:keepLines w:val="0"/>
      <w:tabs>
        <w:tab w:val="clear" w:pos="794"/>
        <w:tab w:val="clear" w:pos="1191"/>
        <w:tab w:val="clear" w:pos="1588"/>
        <w:tab w:val="clear" w:pos="1985"/>
      </w:tabs>
      <w:overflowPunct/>
      <w:autoSpaceDE/>
      <w:autoSpaceDN/>
      <w:adjustRightInd/>
      <w:spacing w:after="60"/>
      <w:ind w:left="0" w:firstLine="0"/>
      <w:textAlignment w:val="auto"/>
    </w:pPr>
    <w:rPr>
      <w:rFonts w:eastAsia="MS Mincho" w:cs="Arial"/>
      <w:bCs/>
      <w:iCs/>
      <w:szCs w:val="28"/>
      <w:lang w:eastAsia="ja-JP"/>
    </w:rPr>
  </w:style>
  <w:style w:type="character" w:customStyle="1" w:styleId="Style2Char">
    <w:name w:val="Style2 Char"/>
    <w:basedOn w:val="Heading2Char"/>
    <w:link w:val="Style2"/>
    <w:rsid w:val="007C62AC"/>
    <w:rPr>
      <w:rFonts w:ascii="Times New Roman" w:eastAsia="MS Mincho" w:hAnsi="Times New Roman" w:cs="Arial"/>
      <w:b/>
      <w:bCs/>
      <w:iCs/>
      <w:sz w:val="24"/>
      <w:szCs w:val="28"/>
      <w:lang w:val="en-GB" w:eastAsia="ja-JP"/>
    </w:rPr>
  </w:style>
  <w:style w:type="paragraph" w:customStyle="1" w:styleId="Style3">
    <w:name w:val="Style3"/>
    <w:basedOn w:val="TOCHeading"/>
    <w:next w:val="Heading3"/>
    <w:link w:val="Style3Char"/>
    <w:qFormat/>
    <w:rsid w:val="007C62AC"/>
    <w:rPr>
      <w:rFonts w:ascii="Times New Roman" w:hAnsi="Times New Roman"/>
      <w:b/>
      <w:sz w:val="22"/>
      <w:lang w:eastAsia="en-US"/>
    </w:rPr>
  </w:style>
  <w:style w:type="character" w:customStyle="1" w:styleId="TOCHeadingChar">
    <w:name w:val="TOC Heading Char"/>
    <w:basedOn w:val="Heading1Char"/>
    <w:link w:val="TOCHeading"/>
    <w:uiPriority w:val="39"/>
    <w:rsid w:val="007C62AC"/>
    <w:rPr>
      <w:rFonts w:asciiTheme="majorHAnsi" w:eastAsiaTheme="majorEastAsia" w:hAnsiTheme="majorHAnsi" w:cstheme="majorBidi"/>
      <w:b w:val="0"/>
      <w:color w:val="365F91" w:themeColor="accent1" w:themeShade="BF"/>
      <w:sz w:val="32"/>
      <w:szCs w:val="32"/>
      <w:lang w:val="en-GB" w:eastAsia="ja-JP"/>
    </w:rPr>
  </w:style>
  <w:style w:type="character" w:customStyle="1" w:styleId="Style3Char">
    <w:name w:val="Style3 Char"/>
    <w:basedOn w:val="TOCHeadingChar"/>
    <w:link w:val="Style3"/>
    <w:rsid w:val="007C62AC"/>
    <w:rPr>
      <w:rFonts w:ascii="Times New Roman" w:eastAsiaTheme="majorEastAsia" w:hAnsi="Times New Roman" w:cstheme="majorBidi"/>
      <w:b/>
      <w:color w:val="365F91" w:themeColor="accent1" w:themeShade="BF"/>
      <w:sz w:val="22"/>
      <w:szCs w:val="32"/>
      <w:lang w:val="en-GB" w:eastAsia="en-US"/>
    </w:rPr>
  </w:style>
  <w:style w:type="paragraph" w:customStyle="1" w:styleId="Styleffig">
    <w:name w:val="Stylef fig"/>
    <w:basedOn w:val="Figure"/>
    <w:link w:val="StyleffigChar"/>
    <w:autoRedefine/>
    <w:qFormat/>
    <w:rsid w:val="007C62AC"/>
  </w:style>
  <w:style w:type="character" w:customStyle="1" w:styleId="FigureChar">
    <w:name w:val="Figure Char"/>
    <w:basedOn w:val="DefaultParagraphFont"/>
    <w:link w:val="Figure"/>
    <w:rsid w:val="007C62AC"/>
    <w:rPr>
      <w:rFonts w:ascii="Times New Roman" w:eastAsiaTheme="minorEastAsia" w:hAnsi="Times New Roman"/>
      <w:sz w:val="24"/>
      <w:lang w:val="en-GB" w:eastAsia="en-US"/>
    </w:rPr>
  </w:style>
  <w:style w:type="character" w:customStyle="1" w:styleId="StyleffigChar">
    <w:name w:val="Stylef fig Char"/>
    <w:basedOn w:val="FigureChar"/>
    <w:link w:val="Styleffig"/>
    <w:rsid w:val="007C62AC"/>
    <w:rPr>
      <w:rFonts w:ascii="Times New Roman" w:eastAsiaTheme="minorEastAsia" w:hAnsi="Times New Roman"/>
      <w:sz w:val="24"/>
      <w:lang w:val="en-GB" w:eastAsia="en-US"/>
    </w:rPr>
  </w:style>
  <w:style w:type="character" w:customStyle="1" w:styleId="ListParagraphChar">
    <w:name w:val="List Paragraph Char"/>
    <w:basedOn w:val="DefaultParagraphFont"/>
    <w:link w:val="ListParagraph"/>
    <w:uiPriority w:val="34"/>
    <w:locked/>
    <w:rsid w:val="006D57D6"/>
    <w:rPr>
      <w:rFonts w:ascii="Times New Roman" w:eastAsiaTheme="minorEastAsia" w:hAnsi="Times New Roman"/>
      <w:sz w:val="24"/>
      <w:lang w:val="en-GB" w:eastAsia="en-US"/>
    </w:rPr>
  </w:style>
  <w:style w:type="paragraph" w:customStyle="1" w:styleId="TSBHeaderQuestion">
    <w:name w:val="TSBHeaderQuestion"/>
    <w:basedOn w:val="Normal"/>
    <w:qFormat/>
    <w:rsid w:val="006D57D6"/>
    <w:pPr>
      <w:tabs>
        <w:tab w:val="clear" w:pos="794"/>
        <w:tab w:val="clear" w:pos="1191"/>
        <w:tab w:val="clear" w:pos="1588"/>
        <w:tab w:val="clear" w:pos="1985"/>
      </w:tabs>
      <w:overflowPunct/>
      <w:autoSpaceDE/>
      <w:autoSpaceDN/>
      <w:adjustRightInd/>
      <w:jc w:val="left"/>
      <w:textAlignment w:val="auto"/>
    </w:pPr>
    <w:rPr>
      <w:szCs w:val="24"/>
      <w:lang w:eastAsia="ja-JP"/>
    </w:rPr>
  </w:style>
  <w:style w:type="paragraph" w:customStyle="1" w:styleId="TSBHeaderRight14">
    <w:name w:val="TSBHeaderRight14"/>
    <w:basedOn w:val="Normal"/>
    <w:qFormat/>
    <w:rsid w:val="006D57D6"/>
    <w:pPr>
      <w:jc w:val="right"/>
    </w:pPr>
    <w:rPr>
      <w:rFonts w:eastAsia="Times New Roman"/>
      <w:b/>
      <w:bCs/>
      <w:sz w:val="28"/>
      <w:szCs w:val="28"/>
    </w:rPr>
  </w:style>
  <w:style w:type="paragraph" w:customStyle="1" w:styleId="TSBHeaderSource">
    <w:name w:val="TSBHeaderSource"/>
    <w:basedOn w:val="Normal"/>
    <w:qFormat/>
    <w:rsid w:val="006D57D6"/>
    <w:pPr>
      <w:tabs>
        <w:tab w:val="clear" w:pos="794"/>
        <w:tab w:val="clear" w:pos="1191"/>
        <w:tab w:val="clear" w:pos="1588"/>
        <w:tab w:val="clear" w:pos="1985"/>
      </w:tabs>
      <w:overflowPunct/>
      <w:autoSpaceDE/>
      <w:autoSpaceDN/>
      <w:adjustRightInd/>
      <w:jc w:val="left"/>
      <w:textAlignment w:val="auto"/>
    </w:pPr>
    <w:rPr>
      <w:szCs w:val="24"/>
      <w:lang w:eastAsia="ja-JP"/>
    </w:rPr>
  </w:style>
  <w:style w:type="paragraph" w:customStyle="1" w:styleId="TSBHeaderTitle">
    <w:name w:val="TSBHeaderTitle"/>
    <w:basedOn w:val="Normal"/>
    <w:qFormat/>
    <w:rsid w:val="006D57D6"/>
    <w:pPr>
      <w:tabs>
        <w:tab w:val="clear" w:pos="794"/>
        <w:tab w:val="clear" w:pos="1191"/>
        <w:tab w:val="clear" w:pos="1588"/>
        <w:tab w:val="clear" w:pos="1985"/>
      </w:tabs>
      <w:overflowPunct/>
      <w:autoSpaceDE/>
      <w:autoSpaceDN/>
      <w:adjustRightInd/>
      <w:jc w:val="left"/>
      <w:textAlignment w:val="auto"/>
    </w:pPr>
    <w:rPr>
      <w:szCs w:val="24"/>
      <w:lang w:eastAsia="ja-JP"/>
    </w:rPr>
  </w:style>
  <w:style w:type="paragraph" w:customStyle="1" w:styleId="VenueDate">
    <w:name w:val="VenueDate"/>
    <w:basedOn w:val="Normal"/>
    <w:qFormat/>
    <w:rsid w:val="006D57D6"/>
    <w:pPr>
      <w:tabs>
        <w:tab w:val="clear" w:pos="794"/>
        <w:tab w:val="clear" w:pos="1191"/>
        <w:tab w:val="clear" w:pos="1588"/>
        <w:tab w:val="clear" w:pos="1985"/>
      </w:tabs>
      <w:overflowPunct/>
      <w:autoSpaceDE/>
      <w:autoSpaceDN/>
      <w:adjustRightInd/>
      <w:jc w:val="right"/>
      <w:textAlignment w:val="auto"/>
    </w:pPr>
    <w:rPr>
      <w:szCs w:val="24"/>
      <w:lang w:eastAsia="ja-JP"/>
    </w:rPr>
  </w:style>
  <w:style w:type="paragraph" w:customStyle="1" w:styleId="TableNoTitle10pt">
    <w:name w:val="Table_NoTitle + 10 pt"/>
    <w:basedOn w:val="TableNoTitle"/>
    <w:rsid w:val="00AD4B70"/>
    <w:rPr>
      <w:sz w:val="20"/>
    </w:rPr>
  </w:style>
  <w:style w:type="paragraph" w:customStyle="1" w:styleId="hypt">
    <w:name w:val="hypt"/>
    <w:basedOn w:val="Tabletext"/>
    <w:rsid w:val="008A76DA"/>
    <w:rPr>
      <w:kern w:val="2"/>
      <w:szCs w:val="22"/>
      <w14:ligatures w14:val="standardContextual"/>
    </w:rPr>
  </w:style>
  <w:style w:type="paragraph" w:customStyle="1" w:styleId="Reasons">
    <w:name w:val="Reasons"/>
    <w:basedOn w:val="Normal"/>
    <w:qFormat/>
    <w:rsid w:val="008A76DA"/>
    <w:pPr>
      <w:tabs>
        <w:tab w:val="clear" w:pos="794"/>
        <w:tab w:val="clear" w:pos="1191"/>
        <w:tab w:val="clear" w:pos="1588"/>
        <w:tab w:val="clear" w:pos="1985"/>
      </w:tabs>
      <w:overflowPunct/>
      <w:autoSpaceDE/>
      <w:autoSpaceDN/>
      <w:adjustRightInd/>
      <w:spacing w:before="0"/>
      <w:jc w:val="left"/>
      <w:textAlignment w:val="auto"/>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internetsociety.org/issues/ixps/" TargetMode="External"/><Relationship Id="rId21" Type="http://schemas.openxmlformats.org/officeDocument/2006/relationships/image" Target="media/image4.png"/><Relationship Id="rId42" Type="http://schemas.openxmlformats.org/officeDocument/2006/relationships/hyperlink" Target="https://datahub.itu.int/data/?i=19255&amp;e=CUW" TargetMode="External"/><Relationship Id="rId47" Type="http://schemas.openxmlformats.org/officeDocument/2006/relationships/hyperlink" Target="https://datahub.itu.int/data/?i=19255&amp;e=NZL" TargetMode="External"/><Relationship Id="rId63" Type="http://schemas.openxmlformats.org/officeDocument/2006/relationships/hyperlink" Target="https://datahub.itu.int/data/?i=11902" TargetMode="External"/><Relationship Id="rId68" Type="http://schemas.openxmlformats.org/officeDocument/2006/relationships/hyperlink" Target="https://digitalregulation.org/the-infrastructure-sharing-imperative/" TargetMode="External"/><Relationship Id="rId16" Type="http://schemas.openxmlformats.org/officeDocument/2006/relationships/footer" Target="footer3.xml"/><Relationship Id="rId11" Type="http://schemas.openxmlformats.org/officeDocument/2006/relationships/footer" Target="footer1.xml"/><Relationship Id="rId32" Type="http://schemas.openxmlformats.org/officeDocument/2006/relationships/hyperlink" Target="https://peering.google.com/" TargetMode="External"/><Relationship Id="rId37" Type="http://schemas.openxmlformats.org/officeDocument/2006/relationships/hyperlink" Target="https://datahub.itu.int/data/?i=19255&amp;e=WLF" TargetMode="External"/><Relationship Id="rId53" Type="http://schemas.openxmlformats.org/officeDocument/2006/relationships/hyperlink" Target="https://datahub.itu.int/data/?i=19255&amp;e=IND" TargetMode="External"/><Relationship Id="rId58" Type="http://schemas.openxmlformats.org/officeDocument/2006/relationships/hyperlink" Target="https://www.itu.int/en/ITU-D/Statistics/Pages/publications/handbook.aspx" TargetMode="External"/><Relationship Id="rId74" Type="http://schemas.openxmlformats.org/officeDocument/2006/relationships/hyperlink" Target="https://link.springer.com/article/10.1007/s40821-022-00208-1" TargetMode="External"/><Relationship Id="rId79"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itu.int/en/ITU-D/Statistics/Documents/coreindicators/Core-List-of-Indicators_March2022.pdf" TargetMode="External"/><Relationship Id="rId19" Type="http://schemas.openxmlformats.org/officeDocument/2006/relationships/image" Target="media/image3.jpeg"/><Relationship Id="rId14" Type="http://schemas.openxmlformats.org/officeDocument/2006/relationships/header" Target="header3.xml"/><Relationship Id="rId22" Type="http://schemas.openxmlformats.org/officeDocument/2006/relationships/hyperlink" Target="https://payloadspace.com/2023-orbital-launches-by-country/" TargetMode="Externa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hyperlink" Target="https://he.net/ip_transit.html?gad_source=1&amp;gclid=CjwKCAjw5ImwBhBtEiwAFHDZx4lltUTLld48Qar42_nKpYs4EDZuVMjlRTv_Y5eAVth2zMN16RWkAhoCKCkQAvD_BwE" TargetMode="External"/><Relationship Id="rId43" Type="http://schemas.openxmlformats.org/officeDocument/2006/relationships/hyperlink" Target="https://datahub.itu.int/data/?i=19255&amp;e=LCA" TargetMode="External"/><Relationship Id="rId48" Type="http://schemas.openxmlformats.org/officeDocument/2006/relationships/hyperlink" Target="https://datahub.itu.int/data/?i=19255&amp;e=KEN" TargetMode="External"/><Relationship Id="rId56" Type="http://schemas.openxmlformats.org/officeDocument/2006/relationships/hyperlink" Target="https://datahub.itu.int/data/?i=19255&amp;e=SGP" TargetMode="External"/><Relationship Id="rId64" Type="http://schemas.openxmlformats.org/officeDocument/2006/relationships/hyperlink" Target="https://www.itu.int/rec/T-REC-D.52" TargetMode="External"/><Relationship Id="rId69" Type="http://schemas.openxmlformats.org/officeDocument/2006/relationships/hyperlink" Target="https://www.sciencedirect.com/science/article/pii/S0167718708001239" TargetMode="External"/><Relationship Id="rId77" Type="http://schemas.openxmlformats.org/officeDocument/2006/relationships/hyperlink" Target="https://extranet.itu.int/sites/itu-t/focusgroups/cd/input/Forms/06.aspx" TargetMode="External"/><Relationship Id="rId8" Type="http://schemas.openxmlformats.org/officeDocument/2006/relationships/image" Target="media/image1.png"/><Relationship Id="rId51" Type="http://schemas.openxmlformats.org/officeDocument/2006/relationships/hyperlink" Target="https://datahub.itu.int/data/?i=19255&amp;e=MYS" TargetMode="External"/><Relationship Id="rId72" Type="http://schemas.openxmlformats.org/officeDocument/2006/relationships/hyperlink" Target="https://ideas.repec.org/p/zbw/itse16/148705.html"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tsbfgcd@itu.int" TargetMode="External"/><Relationship Id="rId17" Type="http://schemas.openxmlformats.org/officeDocument/2006/relationships/image" Target="media/image2.jpeg"/><Relationship Id="rId25" Type="http://schemas.openxmlformats.org/officeDocument/2006/relationships/hyperlink" Target="https://www.euro-ix.net/en/about-us/" TargetMode="External"/><Relationship Id="rId33" Type="http://schemas.openxmlformats.org/officeDocument/2006/relationships/hyperlink" Target="https://www.peeringdb.com/asn/15169" TargetMode="External"/><Relationship Id="rId38" Type="http://schemas.openxmlformats.org/officeDocument/2006/relationships/hyperlink" Target="https://datahub.itu.int/data/?i=19255&amp;e=ASC" TargetMode="External"/><Relationship Id="rId46" Type="http://schemas.openxmlformats.org/officeDocument/2006/relationships/hyperlink" Target="https://datahub.itu.int/data/?i=19255&amp;e=SSD" TargetMode="External"/><Relationship Id="rId59" Type="http://schemas.openxmlformats.org/officeDocument/2006/relationships/hyperlink" Target="https://datahub.itu.int/data/?i=242&amp;u=per+Internet+user" TargetMode="External"/><Relationship Id="rId67" Type="http://schemas.openxmlformats.org/officeDocument/2006/relationships/hyperlink" Target="https://www.itu.int/hub/publication/d-stg-sg01-04-2-2021/" TargetMode="External"/><Relationship Id="rId20" Type="http://schemas.openxmlformats.org/officeDocument/2006/relationships/hyperlink" Target="https://sia.org/satellites-services/broadband-connectivity" TargetMode="External"/><Relationship Id="rId41" Type="http://schemas.openxmlformats.org/officeDocument/2006/relationships/hyperlink" Target="https://datahub.itu.int/data/?i=19255&amp;e=WSM" TargetMode="External"/><Relationship Id="rId54" Type="http://schemas.openxmlformats.org/officeDocument/2006/relationships/hyperlink" Target="https://datahub.itu.int/data/?i=19255&amp;e=CHN" TargetMode="External"/><Relationship Id="rId62" Type="http://schemas.openxmlformats.org/officeDocument/2006/relationships/hyperlink" Target="https://datahub.itu.int/data/?i=20369&amp;d=Markets" TargetMode="External"/><Relationship Id="rId70" Type="http://schemas.openxmlformats.org/officeDocument/2006/relationships/hyperlink" Target="http://www.sciencedirect.com/science/article/pii/S0925527313003812" TargetMode="External"/><Relationship Id="rId75" Type="http://schemas.openxmlformats.org/officeDocument/2006/relationships/hyperlink" Target="https://extranet.itu.int/sites/itu-t/focusgroups/cd/input/Forms/06.asp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eswatini.net/" TargetMode="External"/><Relationship Id="rId28" Type="http://schemas.openxmlformats.org/officeDocument/2006/relationships/image" Target="media/image6.png"/><Relationship Id="rId36" Type="http://schemas.openxmlformats.org/officeDocument/2006/relationships/hyperlink" Target="https://he.net/cgi-bin/ip_transit_quote" TargetMode="External"/><Relationship Id="rId49" Type="http://schemas.openxmlformats.org/officeDocument/2006/relationships/hyperlink" Target="https://datahub.itu.int/data/?i=19255&amp;e=IDN" TargetMode="External"/><Relationship Id="rId57" Type="http://schemas.openxmlformats.org/officeDocument/2006/relationships/hyperlink" Target="https://datahub.itu.int/data/?i=19255" TargetMode="External"/><Relationship Id="rId10" Type="http://schemas.openxmlformats.org/officeDocument/2006/relationships/header" Target="header2.xml"/><Relationship Id="rId31" Type="http://schemas.openxmlformats.org/officeDocument/2006/relationships/hyperlink" Target="https://www2.telegeography.com/global-bandwidth-research-service" TargetMode="External"/><Relationship Id="rId44" Type="http://schemas.openxmlformats.org/officeDocument/2006/relationships/hyperlink" Target="https://datahub.itu.int/data/?i=19255&amp;e=COK" TargetMode="External"/><Relationship Id="rId52" Type="http://schemas.openxmlformats.org/officeDocument/2006/relationships/hyperlink" Target="https://datahub.itu.int/data/?i=19255&amp;e=TWN" TargetMode="External"/><Relationship Id="rId60" Type="http://schemas.openxmlformats.org/officeDocument/2006/relationships/hyperlink" Target="https://datahub.itu.int/data/?i=242&amp;u=per+fixed+broadband+subscriptions" TargetMode="External"/><Relationship Id="rId65" Type="http://schemas.openxmlformats.org/officeDocument/2006/relationships/hyperlink" Target="https://documents1.worldbank.org/curated/en/099063023160023332/pdf/P1761460fac12e0b09cb90f26880158a4f.pdf" TargetMode="External"/><Relationship Id="rId73" Type="http://schemas.openxmlformats.org/officeDocument/2006/relationships/hyperlink" Target="https://ideas.repec.org/s/zbw/itse16.html" TargetMode="External"/><Relationship Id="rId78" Type="http://schemas.openxmlformats.org/officeDocument/2006/relationships/hyperlink" Target="https://extranet.itu.int/sites/itu-t/focusgroups/cd/input/Forms/06.aspx"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mailto:emanuele.giovannetti@aru.ac.uk" TargetMode="External"/><Relationship Id="rId18" Type="http://schemas.openxmlformats.org/officeDocument/2006/relationships/hyperlink" Target="https://sia.org/satellites-services/broadband-connectivity/" TargetMode="External"/><Relationship Id="rId39" Type="http://schemas.openxmlformats.org/officeDocument/2006/relationships/hyperlink" Target="https://datahub.itu.int/data/?i=19255&amp;e=SHN" TargetMode="External"/><Relationship Id="rId34" Type="http://schemas.openxmlformats.org/officeDocument/2006/relationships/hyperlink" Target="https://datahub.itu.int/data/?i=11893" TargetMode="External"/><Relationship Id="rId50" Type="http://schemas.openxmlformats.org/officeDocument/2006/relationships/hyperlink" Target="https://datahub.itu.int/data/?i=19255&amp;e=LUX" TargetMode="External"/><Relationship Id="rId55" Type="http://schemas.openxmlformats.org/officeDocument/2006/relationships/hyperlink" Target="https://datahub.itu.int/data/?i=19255&amp;e=HKG" TargetMode="External"/><Relationship Id="rId76" Type="http://schemas.openxmlformats.org/officeDocument/2006/relationships/hyperlink" Target="https://extranet.itu.int/sites/itu-t/focusgroups/cd/input/Forms/06.aspx" TargetMode="External"/><Relationship Id="rId7" Type="http://schemas.openxmlformats.org/officeDocument/2006/relationships/endnotes" Target="endnotes.xml"/><Relationship Id="rId71" Type="http://schemas.openxmlformats.org/officeDocument/2006/relationships/hyperlink" Target="http://www.sciencedirect.com/science/journal/03085961/39/7" TargetMode="External"/><Relationship Id="rId2" Type="http://schemas.openxmlformats.org/officeDocument/2006/relationships/numbering" Target="numbering.xml"/><Relationship Id="rId29" Type="http://schemas.openxmlformats.org/officeDocument/2006/relationships/hyperlink" Target="https://datahub.itu.int/data/?i=11901" TargetMode="External"/><Relationship Id="rId24" Type="http://schemas.openxmlformats.org/officeDocument/2006/relationships/hyperlink" Target="https://www.peeringdb.com/" TargetMode="External"/><Relationship Id="rId40" Type="http://schemas.openxmlformats.org/officeDocument/2006/relationships/hyperlink" Target="https://datahub.itu.int/data/?i=19255&amp;e=VCT" TargetMode="External"/><Relationship Id="rId45" Type="http://schemas.openxmlformats.org/officeDocument/2006/relationships/hyperlink" Target="https://datahub.itu.int/data/?i=19255&amp;e=CAF" TargetMode="External"/><Relationship Id="rId66" Type="http://schemas.openxmlformats.org/officeDocument/2006/relationships/hyperlink" Target="https://www.itu.int/en/myitu/Publications/2020/12/16/09/24/Last-mile-Internet-Connectivity-Solutions-Guide-202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efence-industry-space.ec.europa.eu/eu-space/iris2-secure-connectivity_en?utm_source=chatgpt.com" TargetMode="External"/><Relationship Id="rId13" Type="http://schemas.openxmlformats.org/officeDocument/2006/relationships/hyperlink" Target="https://eur03.safelinks.protection.outlook.com/?url=https%3A%2F%2Fpeering.google.com%2F%23%2Foptions%2Fpeering&amp;data=05%7C02%7Cvalentina.baldassarre%40itu.int%7C7c934ba974e24ea981eb08df0510256e%7C23e464d704e64b87913c24bd89219fd3%7C0%7C0%7C639235239050966930%7CUnknown%7CTWFpbGZsb3d8eyJFbXB0eU1hcGkiOnRydWUsIlYiOiIwLjAuMDAwMCIsIlAiOiJXaW4zMiIsIkFOIjoiTWFpbCIsIldUIjoyfQ%3D%3D%7C0%7C%7C%7C&amp;sdata=zsgkfD0Wbv06JVNIwnTB0hc9qpy5sGayWUpFb64KTtQ%3D&amp;reserved=0" TargetMode="External"/><Relationship Id="rId3" Type="http://schemas.openxmlformats.org/officeDocument/2006/relationships/hyperlink" Target="https://www.ofcom.org.uk/siteassets/resources/documents/consultations/uncategorised/8036-cost-orientation/summary/cost_orientation.pdf?v=333902" TargetMode="External"/><Relationship Id="rId7" Type="http://schemas.openxmlformats.org/officeDocument/2006/relationships/hyperlink" Target="https://restofworld.org/2025/starlink-cheaper-internet-africa/" TargetMode="External"/><Relationship Id="rId12" Type="http://schemas.openxmlformats.org/officeDocument/2006/relationships/hyperlink" Target="https://www.caida.org/" TargetMode="External"/><Relationship Id="rId2" Type="http://schemas.openxmlformats.org/officeDocument/2006/relationships/hyperlink" Target="https://digitalregulation.org/the-infrastructure-sharing-imperative/" TargetMode="External"/><Relationship Id="rId16" Type="http://schemas.openxmlformats.org/officeDocument/2006/relationships/hyperlink" Target="https://open-fibre-data-standard.readthedocs.io/en/latest/" TargetMode="External"/><Relationship Id="rId1" Type="http://schemas.openxmlformats.org/officeDocument/2006/relationships/hyperlink" Target="https://www.itu.int/dms_pub/itu-d/opb/stg/D-STG-SG01.04_CST_MOD-2021-PDF-E.pdf" TargetMode="External"/><Relationship Id="rId6" Type="http://schemas.openxmlformats.org/officeDocument/2006/relationships/hyperlink" Target="https://www.afpif.org/2016/08/why-more-is-better-when-it-comes-to-subsea-cables-and-africa/" TargetMode="External"/><Relationship Id="rId11" Type="http://schemas.openxmlformats.org/officeDocument/2006/relationships/hyperlink" Target="https://digital-markets-act.ec.europa.eu/index_en" TargetMode="External"/><Relationship Id="rId5" Type="http://schemas.openxmlformats.org/officeDocument/2006/relationships/hyperlink" Target="https://digitalregulation.org/the-evolving-internet-value-chain/" TargetMode="External"/><Relationship Id="rId15" Type="http://schemas.openxmlformats.org/officeDocument/2006/relationships/hyperlink" Target="https://github.com/Open-Telecoms-Data/open-fibre-data-standard" TargetMode="External"/><Relationship Id="rId10" Type="http://schemas.openxmlformats.org/officeDocument/2006/relationships/hyperlink" Target="https://ixpdb.euro-ix.net/en/explore/ixps/?reverse=&amp;sort=name&amp;q=&amp;region=2" TargetMode="External"/><Relationship Id="rId4" Type="http://schemas.openxmlformats.org/officeDocument/2006/relationships/hyperlink" Target="https://www.ericsson.com/en/network-slicing" TargetMode="External"/><Relationship Id="rId9" Type="http://schemas.openxmlformats.org/officeDocument/2006/relationships/hyperlink" Target="https://www.internetsociety.org/resources/doc/2021/moving-toward-an-interconnected-africa-the-80-20-initiative/" TargetMode="External"/><Relationship Id="rId14" Type="http://schemas.openxmlformats.org/officeDocument/2006/relationships/hyperlink" Target="https://www.itu.int/en/ITU-D/Statistics/Documents/facts/FactsFigures202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alano\AppData\Roaming\Microsoft\Templates\TSB%20PUBL\T-REC-FINAL-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B0717-3DE3-4938-A472-385391C5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T-REC-FINAL-E.dotm</Template>
  <TotalTime>529</TotalTime>
  <Pages>37</Pages>
  <Words>13328</Words>
  <Characters>77571</Characters>
  <Application>Microsoft Office Word</Application>
  <DocSecurity>0</DocSecurity>
  <Lines>1891</Lines>
  <Paragraphs>1044</Paragraphs>
  <ScaleCrop>false</ScaleCrop>
  <HeadingPairs>
    <vt:vector size="2" baseType="variant">
      <vt:variant>
        <vt:lpstr>Title</vt:lpstr>
      </vt:variant>
      <vt:variant>
        <vt:i4>1</vt:i4>
      </vt:variant>
    </vt:vector>
  </HeadingPairs>
  <TitlesOfParts>
    <vt:vector size="1" baseType="lpstr">
      <vt:lpstr>ITU-T Focus Group Technical Report (07/2026) – Terminology and Taxonomy for International Internet Connectivity</vt:lpstr>
    </vt:vector>
  </TitlesOfParts>
  <Company>ITU</Company>
  <LinksUpToDate>false</LinksUpToDate>
  <CharactersWithSpaces>89855</CharactersWithSpaces>
  <SharedDoc>false</SharedDoc>
  <HLinks>
    <vt:vector size="6" baseType="variant">
      <vt:variant>
        <vt:i4>5832781</vt:i4>
      </vt:variant>
      <vt:variant>
        <vt:i4>0</vt:i4>
      </vt:variant>
      <vt:variant>
        <vt:i4>0</vt:i4>
      </vt:variant>
      <vt:variant>
        <vt:i4>5</vt:i4>
      </vt:variant>
      <vt:variant>
        <vt:lpwstr>http://www.itu.int/ITU-T/ipr/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ITU-T Focus Group Technical Report (10/2025) – Terminology and Taxonomy for International Internet Connectivity</dc:title>
  <dc:creator>Gachet, Christelle</dc:creator>
  <cp:keywords>Activity-based costing (ABC), affordable data services, FAC/FDC (fully allocated cost/fully distributed cost), infrastructure sharing, interconnection; life-cycle costing (LCC), long-run average incremental cost (LRAIC), long-run incremental cost (LRIC), LRIC-plus (LRIC+), reference interconnection offer (RIO), retail-minus, scorched-node, spectrum policy, total service LRIC (TSLRIC/TSLRIC+), weighted average cost of capital (WACC), IP transit, last mile, first mile, Internet supply chain, middle mile, international mile, international transit, bandwidth costs, peering costs, donut peering, Internet exchange point (IXP), submarine cable, satellite broadband, spectrum refarming.</cp:keywords>
  <cp:lastModifiedBy>TSB(AC)</cp:lastModifiedBy>
  <cp:revision>98</cp:revision>
  <cp:lastPrinted>2026-09-02T09:14:00Z</cp:lastPrinted>
  <dcterms:created xsi:type="dcterms:W3CDTF">2026-09-01T09:35:00Z</dcterms:created>
  <dcterms:modified xsi:type="dcterms:W3CDTF">2026-09-07T15:56:00Z</dcterms:modified>
  <cp:category>FG-CD-D6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QpubMacros.dot</vt:lpwstr>
  </property>
  <property fmtid="{D5CDD505-2E9C-101B-9397-08002B2CF9AE}" pid="3" name="docdate">
    <vt:lpwstr>QPubMacros.dot</vt:lpwstr>
  </property>
  <property fmtid="{D5CDD505-2E9C-101B-9397-08002B2CF9AE}" pid="4" name="doctitle">
    <vt:lpwstr>QPubMacros.dot</vt:lpwstr>
  </property>
  <property fmtid="{D5CDD505-2E9C-101B-9397-08002B2CF9AE}" pid="5" name="doctitle2">
    <vt:lpwstr>QPubMacros.dot</vt:lpwstr>
  </property>
</Properties>
</file>