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AB2B91" w:rsidRPr="00CA2A7A" w14:paraId="4DCE8E9A" w14:textId="77777777" w:rsidTr="00E01045">
        <w:trPr>
          <w:trHeight w:hRule="exact" w:val="992"/>
        </w:trPr>
        <w:tc>
          <w:tcPr>
            <w:tcW w:w="5070" w:type="dxa"/>
            <w:gridSpan w:val="2"/>
          </w:tcPr>
          <w:bookmarkStart w:id="0" w:name="_Hlk141258420"/>
          <w:bookmarkStart w:id="1" w:name="_Toc44995568"/>
          <w:p w14:paraId="1EDE37A2" w14:textId="77777777" w:rsidR="00AB2B91" w:rsidRPr="00CA2A7A" w:rsidRDefault="00AB2B91" w:rsidP="00B25994">
            <w:pPr>
              <w:spacing w:before="0"/>
              <w:rPr>
                <w:rFonts w:ascii="Arial" w:hAnsi="Arial" w:cs="Arial"/>
              </w:rPr>
            </w:pPr>
            <w:r w:rsidRPr="00CA2A7A">
              <w:rPr>
                <w:rFonts w:ascii="Arial" w:hAnsi="Arial" w:cs="Arial"/>
                <w:noProof/>
              </w:rPr>
              <mc:AlternateContent>
                <mc:Choice Requires="wpg">
                  <w:drawing>
                    <wp:anchor distT="0" distB="0" distL="114300" distR="114300" simplePos="0" relativeHeight="251660288" behindDoc="1" locked="0" layoutInCell="1" allowOverlap="1" wp14:anchorId="61BCD939" wp14:editId="0CB8455A">
                      <wp:simplePos x="0" y="0"/>
                      <wp:positionH relativeFrom="page">
                        <wp:posOffset>-381000</wp:posOffset>
                      </wp:positionH>
                      <wp:positionV relativeFrom="page">
                        <wp:posOffset>317500</wp:posOffset>
                      </wp:positionV>
                      <wp:extent cx="7772400" cy="229870"/>
                      <wp:effectExtent l="0" t="5080" r="0" b="3175"/>
                      <wp:wrapNone/>
                      <wp:docPr id="179779704" name="Group 1797797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598738991" name="docshape8">
                                <a:extLst>
                                  <a:ext uri="{C183D7F6-B498-43B3-948B-1728B52AA6E4}">
                                    <adec:decorative xmlns:adec="http://schemas.microsoft.com/office/drawing/2017/decorative" val="1"/>
                                  </a:ext>
                                </a:extLst>
                              </wps:cNvPr>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449914" name="docshape9"/>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1E38BF" id="Group 179779704" o:spid="_x0000_s1026" alt="&quot;&quot;" style="position:absolute;margin-left:-30pt;margin-top:25pt;width:612pt;height:18.1pt;z-index:-251656192;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">
                      <v:rect id="docshape8" o:spid="_x0000_s1027" alt="&quot;&quot;"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" path="m627,l,,314,313,627,xe" stroked="f">
                        <v:path arrowok="t" o:connecttype="custom" o:connectlocs="627,1784;0,1784;314,2097;627,1784" o:connectangles="0,0,0,0"/>
                      </v:shape>
                      <w10:wrap anchorx="page" anchory="page"/>
                    </v:group>
                  </w:pict>
                </mc:Fallback>
              </mc:AlternateContent>
            </w:r>
          </w:p>
        </w:tc>
        <w:tc>
          <w:tcPr>
            <w:tcW w:w="5670" w:type="dxa"/>
          </w:tcPr>
          <w:p w14:paraId="4E091745" w14:textId="77777777" w:rsidR="00AB2B91" w:rsidRPr="00CA2A7A" w:rsidRDefault="00AB2B91" w:rsidP="00B25994">
            <w:pPr>
              <w:spacing w:before="0"/>
              <w:jc w:val="right"/>
              <w:rPr>
                <w:rFonts w:ascii="Arial" w:hAnsi="Arial" w:cs="Arial"/>
              </w:rPr>
            </w:pPr>
            <w:r w:rsidRPr="00CA2A7A">
              <w:rPr>
                <w:rFonts w:ascii="Arial" w:hAnsi="Arial" w:cs="Arial"/>
              </w:rPr>
              <w:t>Standardization Sector</w:t>
            </w:r>
          </w:p>
        </w:tc>
      </w:tr>
      <w:tr w:rsidR="00AB2B91" w:rsidRPr="00CA2A7A" w14:paraId="56499218" w14:textId="77777777" w:rsidTr="00E01045">
        <w:tblPrEx>
          <w:tblCellMar>
            <w:left w:w="85" w:type="dxa"/>
            <w:right w:w="85" w:type="dxa"/>
          </w:tblCellMar>
        </w:tblPrEx>
        <w:trPr>
          <w:gridBefore w:val="1"/>
          <w:wBefore w:w="817" w:type="dxa"/>
          <w:trHeight w:val="709"/>
        </w:trPr>
        <w:tc>
          <w:tcPr>
            <w:tcW w:w="9923" w:type="dxa"/>
            <w:gridSpan w:val="2"/>
          </w:tcPr>
          <w:p w14:paraId="0841904D" w14:textId="77777777" w:rsidR="00AB2B91" w:rsidRPr="00CA2A7A" w:rsidRDefault="00AB2B91" w:rsidP="00B25994">
            <w:pPr>
              <w:widowControl w:val="0"/>
              <w:spacing w:before="440"/>
              <w:rPr>
                <w:rFonts w:ascii="Arial" w:eastAsia="Avenir Next W1G Medium" w:hAnsi="Arial" w:cs="Arial"/>
                <w:b/>
                <w:bCs/>
                <w:spacing w:val="-6"/>
                <w:sz w:val="44"/>
                <w:szCs w:val="44"/>
              </w:rPr>
            </w:pPr>
            <w:bookmarkStart w:id="2" w:name="dnume"/>
            <w:bookmarkStart w:id="3" w:name="OLE_LINK25"/>
            <w:bookmarkStart w:id="4" w:name="_Hlk145698831"/>
            <w:bookmarkEnd w:id="0"/>
            <w:r w:rsidRPr="00CA2A7A">
              <w:rPr>
                <w:rFonts w:ascii="Arial" w:eastAsia="Avenir Next W1G Medium" w:hAnsi="Arial" w:cs="Arial"/>
                <w:b/>
                <w:bCs/>
                <w:spacing w:val="-6"/>
                <w:sz w:val="44"/>
                <w:szCs w:val="44"/>
              </w:rPr>
              <w:t>ITU Focus Group Technical Report</w:t>
            </w:r>
          </w:p>
        </w:tc>
      </w:tr>
      <w:tr w:rsidR="00AB2B91" w:rsidRPr="00CA2A7A" w14:paraId="5FDD2863" w14:textId="77777777" w:rsidTr="00E01045">
        <w:tblPrEx>
          <w:tblCellMar>
            <w:left w:w="85" w:type="dxa"/>
            <w:right w:w="85" w:type="dxa"/>
          </w:tblCellMar>
        </w:tblPrEx>
        <w:trPr>
          <w:gridBefore w:val="1"/>
          <w:wBefore w:w="817" w:type="dxa"/>
          <w:trHeight w:val="129"/>
        </w:trPr>
        <w:tc>
          <w:tcPr>
            <w:tcW w:w="9923" w:type="dxa"/>
            <w:gridSpan w:val="2"/>
          </w:tcPr>
          <w:p w14:paraId="5F767E6E" w14:textId="77777777" w:rsidR="00AB2B91" w:rsidRPr="00CA2A7A" w:rsidRDefault="00AB2B91" w:rsidP="00B25994">
            <w:pPr>
              <w:widowControl w:val="0"/>
              <w:spacing w:after="240"/>
              <w:jc w:val="right"/>
              <w:rPr>
                <w:rFonts w:ascii="Arial" w:eastAsia="Avenir Next W1G Medium" w:hAnsi="Arial" w:cs="Arial"/>
                <w:b/>
                <w:bCs/>
                <w:spacing w:val="-6"/>
                <w:sz w:val="28"/>
                <w:szCs w:val="28"/>
              </w:rPr>
            </w:pPr>
            <w:bookmarkStart w:id="5" w:name="dnume2"/>
            <w:bookmarkEnd w:id="2"/>
            <w:bookmarkEnd w:id="3"/>
            <w:r w:rsidRPr="00CA2A7A">
              <w:rPr>
                <w:rFonts w:ascii="Arial" w:eastAsia="Avenir Next W1G Medium" w:hAnsi="Arial" w:cs="Arial"/>
                <w:b/>
                <w:bCs/>
                <w:spacing w:val="-6"/>
                <w:sz w:val="28"/>
                <w:szCs w:val="28"/>
              </w:rPr>
              <w:t>(</w:t>
            </w:r>
            <w:r>
              <w:rPr>
                <w:rFonts w:ascii="Arial" w:eastAsia="Avenir Next W1G Medium" w:hAnsi="Arial" w:cs="Arial"/>
                <w:b/>
                <w:bCs/>
                <w:spacing w:val="-6"/>
                <w:sz w:val="28"/>
                <w:szCs w:val="28"/>
              </w:rPr>
              <w:t>10</w:t>
            </w:r>
            <w:r w:rsidRPr="00CA2A7A">
              <w:rPr>
                <w:rFonts w:ascii="Arial" w:eastAsia="Avenir Next W1G Medium" w:hAnsi="Arial" w:cs="Arial"/>
                <w:b/>
                <w:bCs/>
                <w:spacing w:val="-6"/>
                <w:sz w:val="28"/>
                <w:szCs w:val="28"/>
              </w:rPr>
              <w:t>/202</w:t>
            </w:r>
            <w:r>
              <w:rPr>
                <w:rFonts w:ascii="Arial" w:eastAsia="Avenir Next W1G Medium" w:hAnsi="Arial" w:cs="Arial"/>
                <w:b/>
                <w:bCs/>
                <w:spacing w:val="-6"/>
                <w:sz w:val="28"/>
                <w:szCs w:val="28"/>
              </w:rPr>
              <w:t>5</w:t>
            </w:r>
            <w:r w:rsidRPr="00CA2A7A">
              <w:rPr>
                <w:rFonts w:ascii="Arial" w:eastAsia="Avenir Next W1G Medium" w:hAnsi="Arial" w:cs="Arial"/>
                <w:b/>
                <w:bCs/>
                <w:spacing w:val="-6"/>
                <w:sz w:val="28"/>
                <w:szCs w:val="28"/>
              </w:rPr>
              <w:t>)</w:t>
            </w:r>
          </w:p>
        </w:tc>
      </w:tr>
      <w:tr w:rsidR="00AB2B91" w:rsidRPr="00CA2A7A" w14:paraId="4BB4D20D" w14:textId="77777777" w:rsidTr="00E01045">
        <w:trPr>
          <w:trHeight w:val="80"/>
        </w:trPr>
        <w:tc>
          <w:tcPr>
            <w:tcW w:w="817" w:type="dxa"/>
          </w:tcPr>
          <w:p w14:paraId="4263436B" w14:textId="77777777" w:rsidR="00AB2B91" w:rsidRPr="00CA2A7A" w:rsidRDefault="00AB2B91" w:rsidP="00B25994">
            <w:pPr>
              <w:tabs>
                <w:tab w:val="right" w:pos="9639"/>
              </w:tabs>
              <w:rPr>
                <w:rFonts w:ascii="Arial" w:hAnsi="Arial" w:cs="Arial"/>
                <w:sz w:val="18"/>
              </w:rPr>
            </w:pPr>
            <w:bookmarkStart w:id="6" w:name="dsece" w:colFirst="1" w:colLast="1"/>
            <w:bookmarkStart w:id="7" w:name="OLE_LINK21"/>
            <w:bookmarkStart w:id="8" w:name="OLE_LINK22"/>
            <w:bookmarkEnd w:id="5"/>
          </w:p>
        </w:tc>
        <w:tc>
          <w:tcPr>
            <w:tcW w:w="9923" w:type="dxa"/>
            <w:gridSpan w:val="2"/>
            <w:tcBorders>
              <w:bottom w:val="single" w:sz="8" w:space="0" w:color="auto"/>
            </w:tcBorders>
          </w:tcPr>
          <w:p w14:paraId="0435B4CF" w14:textId="4B24DBCE" w:rsidR="00E01045" w:rsidRDefault="00AB2B91" w:rsidP="00195888">
            <w:pPr>
              <w:widowControl w:val="0"/>
              <w:spacing w:before="276" w:after="120" w:line="175" w:lineRule="auto"/>
              <w:jc w:val="left"/>
              <w:rPr>
                <w:rFonts w:ascii="Arial" w:hAnsi="Arial" w:cs="Arial"/>
                <w:sz w:val="44"/>
                <w:szCs w:val="44"/>
              </w:rPr>
            </w:pPr>
            <w:r w:rsidRPr="00E01045">
              <w:rPr>
                <w:rFonts w:ascii="Arial" w:hAnsi="Arial" w:cs="Arial"/>
                <w:sz w:val="44"/>
                <w:szCs w:val="44"/>
              </w:rPr>
              <w:t xml:space="preserve">ITU Focus Group </w:t>
            </w:r>
            <w:r w:rsidR="00195888">
              <w:rPr>
                <w:rFonts w:ascii="Arial" w:hAnsi="Arial" w:cs="Arial"/>
                <w:sz w:val="44"/>
                <w:szCs w:val="44"/>
              </w:rPr>
              <w:t xml:space="preserve">on </w:t>
            </w:r>
            <w:r w:rsidRPr="00E01045">
              <w:rPr>
                <w:rFonts w:ascii="Arial" w:hAnsi="Arial" w:cs="Arial"/>
                <w:sz w:val="44"/>
                <w:szCs w:val="44"/>
              </w:rPr>
              <w:t>cost models for affordable data services</w:t>
            </w:r>
          </w:p>
          <w:p w14:paraId="234290AC" w14:textId="704B6358" w:rsidR="00FE2C4C" w:rsidRPr="00E01045" w:rsidRDefault="00FE2C4C" w:rsidP="00195888">
            <w:pPr>
              <w:widowControl w:val="0"/>
              <w:spacing w:before="276" w:after="120" w:line="175" w:lineRule="auto"/>
              <w:jc w:val="left"/>
              <w:rPr>
                <w:rFonts w:ascii="Arial" w:hAnsi="Arial" w:cs="Arial"/>
                <w:sz w:val="44"/>
                <w:szCs w:val="44"/>
              </w:rPr>
            </w:pPr>
          </w:p>
        </w:tc>
      </w:tr>
      <w:tr w:rsidR="00AB2B91" w:rsidRPr="00CA2A7A" w14:paraId="41CCE642" w14:textId="77777777" w:rsidTr="00E01045">
        <w:trPr>
          <w:trHeight w:val="743"/>
        </w:trPr>
        <w:tc>
          <w:tcPr>
            <w:tcW w:w="817" w:type="dxa"/>
          </w:tcPr>
          <w:p w14:paraId="72EB2612" w14:textId="77777777" w:rsidR="00AB2B91" w:rsidRPr="00CA2A7A" w:rsidRDefault="00AB2B91" w:rsidP="00B25994">
            <w:pPr>
              <w:tabs>
                <w:tab w:val="right" w:pos="9639"/>
              </w:tabs>
              <w:rPr>
                <w:rFonts w:ascii="Arial" w:hAnsi="Arial" w:cs="Arial"/>
                <w:sz w:val="48"/>
                <w:szCs w:val="48"/>
              </w:rPr>
            </w:pPr>
            <w:bookmarkStart w:id="9" w:name="c1tite" w:colFirst="1" w:colLast="1"/>
            <w:bookmarkEnd w:id="6"/>
          </w:p>
        </w:tc>
        <w:tc>
          <w:tcPr>
            <w:tcW w:w="9923" w:type="dxa"/>
            <w:gridSpan w:val="2"/>
            <w:tcBorders>
              <w:top w:val="single" w:sz="8" w:space="0" w:color="auto"/>
            </w:tcBorders>
          </w:tcPr>
          <w:p w14:paraId="62329391" w14:textId="6DB84AE6" w:rsidR="00AB2B91" w:rsidRPr="00B3374F" w:rsidRDefault="00AB2B91" w:rsidP="00195888">
            <w:pPr>
              <w:widowControl w:val="0"/>
              <w:overflowPunct/>
              <w:autoSpaceDE/>
              <w:autoSpaceDN/>
              <w:adjustRightInd/>
              <w:spacing w:before="440" w:after="160" w:line="278" w:lineRule="auto"/>
              <w:jc w:val="left"/>
              <w:textAlignment w:val="auto"/>
              <w:rPr>
                <w:rFonts w:ascii="Arial" w:eastAsia="Avenir Next W1G Medium" w:hAnsi="Arial" w:cs="Arial"/>
                <w:b/>
                <w:bCs/>
                <w:spacing w:val="-6"/>
                <w:kern w:val="2"/>
                <w:sz w:val="44"/>
                <w:szCs w:val="44"/>
                <w14:ligatures w14:val="standardContextual"/>
              </w:rPr>
            </w:pPr>
            <w:bookmarkStart w:id="10" w:name="_Hlk210248580"/>
            <w:r w:rsidRPr="00B3374F">
              <w:rPr>
                <w:rFonts w:ascii="Arial" w:eastAsia="Avenir Next W1G Medium" w:hAnsi="Arial" w:cs="Arial"/>
                <w:b/>
                <w:bCs/>
                <w:spacing w:val="-6"/>
                <w:kern w:val="2"/>
                <w:sz w:val="44"/>
                <w:szCs w:val="44"/>
                <w14:ligatures w14:val="standardContextual"/>
              </w:rPr>
              <w:t xml:space="preserve">Supply chain of telecom/ICT infrastructure related to international </w:t>
            </w:r>
            <w:r w:rsidR="007020CE" w:rsidRPr="00B3374F">
              <w:rPr>
                <w:rFonts w:ascii="Arial" w:eastAsia="Avenir Next W1G Medium" w:hAnsi="Arial" w:cs="Arial"/>
                <w:b/>
                <w:bCs/>
                <w:spacing w:val="-6"/>
                <w:kern w:val="2"/>
                <w:sz w:val="44"/>
                <w:szCs w:val="44"/>
                <w14:ligatures w14:val="standardContextual"/>
              </w:rPr>
              <w:t xml:space="preserve">Internet </w:t>
            </w:r>
            <w:r w:rsidRPr="00B3374F">
              <w:rPr>
                <w:rFonts w:ascii="Arial" w:eastAsia="Avenir Next W1G Medium" w:hAnsi="Arial" w:cs="Arial"/>
                <w:b/>
                <w:bCs/>
                <w:spacing w:val="-6"/>
                <w:kern w:val="2"/>
                <w:sz w:val="44"/>
                <w:szCs w:val="44"/>
                <w14:ligatures w14:val="standardContextual"/>
              </w:rPr>
              <w:t>connectivity costs enabling affordable data services</w:t>
            </w:r>
          </w:p>
          <w:bookmarkEnd w:id="10"/>
          <w:p w14:paraId="70713360" w14:textId="2CCEB21F" w:rsidR="00AB2B91" w:rsidRPr="00CA2A7A" w:rsidRDefault="00AB2B91" w:rsidP="00195888">
            <w:pPr>
              <w:widowControl w:val="0"/>
              <w:spacing w:before="440"/>
              <w:jc w:val="left"/>
              <w:rPr>
                <w:rFonts w:ascii="Arial" w:eastAsia="Avenir Next W1G Medium" w:hAnsi="Arial" w:cs="Arial"/>
                <w:spacing w:val="-6"/>
                <w:sz w:val="44"/>
                <w:szCs w:val="44"/>
              </w:rPr>
            </w:pPr>
            <w:r w:rsidRPr="00CA2A7A">
              <w:rPr>
                <w:rFonts w:ascii="Arial" w:eastAsia="Avenir Next W1G Medium" w:hAnsi="Arial" w:cs="Arial"/>
                <w:i/>
                <w:iCs/>
                <w:spacing w:val="-6"/>
                <w:sz w:val="44"/>
                <w:szCs w:val="44"/>
              </w:rPr>
              <w:t xml:space="preserve">Working Group </w:t>
            </w:r>
            <w:r>
              <w:rPr>
                <w:rFonts w:ascii="Arial" w:eastAsia="Avenir Next W1G Medium" w:hAnsi="Arial" w:cs="Arial"/>
                <w:i/>
                <w:iCs/>
                <w:spacing w:val="-6"/>
                <w:sz w:val="44"/>
                <w:szCs w:val="44"/>
              </w:rPr>
              <w:t>2</w:t>
            </w:r>
            <w:r w:rsidRPr="00CA2A7A">
              <w:rPr>
                <w:rFonts w:ascii="Arial" w:eastAsia="Avenir Next W1G Medium" w:hAnsi="Arial" w:cs="Arial"/>
                <w:i/>
                <w:iCs/>
                <w:spacing w:val="-6"/>
                <w:sz w:val="44"/>
                <w:szCs w:val="44"/>
              </w:rPr>
              <w:t xml:space="preserve">: </w:t>
            </w:r>
            <w:r>
              <w:rPr>
                <w:rFonts w:ascii="Arial" w:eastAsia="Avenir Next W1G Medium" w:hAnsi="Arial" w:cs="Arial"/>
                <w:i/>
                <w:iCs/>
                <w:spacing w:val="-6"/>
                <w:sz w:val="44"/>
                <w:szCs w:val="44"/>
              </w:rPr>
              <w:t>International Internet Connectivity Cost</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AB2B91" w:rsidRPr="00CA2A7A" w14:paraId="6C5573CC" w14:textId="77777777" w:rsidTr="00B25994">
        <w:tc>
          <w:tcPr>
            <w:tcW w:w="5070" w:type="dxa"/>
            <w:vAlign w:val="center"/>
          </w:tcPr>
          <w:p w14:paraId="6CAA3988" w14:textId="77777777" w:rsidR="00AB2B91" w:rsidRPr="00CA2A7A" w:rsidRDefault="00AB2B91" w:rsidP="00B25994">
            <w:pPr>
              <w:spacing w:before="0"/>
              <w:rPr>
                <w:rFonts w:ascii="Arial" w:hAnsi="Arial" w:cs="Arial"/>
                <w:sz w:val="32"/>
                <w:szCs w:val="32"/>
              </w:rPr>
            </w:pPr>
            <w:bookmarkStart w:id="11" w:name="OLE_LINK15"/>
            <w:bookmarkStart w:id="12" w:name="OLE_LINK16"/>
            <w:bookmarkEnd w:id="4"/>
            <w:bookmarkEnd w:id="9"/>
            <w:proofErr w:type="spellStart"/>
            <w:r w:rsidRPr="00CA2A7A">
              <w:rPr>
                <w:rFonts w:ascii="Arial" w:hAnsi="Arial" w:cs="Arial"/>
                <w:b/>
                <w:color w:val="009CD6"/>
                <w:spacing w:val="-4"/>
                <w:sz w:val="32"/>
                <w:szCs w:val="32"/>
              </w:rPr>
              <w:t>ITU</w:t>
            </w:r>
            <w:r w:rsidRPr="00CA2A7A">
              <w:rPr>
                <w:rFonts w:ascii="Arial" w:hAnsi="Arial" w:cs="Arial"/>
                <w:b/>
                <w:color w:val="292829"/>
                <w:spacing w:val="-4"/>
                <w:sz w:val="32"/>
                <w:szCs w:val="32"/>
              </w:rPr>
              <w:t>Publications</w:t>
            </w:r>
            <w:proofErr w:type="spellEnd"/>
          </w:p>
        </w:tc>
        <w:tc>
          <w:tcPr>
            <w:tcW w:w="5669" w:type="dxa"/>
            <w:vAlign w:val="center"/>
          </w:tcPr>
          <w:p w14:paraId="596E0227" w14:textId="77777777" w:rsidR="00AB2B91" w:rsidRPr="00CA2A7A" w:rsidRDefault="00AB2B91" w:rsidP="00B25994">
            <w:pPr>
              <w:spacing w:before="0"/>
              <w:jc w:val="right"/>
              <w:rPr>
                <w:rFonts w:ascii="Arial" w:hAnsi="Arial" w:cs="Arial"/>
              </w:rPr>
            </w:pPr>
            <w:r w:rsidRPr="00CA2A7A">
              <w:rPr>
                <w:rFonts w:ascii="Arial" w:hAnsi="Arial" w:cs="Arial"/>
                <w:b/>
                <w:spacing w:val="-4"/>
              </w:rPr>
              <w:t>International Telecommunication Union</w:t>
            </w:r>
          </w:p>
        </w:tc>
      </w:tr>
    </w:tbl>
    <w:p w14:paraId="25484CF3" w14:textId="77777777" w:rsidR="00AB2B91" w:rsidRPr="00CA2A7A" w:rsidRDefault="00AB2B91" w:rsidP="00AB2B91">
      <w:pPr>
        <w:spacing w:before="0"/>
        <w:rPr>
          <w:color w:val="000000"/>
          <w:lang w:eastAsia="zh-CN"/>
        </w:rPr>
        <w:sectPr w:rsidR="00AB2B91" w:rsidRPr="00CA2A7A" w:rsidSect="004344C0">
          <w:headerReference w:type="even" r:id="rId11"/>
          <w:headerReference w:type="default" r:id="rId12"/>
          <w:footerReference w:type="even" r:id="rId13"/>
          <w:footerReference w:type="default" r:id="rId14"/>
          <w:headerReference w:type="first" r:id="rId15"/>
          <w:footerReference w:type="first" r:id="rId16"/>
          <w:pgSz w:w="11907" w:h="16840" w:code="9"/>
          <w:pgMar w:top="1038" w:right="601" w:bottom="1860" w:left="618" w:header="567" w:footer="284" w:gutter="0"/>
          <w:pgNumType w:start="1"/>
          <w:cols w:space="720"/>
          <w:titlePg/>
          <w:docGrid w:linePitch="326"/>
        </w:sectPr>
      </w:pPr>
      <w:bookmarkStart w:id="15" w:name="OLE_LINK19"/>
      <w:bookmarkStart w:id="16" w:name="OLE_LINK20"/>
      <w:bookmarkStart w:id="17" w:name="OLE_LINK240"/>
      <w:r w:rsidRPr="00CA2A7A">
        <w:rPr>
          <w:noProof/>
          <w:color w:val="000000"/>
          <w:lang w:eastAsia="zh-CN"/>
        </w:rPr>
        <w:drawing>
          <wp:anchor distT="0" distB="0" distL="0" distR="0" simplePos="0" relativeHeight="251659264" behindDoc="1" locked="0" layoutInCell="1" allowOverlap="1" wp14:anchorId="2FAA9C7D" wp14:editId="53C41BC6">
            <wp:simplePos x="0" y="0"/>
            <wp:positionH relativeFrom="page">
              <wp:posOffset>6355080</wp:posOffset>
            </wp:positionH>
            <wp:positionV relativeFrom="page">
              <wp:posOffset>9591675</wp:posOffset>
            </wp:positionV>
            <wp:extent cx="737870" cy="813435"/>
            <wp:effectExtent l="0" t="0" r="0" b="0"/>
            <wp:wrapNone/>
            <wp:docPr id="6" name="Picture 6"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TU logo"/>
                    <pic:cNvPicPr/>
                  </pic:nvPicPr>
                  <pic:blipFill>
                    <a:blip r:embed="rId17"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18" w:name="c2tope"/>
      <w:bookmarkEnd w:id="18"/>
    </w:p>
    <w:p w14:paraId="7A184B06" w14:textId="278FA66C" w:rsidR="00AB2B91" w:rsidRPr="00A25E56" w:rsidRDefault="00AB2B91" w:rsidP="00A25E56">
      <w:pPr>
        <w:pStyle w:val="RecNo"/>
      </w:pPr>
      <w:bookmarkStart w:id="19" w:name="_Hlk210248831"/>
      <w:bookmarkEnd w:id="7"/>
      <w:bookmarkEnd w:id="8"/>
      <w:bookmarkEnd w:id="11"/>
      <w:bookmarkEnd w:id="12"/>
      <w:bookmarkEnd w:id="15"/>
      <w:bookmarkEnd w:id="16"/>
      <w:bookmarkEnd w:id="17"/>
      <w:r>
        <w:lastRenderedPageBreak/>
        <w:t xml:space="preserve">Technical </w:t>
      </w:r>
      <w:r w:rsidR="00EA61B8">
        <w:t>R</w:t>
      </w:r>
      <w:r>
        <w:t xml:space="preserve">eport </w:t>
      </w:r>
      <w:r w:rsidR="00A25E56">
        <w:t xml:space="preserve">ITU </w:t>
      </w:r>
      <w:r w:rsidR="00A25E56" w:rsidRPr="00A25E56">
        <w:t>FG</w:t>
      </w:r>
      <w:r w:rsidR="00863A53">
        <w:t>-</w:t>
      </w:r>
      <w:r w:rsidR="00A25E56" w:rsidRPr="00A25E56">
        <w:t>CD</w:t>
      </w:r>
      <w:r w:rsidR="00AB3A43">
        <w:t>-</w:t>
      </w:r>
      <w:r w:rsidR="00863A53">
        <w:t>D</w:t>
      </w:r>
      <w:r w:rsidR="00A25E56" w:rsidRPr="00A25E56">
        <w:t>4</w:t>
      </w:r>
    </w:p>
    <w:bookmarkEnd w:id="19"/>
    <w:p w14:paraId="0B810919" w14:textId="6C9DB050" w:rsidR="00AF3EA3" w:rsidRDefault="00A25E56" w:rsidP="00A25E56">
      <w:pPr>
        <w:pStyle w:val="Rectitle"/>
      </w:pPr>
      <w:r w:rsidRPr="00A25E56">
        <w:rPr>
          <w:bCs/>
        </w:rPr>
        <w:t xml:space="preserve">Supply chain of telecom/ICT infrastructure related to international </w:t>
      </w:r>
      <w:r w:rsidR="007020CE" w:rsidRPr="00A25E56">
        <w:rPr>
          <w:bCs/>
        </w:rPr>
        <w:t xml:space="preserve">Internet </w:t>
      </w:r>
      <w:r w:rsidRPr="00A25E56">
        <w:rPr>
          <w:bCs/>
        </w:rPr>
        <w:t>connectivity costs enabling affordable data services</w:t>
      </w:r>
    </w:p>
    <w:p w14:paraId="0D8F6BD3" w14:textId="77777777" w:rsidR="0054018A" w:rsidRPr="007777D2" w:rsidRDefault="0054018A" w:rsidP="0054018A">
      <w:pPr>
        <w:pStyle w:val="Headingb"/>
      </w:pPr>
      <w:r w:rsidRPr="007777D2">
        <w:t>Summary</w:t>
      </w:r>
    </w:p>
    <w:bookmarkEnd w:id="1"/>
    <w:p w14:paraId="69E35CD1" w14:textId="2B137FE7" w:rsidR="0054018A" w:rsidRDefault="00550655" w:rsidP="00A25E56">
      <w:pPr>
        <w:rPr>
          <w:lang w:bidi="ar-DZ"/>
        </w:rPr>
      </w:pPr>
      <w:r w:rsidRPr="00550655">
        <w:rPr>
          <w:lang w:bidi="ar-DZ"/>
        </w:rPr>
        <w:t xml:space="preserve">This </w:t>
      </w:r>
      <w:r w:rsidR="00505018">
        <w:rPr>
          <w:lang w:bidi="ar-DZ"/>
        </w:rPr>
        <w:t>T</w:t>
      </w:r>
      <w:r w:rsidRPr="00550655">
        <w:rPr>
          <w:lang w:bidi="ar-DZ"/>
        </w:rPr>
        <w:t xml:space="preserve">echnical </w:t>
      </w:r>
      <w:r w:rsidR="00505018">
        <w:rPr>
          <w:lang w:bidi="ar-DZ"/>
        </w:rPr>
        <w:t>R</w:t>
      </w:r>
      <w:r w:rsidRPr="00550655">
        <w:rPr>
          <w:lang w:bidi="ar-DZ"/>
        </w:rPr>
        <w:t>eport identifies and analy</w:t>
      </w:r>
      <w:r w:rsidR="00F933C8">
        <w:rPr>
          <w:lang w:bidi="ar-DZ"/>
        </w:rPr>
        <w:t>s</w:t>
      </w:r>
      <w:r w:rsidRPr="00550655">
        <w:rPr>
          <w:lang w:bidi="ar-DZ"/>
        </w:rPr>
        <w:t xml:space="preserve">es the various layers and components that make up the Internet value chain. It examines the supply chain of telecom and </w:t>
      </w:r>
      <w:r w:rsidR="00C50B99" w:rsidRPr="00550655">
        <w:rPr>
          <w:szCs w:val="24"/>
          <w:lang w:val="en-IN" w:eastAsia="en-IN"/>
        </w:rPr>
        <w:t>information and communication technology</w:t>
      </w:r>
      <w:r w:rsidR="00C50B99" w:rsidRPr="00550655">
        <w:rPr>
          <w:lang w:bidi="ar-DZ"/>
        </w:rPr>
        <w:t xml:space="preserve"> </w:t>
      </w:r>
      <w:r w:rsidR="00625D8F">
        <w:rPr>
          <w:lang w:bidi="ar-DZ"/>
        </w:rPr>
        <w:t>(</w:t>
      </w:r>
      <w:r w:rsidRPr="00550655">
        <w:rPr>
          <w:lang w:bidi="ar-DZ"/>
        </w:rPr>
        <w:t>ICT</w:t>
      </w:r>
      <w:r w:rsidR="00625D8F">
        <w:rPr>
          <w:lang w:bidi="ar-DZ"/>
        </w:rPr>
        <w:t>)</w:t>
      </w:r>
      <w:r w:rsidRPr="00550655">
        <w:rPr>
          <w:lang w:bidi="ar-DZ"/>
        </w:rPr>
        <w:t xml:space="preserve"> infrastructure with the aim of establishing a clear terminology and taxonomy linked to cost models for affordable data services. The </w:t>
      </w:r>
      <w:r w:rsidR="00F9425E">
        <w:rPr>
          <w:lang w:bidi="ar-DZ"/>
        </w:rPr>
        <w:t>R</w:t>
      </w:r>
      <w:r w:rsidRPr="00550655">
        <w:rPr>
          <w:lang w:bidi="ar-DZ"/>
        </w:rPr>
        <w:t xml:space="preserve">eport also integrates analysis of policy, economic, competition, regulatory, standardization, and sustainability aspects of international </w:t>
      </w:r>
      <w:r w:rsidR="007020CE" w:rsidRPr="00550655">
        <w:rPr>
          <w:lang w:bidi="ar-DZ"/>
        </w:rPr>
        <w:t xml:space="preserve">Internet </w:t>
      </w:r>
      <w:r w:rsidRPr="00550655">
        <w:rPr>
          <w:lang w:bidi="ar-DZ"/>
        </w:rPr>
        <w:t>connectivity costs, providing a comprehensive perspective on both technical cost drivers and governance frameworks that shape affordability.</w:t>
      </w:r>
    </w:p>
    <w:p w14:paraId="526C9B10" w14:textId="77777777" w:rsidR="0054018A" w:rsidRPr="00E0680F" w:rsidRDefault="0054018A" w:rsidP="0054018A">
      <w:pPr>
        <w:pStyle w:val="Headingb"/>
      </w:pPr>
      <w:r w:rsidRPr="00E0680F">
        <w:t>Keywords</w:t>
      </w:r>
    </w:p>
    <w:p w14:paraId="3C799CF4" w14:textId="7DB3E6B3" w:rsidR="0054018A" w:rsidRDefault="00A25E56" w:rsidP="0054018A">
      <w:pPr>
        <w:rPr>
          <w:lang w:bidi="ar-DZ"/>
        </w:rPr>
      </w:pPr>
      <w:r>
        <w:rPr>
          <w:lang w:bidi="ar-DZ"/>
        </w:rPr>
        <w:t xml:space="preserve">Competition, infrastructure sharing, interconnection and exchange infrastructure, international </w:t>
      </w:r>
      <w:r w:rsidR="007020CE">
        <w:rPr>
          <w:lang w:bidi="ar-DZ"/>
        </w:rPr>
        <w:t xml:space="preserve">Internet </w:t>
      </w:r>
      <w:r w:rsidR="002A5B56">
        <w:rPr>
          <w:lang w:bidi="ar-DZ"/>
        </w:rPr>
        <w:t>c</w:t>
      </w:r>
      <w:r w:rsidR="00E0680F">
        <w:rPr>
          <w:lang w:bidi="ar-DZ"/>
        </w:rPr>
        <w:t xml:space="preserve">onnectivity </w:t>
      </w:r>
      <w:r w:rsidR="002A5B56">
        <w:rPr>
          <w:lang w:bidi="ar-DZ"/>
        </w:rPr>
        <w:t>c</w:t>
      </w:r>
      <w:r w:rsidR="00E0680F">
        <w:rPr>
          <w:lang w:bidi="ar-DZ"/>
        </w:rPr>
        <w:t xml:space="preserve">ost, </w:t>
      </w:r>
      <w:r>
        <w:rPr>
          <w:lang w:bidi="ar-DZ"/>
        </w:rPr>
        <w:t>last-mile access network,</w:t>
      </w:r>
      <w:r w:rsidRPr="00A02D12">
        <w:rPr>
          <w:lang w:bidi="ar-DZ"/>
        </w:rPr>
        <w:t xml:space="preserve"> </w:t>
      </w:r>
      <w:r>
        <w:rPr>
          <w:lang w:bidi="ar-DZ"/>
        </w:rPr>
        <w:t xml:space="preserve">metro and middle-mile networks, </w:t>
      </w:r>
      <w:r w:rsidR="00E0680F">
        <w:rPr>
          <w:lang w:bidi="ar-DZ"/>
        </w:rPr>
        <w:t xml:space="preserve">national backbone, </w:t>
      </w:r>
      <w:r w:rsidR="00A02D12">
        <w:rPr>
          <w:lang w:bidi="ar-DZ"/>
        </w:rPr>
        <w:t>supply chain of telecom/ICT infrastructure</w:t>
      </w:r>
      <w:r w:rsidR="008352C7">
        <w:rPr>
          <w:lang w:bidi="ar-DZ"/>
        </w:rPr>
        <w:t>.</w:t>
      </w:r>
    </w:p>
    <w:p w14:paraId="2D78B09C" w14:textId="2D75AE8B" w:rsidR="0087720C" w:rsidRPr="00826028" w:rsidRDefault="0087720C" w:rsidP="00A25E56">
      <w:pPr>
        <w:pStyle w:val="Headingb"/>
        <w:rPr>
          <w:lang w:bidi="ar-DZ"/>
        </w:rPr>
      </w:pPr>
      <w:r w:rsidRPr="00826028">
        <w:rPr>
          <w:lang w:bidi="ar-DZ"/>
        </w:rPr>
        <w:t>Note</w:t>
      </w:r>
    </w:p>
    <w:p w14:paraId="16B5C7DD" w14:textId="68E025FF" w:rsidR="0087720C" w:rsidRDefault="0087720C" w:rsidP="0054018A">
      <w:pPr>
        <w:rPr>
          <w:lang w:bidi="ar-DZ"/>
        </w:rPr>
      </w:pPr>
      <w:r>
        <w:t>This is an informative ITU-T publication. Mandatory provisions, such as those found in ITU-T Recommendations, are outside the scope of this publication. This publication should only be referenced bibliographically in ITU-T Recommendations.</w:t>
      </w:r>
    </w:p>
    <w:p w14:paraId="69645F2D" w14:textId="77777777" w:rsidR="0087720C" w:rsidRDefault="0087720C" w:rsidP="0054018A">
      <w:pPr>
        <w:rPr>
          <w:lang w:bidi="ar-DZ"/>
        </w:rPr>
      </w:pPr>
    </w:p>
    <w:p w14:paraId="4918946E" w14:textId="5B54B2F8" w:rsidR="0087720C" w:rsidRPr="00826028" w:rsidRDefault="0087720C" w:rsidP="00A25E56">
      <w:pPr>
        <w:pStyle w:val="Headingb"/>
        <w:rPr>
          <w:lang w:bidi="ar-DZ"/>
        </w:rPr>
      </w:pPr>
      <w:r w:rsidRPr="00826028">
        <w:rPr>
          <w:lang w:bidi="ar-DZ"/>
        </w:rPr>
        <w:t>Change Log</w:t>
      </w:r>
    </w:p>
    <w:p w14:paraId="5B62ACE2" w14:textId="7D6BB782" w:rsidR="0087720C" w:rsidRDefault="0087720C" w:rsidP="0054018A">
      <w:r>
        <w:t xml:space="preserve">This document contains Version 1.0 of the ITU-T </w:t>
      </w:r>
      <w:r w:rsidRPr="00863A53">
        <w:t xml:space="preserve">Technical Report </w:t>
      </w:r>
      <w:r w:rsidR="00E0680F" w:rsidRPr="00863A53">
        <w:t>on</w:t>
      </w:r>
      <w:r w:rsidR="00E0680F" w:rsidRPr="00E0680F">
        <w:rPr>
          <w:i/>
          <w:iCs/>
        </w:rPr>
        <w:t xml:space="preserve"> </w:t>
      </w:r>
      <w:r w:rsidR="00863A53">
        <w:rPr>
          <w:i/>
          <w:iCs/>
        </w:rPr>
        <w:t>"</w:t>
      </w:r>
      <w:r w:rsidR="00863A53" w:rsidRPr="00E0680F">
        <w:rPr>
          <w:i/>
          <w:iCs/>
        </w:rPr>
        <w:t>S</w:t>
      </w:r>
      <w:r w:rsidR="00863A53" w:rsidRPr="00AB2B91">
        <w:rPr>
          <w:i/>
          <w:iCs/>
        </w:rPr>
        <w:t xml:space="preserve">upply </w:t>
      </w:r>
      <w:r w:rsidR="00E0680F" w:rsidRPr="00AB2B91">
        <w:rPr>
          <w:i/>
          <w:iCs/>
        </w:rPr>
        <w:t xml:space="preserve">chain of telecom/ICT infrastructure related to international </w:t>
      </w:r>
      <w:r w:rsidR="007020CE" w:rsidRPr="00AB2B91">
        <w:rPr>
          <w:i/>
          <w:iCs/>
        </w:rPr>
        <w:t xml:space="preserve">Internet </w:t>
      </w:r>
      <w:r w:rsidR="00E0680F" w:rsidRPr="00AB2B91">
        <w:rPr>
          <w:i/>
          <w:iCs/>
        </w:rPr>
        <w:t>connectivity costs enabling affordable data services, integrating</w:t>
      </w:r>
      <w:r w:rsidR="00E0680F" w:rsidRPr="00AB2B91">
        <w:rPr>
          <w:i/>
          <w:iCs/>
          <w:lang w:val="en-CA"/>
        </w:rPr>
        <w:t xml:space="preserve"> the analysis of policy</w:t>
      </w:r>
      <w:r w:rsidR="00E0680F" w:rsidRPr="00AB2B91">
        <w:rPr>
          <w:i/>
          <w:iCs/>
        </w:rPr>
        <w:t>, economic, competition, regulatory, standardization and sustainability aspects</w:t>
      </w:r>
      <w:r w:rsidR="00863A53">
        <w:rPr>
          <w:i/>
          <w:iCs/>
        </w:rPr>
        <w:t>"</w:t>
      </w:r>
      <w:r w:rsidR="00E0680F" w:rsidRPr="00AB2B91">
        <w:rPr>
          <w:b/>
          <w:bCs/>
        </w:rPr>
        <w:t xml:space="preserve"> </w:t>
      </w:r>
      <w:r>
        <w:t xml:space="preserve">approved at the </w:t>
      </w:r>
      <w:r w:rsidR="00E0680F">
        <w:t>FG</w:t>
      </w:r>
      <w:r w:rsidR="00863A53">
        <w:t>-</w:t>
      </w:r>
      <w:r w:rsidR="00E0680F">
        <w:t>CD Meeting held online on 1 October 2025.</w:t>
      </w:r>
    </w:p>
    <w:p w14:paraId="74D9DE27" w14:textId="77777777" w:rsidR="00E0680F" w:rsidRPr="0023262D" w:rsidRDefault="00E0680F" w:rsidP="00A25E56">
      <w:pPr>
        <w:pStyle w:val="Headingb"/>
        <w:rPr>
          <w:lang w:bidi="ar-DZ"/>
        </w:rPr>
      </w:pPr>
      <w:r>
        <w:rPr>
          <w:lang w:bidi="ar-DZ"/>
        </w:rPr>
        <w:t>Acknowledgements</w:t>
      </w:r>
    </w:p>
    <w:p w14:paraId="1087EE9B" w14:textId="73CDD961" w:rsidR="00E0680F" w:rsidRDefault="00E0680F" w:rsidP="00E0680F">
      <w:pPr>
        <w:rPr>
          <w:lang w:bidi="ar-DZ"/>
        </w:rPr>
      </w:pPr>
      <w:r w:rsidRPr="00CA2A7A">
        <w:t xml:space="preserve">This Technical Report was written by </w:t>
      </w:r>
      <w:r>
        <w:t>the Editors below based on input documents received at the FG</w:t>
      </w:r>
      <w:r w:rsidR="007020CE">
        <w:noBreakHyphen/>
      </w:r>
      <w:r>
        <w:t>CD meetings,</w:t>
      </w:r>
      <w:r w:rsidRPr="00CA2A7A">
        <w:t xml:space="preserve"> as a contribution to the ITU Focus Group </w:t>
      </w:r>
      <w:r>
        <w:t>on cost models for affordable data services (FG</w:t>
      </w:r>
      <w:r w:rsidR="00863A53">
        <w:t>-</w:t>
      </w:r>
      <w:r>
        <w:t>CD</w:t>
      </w:r>
      <w:r w:rsidRPr="00CA2A7A">
        <w:t>).</w:t>
      </w:r>
      <w:r>
        <w:t xml:space="preserve"> </w:t>
      </w:r>
      <w:r w:rsidRPr="00CA2A7A">
        <w:t xml:space="preserve">If you would like to provide any additional information, please contact </w:t>
      </w:r>
      <w:r>
        <w:t>Vijay Mauree</w:t>
      </w:r>
      <w:r w:rsidRPr="00CA2A7A">
        <w:t xml:space="preserve"> at</w:t>
      </w:r>
      <w:r>
        <w:t xml:space="preserve"> </w:t>
      </w:r>
      <w:hyperlink r:id="rId18" w:history="1">
        <w:r w:rsidRPr="002443F6">
          <w:rPr>
            <w:rStyle w:val="Hyperlink"/>
          </w:rPr>
          <w:t>tsbfgcd@itu.int</w:t>
        </w:r>
      </w:hyperlink>
      <w:r w:rsidR="00863A53">
        <w:t>.</w:t>
      </w:r>
    </w:p>
    <w:p w14:paraId="20871B5A" w14:textId="77777777" w:rsidR="005C053E" w:rsidRPr="002521D7" w:rsidRDefault="005C053E" w:rsidP="00AD6A4D">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548"/>
        <w:gridCol w:w="3959"/>
      </w:tblGrid>
      <w:tr w:rsidR="00C25162" w14:paraId="35AC3556" w14:textId="77777777" w:rsidTr="00826028">
        <w:tc>
          <w:tcPr>
            <w:tcW w:w="2122" w:type="dxa"/>
          </w:tcPr>
          <w:p w14:paraId="7D457CDF" w14:textId="211C2B10" w:rsidR="00C25162" w:rsidRDefault="00C25162" w:rsidP="00863A53">
            <w:pPr>
              <w:overflowPunct/>
              <w:autoSpaceDE/>
              <w:autoSpaceDN/>
              <w:adjustRightInd/>
              <w:spacing w:before="80"/>
              <w:textAlignment w:val="auto"/>
              <w:rPr>
                <w:b/>
                <w:bCs/>
              </w:rPr>
            </w:pPr>
            <w:r>
              <w:rPr>
                <w:b/>
                <w:bCs/>
              </w:rPr>
              <w:t>Editor</w:t>
            </w:r>
            <w:r w:rsidR="00863A53">
              <w:rPr>
                <w:b/>
                <w:bCs/>
              </w:rPr>
              <w:t>s</w:t>
            </w:r>
            <w:r>
              <w:rPr>
                <w:b/>
                <w:bCs/>
              </w:rPr>
              <w:t>:</w:t>
            </w:r>
          </w:p>
        </w:tc>
        <w:tc>
          <w:tcPr>
            <w:tcW w:w="3548" w:type="dxa"/>
          </w:tcPr>
          <w:p w14:paraId="6DD47663" w14:textId="7C314F09" w:rsidR="00C25162" w:rsidRPr="00A27FD7" w:rsidRDefault="0068295E" w:rsidP="00863A53">
            <w:pPr>
              <w:overflowPunct/>
              <w:autoSpaceDE/>
              <w:autoSpaceDN/>
              <w:adjustRightInd/>
              <w:spacing w:before="80"/>
              <w:jc w:val="left"/>
              <w:textAlignment w:val="auto"/>
            </w:pPr>
            <w:r>
              <w:t>Sathish Kumar MC</w:t>
            </w:r>
            <w:r w:rsidR="00863A53">
              <w:br/>
            </w:r>
            <w:r w:rsidR="00C25162">
              <w:t>India</w:t>
            </w:r>
          </w:p>
        </w:tc>
        <w:tc>
          <w:tcPr>
            <w:tcW w:w="3959" w:type="dxa"/>
          </w:tcPr>
          <w:p w14:paraId="41754001" w14:textId="1711859A" w:rsidR="00C25162" w:rsidRPr="00863A53" w:rsidRDefault="00C25162" w:rsidP="00863A53">
            <w:pPr>
              <w:overflowPunct/>
              <w:autoSpaceDE/>
              <w:autoSpaceDN/>
              <w:adjustRightInd/>
              <w:spacing w:before="80"/>
              <w:textAlignment w:val="auto"/>
            </w:pPr>
            <w:r w:rsidRPr="00863A53">
              <w:t>Tel:</w:t>
            </w:r>
            <w:r w:rsidR="00863A53">
              <w:tab/>
            </w:r>
            <w:r w:rsidRPr="00863A53">
              <w:t>+91-</w:t>
            </w:r>
            <w:r w:rsidR="0068295E" w:rsidRPr="00863A53">
              <w:t>9444044400</w:t>
            </w:r>
          </w:p>
          <w:p w14:paraId="0ACEAC14" w14:textId="10DD3347" w:rsidR="00C25162" w:rsidRPr="00863A53" w:rsidRDefault="00C25162" w:rsidP="00863A53">
            <w:pPr>
              <w:overflowPunct/>
              <w:autoSpaceDE/>
              <w:autoSpaceDN/>
              <w:adjustRightInd/>
              <w:spacing w:before="80"/>
              <w:textAlignment w:val="auto"/>
            </w:pPr>
            <w:r w:rsidRPr="00863A53">
              <w:t>Email:</w:t>
            </w:r>
            <w:r w:rsidR="00863A53">
              <w:tab/>
            </w:r>
            <w:hyperlink r:id="rId19" w:history="1">
              <w:r w:rsidR="0068295E" w:rsidRPr="00863A53">
                <w:rPr>
                  <w:rStyle w:val="Hyperlink"/>
                </w:rPr>
                <w:t>mc.sathish@gov.in</w:t>
              </w:r>
            </w:hyperlink>
          </w:p>
        </w:tc>
      </w:tr>
      <w:tr w:rsidR="0068295E" w14:paraId="675A701E" w14:textId="77777777" w:rsidTr="00826028">
        <w:tc>
          <w:tcPr>
            <w:tcW w:w="2122" w:type="dxa"/>
          </w:tcPr>
          <w:p w14:paraId="7A19C8D4" w14:textId="45B680E4" w:rsidR="0068295E" w:rsidRDefault="0068295E" w:rsidP="00863A53">
            <w:pPr>
              <w:overflowPunct/>
              <w:autoSpaceDE/>
              <w:autoSpaceDN/>
              <w:adjustRightInd/>
              <w:spacing w:before="80"/>
              <w:textAlignment w:val="auto"/>
              <w:rPr>
                <w:b/>
                <w:bCs/>
              </w:rPr>
            </w:pPr>
          </w:p>
        </w:tc>
        <w:tc>
          <w:tcPr>
            <w:tcW w:w="3548" w:type="dxa"/>
          </w:tcPr>
          <w:p w14:paraId="4A3A59A9" w14:textId="682E56D0" w:rsidR="0068295E" w:rsidRDefault="0068295E" w:rsidP="00863A53">
            <w:pPr>
              <w:overflowPunct/>
              <w:autoSpaceDE/>
              <w:autoSpaceDN/>
              <w:adjustRightInd/>
              <w:spacing w:before="80"/>
              <w:jc w:val="left"/>
              <w:textAlignment w:val="auto"/>
            </w:pPr>
            <w:r>
              <w:t>Ashutosh Rai</w:t>
            </w:r>
            <w:r w:rsidR="00863A53">
              <w:br/>
            </w:r>
            <w:r>
              <w:t>EY, India</w:t>
            </w:r>
          </w:p>
        </w:tc>
        <w:tc>
          <w:tcPr>
            <w:tcW w:w="3959" w:type="dxa"/>
          </w:tcPr>
          <w:p w14:paraId="0C985927" w14:textId="014040B8" w:rsidR="0068295E" w:rsidRPr="00863A53" w:rsidRDefault="0068295E" w:rsidP="00863A53">
            <w:pPr>
              <w:overflowPunct/>
              <w:autoSpaceDE/>
              <w:autoSpaceDN/>
              <w:adjustRightInd/>
              <w:spacing w:before="80"/>
              <w:textAlignment w:val="auto"/>
            </w:pPr>
            <w:r w:rsidRPr="00863A53">
              <w:t>Tel:</w:t>
            </w:r>
            <w:r w:rsidR="00863A53">
              <w:tab/>
            </w:r>
            <w:r w:rsidRPr="00863A53">
              <w:t>+91-9739900007</w:t>
            </w:r>
          </w:p>
          <w:p w14:paraId="3B8E90EC" w14:textId="1D5AEEC4" w:rsidR="0068295E" w:rsidRPr="00863A53" w:rsidRDefault="0068295E" w:rsidP="00863A53">
            <w:pPr>
              <w:overflowPunct/>
              <w:autoSpaceDE/>
              <w:autoSpaceDN/>
              <w:adjustRightInd/>
              <w:spacing w:before="80"/>
              <w:textAlignment w:val="auto"/>
            </w:pPr>
            <w:r w:rsidRPr="00863A53">
              <w:t>Email:</w:t>
            </w:r>
            <w:r w:rsidR="00863A53">
              <w:tab/>
            </w:r>
            <w:hyperlink r:id="rId20" w:history="1">
              <w:r w:rsidRPr="00863A53">
                <w:rPr>
                  <w:rStyle w:val="Hyperlink"/>
                </w:rPr>
                <w:t>Ashutosh.Rai1@in.ey.com</w:t>
              </w:r>
            </w:hyperlink>
          </w:p>
        </w:tc>
      </w:tr>
    </w:tbl>
    <w:p w14:paraId="6503D237" w14:textId="77777777" w:rsidR="00AB3A43" w:rsidRDefault="00AB3A43" w:rsidP="00AB3A43">
      <w:pPr>
        <w:spacing w:before="0" w:after="120"/>
        <w:jc w:val="center"/>
        <w:rPr>
          <w:rFonts w:ascii="Symbol" w:eastAsia="Symbol" w:hAnsi="Symbol" w:cs="Symbol"/>
        </w:rPr>
      </w:pPr>
    </w:p>
    <w:p w14:paraId="5EA463EA" w14:textId="4F6CD4A0" w:rsidR="00AB3A43" w:rsidRPr="00CF6233" w:rsidRDefault="00AB3A43" w:rsidP="00AB3A43">
      <w:pPr>
        <w:spacing w:before="0" w:after="120"/>
        <w:jc w:val="center"/>
      </w:pPr>
      <w:r w:rsidRPr="00CF6233">
        <w:rPr>
          <w:rFonts w:ascii="Symbol" w:eastAsia="Symbol" w:hAnsi="Symbol" w:cs="Symbol"/>
        </w:rPr>
        <w:t></w:t>
      </w:r>
      <w:r w:rsidRPr="00CF6233">
        <w:t> ITU </w:t>
      </w:r>
      <w:bookmarkStart w:id="20" w:name="iiannee"/>
      <w:bookmarkEnd w:id="20"/>
      <w:r w:rsidRPr="00CF6233">
        <w:t>202</w:t>
      </w:r>
      <w:r>
        <w:t>6</w:t>
      </w:r>
    </w:p>
    <w:p w14:paraId="7C5255E7" w14:textId="69C4E3CC" w:rsidR="0099596F" w:rsidRPr="0099596F" w:rsidRDefault="0099596F" w:rsidP="0099596F">
      <w:pPr>
        <w:rPr>
          <w:sz w:val="22"/>
          <w:szCs w:val="22"/>
        </w:rPr>
      </w:pPr>
      <w:r w:rsidRPr="0099596F">
        <w:rPr>
          <w:sz w:val="22"/>
          <w:szCs w:val="22"/>
        </w:rPr>
        <w:t>Some rights reserved. This publication is available under the Creative Commons Attribution-</w:t>
      </w:r>
      <w:proofErr w:type="gramStart"/>
      <w:r w:rsidRPr="0099596F">
        <w:rPr>
          <w:sz w:val="22"/>
          <w:szCs w:val="22"/>
        </w:rPr>
        <w:t>Non Commercial</w:t>
      </w:r>
      <w:proofErr w:type="gramEnd"/>
      <w:r w:rsidRPr="0099596F">
        <w:rPr>
          <w:sz w:val="22"/>
          <w:szCs w:val="22"/>
        </w:rPr>
        <w:t xml:space="preserve">-Share Alike 3.0 IGO licence (CC BY-NC-SA 3.0 IGO; </w:t>
      </w:r>
      <w:hyperlink r:id="rId21" w:history="1">
        <w:r w:rsidRPr="0099596F">
          <w:rPr>
            <w:rStyle w:val="Hyperlink"/>
            <w:sz w:val="22"/>
            <w:szCs w:val="22"/>
          </w:rPr>
          <w:t>https://creativecommons.org/licenses/by-nc-sa/3.0/igo</w:t>
        </w:r>
      </w:hyperlink>
      <w:r w:rsidRPr="0099596F">
        <w:rPr>
          <w:sz w:val="22"/>
          <w:szCs w:val="22"/>
        </w:rPr>
        <w:t>).</w:t>
      </w:r>
    </w:p>
    <w:p w14:paraId="78E95C0B" w14:textId="7DB66677" w:rsidR="00AB3A43" w:rsidRDefault="0099596F" w:rsidP="0099596F">
      <w:pPr>
        <w:rPr>
          <w:b/>
          <w:bCs/>
        </w:rPr>
      </w:pPr>
      <w:r w:rsidRPr="0099596F">
        <w:rPr>
          <w:sz w:val="22"/>
          <w:szCs w:val="22"/>
        </w:rPr>
        <w:t xml:space="preserve">For any uses of this publication that are not included in this licence, please seek permission from ITU by contacting </w:t>
      </w:r>
      <w:hyperlink r:id="rId22" w:history="1">
        <w:r w:rsidRPr="0099596F">
          <w:rPr>
            <w:rStyle w:val="Hyperlink"/>
            <w:sz w:val="22"/>
            <w:szCs w:val="22"/>
          </w:rPr>
          <w:t>TSBmail@itu.int</w:t>
        </w:r>
      </w:hyperlink>
      <w:r w:rsidRPr="0099596F">
        <w:rPr>
          <w:sz w:val="22"/>
          <w:szCs w:val="22"/>
        </w:rPr>
        <w:t>.</w:t>
      </w:r>
      <w:r w:rsidR="00AB3A43" w:rsidRPr="00CF6233">
        <w:rPr>
          <w:b/>
          <w:bCs/>
        </w:rPr>
        <w:br w:type="page"/>
      </w:r>
    </w:p>
    <w:p w14:paraId="2F007D11" w14:textId="77777777" w:rsidR="00AB3A43" w:rsidRDefault="00AB3A43" w:rsidP="00AB3A43">
      <w:pPr>
        <w:spacing w:before="0" w:after="120"/>
        <w:jc w:val="center"/>
        <w:rPr>
          <w:b/>
        </w:rPr>
      </w:pPr>
      <w:bookmarkStart w:id="21" w:name="_Hlk136604213"/>
      <w:r w:rsidRPr="00CF6233">
        <w:rPr>
          <w:b/>
          <w:bCs/>
        </w:rPr>
        <w:lastRenderedPageBreak/>
        <w:t>T</w:t>
      </w:r>
      <w:r w:rsidRPr="00CF6233">
        <w:rPr>
          <w:b/>
        </w:rPr>
        <w:t>able of Contents</w:t>
      </w:r>
      <w:bookmarkEnd w:id="21"/>
    </w:p>
    <w:p w14:paraId="40CAB76A" w14:textId="77777777" w:rsidR="00AB3A43" w:rsidRPr="00CF6233" w:rsidRDefault="00AB3A43" w:rsidP="00AB3A43">
      <w:pPr>
        <w:spacing w:before="0" w:after="120"/>
        <w:jc w:val="right"/>
        <w:rPr>
          <w:b/>
        </w:rPr>
      </w:pPr>
      <w:r>
        <w:rPr>
          <w:b/>
        </w:rPr>
        <w:t>Page</w:t>
      </w:r>
    </w:p>
    <w:p w14:paraId="41188F2D" w14:textId="7CE6E3BC"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bidi="ar-DZ"/>
        </w:rPr>
        <w:t>1</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bidi="ar-DZ"/>
        </w:rPr>
        <w:t>Scope</w:t>
      </w:r>
      <w:r w:rsidRPr="001F7842">
        <w:rPr>
          <w:noProof/>
          <w:webHidden/>
        </w:rPr>
        <w:tab/>
      </w:r>
      <w:r w:rsidRPr="001F7842">
        <w:rPr>
          <w:noProof/>
          <w:webHidden/>
        </w:rPr>
        <w:tab/>
        <w:t>1</w:t>
      </w:r>
    </w:p>
    <w:p w14:paraId="66397E72" w14:textId="696DEBF0"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bidi="ar-DZ"/>
        </w:rPr>
        <w:t>2</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bidi="ar-DZ"/>
        </w:rPr>
        <w:t>References</w:t>
      </w:r>
      <w:r w:rsidRPr="001F7842">
        <w:rPr>
          <w:noProof/>
          <w:webHidden/>
        </w:rPr>
        <w:tab/>
      </w:r>
      <w:r w:rsidRPr="001F7842">
        <w:rPr>
          <w:noProof/>
          <w:webHidden/>
        </w:rPr>
        <w:tab/>
        <w:t>1</w:t>
      </w:r>
    </w:p>
    <w:p w14:paraId="46B4D818" w14:textId="6D6A6BCA"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bidi="ar-DZ"/>
        </w:rPr>
        <w:t>3</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bidi="ar-DZ"/>
        </w:rPr>
        <w:t>Definitions</w:t>
      </w:r>
      <w:r w:rsidRPr="001F7842">
        <w:rPr>
          <w:noProof/>
          <w:webHidden/>
        </w:rPr>
        <w:tab/>
      </w:r>
      <w:r w:rsidRPr="001F7842">
        <w:rPr>
          <w:noProof/>
          <w:webHidden/>
        </w:rPr>
        <w:tab/>
        <w:t>1</w:t>
      </w:r>
    </w:p>
    <w:p w14:paraId="22D2F427" w14:textId="50F4CD00"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rPr>
        <w:t>3.1</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rFonts w:eastAsia="MS Mincho"/>
          <w:noProof/>
          <w:color w:val="auto"/>
          <w:u w:val="none"/>
          <w:lang w:eastAsia="ja-JP" w:bidi="ar-DZ"/>
        </w:rPr>
        <w:t>Terms defined elsewhere</w:t>
      </w:r>
      <w:r w:rsidRPr="001F7842">
        <w:rPr>
          <w:noProof/>
          <w:webHidden/>
        </w:rPr>
        <w:tab/>
      </w:r>
      <w:r w:rsidRPr="001F7842">
        <w:rPr>
          <w:noProof/>
          <w:webHidden/>
        </w:rPr>
        <w:tab/>
        <w:t>1</w:t>
      </w:r>
    </w:p>
    <w:p w14:paraId="11ED3112" w14:textId="6F59A455"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rPr>
        <w:t>3.2</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rPr>
        <w:t>Terms</w:t>
      </w:r>
      <w:r w:rsidRPr="001F7842">
        <w:rPr>
          <w:rStyle w:val="Hyperlink"/>
          <w:noProof/>
          <w:color w:val="auto"/>
          <w:u w:val="none"/>
          <w:lang w:bidi="ar-DZ"/>
        </w:rPr>
        <w:t xml:space="preserve"> defined in this Technical Report</w:t>
      </w:r>
      <w:r w:rsidRPr="001F7842">
        <w:rPr>
          <w:noProof/>
          <w:webHidden/>
        </w:rPr>
        <w:tab/>
      </w:r>
      <w:r w:rsidRPr="001F7842">
        <w:rPr>
          <w:noProof/>
          <w:webHidden/>
        </w:rPr>
        <w:tab/>
        <w:t>1</w:t>
      </w:r>
    </w:p>
    <w:p w14:paraId="53803C28" w14:textId="3DACF398"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bidi="ar-DZ"/>
        </w:rPr>
        <w:t>4</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bidi="ar-DZ"/>
        </w:rPr>
        <w:t>Abbreviations and acronyms</w:t>
      </w:r>
      <w:r w:rsidRPr="001F7842">
        <w:rPr>
          <w:noProof/>
          <w:webHidden/>
        </w:rPr>
        <w:tab/>
      </w:r>
      <w:r w:rsidRPr="001F7842">
        <w:rPr>
          <w:noProof/>
          <w:webHidden/>
        </w:rPr>
        <w:tab/>
        <w:t>2</w:t>
      </w:r>
    </w:p>
    <w:p w14:paraId="7990A258" w14:textId="4525F138"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rPr>
        <w:t>5</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rPr>
        <w:t>Introduction</w:t>
      </w:r>
      <w:r w:rsidRPr="001F7842">
        <w:rPr>
          <w:noProof/>
          <w:webHidden/>
        </w:rPr>
        <w:tab/>
      </w:r>
      <w:r w:rsidRPr="001F7842">
        <w:rPr>
          <w:noProof/>
          <w:webHidden/>
        </w:rPr>
        <w:tab/>
        <w:t>2</w:t>
      </w:r>
    </w:p>
    <w:p w14:paraId="3CB105AD" w14:textId="1A59921F"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US"/>
        </w:rPr>
        <w:t>6</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US"/>
        </w:rPr>
        <w:t>Defining the telecom/ICT infrastructure supply chain</w:t>
      </w:r>
      <w:r w:rsidRPr="001F7842">
        <w:rPr>
          <w:noProof/>
          <w:webHidden/>
        </w:rPr>
        <w:tab/>
      </w:r>
      <w:r w:rsidRPr="001F7842">
        <w:rPr>
          <w:noProof/>
          <w:webHidden/>
        </w:rPr>
        <w:tab/>
        <w:t>3</w:t>
      </w:r>
    </w:p>
    <w:p w14:paraId="6E33937D" w14:textId="187F5D84"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Cost components and considerations</w:t>
      </w:r>
      <w:r w:rsidRPr="001F7842">
        <w:rPr>
          <w:noProof/>
          <w:webHidden/>
        </w:rPr>
        <w:tab/>
      </w:r>
      <w:r w:rsidRPr="001F7842">
        <w:rPr>
          <w:noProof/>
          <w:webHidden/>
        </w:rPr>
        <w:tab/>
        <w:t>4</w:t>
      </w:r>
    </w:p>
    <w:p w14:paraId="4BAE13DA" w14:textId="43A05BFC"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7.1</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International connectivity</w:t>
      </w:r>
      <w:r w:rsidRPr="001F7842">
        <w:rPr>
          <w:noProof/>
          <w:webHidden/>
        </w:rPr>
        <w:tab/>
      </w:r>
      <w:r w:rsidRPr="001F7842">
        <w:rPr>
          <w:noProof/>
          <w:webHidden/>
        </w:rPr>
        <w:tab/>
        <w:t>4</w:t>
      </w:r>
    </w:p>
    <w:p w14:paraId="703C6C55" w14:textId="26A1B13E"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7.2</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National backbone networks</w:t>
      </w:r>
      <w:r w:rsidRPr="001F7842">
        <w:rPr>
          <w:noProof/>
          <w:webHidden/>
        </w:rPr>
        <w:tab/>
      </w:r>
      <w:r w:rsidRPr="001F7842">
        <w:rPr>
          <w:noProof/>
          <w:webHidden/>
        </w:rPr>
        <w:tab/>
        <w:t>6</w:t>
      </w:r>
    </w:p>
    <w:p w14:paraId="5914E66C" w14:textId="3D888EA1"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7.3</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Interconnection and exchange infrastructure</w:t>
      </w:r>
      <w:r w:rsidRPr="001F7842">
        <w:rPr>
          <w:noProof/>
          <w:webHidden/>
        </w:rPr>
        <w:tab/>
      </w:r>
      <w:r w:rsidRPr="001F7842">
        <w:rPr>
          <w:noProof/>
          <w:webHidden/>
        </w:rPr>
        <w:tab/>
        <w:t>6</w:t>
      </w:r>
    </w:p>
    <w:p w14:paraId="11D8ACA8" w14:textId="7AC431D7"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7.4</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Metro and middle-mile networks</w:t>
      </w:r>
      <w:r w:rsidRPr="001F7842">
        <w:rPr>
          <w:noProof/>
          <w:webHidden/>
        </w:rPr>
        <w:tab/>
      </w:r>
      <w:r w:rsidRPr="001F7842">
        <w:rPr>
          <w:noProof/>
          <w:webHidden/>
        </w:rPr>
        <w:tab/>
        <w:t>7</w:t>
      </w:r>
    </w:p>
    <w:p w14:paraId="40646054" w14:textId="0A5809EB"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7.5</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Last-mile access networks</w:t>
      </w:r>
      <w:r w:rsidRPr="001F7842">
        <w:rPr>
          <w:noProof/>
          <w:webHidden/>
        </w:rPr>
        <w:tab/>
      </w:r>
      <w:r w:rsidRPr="001F7842">
        <w:rPr>
          <w:noProof/>
          <w:webHidden/>
        </w:rPr>
        <w:tab/>
        <w:t>8</w:t>
      </w:r>
    </w:p>
    <w:p w14:paraId="65D0524D" w14:textId="0EABCA7E"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7.6</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Passive infrastructure</w:t>
      </w:r>
      <w:r w:rsidRPr="001F7842">
        <w:rPr>
          <w:noProof/>
          <w:webHidden/>
        </w:rPr>
        <w:tab/>
      </w:r>
      <w:r w:rsidRPr="001F7842">
        <w:rPr>
          <w:noProof/>
          <w:webHidden/>
        </w:rPr>
        <w:tab/>
        <w:t>9</w:t>
      </w:r>
    </w:p>
    <w:p w14:paraId="03F2415F" w14:textId="15172010"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7.7</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Customer premises equipment (CPE)</w:t>
      </w:r>
      <w:r w:rsidRPr="001F7842">
        <w:rPr>
          <w:noProof/>
          <w:webHidden/>
        </w:rPr>
        <w:tab/>
      </w:r>
      <w:r w:rsidRPr="001F7842">
        <w:rPr>
          <w:noProof/>
          <w:webHidden/>
        </w:rPr>
        <w:tab/>
        <w:t>9</w:t>
      </w:r>
    </w:p>
    <w:p w14:paraId="7FC2947A" w14:textId="06CAEAD2"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Cost optimization strategies across the supply chain</w:t>
      </w:r>
      <w:r w:rsidRPr="001F7842">
        <w:rPr>
          <w:noProof/>
          <w:webHidden/>
        </w:rPr>
        <w:tab/>
      </w:r>
      <w:r w:rsidRPr="001F7842">
        <w:rPr>
          <w:noProof/>
          <w:webHidden/>
        </w:rPr>
        <w:tab/>
        <w:t>10</w:t>
      </w:r>
    </w:p>
    <w:p w14:paraId="66C70AA6" w14:textId="053C87DC"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8.1</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International connectivity</w:t>
      </w:r>
      <w:r w:rsidRPr="001F7842">
        <w:rPr>
          <w:noProof/>
          <w:webHidden/>
        </w:rPr>
        <w:tab/>
      </w:r>
      <w:r w:rsidRPr="001F7842">
        <w:rPr>
          <w:noProof/>
          <w:webHidden/>
        </w:rPr>
        <w:tab/>
        <w:t>10</w:t>
      </w:r>
    </w:p>
    <w:p w14:paraId="7CF065BB" w14:textId="4A0CC076"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8.2</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National backbone network</w:t>
      </w:r>
      <w:r w:rsidRPr="001F7842">
        <w:rPr>
          <w:noProof/>
          <w:webHidden/>
        </w:rPr>
        <w:tab/>
      </w:r>
      <w:r w:rsidRPr="001F7842">
        <w:rPr>
          <w:noProof/>
          <w:webHidden/>
        </w:rPr>
        <w:tab/>
        <w:t>11</w:t>
      </w:r>
    </w:p>
    <w:p w14:paraId="2D7BB890" w14:textId="1308F37B"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8.3</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Interconnection and exchange infrastructure</w:t>
      </w:r>
      <w:r w:rsidRPr="001F7842">
        <w:rPr>
          <w:noProof/>
          <w:webHidden/>
        </w:rPr>
        <w:tab/>
      </w:r>
      <w:r w:rsidRPr="001F7842">
        <w:rPr>
          <w:noProof/>
          <w:webHidden/>
        </w:rPr>
        <w:tab/>
        <w:t>11</w:t>
      </w:r>
    </w:p>
    <w:p w14:paraId="7E642913" w14:textId="0B06B7BF"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8.4</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rPr>
        <w:t>Metro and middle-mile networks</w:t>
      </w:r>
      <w:r w:rsidRPr="001F7842">
        <w:rPr>
          <w:noProof/>
          <w:webHidden/>
        </w:rPr>
        <w:tab/>
      </w:r>
      <w:r w:rsidRPr="001F7842">
        <w:rPr>
          <w:noProof/>
          <w:webHidden/>
        </w:rPr>
        <w:tab/>
        <w:t>12</w:t>
      </w:r>
    </w:p>
    <w:p w14:paraId="6388CA04" w14:textId="70F9B147"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8.5</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Last-mile access networks</w:t>
      </w:r>
      <w:r w:rsidRPr="001F7842">
        <w:rPr>
          <w:noProof/>
          <w:webHidden/>
        </w:rPr>
        <w:tab/>
      </w:r>
      <w:r w:rsidRPr="001F7842">
        <w:rPr>
          <w:noProof/>
          <w:webHidden/>
        </w:rPr>
        <w:tab/>
        <w:t>12</w:t>
      </w:r>
    </w:p>
    <w:p w14:paraId="11BAEF12" w14:textId="63E6E2A3"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8.6</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Passive infrastructure</w:t>
      </w:r>
      <w:r w:rsidRPr="001F7842">
        <w:rPr>
          <w:noProof/>
          <w:webHidden/>
        </w:rPr>
        <w:tab/>
      </w:r>
      <w:r w:rsidRPr="001F7842">
        <w:rPr>
          <w:noProof/>
          <w:webHidden/>
        </w:rPr>
        <w:tab/>
        <w:t>12</w:t>
      </w:r>
    </w:p>
    <w:p w14:paraId="4B72436E" w14:textId="0CC4DC2C"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8.7</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Customer premises equipment (CPE)</w:t>
      </w:r>
      <w:r w:rsidRPr="001F7842">
        <w:rPr>
          <w:noProof/>
          <w:webHidden/>
        </w:rPr>
        <w:tab/>
      </w:r>
      <w:r w:rsidRPr="001F7842">
        <w:rPr>
          <w:noProof/>
          <w:webHidden/>
        </w:rPr>
        <w:tab/>
        <w:t>13</w:t>
      </w:r>
    </w:p>
    <w:p w14:paraId="7991AE25" w14:textId="2D48C956" w:rsidR="001F7842" w:rsidRPr="001F7842" w:rsidRDefault="001F7842">
      <w:pPr>
        <w:pStyle w:val="TOC2"/>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8.8</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Sustainability aspects of the telecom/ICT supply chain</w:t>
      </w:r>
      <w:r w:rsidRPr="001F7842">
        <w:rPr>
          <w:noProof/>
          <w:webHidden/>
        </w:rPr>
        <w:tab/>
      </w:r>
      <w:r w:rsidRPr="001F7842">
        <w:rPr>
          <w:noProof/>
          <w:webHidden/>
        </w:rPr>
        <w:tab/>
        <w:t>13</w:t>
      </w:r>
    </w:p>
    <w:p w14:paraId="64D2C3D1" w14:textId="2C3229C4" w:rsidR="001F7842" w:rsidRPr="001F7842" w:rsidRDefault="001F7842">
      <w:pPr>
        <w:pStyle w:val="TOC1"/>
        <w:rPr>
          <w:rFonts w:asciiTheme="minorHAnsi" w:eastAsiaTheme="minorEastAsia" w:hAnsiTheme="minorHAnsi" w:cstheme="minorBidi"/>
          <w:noProof/>
          <w:kern w:val="2"/>
          <w:szCs w:val="24"/>
          <w:lang w:eastAsia="en-GB"/>
          <w14:ligatures w14:val="standardContextual"/>
        </w:rPr>
      </w:pPr>
      <w:r w:rsidRPr="001F7842">
        <w:rPr>
          <w:rStyle w:val="Hyperlink"/>
          <w:noProof/>
          <w:color w:val="auto"/>
          <w:u w:val="none"/>
          <w:lang w:val="en-IN"/>
        </w:rPr>
        <w:t>9</w:t>
      </w:r>
      <w:r w:rsidRPr="001F7842">
        <w:rPr>
          <w:rFonts w:asciiTheme="minorHAnsi" w:eastAsiaTheme="minorEastAsia" w:hAnsiTheme="minorHAnsi" w:cstheme="minorBidi"/>
          <w:noProof/>
          <w:kern w:val="2"/>
          <w:szCs w:val="24"/>
          <w:lang w:eastAsia="en-GB"/>
          <w14:ligatures w14:val="standardContextual"/>
        </w:rPr>
        <w:tab/>
      </w:r>
      <w:r w:rsidRPr="001F7842">
        <w:rPr>
          <w:rStyle w:val="Hyperlink"/>
          <w:noProof/>
          <w:color w:val="auto"/>
          <w:u w:val="none"/>
          <w:lang w:val="en-IN"/>
        </w:rPr>
        <w:t>Conclusion</w:t>
      </w:r>
      <w:r w:rsidRPr="001F7842">
        <w:rPr>
          <w:noProof/>
          <w:webHidden/>
        </w:rPr>
        <w:tab/>
      </w:r>
      <w:r w:rsidRPr="001F7842">
        <w:rPr>
          <w:noProof/>
          <w:webHidden/>
        </w:rPr>
        <w:tab/>
        <w:t>13</w:t>
      </w:r>
    </w:p>
    <w:p w14:paraId="7BB80E1A" w14:textId="65E77E58" w:rsidR="001F7842" w:rsidRDefault="001F7842"/>
    <w:p w14:paraId="18D1ABED" w14:textId="77777777" w:rsidR="00AB3A43" w:rsidRDefault="00AB3A43">
      <w:pPr>
        <w:sectPr w:rsidR="00AB3A43" w:rsidSect="00AB3A43">
          <w:footerReference w:type="even" r:id="rId23"/>
          <w:footerReference w:type="default" r:id="rId24"/>
          <w:footerReference w:type="first" r:id="rId25"/>
          <w:pgSz w:w="11907" w:h="16840" w:code="9"/>
          <w:pgMar w:top="1134" w:right="1134" w:bottom="1134" w:left="1134" w:header="567" w:footer="567" w:gutter="0"/>
          <w:pgNumType w:fmt="lowerRoman" w:start="1"/>
          <w:cols w:space="720"/>
          <w:titlePg/>
          <w:docGrid w:linePitch="326"/>
        </w:sectPr>
      </w:pPr>
    </w:p>
    <w:p w14:paraId="3214C061" w14:textId="5925AE1C" w:rsidR="007F0695" w:rsidRPr="00A25E56" w:rsidRDefault="007F0695" w:rsidP="007F0695">
      <w:pPr>
        <w:pStyle w:val="RecNo"/>
      </w:pPr>
      <w:bookmarkStart w:id="22" w:name="_Toc401158818"/>
      <w:bookmarkStart w:id="23" w:name="_Toc210208971"/>
      <w:r>
        <w:lastRenderedPageBreak/>
        <w:t xml:space="preserve">Technical Report </w:t>
      </w:r>
      <w:r w:rsidR="00863A53" w:rsidRPr="00863A53">
        <w:t>ITU FG-CD-D4</w:t>
      </w:r>
    </w:p>
    <w:p w14:paraId="61251836" w14:textId="4E5B886B" w:rsidR="007F0695" w:rsidRDefault="007F0695" w:rsidP="007F0695">
      <w:pPr>
        <w:pStyle w:val="Rectitle"/>
      </w:pPr>
      <w:r w:rsidRPr="00A25E56">
        <w:rPr>
          <w:bCs/>
        </w:rPr>
        <w:t xml:space="preserve">Supply chain of telecom/ICT infrastructure related to international </w:t>
      </w:r>
      <w:r w:rsidR="007020CE" w:rsidRPr="00A25E56">
        <w:rPr>
          <w:bCs/>
        </w:rPr>
        <w:t xml:space="preserve">Internet </w:t>
      </w:r>
      <w:r w:rsidRPr="00A25E56">
        <w:rPr>
          <w:bCs/>
        </w:rPr>
        <w:t>connectivity costs enabling affordable data services</w:t>
      </w:r>
    </w:p>
    <w:p w14:paraId="50626E5F" w14:textId="6D06E4EB" w:rsidR="0054018A" w:rsidRPr="00A455BC" w:rsidRDefault="00555329" w:rsidP="00555329">
      <w:pPr>
        <w:pStyle w:val="Heading1"/>
        <w:rPr>
          <w:rFonts w:eastAsia="MS Mincho"/>
          <w:lang w:eastAsia="ja-JP" w:bidi="ar-DZ"/>
        </w:rPr>
      </w:pPr>
      <w:bookmarkStart w:id="24" w:name="_Toc239941076"/>
      <w:bookmarkStart w:id="25" w:name="_Toc239947935"/>
      <w:r>
        <w:rPr>
          <w:lang w:bidi="ar-DZ"/>
        </w:rPr>
        <w:t>1</w:t>
      </w:r>
      <w:r>
        <w:rPr>
          <w:lang w:bidi="ar-DZ"/>
        </w:rPr>
        <w:tab/>
      </w:r>
      <w:r w:rsidR="0054018A" w:rsidRPr="00555329">
        <w:rPr>
          <w:lang w:bidi="ar-DZ"/>
        </w:rPr>
        <w:t>Scope</w:t>
      </w:r>
      <w:bookmarkEnd w:id="22"/>
      <w:bookmarkEnd w:id="23"/>
      <w:bookmarkEnd w:id="24"/>
      <w:bookmarkEnd w:id="25"/>
    </w:p>
    <w:p w14:paraId="73E799E6" w14:textId="771790DE" w:rsidR="00B35180" w:rsidRDefault="00B35180" w:rsidP="00555329">
      <w:pPr>
        <w:rPr>
          <w:lang w:bidi="ar-DZ"/>
        </w:rPr>
      </w:pPr>
      <w:r w:rsidRPr="00B35180">
        <w:rPr>
          <w:lang w:bidi="ar-DZ"/>
        </w:rPr>
        <w:t xml:space="preserve">The scope of this </w:t>
      </w:r>
      <w:r w:rsidR="00863A53" w:rsidRPr="00863A53">
        <w:rPr>
          <w:lang w:bidi="ar-DZ"/>
        </w:rPr>
        <w:t xml:space="preserve">Technical Report </w:t>
      </w:r>
      <w:r w:rsidRPr="00B35180">
        <w:rPr>
          <w:lang w:bidi="ar-DZ"/>
        </w:rPr>
        <w:t>is twofold:</w:t>
      </w:r>
    </w:p>
    <w:p w14:paraId="14D5823F" w14:textId="509D4CA0" w:rsidR="00B35180" w:rsidRDefault="00555329" w:rsidP="00555329">
      <w:pPr>
        <w:pStyle w:val="enumlev1"/>
        <w:rPr>
          <w:lang w:bidi="ar-DZ"/>
        </w:rPr>
      </w:pPr>
      <w:r>
        <w:rPr>
          <w:lang w:bidi="ar-DZ"/>
        </w:rPr>
        <w:t>•</w:t>
      </w:r>
      <w:r>
        <w:rPr>
          <w:lang w:bidi="ar-DZ"/>
        </w:rPr>
        <w:tab/>
      </w:r>
      <w:r w:rsidR="00B35180">
        <w:rPr>
          <w:lang w:bidi="ar-DZ"/>
        </w:rPr>
        <w:t>To identify the various layers and components that make up the value chain of the Internet and prepare a terminology and taxonomy of the supply chain of telecom/</w:t>
      </w:r>
      <w:r w:rsidR="000532FD">
        <w:rPr>
          <w:lang w:val="en-IN" w:eastAsia="en-IN"/>
        </w:rPr>
        <w:t>i</w:t>
      </w:r>
      <w:r w:rsidR="003A159F" w:rsidRPr="00550655">
        <w:rPr>
          <w:lang w:val="en-IN" w:eastAsia="en-IN"/>
        </w:rPr>
        <w:t xml:space="preserve">nformation and </w:t>
      </w:r>
      <w:r w:rsidR="000532FD">
        <w:rPr>
          <w:lang w:val="en-IN" w:eastAsia="en-IN"/>
        </w:rPr>
        <w:t>c</w:t>
      </w:r>
      <w:r w:rsidR="003A159F" w:rsidRPr="00550655">
        <w:rPr>
          <w:lang w:val="en-IN" w:eastAsia="en-IN"/>
        </w:rPr>
        <w:t xml:space="preserve">ommunication </w:t>
      </w:r>
      <w:r w:rsidR="000532FD">
        <w:rPr>
          <w:lang w:val="en-IN" w:eastAsia="en-IN"/>
        </w:rPr>
        <w:t>t</w:t>
      </w:r>
      <w:r w:rsidR="003A159F" w:rsidRPr="00550655">
        <w:rPr>
          <w:lang w:val="en-IN" w:eastAsia="en-IN"/>
        </w:rPr>
        <w:t>echnology</w:t>
      </w:r>
      <w:r w:rsidR="003A159F">
        <w:rPr>
          <w:lang w:bidi="ar-DZ"/>
        </w:rPr>
        <w:t xml:space="preserve"> (</w:t>
      </w:r>
      <w:r w:rsidR="00B35180">
        <w:rPr>
          <w:lang w:bidi="ar-DZ"/>
        </w:rPr>
        <w:t>ICT</w:t>
      </w:r>
      <w:r w:rsidR="003A159F">
        <w:rPr>
          <w:lang w:bidi="ar-DZ"/>
        </w:rPr>
        <w:t>)</w:t>
      </w:r>
      <w:r w:rsidR="00B35180">
        <w:rPr>
          <w:lang w:bidi="ar-DZ"/>
        </w:rPr>
        <w:t xml:space="preserve"> infrastructure related to cost models for affordable data services. This includes providing clarification on related terms and concepts and analysing how each segment contributes to </w:t>
      </w:r>
      <w:r w:rsidR="0085354C">
        <w:rPr>
          <w:lang w:bidi="ar-DZ"/>
        </w:rPr>
        <w:t xml:space="preserve">the </w:t>
      </w:r>
      <w:r w:rsidR="00B35180">
        <w:rPr>
          <w:lang w:bidi="ar-DZ"/>
        </w:rPr>
        <w:t>overall affordability.</w:t>
      </w:r>
    </w:p>
    <w:p w14:paraId="6F1C5D73" w14:textId="3CFEB2FB" w:rsidR="00B35180" w:rsidRDefault="00555329" w:rsidP="00555329">
      <w:pPr>
        <w:pStyle w:val="enumlev1"/>
        <w:rPr>
          <w:lang w:bidi="ar-DZ"/>
        </w:rPr>
      </w:pPr>
      <w:r>
        <w:rPr>
          <w:lang w:bidi="ar-DZ"/>
        </w:rPr>
        <w:t>•</w:t>
      </w:r>
      <w:r>
        <w:rPr>
          <w:lang w:bidi="ar-DZ"/>
        </w:rPr>
        <w:tab/>
      </w:r>
      <w:r w:rsidR="00B35180">
        <w:rPr>
          <w:lang w:bidi="ar-DZ"/>
        </w:rPr>
        <w:t xml:space="preserve">To study the policy, economic, competition, regulatory, standardization, and sustainability aspects of international </w:t>
      </w:r>
      <w:r w:rsidR="007020CE">
        <w:rPr>
          <w:lang w:bidi="ar-DZ"/>
        </w:rPr>
        <w:t xml:space="preserve">Internet </w:t>
      </w:r>
      <w:r w:rsidR="00B35180">
        <w:rPr>
          <w:lang w:bidi="ar-DZ"/>
        </w:rPr>
        <w:t xml:space="preserve">connectivity (IIC) costs, especially in unserved and underserved areas, and to provide suitable recommendations. Comparative insights will be drawn from </w:t>
      </w:r>
      <w:r w:rsidR="00043316" w:rsidRPr="00550655">
        <w:rPr>
          <w:lang w:val="en-IN" w:eastAsia="en-IN"/>
        </w:rPr>
        <w:t>Brazil, Russia, India, China, South Africa</w:t>
      </w:r>
      <w:r w:rsidR="00043316">
        <w:rPr>
          <w:lang w:bidi="ar-DZ"/>
        </w:rPr>
        <w:t xml:space="preserve"> (</w:t>
      </w:r>
      <w:r w:rsidR="00B35180">
        <w:rPr>
          <w:lang w:bidi="ar-DZ"/>
        </w:rPr>
        <w:t>BRICS</w:t>
      </w:r>
      <w:r w:rsidR="00043316">
        <w:rPr>
          <w:lang w:bidi="ar-DZ"/>
        </w:rPr>
        <w:t>)</w:t>
      </w:r>
      <w:r w:rsidR="00B35180">
        <w:rPr>
          <w:lang w:bidi="ar-DZ"/>
        </w:rPr>
        <w:t xml:space="preserve">, G20, and BIMSTEC nations, with attention to South-South cooperation and long-term strategic plans for international </w:t>
      </w:r>
      <w:r w:rsidR="007020CE">
        <w:rPr>
          <w:lang w:bidi="ar-DZ"/>
        </w:rPr>
        <w:t xml:space="preserve">Internet </w:t>
      </w:r>
      <w:r w:rsidR="00B35180">
        <w:rPr>
          <w:lang w:bidi="ar-DZ"/>
        </w:rPr>
        <w:t>connectivity.</w:t>
      </w:r>
    </w:p>
    <w:p w14:paraId="6B31241A" w14:textId="54D4EBD7" w:rsidR="0054018A" w:rsidRPr="00341B39" w:rsidRDefault="00B35180" w:rsidP="00B35180">
      <w:r w:rsidRPr="00B35180">
        <w:rPr>
          <w:lang w:bidi="ar-DZ"/>
        </w:rPr>
        <w:t>By integrating these perspectives, the report aims to provide a comprehensive view that links supply chain cost structures with policy and regulatory frameworks, enabling more effective strategies to improve affordability and resilience of data services</w:t>
      </w:r>
      <w:r w:rsidR="0054018A" w:rsidRPr="00341B39">
        <w:t>.</w:t>
      </w:r>
    </w:p>
    <w:p w14:paraId="5742E15F" w14:textId="13ABFE4D" w:rsidR="0054018A" w:rsidRDefault="00555329" w:rsidP="00555329">
      <w:pPr>
        <w:pStyle w:val="Heading1"/>
        <w:rPr>
          <w:rFonts w:eastAsia="MS Mincho"/>
          <w:lang w:eastAsia="ja-JP" w:bidi="ar-DZ"/>
        </w:rPr>
      </w:pPr>
      <w:bookmarkStart w:id="26" w:name="_Toc401158819"/>
      <w:bookmarkStart w:id="27" w:name="_Toc210208972"/>
      <w:bookmarkStart w:id="28" w:name="_Toc239941077"/>
      <w:bookmarkStart w:id="29" w:name="_Toc239947936"/>
      <w:r>
        <w:rPr>
          <w:lang w:bidi="ar-DZ"/>
        </w:rPr>
        <w:t>2</w:t>
      </w:r>
      <w:r>
        <w:rPr>
          <w:lang w:bidi="ar-DZ"/>
        </w:rPr>
        <w:tab/>
      </w:r>
      <w:r w:rsidR="0054018A" w:rsidRPr="00555329">
        <w:rPr>
          <w:lang w:bidi="ar-DZ"/>
        </w:rPr>
        <w:t>References</w:t>
      </w:r>
      <w:bookmarkEnd w:id="26"/>
      <w:bookmarkEnd w:id="27"/>
      <w:bookmarkEnd w:id="28"/>
      <w:bookmarkEnd w:id="29"/>
    </w:p>
    <w:p w14:paraId="35D9AA57" w14:textId="77777777" w:rsidR="00555329" w:rsidRPr="00555329" w:rsidRDefault="003E04D0" w:rsidP="00555329">
      <w:pPr>
        <w:rPr>
          <w:lang w:eastAsia="ja-JP" w:bidi="ar-DZ"/>
        </w:rPr>
      </w:pPr>
      <w:r w:rsidRPr="00555329">
        <w:rPr>
          <w:lang w:eastAsia="ja-JP" w:bidi="ar-DZ"/>
        </w:rPr>
        <w:t>None.</w:t>
      </w:r>
    </w:p>
    <w:p w14:paraId="3B78F982" w14:textId="7E8D7B71" w:rsidR="0054018A" w:rsidRPr="001827E1" w:rsidRDefault="001827E1" w:rsidP="001827E1">
      <w:pPr>
        <w:pStyle w:val="Heading1"/>
        <w:rPr>
          <w:lang w:bidi="ar-DZ"/>
        </w:rPr>
      </w:pPr>
      <w:bookmarkStart w:id="30" w:name="_Toc401158820"/>
      <w:bookmarkStart w:id="31" w:name="_Toc210208973"/>
      <w:bookmarkStart w:id="32" w:name="_Toc239941078"/>
      <w:bookmarkStart w:id="33" w:name="_Toc239947937"/>
      <w:r>
        <w:rPr>
          <w:lang w:bidi="ar-DZ"/>
        </w:rPr>
        <w:t>3</w:t>
      </w:r>
      <w:r>
        <w:rPr>
          <w:lang w:bidi="ar-DZ"/>
        </w:rPr>
        <w:tab/>
        <w:t>D</w:t>
      </w:r>
      <w:r w:rsidR="0054018A" w:rsidRPr="001827E1">
        <w:rPr>
          <w:lang w:bidi="ar-DZ"/>
        </w:rPr>
        <w:t>efinitions</w:t>
      </w:r>
      <w:bookmarkEnd w:id="30"/>
      <w:bookmarkEnd w:id="31"/>
      <w:bookmarkEnd w:id="32"/>
      <w:bookmarkEnd w:id="33"/>
    </w:p>
    <w:p w14:paraId="1CDF4AE1" w14:textId="32835F61" w:rsidR="00550655" w:rsidRPr="00550655" w:rsidRDefault="00A455BC" w:rsidP="001827E1">
      <w:pPr>
        <w:pStyle w:val="Heading2"/>
      </w:pPr>
      <w:bookmarkStart w:id="34" w:name="_Toc401158821"/>
      <w:bookmarkStart w:id="35" w:name="_Toc210208974"/>
      <w:bookmarkStart w:id="36" w:name="_Toc239941079"/>
      <w:bookmarkStart w:id="37" w:name="_Toc239947938"/>
      <w:r w:rsidRPr="00341B39">
        <w:t>3.</w:t>
      </w:r>
      <w:r w:rsidR="00D6418E">
        <w:rPr>
          <w:noProof/>
        </w:rPr>
        <w:t>1</w:t>
      </w:r>
      <w:r w:rsidR="001827E1">
        <w:tab/>
      </w:r>
      <w:r w:rsidR="0054018A" w:rsidRPr="00341B39">
        <w:rPr>
          <w:rFonts w:eastAsia="MS Mincho"/>
          <w:lang w:eastAsia="ja-JP" w:bidi="ar-DZ"/>
        </w:rPr>
        <w:t>Terms defined elsewhere</w:t>
      </w:r>
      <w:bookmarkStart w:id="38" w:name="_Toc401158822"/>
      <w:bookmarkEnd w:id="34"/>
      <w:bookmarkEnd w:id="35"/>
      <w:bookmarkEnd w:id="36"/>
      <w:bookmarkEnd w:id="37"/>
    </w:p>
    <w:p w14:paraId="40856EB9" w14:textId="14C5A885" w:rsidR="00440982" w:rsidRPr="001827E1" w:rsidRDefault="00440982" w:rsidP="001827E1">
      <w:r w:rsidRPr="001827E1">
        <w:t>None.</w:t>
      </w:r>
    </w:p>
    <w:p w14:paraId="18413088" w14:textId="613159CD" w:rsidR="00550655" w:rsidRPr="001827E1" w:rsidRDefault="007A5320" w:rsidP="001827E1">
      <w:pPr>
        <w:pStyle w:val="Heading2"/>
        <w:rPr>
          <w:lang w:bidi="ar-DZ"/>
        </w:rPr>
      </w:pPr>
      <w:bookmarkStart w:id="39" w:name="_Toc210208975"/>
      <w:bookmarkStart w:id="40" w:name="_Toc239941080"/>
      <w:bookmarkStart w:id="41" w:name="_Toc239947939"/>
      <w:bookmarkEnd w:id="38"/>
      <w:r w:rsidRPr="001827E1">
        <w:t>3.2</w:t>
      </w:r>
      <w:r w:rsidR="001827E1" w:rsidRPr="001827E1">
        <w:tab/>
      </w:r>
      <w:r w:rsidRPr="001827E1">
        <w:t>Terms</w:t>
      </w:r>
      <w:r w:rsidR="00550655" w:rsidRPr="001827E1">
        <w:rPr>
          <w:lang w:bidi="ar-DZ"/>
        </w:rPr>
        <w:t xml:space="preserve"> defined </w:t>
      </w:r>
      <w:bookmarkEnd w:id="39"/>
      <w:bookmarkEnd w:id="40"/>
      <w:r w:rsidR="00863A53">
        <w:rPr>
          <w:lang w:bidi="ar-DZ"/>
        </w:rPr>
        <w:t xml:space="preserve">in this </w:t>
      </w:r>
      <w:r w:rsidR="00863A53" w:rsidRPr="00863A53">
        <w:rPr>
          <w:lang w:bidi="ar-DZ"/>
        </w:rPr>
        <w:t>Technical Report</w:t>
      </w:r>
      <w:bookmarkEnd w:id="41"/>
    </w:p>
    <w:p w14:paraId="2C00AC40" w14:textId="77777777" w:rsidR="0054018A" w:rsidRPr="001827E1" w:rsidRDefault="0054018A" w:rsidP="001827E1">
      <w:r w:rsidRPr="001827E1">
        <w:t>This Technical Report defines the following terms:</w:t>
      </w:r>
    </w:p>
    <w:p w14:paraId="0A7E6D4E" w14:textId="0C8198FE" w:rsidR="00550655" w:rsidRPr="00550655" w:rsidRDefault="0054018A" w:rsidP="00550655">
      <w:r w:rsidRPr="00341B39">
        <w:rPr>
          <w:b/>
          <w:bCs/>
        </w:rPr>
        <w:t>3.</w:t>
      </w:r>
      <w:r w:rsidR="00A455BC" w:rsidRPr="00341B39">
        <w:rPr>
          <w:b/>
          <w:bCs/>
        </w:rPr>
        <w:t>2</w:t>
      </w:r>
      <w:r w:rsidRPr="00341B39">
        <w:rPr>
          <w:b/>
          <w:bCs/>
        </w:rPr>
        <w:t>.</w:t>
      </w:r>
      <w:r w:rsidR="00D6418E">
        <w:rPr>
          <w:b/>
          <w:bCs/>
          <w:noProof/>
        </w:rPr>
        <w:t>1</w:t>
      </w:r>
      <w:r w:rsidRPr="00341B39">
        <w:rPr>
          <w:b/>
          <w:bCs/>
        </w:rPr>
        <w:tab/>
      </w:r>
      <w:r w:rsidR="008B5816" w:rsidRPr="00550655">
        <w:rPr>
          <w:b/>
          <w:bCs/>
        </w:rPr>
        <w:t>c</w:t>
      </w:r>
      <w:r w:rsidR="00070F09" w:rsidRPr="00550655">
        <w:rPr>
          <w:b/>
          <w:bCs/>
        </w:rPr>
        <w:t>ost optimization strategies</w:t>
      </w:r>
      <w:r w:rsidR="00070F09" w:rsidRPr="004D70BF">
        <w:t xml:space="preserve">: </w:t>
      </w:r>
      <w:r w:rsidR="00070F09" w:rsidRPr="00550655">
        <w:t>Policy, technical, and operational measures aimed at reducing capital and operating costs across the ICT supply chain, while maintaining service quality and sustainability.</w:t>
      </w:r>
    </w:p>
    <w:p w14:paraId="7B002C01" w14:textId="18F78F94" w:rsidR="00550655" w:rsidRPr="00550655" w:rsidRDefault="00550655" w:rsidP="00550655">
      <w:r w:rsidRPr="00550655">
        <w:rPr>
          <w:b/>
          <w:bCs/>
        </w:rPr>
        <w:t>3.2.2</w:t>
      </w:r>
      <w:r w:rsidR="008B5816">
        <w:rPr>
          <w:b/>
          <w:bCs/>
        </w:rPr>
        <w:tab/>
      </w:r>
      <w:r w:rsidR="008B5816" w:rsidRPr="00550655">
        <w:rPr>
          <w:b/>
          <w:bCs/>
        </w:rPr>
        <w:t>m</w:t>
      </w:r>
      <w:r w:rsidRPr="00550655">
        <w:rPr>
          <w:b/>
          <w:bCs/>
        </w:rPr>
        <w:t xml:space="preserve">eaningful </w:t>
      </w:r>
      <w:r w:rsidR="00621448">
        <w:rPr>
          <w:b/>
          <w:bCs/>
        </w:rPr>
        <w:t>c</w:t>
      </w:r>
      <w:r w:rsidRPr="00550655">
        <w:rPr>
          <w:b/>
          <w:bCs/>
        </w:rPr>
        <w:t>onnectivity</w:t>
      </w:r>
      <w:r w:rsidRPr="00D628F4">
        <w:t xml:space="preserve">: </w:t>
      </w:r>
      <w:r w:rsidRPr="00550655">
        <w:t xml:space="preserve">A state of broadband access that is affordable, reliable, and of sufficient quality to enable effective participation in the digital economy, aligned with </w:t>
      </w:r>
      <w:r w:rsidR="00121703" w:rsidRPr="00550655">
        <w:rPr>
          <w:szCs w:val="24"/>
          <w:lang w:val="en-IN" w:eastAsia="en-IN"/>
        </w:rPr>
        <w:t>International Telecommunication Union</w:t>
      </w:r>
      <w:r w:rsidR="00121703" w:rsidRPr="00550655">
        <w:t xml:space="preserve"> </w:t>
      </w:r>
      <w:r w:rsidR="00121703">
        <w:t>(</w:t>
      </w:r>
      <w:r w:rsidRPr="00550655">
        <w:t>ITU</w:t>
      </w:r>
      <w:r w:rsidR="00121703">
        <w:t>)</w:t>
      </w:r>
      <w:r w:rsidRPr="00550655">
        <w:t xml:space="preserve"> and IGF definitions.</w:t>
      </w:r>
    </w:p>
    <w:p w14:paraId="68827990" w14:textId="2C5BDFA2" w:rsidR="00550655" w:rsidRPr="00550655" w:rsidRDefault="00550655" w:rsidP="00550655">
      <w:r w:rsidRPr="00550655">
        <w:rPr>
          <w:b/>
          <w:bCs/>
        </w:rPr>
        <w:t>3.2.3</w:t>
      </w:r>
      <w:r w:rsidR="008B5816">
        <w:rPr>
          <w:b/>
          <w:bCs/>
        </w:rPr>
        <w:tab/>
      </w:r>
      <w:r w:rsidR="008B5816" w:rsidRPr="00550655">
        <w:rPr>
          <w:b/>
          <w:bCs/>
        </w:rPr>
        <w:t xml:space="preserve">supply </w:t>
      </w:r>
      <w:r w:rsidR="00070F09" w:rsidRPr="00550655">
        <w:rPr>
          <w:b/>
          <w:bCs/>
        </w:rPr>
        <w:t>chain of telecom/ICT infrastructure</w:t>
      </w:r>
      <w:r w:rsidR="00070F09" w:rsidRPr="004D70BF">
        <w:t>:</w:t>
      </w:r>
      <w:r w:rsidR="00070F09" w:rsidRPr="00863A53">
        <w:t xml:space="preserve"> </w:t>
      </w:r>
      <w:r w:rsidR="00070F09" w:rsidRPr="00550655">
        <w:t>The layered structure of international, national, and local network components, including supporting passive and customer equipment, that together enable affordable broadband connectivity.</w:t>
      </w:r>
    </w:p>
    <w:p w14:paraId="30DCE67F" w14:textId="6C74AC72" w:rsidR="0054018A" w:rsidRDefault="00550655" w:rsidP="00550655">
      <w:r w:rsidRPr="00550655">
        <w:rPr>
          <w:b/>
          <w:bCs/>
        </w:rPr>
        <w:t>3.2.4</w:t>
      </w:r>
      <w:r w:rsidR="008B5816">
        <w:rPr>
          <w:b/>
          <w:bCs/>
        </w:rPr>
        <w:tab/>
      </w:r>
      <w:r w:rsidR="008B5816" w:rsidRPr="00550655">
        <w:rPr>
          <w:b/>
          <w:bCs/>
        </w:rPr>
        <w:t xml:space="preserve">sustainability </w:t>
      </w:r>
      <w:r w:rsidRPr="00550655">
        <w:rPr>
          <w:b/>
          <w:bCs/>
        </w:rPr>
        <w:t>aspects in ICT</w:t>
      </w:r>
      <w:r w:rsidRPr="00D628F4">
        <w:t xml:space="preserve">: </w:t>
      </w:r>
      <w:r w:rsidRPr="00550655">
        <w:t>Environmental and energy-related measures, such as e-waste management, renewable integration, and green networking, that influence both costs and long-term resilience of telecom infrastructure.</w:t>
      </w:r>
    </w:p>
    <w:p w14:paraId="433EE091" w14:textId="11D7515E" w:rsidR="003B413D" w:rsidRPr="003B413D" w:rsidRDefault="008B5816" w:rsidP="008B5816">
      <w:pPr>
        <w:pStyle w:val="Heading1"/>
        <w:rPr>
          <w:rFonts w:eastAsia="MS Mincho"/>
          <w:lang w:eastAsia="ja-JP" w:bidi="ar-DZ"/>
        </w:rPr>
      </w:pPr>
      <w:bookmarkStart w:id="42" w:name="_Toc239941081"/>
      <w:bookmarkStart w:id="43" w:name="_Toc239947940"/>
      <w:r>
        <w:rPr>
          <w:lang w:bidi="ar-DZ"/>
        </w:rPr>
        <w:lastRenderedPageBreak/>
        <w:t>4</w:t>
      </w:r>
      <w:r>
        <w:rPr>
          <w:lang w:bidi="ar-DZ"/>
        </w:rPr>
        <w:tab/>
      </w:r>
      <w:r w:rsidRPr="008B5816">
        <w:rPr>
          <w:lang w:bidi="ar-DZ"/>
        </w:rPr>
        <w:t>Abbreviations and acronyms</w:t>
      </w:r>
      <w:bookmarkEnd w:id="42"/>
      <w:bookmarkEnd w:id="43"/>
    </w:p>
    <w:p w14:paraId="7A1D320B" w14:textId="77777777" w:rsidR="00D6418E" w:rsidRDefault="00D6418E" w:rsidP="00D6418E">
      <w:r>
        <w:t>This Technical Report uses the following abbreviations:</w:t>
      </w:r>
    </w:p>
    <w:p w14:paraId="18778D66" w14:textId="77777777" w:rsidR="00D6418E" w:rsidRPr="00550655" w:rsidRDefault="00D6418E" w:rsidP="00D6418E">
      <w:pPr>
        <w:tabs>
          <w:tab w:val="clear" w:pos="794"/>
        </w:tabs>
        <w:rPr>
          <w:lang w:val="en-IN" w:eastAsia="en-IN"/>
        </w:rPr>
      </w:pPr>
      <w:r w:rsidRPr="00550655">
        <w:rPr>
          <w:lang w:val="en-IN" w:eastAsia="en-IN"/>
        </w:rPr>
        <w:t>APEC</w:t>
      </w:r>
      <w:r w:rsidRPr="00550655">
        <w:rPr>
          <w:lang w:val="en-IN" w:eastAsia="en-IN"/>
        </w:rPr>
        <w:tab/>
        <w:t>Asia-Pacific Economic Cooperation</w:t>
      </w:r>
    </w:p>
    <w:p w14:paraId="3D783049" w14:textId="77777777" w:rsidR="00D6418E" w:rsidRPr="00550655" w:rsidRDefault="00D6418E" w:rsidP="00D6418E">
      <w:pPr>
        <w:tabs>
          <w:tab w:val="clear" w:pos="794"/>
        </w:tabs>
        <w:rPr>
          <w:lang w:val="en-IN" w:eastAsia="en-IN"/>
        </w:rPr>
      </w:pPr>
      <w:r w:rsidRPr="00550655">
        <w:rPr>
          <w:lang w:val="en-IN" w:eastAsia="en-IN"/>
        </w:rPr>
        <w:t>BCP</w:t>
      </w:r>
      <w:r w:rsidRPr="00550655">
        <w:rPr>
          <w:lang w:val="en-IN" w:eastAsia="en-IN"/>
        </w:rPr>
        <w:tab/>
        <w:t>Best Current Practice</w:t>
      </w:r>
    </w:p>
    <w:p w14:paraId="46E13D21" w14:textId="77777777" w:rsidR="00D6418E" w:rsidRPr="00550655" w:rsidRDefault="00D6418E" w:rsidP="00D6418E">
      <w:pPr>
        <w:tabs>
          <w:tab w:val="clear" w:pos="794"/>
        </w:tabs>
        <w:rPr>
          <w:lang w:val="en-IN" w:eastAsia="en-IN"/>
        </w:rPr>
      </w:pPr>
      <w:r w:rsidRPr="00550655">
        <w:rPr>
          <w:lang w:val="en-IN" w:eastAsia="en-IN"/>
        </w:rPr>
        <w:t>BRICS</w:t>
      </w:r>
      <w:r w:rsidRPr="00550655">
        <w:rPr>
          <w:lang w:val="en-IN" w:eastAsia="en-IN"/>
        </w:rPr>
        <w:tab/>
        <w:t>Brazil, Russia, India, China, South Africa</w:t>
      </w:r>
    </w:p>
    <w:p w14:paraId="49F3084F" w14:textId="77777777" w:rsidR="00D6418E" w:rsidRPr="00550655" w:rsidRDefault="00D6418E" w:rsidP="00D6418E">
      <w:pPr>
        <w:tabs>
          <w:tab w:val="clear" w:pos="794"/>
        </w:tabs>
        <w:rPr>
          <w:lang w:val="en-IN" w:eastAsia="en-IN"/>
        </w:rPr>
      </w:pPr>
      <w:r w:rsidRPr="00550655">
        <w:rPr>
          <w:lang w:val="en-IN" w:eastAsia="en-IN"/>
        </w:rPr>
        <w:t>CAK</w:t>
      </w:r>
      <w:r w:rsidRPr="00550655">
        <w:rPr>
          <w:lang w:val="en-IN" w:eastAsia="en-IN"/>
        </w:rPr>
        <w:tab/>
        <w:t>Communications Authority of Kenya</w:t>
      </w:r>
    </w:p>
    <w:p w14:paraId="0B929911" w14:textId="77777777" w:rsidR="00D6418E" w:rsidRPr="00550655" w:rsidRDefault="00D6418E" w:rsidP="00D6418E">
      <w:pPr>
        <w:tabs>
          <w:tab w:val="clear" w:pos="794"/>
        </w:tabs>
        <w:rPr>
          <w:lang w:val="en-IN" w:eastAsia="en-IN"/>
        </w:rPr>
      </w:pPr>
      <w:r w:rsidRPr="00550655">
        <w:rPr>
          <w:lang w:val="en-IN" w:eastAsia="en-IN"/>
        </w:rPr>
        <w:t>CPE</w:t>
      </w:r>
      <w:r w:rsidRPr="00550655">
        <w:rPr>
          <w:lang w:val="en-IN" w:eastAsia="en-IN"/>
        </w:rPr>
        <w:tab/>
        <w:t>Customer Premises Equipment</w:t>
      </w:r>
    </w:p>
    <w:p w14:paraId="1206D6E7" w14:textId="77777777" w:rsidR="00D6418E" w:rsidRPr="00550655" w:rsidRDefault="00D6418E" w:rsidP="00D6418E">
      <w:pPr>
        <w:tabs>
          <w:tab w:val="clear" w:pos="794"/>
        </w:tabs>
        <w:rPr>
          <w:lang w:val="en-IN" w:eastAsia="en-IN"/>
        </w:rPr>
      </w:pPr>
      <w:r w:rsidRPr="00550655">
        <w:rPr>
          <w:lang w:val="en-IN" w:eastAsia="en-IN"/>
        </w:rPr>
        <w:t>DoT</w:t>
      </w:r>
      <w:r w:rsidRPr="00550655">
        <w:rPr>
          <w:lang w:val="en-IN" w:eastAsia="en-IN"/>
        </w:rPr>
        <w:tab/>
        <w:t>Department of Telecommunications (India)</w:t>
      </w:r>
    </w:p>
    <w:p w14:paraId="2B6F1876" w14:textId="77777777" w:rsidR="00D6418E" w:rsidRPr="00550655" w:rsidRDefault="00D6418E" w:rsidP="00D6418E">
      <w:pPr>
        <w:tabs>
          <w:tab w:val="clear" w:pos="794"/>
        </w:tabs>
        <w:rPr>
          <w:lang w:val="en-IN" w:eastAsia="en-IN"/>
        </w:rPr>
      </w:pPr>
      <w:r w:rsidRPr="00550655">
        <w:rPr>
          <w:lang w:val="en-IN" w:eastAsia="en-IN"/>
        </w:rPr>
        <w:t>DSL</w:t>
      </w:r>
      <w:r w:rsidRPr="00550655">
        <w:rPr>
          <w:lang w:val="en-IN" w:eastAsia="en-IN"/>
        </w:rPr>
        <w:tab/>
        <w:t>Digital Subscriber Line</w:t>
      </w:r>
    </w:p>
    <w:p w14:paraId="600A37B7" w14:textId="77777777" w:rsidR="00D6418E" w:rsidRPr="00550655" w:rsidRDefault="00D6418E" w:rsidP="00D6418E">
      <w:pPr>
        <w:tabs>
          <w:tab w:val="clear" w:pos="794"/>
        </w:tabs>
        <w:rPr>
          <w:lang w:val="en-IN" w:eastAsia="en-IN"/>
        </w:rPr>
      </w:pPr>
      <w:r w:rsidRPr="00550655">
        <w:rPr>
          <w:lang w:val="en-IN" w:eastAsia="en-IN"/>
        </w:rPr>
        <w:t>FTTH</w:t>
      </w:r>
      <w:r w:rsidRPr="00550655">
        <w:rPr>
          <w:lang w:val="en-IN" w:eastAsia="en-IN"/>
        </w:rPr>
        <w:tab/>
        <w:t>Fib</w:t>
      </w:r>
      <w:r>
        <w:rPr>
          <w:lang w:val="en-IN" w:eastAsia="en-IN"/>
        </w:rPr>
        <w:t>r</w:t>
      </w:r>
      <w:r w:rsidRPr="00550655">
        <w:rPr>
          <w:lang w:val="en-IN" w:eastAsia="en-IN"/>
        </w:rPr>
        <w:t>e-to-the-Home</w:t>
      </w:r>
    </w:p>
    <w:p w14:paraId="030840F3" w14:textId="77777777" w:rsidR="00D6418E" w:rsidRPr="00550655" w:rsidRDefault="00D6418E" w:rsidP="00D6418E">
      <w:pPr>
        <w:tabs>
          <w:tab w:val="clear" w:pos="794"/>
        </w:tabs>
        <w:rPr>
          <w:lang w:val="en-IN" w:eastAsia="en-IN"/>
        </w:rPr>
      </w:pPr>
      <w:r w:rsidRPr="00550655">
        <w:rPr>
          <w:lang w:val="en-IN" w:eastAsia="en-IN"/>
        </w:rPr>
        <w:t>ICT</w:t>
      </w:r>
      <w:r w:rsidRPr="00550655">
        <w:rPr>
          <w:lang w:val="en-IN" w:eastAsia="en-IN"/>
        </w:rPr>
        <w:tab/>
        <w:t>Information and Communication Technology</w:t>
      </w:r>
    </w:p>
    <w:p w14:paraId="6EB0591B" w14:textId="77777777" w:rsidR="00D6418E" w:rsidRPr="00550655" w:rsidRDefault="00D6418E" w:rsidP="00D6418E">
      <w:pPr>
        <w:tabs>
          <w:tab w:val="clear" w:pos="794"/>
        </w:tabs>
        <w:rPr>
          <w:lang w:val="en-IN" w:eastAsia="en-IN"/>
        </w:rPr>
      </w:pPr>
      <w:r w:rsidRPr="00550655">
        <w:rPr>
          <w:lang w:val="en-IN" w:eastAsia="en-IN"/>
        </w:rPr>
        <w:t>IEC</w:t>
      </w:r>
      <w:r w:rsidRPr="00550655">
        <w:rPr>
          <w:lang w:val="en-IN" w:eastAsia="en-IN"/>
        </w:rPr>
        <w:tab/>
        <w:t>International Electrotechnical Commission</w:t>
      </w:r>
    </w:p>
    <w:p w14:paraId="7E574ECD" w14:textId="77777777" w:rsidR="00D6418E" w:rsidRPr="00550655" w:rsidRDefault="00D6418E" w:rsidP="00D6418E">
      <w:pPr>
        <w:tabs>
          <w:tab w:val="clear" w:pos="794"/>
        </w:tabs>
        <w:rPr>
          <w:lang w:val="en-IN" w:eastAsia="en-IN"/>
        </w:rPr>
      </w:pPr>
      <w:r w:rsidRPr="00550655">
        <w:rPr>
          <w:lang w:val="en-IN" w:eastAsia="en-IN"/>
        </w:rPr>
        <w:t>IETF</w:t>
      </w:r>
      <w:r w:rsidRPr="00550655">
        <w:rPr>
          <w:lang w:val="en-IN" w:eastAsia="en-IN"/>
        </w:rPr>
        <w:tab/>
        <w:t>Internet Engineering Task Force</w:t>
      </w:r>
    </w:p>
    <w:p w14:paraId="76771843" w14:textId="77777777" w:rsidR="00D6418E" w:rsidRPr="00550655" w:rsidRDefault="00D6418E" w:rsidP="00D6418E">
      <w:pPr>
        <w:tabs>
          <w:tab w:val="clear" w:pos="794"/>
        </w:tabs>
        <w:rPr>
          <w:lang w:val="en-IN" w:eastAsia="en-IN"/>
        </w:rPr>
      </w:pPr>
      <w:r w:rsidRPr="00550655">
        <w:rPr>
          <w:lang w:val="en-IN" w:eastAsia="en-IN"/>
        </w:rPr>
        <w:t>IGF</w:t>
      </w:r>
      <w:r w:rsidRPr="00550655">
        <w:rPr>
          <w:lang w:val="en-IN" w:eastAsia="en-IN"/>
        </w:rPr>
        <w:tab/>
        <w:t>Internet Governance Forum</w:t>
      </w:r>
    </w:p>
    <w:p w14:paraId="51EAC40A" w14:textId="77777777" w:rsidR="00D6418E" w:rsidRPr="00550655" w:rsidRDefault="00D6418E" w:rsidP="00D6418E">
      <w:pPr>
        <w:tabs>
          <w:tab w:val="clear" w:pos="794"/>
        </w:tabs>
        <w:rPr>
          <w:lang w:val="en-IN" w:eastAsia="en-IN"/>
        </w:rPr>
      </w:pPr>
      <w:r w:rsidRPr="00550655">
        <w:rPr>
          <w:lang w:val="en-IN" w:eastAsia="en-IN"/>
        </w:rPr>
        <w:t>IIC</w:t>
      </w:r>
      <w:r w:rsidRPr="00550655">
        <w:rPr>
          <w:lang w:val="en-IN" w:eastAsia="en-IN"/>
        </w:rPr>
        <w:tab/>
        <w:t>International Internet Connectivity</w:t>
      </w:r>
    </w:p>
    <w:p w14:paraId="366F9DA8" w14:textId="77777777" w:rsidR="00D6418E" w:rsidRPr="00550655" w:rsidRDefault="00D6418E" w:rsidP="00D6418E">
      <w:pPr>
        <w:tabs>
          <w:tab w:val="clear" w:pos="794"/>
        </w:tabs>
        <w:rPr>
          <w:lang w:val="en-IN" w:eastAsia="en-IN"/>
        </w:rPr>
      </w:pPr>
      <w:r w:rsidRPr="00550655">
        <w:rPr>
          <w:lang w:val="en-IN" w:eastAsia="en-IN"/>
        </w:rPr>
        <w:t>ILD</w:t>
      </w:r>
      <w:r w:rsidRPr="00550655">
        <w:rPr>
          <w:lang w:val="en-IN" w:eastAsia="en-IN"/>
        </w:rPr>
        <w:tab/>
        <w:t>International Long Distance</w:t>
      </w:r>
    </w:p>
    <w:p w14:paraId="730010B1" w14:textId="77777777" w:rsidR="00D6418E" w:rsidRPr="00550655" w:rsidRDefault="00D6418E" w:rsidP="00D6418E">
      <w:pPr>
        <w:tabs>
          <w:tab w:val="clear" w:pos="794"/>
        </w:tabs>
        <w:rPr>
          <w:lang w:val="en-IN" w:eastAsia="en-IN"/>
        </w:rPr>
      </w:pPr>
      <w:r w:rsidRPr="00550655">
        <w:rPr>
          <w:lang w:val="en-IN" w:eastAsia="en-IN"/>
        </w:rPr>
        <w:t>ISP</w:t>
      </w:r>
      <w:r w:rsidRPr="00550655">
        <w:rPr>
          <w:lang w:val="en-IN" w:eastAsia="en-IN"/>
        </w:rPr>
        <w:tab/>
        <w:t>Internet Service Provider</w:t>
      </w:r>
    </w:p>
    <w:p w14:paraId="648D4E42" w14:textId="77777777" w:rsidR="00D6418E" w:rsidRPr="00550655" w:rsidRDefault="00D6418E" w:rsidP="00D6418E">
      <w:pPr>
        <w:tabs>
          <w:tab w:val="clear" w:pos="794"/>
        </w:tabs>
        <w:rPr>
          <w:lang w:val="en-IN" w:eastAsia="en-IN"/>
        </w:rPr>
      </w:pPr>
      <w:r w:rsidRPr="00550655">
        <w:rPr>
          <w:lang w:val="en-IN" w:eastAsia="en-IN"/>
        </w:rPr>
        <w:t>ITU</w:t>
      </w:r>
      <w:r w:rsidRPr="00550655">
        <w:rPr>
          <w:lang w:val="en-IN" w:eastAsia="en-IN"/>
        </w:rPr>
        <w:tab/>
        <w:t>International Telecommunication Union</w:t>
      </w:r>
    </w:p>
    <w:p w14:paraId="1C0032D7" w14:textId="77777777" w:rsidR="00D6418E" w:rsidRPr="00550655" w:rsidRDefault="00D6418E" w:rsidP="00D6418E">
      <w:pPr>
        <w:tabs>
          <w:tab w:val="clear" w:pos="794"/>
        </w:tabs>
        <w:rPr>
          <w:lang w:val="en-IN" w:eastAsia="en-IN"/>
        </w:rPr>
      </w:pPr>
      <w:r w:rsidRPr="00550655">
        <w:rPr>
          <w:lang w:val="en-IN" w:eastAsia="en-IN"/>
        </w:rPr>
        <w:t>LEED</w:t>
      </w:r>
      <w:r w:rsidRPr="00550655">
        <w:rPr>
          <w:lang w:val="en-IN" w:eastAsia="en-IN"/>
        </w:rPr>
        <w:tab/>
        <w:t>Leadership in Energy and Environmental Design</w:t>
      </w:r>
    </w:p>
    <w:p w14:paraId="4EAB150E" w14:textId="77777777" w:rsidR="00D6418E" w:rsidRPr="00550655" w:rsidRDefault="00D6418E" w:rsidP="00D6418E">
      <w:pPr>
        <w:tabs>
          <w:tab w:val="clear" w:pos="794"/>
        </w:tabs>
        <w:rPr>
          <w:lang w:val="en-IN" w:eastAsia="en-IN"/>
        </w:rPr>
      </w:pPr>
      <w:r w:rsidRPr="00550655">
        <w:rPr>
          <w:lang w:val="en-IN" w:eastAsia="en-IN"/>
        </w:rPr>
        <w:t>MEO</w:t>
      </w:r>
      <w:r w:rsidRPr="00550655">
        <w:rPr>
          <w:lang w:val="en-IN" w:eastAsia="en-IN"/>
        </w:rPr>
        <w:tab/>
        <w:t>Medium Earth Orbit</w:t>
      </w:r>
    </w:p>
    <w:p w14:paraId="1453A7B6" w14:textId="77777777" w:rsidR="00D6418E" w:rsidRPr="00550655" w:rsidRDefault="00D6418E" w:rsidP="00D6418E">
      <w:pPr>
        <w:tabs>
          <w:tab w:val="clear" w:pos="794"/>
        </w:tabs>
        <w:rPr>
          <w:lang w:val="en-IN" w:eastAsia="en-IN"/>
        </w:rPr>
      </w:pPr>
      <w:r w:rsidRPr="00550655">
        <w:rPr>
          <w:lang w:val="en-IN" w:eastAsia="en-IN"/>
        </w:rPr>
        <w:t>NIXI</w:t>
      </w:r>
      <w:r w:rsidRPr="00550655">
        <w:rPr>
          <w:lang w:val="en-IN" w:eastAsia="en-IN"/>
        </w:rPr>
        <w:tab/>
        <w:t>National Internet Exchange of India</w:t>
      </w:r>
    </w:p>
    <w:p w14:paraId="68559AA0" w14:textId="77777777" w:rsidR="00D6418E" w:rsidRPr="00550655" w:rsidRDefault="00D6418E" w:rsidP="00D6418E">
      <w:pPr>
        <w:tabs>
          <w:tab w:val="clear" w:pos="794"/>
        </w:tabs>
        <w:rPr>
          <w:lang w:val="en-IN" w:eastAsia="en-IN"/>
        </w:rPr>
      </w:pPr>
      <w:proofErr w:type="spellStart"/>
      <w:r w:rsidRPr="00550655">
        <w:rPr>
          <w:lang w:val="en-IN" w:eastAsia="en-IN"/>
        </w:rPr>
        <w:t>OpEx</w:t>
      </w:r>
      <w:proofErr w:type="spellEnd"/>
      <w:r w:rsidRPr="00550655">
        <w:rPr>
          <w:lang w:val="en-IN" w:eastAsia="en-IN"/>
        </w:rPr>
        <w:tab/>
        <w:t>Operational Expenditure</w:t>
      </w:r>
    </w:p>
    <w:p w14:paraId="3719DE18" w14:textId="77777777" w:rsidR="00D6418E" w:rsidRPr="00550655" w:rsidRDefault="00D6418E" w:rsidP="00D6418E">
      <w:pPr>
        <w:tabs>
          <w:tab w:val="clear" w:pos="794"/>
        </w:tabs>
        <w:rPr>
          <w:lang w:val="en-IN" w:eastAsia="en-IN"/>
        </w:rPr>
      </w:pPr>
      <w:r w:rsidRPr="00550655">
        <w:rPr>
          <w:lang w:val="en-IN" w:eastAsia="en-IN"/>
        </w:rPr>
        <w:t>REC</w:t>
      </w:r>
      <w:r w:rsidRPr="00550655">
        <w:rPr>
          <w:lang w:val="en-IN" w:eastAsia="en-IN"/>
        </w:rPr>
        <w:tab/>
        <w:t>Renewable Energy Certificate</w:t>
      </w:r>
    </w:p>
    <w:p w14:paraId="7669FCC2" w14:textId="77777777" w:rsidR="00D6418E" w:rsidRPr="00550655" w:rsidRDefault="00D6418E" w:rsidP="00D6418E">
      <w:pPr>
        <w:tabs>
          <w:tab w:val="clear" w:pos="794"/>
        </w:tabs>
        <w:rPr>
          <w:lang w:val="en-IN" w:eastAsia="en-IN"/>
        </w:rPr>
      </w:pPr>
      <w:r w:rsidRPr="00550655">
        <w:rPr>
          <w:lang w:val="en-IN" w:eastAsia="en-IN"/>
        </w:rPr>
        <w:t>SPV</w:t>
      </w:r>
      <w:r w:rsidRPr="00550655">
        <w:rPr>
          <w:lang w:val="en-IN" w:eastAsia="en-IN"/>
        </w:rPr>
        <w:tab/>
        <w:t>Special Purpose Vehicle</w:t>
      </w:r>
    </w:p>
    <w:p w14:paraId="5B12879A" w14:textId="77777777" w:rsidR="00D6418E" w:rsidRPr="00550655" w:rsidRDefault="00D6418E" w:rsidP="00D6418E">
      <w:pPr>
        <w:tabs>
          <w:tab w:val="clear" w:pos="794"/>
        </w:tabs>
        <w:rPr>
          <w:lang w:val="en-IN" w:eastAsia="en-IN"/>
        </w:rPr>
      </w:pPr>
      <w:r w:rsidRPr="00550655">
        <w:rPr>
          <w:lang w:val="en-IN" w:eastAsia="en-IN"/>
        </w:rPr>
        <w:t>TRAI</w:t>
      </w:r>
      <w:r w:rsidRPr="00550655">
        <w:rPr>
          <w:lang w:val="en-IN" w:eastAsia="en-IN"/>
        </w:rPr>
        <w:tab/>
        <w:t>Telecom Regulatory Authority of India</w:t>
      </w:r>
    </w:p>
    <w:p w14:paraId="70E8F2CA" w14:textId="77777777" w:rsidR="00D6418E" w:rsidRPr="00550655" w:rsidRDefault="00D6418E" w:rsidP="00D6418E">
      <w:pPr>
        <w:tabs>
          <w:tab w:val="clear" w:pos="794"/>
        </w:tabs>
        <w:rPr>
          <w:lang w:val="en-IN" w:eastAsia="en-IN"/>
        </w:rPr>
      </w:pPr>
      <w:r w:rsidRPr="00550655">
        <w:rPr>
          <w:lang w:val="en-IN" w:eastAsia="en-IN"/>
        </w:rPr>
        <w:t>USF</w:t>
      </w:r>
      <w:r w:rsidRPr="00550655">
        <w:rPr>
          <w:lang w:val="en-IN" w:eastAsia="en-IN"/>
        </w:rPr>
        <w:tab/>
        <w:t>Universal Service Fund</w:t>
      </w:r>
    </w:p>
    <w:p w14:paraId="33B7130A" w14:textId="77777777" w:rsidR="00D6418E" w:rsidRPr="00550655" w:rsidRDefault="00D6418E" w:rsidP="00D6418E">
      <w:pPr>
        <w:tabs>
          <w:tab w:val="clear" w:pos="794"/>
        </w:tabs>
        <w:rPr>
          <w:lang w:val="en-IN" w:eastAsia="en-IN"/>
        </w:rPr>
      </w:pPr>
      <w:r w:rsidRPr="00550655">
        <w:rPr>
          <w:lang w:val="en-IN" w:eastAsia="en-IN"/>
        </w:rPr>
        <w:t>WDR</w:t>
      </w:r>
      <w:r w:rsidRPr="00550655">
        <w:rPr>
          <w:lang w:val="en-IN" w:eastAsia="en-IN"/>
        </w:rPr>
        <w:tab/>
        <w:t>World Development Report</w:t>
      </w:r>
    </w:p>
    <w:p w14:paraId="36974575" w14:textId="7DEEDB53" w:rsidR="0054018A" w:rsidRPr="00470944" w:rsidRDefault="009A7C1C" w:rsidP="00470944">
      <w:pPr>
        <w:pStyle w:val="Heading1"/>
        <w:rPr>
          <w:lang w:bidi="ar-DZ"/>
        </w:rPr>
      </w:pPr>
      <w:bookmarkStart w:id="44" w:name="_Toc210208977"/>
      <w:bookmarkStart w:id="45" w:name="_Toc239941082"/>
      <w:bookmarkStart w:id="46" w:name="_Toc239947941"/>
      <w:r w:rsidRPr="00470944">
        <w:t>5</w:t>
      </w:r>
      <w:r w:rsidR="00470944" w:rsidRPr="00470944">
        <w:tab/>
      </w:r>
      <w:r w:rsidRPr="00470944">
        <w:t>Introduction</w:t>
      </w:r>
      <w:bookmarkEnd w:id="44"/>
      <w:bookmarkEnd w:id="45"/>
      <w:bookmarkEnd w:id="46"/>
    </w:p>
    <w:p w14:paraId="779381B6" w14:textId="77777777" w:rsidR="00003EF6" w:rsidRPr="00003EF6" w:rsidRDefault="00003EF6" w:rsidP="00003EF6">
      <w:pPr>
        <w:rPr>
          <w:lang w:val="en-US"/>
        </w:rPr>
      </w:pPr>
      <w:r w:rsidRPr="00003EF6">
        <w:rPr>
          <w:lang w:val="en-US"/>
        </w:rPr>
        <w:t>The digital economy and modern information society fundamentally depend on robust, high-quality, and affordable broadband connectivity. At the heart of this connectivity lies the multi-layered telecom and ICT infrastructure supply chain, encompassing the physical and logical components that facilitate seamless data and voice transmission. This infrastructure not only forms the backbone of national and international communication networks but also underpins inclusive digital participation and economic development.</w:t>
      </w:r>
    </w:p>
    <w:p w14:paraId="77773D36" w14:textId="77777777" w:rsidR="00003EF6" w:rsidRPr="00003EF6" w:rsidRDefault="00003EF6" w:rsidP="00003EF6">
      <w:pPr>
        <w:rPr>
          <w:lang w:val="en-US"/>
        </w:rPr>
      </w:pPr>
      <w:r w:rsidRPr="00003EF6">
        <w:rPr>
          <w:lang w:val="en-US"/>
        </w:rPr>
        <w:t>Despite its critical role, the affordability of data services remains constrained by a complex interplay of cost drivers, technological bottlenecks, and regional disparities across the supply chain. These challenges are further compounded in emerging and underserved markets, where limited competition and fragmented infrastructure exacerbate cost pressures.</w:t>
      </w:r>
    </w:p>
    <w:p w14:paraId="68B9E31F" w14:textId="6E9906BF" w:rsidR="00003EF6" w:rsidRPr="00003EF6" w:rsidRDefault="00003EF6" w:rsidP="00003EF6">
      <w:pPr>
        <w:rPr>
          <w:lang w:val="en-US"/>
        </w:rPr>
      </w:pPr>
      <w:r w:rsidRPr="00003EF6">
        <w:rPr>
          <w:lang w:val="en-US"/>
        </w:rPr>
        <w:lastRenderedPageBreak/>
        <w:t xml:space="preserve">At the same time, information asymmetry continues to hinder universal </w:t>
      </w:r>
      <w:r w:rsidR="005C30EA">
        <w:rPr>
          <w:lang w:val="en-US"/>
        </w:rPr>
        <w:t>I</w:t>
      </w:r>
      <w:r w:rsidRPr="00003EF6">
        <w:rPr>
          <w:lang w:val="en-US"/>
        </w:rPr>
        <w:t>nternet connectivity worldwide. The World Bank</w:t>
      </w:r>
      <w:r w:rsidR="00FC7A2A">
        <w:rPr>
          <w:lang w:val="en-US"/>
        </w:rPr>
        <w:t>'</w:t>
      </w:r>
      <w:r w:rsidRPr="00003EF6">
        <w:rPr>
          <w:lang w:val="en-US"/>
        </w:rPr>
        <w:t xml:space="preserve">s </w:t>
      </w:r>
      <w:r w:rsidR="007020CE">
        <w:rPr>
          <w:lang w:val="en-US"/>
        </w:rPr>
        <w:t>W</w:t>
      </w:r>
      <w:r w:rsidR="007020CE" w:rsidRPr="00003EF6">
        <w:rPr>
          <w:lang w:val="en-US"/>
        </w:rPr>
        <w:t xml:space="preserve">orld </w:t>
      </w:r>
      <w:r w:rsidR="007020CE">
        <w:rPr>
          <w:lang w:val="en-US"/>
        </w:rPr>
        <w:t>D</w:t>
      </w:r>
      <w:r w:rsidR="007020CE" w:rsidRPr="00003EF6">
        <w:rPr>
          <w:lang w:val="en-US"/>
        </w:rPr>
        <w:t xml:space="preserve">evelopment </w:t>
      </w:r>
      <w:r w:rsidR="007020CE">
        <w:rPr>
          <w:lang w:val="en-US"/>
        </w:rPr>
        <w:t>R</w:t>
      </w:r>
      <w:r w:rsidR="007020CE" w:rsidRPr="00003EF6">
        <w:rPr>
          <w:lang w:val="en-US"/>
        </w:rPr>
        <w:t xml:space="preserve">eport </w:t>
      </w:r>
      <w:r w:rsidRPr="00003EF6">
        <w:rPr>
          <w:lang w:val="en-US"/>
        </w:rPr>
        <w:t xml:space="preserve">2021: Data for </w:t>
      </w:r>
      <w:r w:rsidR="0004396B">
        <w:rPr>
          <w:lang w:val="en-US"/>
        </w:rPr>
        <w:t>b</w:t>
      </w:r>
      <w:r w:rsidRPr="00003EF6">
        <w:rPr>
          <w:lang w:val="en-US"/>
        </w:rPr>
        <w:t xml:space="preserve">etter </w:t>
      </w:r>
      <w:r w:rsidR="0004396B">
        <w:rPr>
          <w:lang w:val="en-US"/>
        </w:rPr>
        <w:t>l</w:t>
      </w:r>
      <w:r w:rsidRPr="00003EF6">
        <w:rPr>
          <w:lang w:val="en-US"/>
        </w:rPr>
        <w:t xml:space="preserve">ives called for closer international cooperation to harmonize regulations and coordinate policies at bilateral, regional, and global levels. The </w:t>
      </w:r>
      <w:r w:rsidR="00887B06" w:rsidRPr="00550655">
        <w:rPr>
          <w:szCs w:val="24"/>
          <w:lang w:val="en-IN" w:eastAsia="en-IN"/>
        </w:rPr>
        <w:t>International Telecommunication Union</w:t>
      </w:r>
      <w:r w:rsidR="00887B06" w:rsidRPr="00003EF6">
        <w:rPr>
          <w:lang w:val="en-US"/>
        </w:rPr>
        <w:t xml:space="preserve"> </w:t>
      </w:r>
      <w:r w:rsidR="00887B06">
        <w:rPr>
          <w:lang w:val="en-US"/>
        </w:rPr>
        <w:t>(</w:t>
      </w:r>
      <w:r w:rsidRPr="00003EF6">
        <w:rPr>
          <w:lang w:val="en-US"/>
        </w:rPr>
        <w:t>ITU</w:t>
      </w:r>
      <w:r w:rsidR="00887B06">
        <w:rPr>
          <w:lang w:val="en-US"/>
        </w:rPr>
        <w:t>)</w:t>
      </w:r>
      <w:r w:rsidRPr="00003EF6">
        <w:rPr>
          <w:lang w:val="en-US"/>
        </w:rPr>
        <w:t xml:space="preserve"> emphasizes </w:t>
      </w:r>
      <w:r w:rsidR="00CD6EB0">
        <w:rPr>
          <w:lang w:val="en-US"/>
        </w:rPr>
        <w:t>"</w:t>
      </w:r>
      <w:r w:rsidR="00DC2333">
        <w:rPr>
          <w:lang w:val="en-US"/>
        </w:rPr>
        <w:t>m</w:t>
      </w:r>
      <w:r w:rsidRPr="00003EF6">
        <w:rPr>
          <w:lang w:val="en-US"/>
        </w:rPr>
        <w:t xml:space="preserve">eaningful </w:t>
      </w:r>
      <w:r w:rsidR="001C511F">
        <w:rPr>
          <w:lang w:val="en-US"/>
        </w:rPr>
        <w:t>c</w:t>
      </w:r>
      <w:r w:rsidRPr="00003EF6">
        <w:rPr>
          <w:lang w:val="en-US"/>
        </w:rPr>
        <w:t>onnectivity,</w:t>
      </w:r>
      <w:r w:rsidR="00CD6EB0">
        <w:rPr>
          <w:lang w:val="en-US"/>
        </w:rPr>
        <w:t>"</w:t>
      </w:r>
      <w:r w:rsidRPr="00003EF6">
        <w:rPr>
          <w:lang w:val="en-US"/>
        </w:rPr>
        <w:t xml:space="preserve"> while the World Bank highlights five pillars for resilient, inclusive growth: </w:t>
      </w:r>
      <w:r w:rsidR="00DC2333">
        <w:rPr>
          <w:lang w:val="en-US"/>
        </w:rPr>
        <w:t>c</w:t>
      </w:r>
      <w:r w:rsidRPr="00003EF6">
        <w:rPr>
          <w:lang w:val="en-US"/>
        </w:rPr>
        <w:t xml:space="preserve">onnectivity, </w:t>
      </w:r>
      <w:r w:rsidR="00DC2333">
        <w:rPr>
          <w:lang w:val="en-US"/>
        </w:rPr>
        <w:t>a</w:t>
      </w:r>
      <w:r w:rsidRPr="00003EF6">
        <w:rPr>
          <w:lang w:val="en-US"/>
        </w:rPr>
        <w:t xml:space="preserve">ffordability, </w:t>
      </w:r>
      <w:r w:rsidR="00DC2333">
        <w:rPr>
          <w:lang w:val="en-US"/>
        </w:rPr>
        <w:t>a</w:t>
      </w:r>
      <w:r w:rsidRPr="00003EF6">
        <w:rPr>
          <w:lang w:val="en-US"/>
        </w:rPr>
        <w:t xml:space="preserve">ccess through devices, </w:t>
      </w:r>
      <w:r w:rsidR="00DC2333">
        <w:rPr>
          <w:lang w:val="en-US"/>
        </w:rPr>
        <w:t>d</w:t>
      </w:r>
      <w:r w:rsidRPr="00003EF6">
        <w:rPr>
          <w:lang w:val="en-US"/>
        </w:rPr>
        <w:t xml:space="preserve">igital </w:t>
      </w:r>
      <w:r w:rsidR="00DC2333">
        <w:rPr>
          <w:lang w:val="en-US"/>
        </w:rPr>
        <w:t>s</w:t>
      </w:r>
      <w:r w:rsidRPr="00003EF6">
        <w:rPr>
          <w:lang w:val="en-US"/>
        </w:rPr>
        <w:t xml:space="preserve">kills, and </w:t>
      </w:r>
      <w:r w:rsidR="00DC2333">
        <w:rPr>
          <w:lang w:val="en-US"/>
        </w:rPr>
        <w:t>t</w:t>
      </w:r>
      <w:r w:rsidRPr="00003EF6">
        <w:rPr>
          <w:lang w:val="en-US"/>
        </w:rPr>
        <w:t>rust.</w:t>
      </w:r>
    </w:p>
    <w:p w14:paraId="629E3241" w14:textId="419F4CEE" w:rsidR="00003EF6" w:rsidRPr="00003EF6" w:rsidRDefault="00003EF6" w:rsidP="00003EF6">
      <w:pPr>
        <w:rPr>
          <w:lang w:val="en-US"/>
        </w:rPr>
      </w:pPr>
      <w:r w:rsidRPr="00003EF6">
        <w:rPr>
          <w:lang w:val="en-US"/>
        </w:rPr>
        <w:t>Global policy forums have also advanced conceptual frameworks for digital equity. The United Nations</w:t>
      </w:r>
      <w:r w:rsidR="004959D5">
        <w:rPr>
          <w:lang w:val="en-US"/>
        </w:rPr>
        <w:t>'</w:t>
      </w:r>
      <w:r w:rsidRPr="00003EF6">
        <w:rPr>
          <w:lang w:val="en-US"/>
        </w:rPr>
        <w:t xml:space="preserve"> Internet </w:t>
      </w:r>
      <w:r w:rsidR="004959D5">
        <w:rPr>
          <w:lang w:val="en-US"/>
        </w:rPr>
        <w:t>g</w:t>
      </w:r>
      <w:r w:rsidRPr="00003EF6">
        <w:rPr>
          <w:lang w:val="en-US"/>
        </w:rPr>
        <w:t xml:space="preserve">overnance </w:t>
      </w:r>
      <w:r w:rsidR="004959D5">
        <w:rPr>
          <w:lang w:val="en-US"/>
        </w:rPr>
        <w:t>f</w:t>
      </w:r>
      <w:r w:rsidRPr="00003EF6">
        <w:rPr>
          <w:lang w:val="en-US"/>
        </w:rPr>
        <w:t xml:space="preserve">orum (IGF) promotes the </w:t>
      </w:r>
      <w:r w:rsidR="004959D5">
        <w:rPr>
          <w:lang w:val="en-US"/>
        </w:rPr>
        <w:t>"</w:t>
      </w:r>
      <w:r w:rsidRPr="00003EF6">
        <w:rPr>
          <w:lang w:val="en-US"/>
        </w:rPr>
        <w:t>3A</w:t>
      </w:r>
      <w:r w:rsidR="004959D5">
        <w:rPr>
          <w:lang w:val="en-US"/>
        </w:rPr>
        <w:t>"</w:t>
      </w:r>
      <w:r w:rsidRPr="00003EF6">
        <w:rPr>
          <w:lang w:val="en-US"/>
        </w:rPr>
        <w:t xml:space="preserve"> model</w:t>
      </w:r>
      <w:r w:rsidR="00863A53">
        <w:rPr>
          <w:lang w:val="en-US"/>
        </w:rPr>
        <w:t xml:space="preserve"> </w:t>
      </w:r>
      <w:r w:rsidR="00863A53" w:rsidRPr="00863A53">
        <w:rPr>
          <w:lang w:val="en-US"/>
        </w:rPr>
        <w:t>–</w:t>
      </w:r>
      <w:r w:rsidR="00863A53">
        <w:rPr>
          <w:lang w:val="en-US"/>
        </w:rPr>
        <w:t xml:space="preserve"> </w:t>
      </w:r>
      <w:r w:rsidR="00F97449">
        <w:rPr>
          <w:lang w:val="en-US"/>
        </w:rPr>
        <w:t>a</w:t>
      </w:r>
      <w:r w:rsidRPr="00003EF6">
        <w:rPr>
          <w:lang w:val="en-US"/>
        </w:rPr>
        <w:t xml:space="preserve">ccess, </w:t>
      </w:r>
      <w:r w:rsidR="00F97449">
        <w:rPr>
          <w:lang w:val="en-US"/>
        </w:rPr>
        <w:t>a</w:t>
      </w:r>
      <w:r w:rsidRPr="00003EF6">
        <w:rPr>
          <w:lang w:val="en-US"/>
        </w:rPr>
        <w:t xml:space="preserve">ffordability, and </w:t>
      </w:r>
      <w:r w:rsidR="00C50718">
        <w:rPr>
          <w:lang w:val="en-US"/>
        </w:rPr>
        <w:t>a</w:t>
      </w:r>
      <w:r w:rsidRPr="00003EF6">
        <w:rPr>
          <w:lang w:val="en-US"/>
        </w:rPr>
        <w:t>bility</w:t>
      </w:r>
      <w:r w:rsidR="00863A53">
        <w:rPr>
          <w:lang w:val="en-US"/>
        </w:rPr>
        <w:t xml:space="preserve"> </w:t>
      </w:r>
      <w:r w:rsidR="00863A53" w:rsidRPr="00863A53">
        <w:rPr>
          <w:lang w:val="en-US"/>
        </w:rPr>
        <w:t>–</w:t>
      </w:r>
      <w:r w:rsidR="00863A53">
        <w:rPr>
          <w:lang w:val="en-US"/>
        </w:rPr>
        <w:t xml:space="preserve"> </w:t>
      </w:r>
      <w:r w:rsidRPr="00003EF6">
        <w:rPr>
          <w:lang w:val="en-US"/>
        </w:rPr>
        <w:t>to ensure that no one is left offline. UNESCO has similarly underscored the urgent need for meaningful connectivity, encouraging governments to comply with global accessibility standards, set national targets, and promote digital public goods to bridge the digital divide.</w:t>
      </w:r>
    </w:p>
    <w:p w14:paraId="1D8D4B6E" w14:textId="29FF9088" w:rsidR="009D20B2" w:rsidRDefault="00003EF6" w:rsidP="00003EF6">
      <w:pPr>
        <w:rPr>
          <w:lang w:val="en-US"/>
        </w:rPr>
      </w:pPr>
      <w:r w:rsidRPr="00003EF6">
        <w:rPr>
          <w:lang w:val="en-US"/>
        </w:rPr>
        <w:t xml:space="preserve">This </w:t>
      </w:r>
      <w:r w:rsidR="001C511F">
        <w:rPr>
          <w:lang w:val="en-US"/>
        </w:rPr>
        <w:t>T</w:t>
      </w:r>
      <w:r w:rsidRPr="00003EF6">
        <w:rPr>
          <w:lang w:val="en-US"/>
        </w:rPr>
        <w:t xml:space="preserve">echnical </w:t>
      </w:r>
      <w:r w:rsidR="001C511F">
        <w:rPr>
          <w:lang w:val="en-US"/>
        </w:rPr>
        <w:t>R</w:t>
      </w:r>
      <w:r w:rsidRPr="00003EF6">
        <w:rPr>
          <w:lang w:val="en-US"/>
        </w:rPr>
        <w:t>eport builds on these perspectives by integrating a supply-chain cost analysis with policy, regulatory, and sustainability considerations, offering a comprehensive understanding of how both infrastructure and governance shape the affordability of data services.</w:t>
      </w:r>
    </w:p>
    <w:p w14:paraId="438EBAED" w14:textId="1DE85664" w:rsidR="00B324D6" w:rsidRPr="008D0D9D" w:rsidRDefault="00190680" w:rsidP="00497B40">
      <w:pPr>
        <w:pStyle w:val="Heading1"/>
        <w:rPr>
          <w:lang w:bidi="ar-DZ"/>
        </w:rPr>
      </w:pPr>
      <w:bookmarkStart w:id="47" w:name="_Toc210208978"/>
      <w:bookmarkStart w:id="48" w:name="_Toc239941083"/>
      <w:bookmarkStart w:id="49" w:name="_Toc239947942"/>
      <w:r>
        <w:rPr>
          <w:lang w:val="en-US"/>
        </w:rPr>
        <w:t>6</w:t>
      </w:r>
      <w:r w:rsidR="00497B40">
        <w:rPr>
          <w:lang w:val="en-US"/>
        </w:rPr>
        <w:tab/>
      </w:r>
      <w:r w:rsidR="00B324D6" w:rsidRPr="00B324D6">
        <w:rPr>
          <w:lang w:val="en-US"/>
        </w:rPr>
        <w:t xml:space="preserve">Defining the </w:t>
      </w:r>
      <w:r w:rsidR="00AF37E5">
        <w:rPr>
          <w:lang w:val="en-US"/>
        </w:rPr>
        <w:t>t</w:t>
      </w:r>
      <w:r w:rsidR="00B324D6" w:rsidRPr="00B324D6">
        <w:rPr>
          <w:lang w:val="en-US"/>
        </w:rPr>
        <w:t xml:space="preserve">elecom/ICT </w:t>
      </w:r>
      <w:r w:rsidR="00BF15CA">
        <w:rPr>
          <w:lang w:val="en-US"/>
        </w:rPr>
        <w:t>i</w:t>
      </w:r>
      <w:r w:rsidR="00B324D6" w:rsidRPr="00B324D6">
        <w:rPr>
          <w:lang w:val="en-US"/>
        </w:rPr>
        <w:t xml:space="preserve">nfrastructure </w:t>
      </w:r>
      <w:r w:rsidR="00BF15CA">
        <w:rPr>
          <w:lang w:val="en-US"/>
        </w:rPr>
        <w:t>s</w:t>
      </w:r>
      <w:r w:rsidR="00B324D6" w:rsidRPr="00B324D6">
        <w:rPr>
          <w:lang w:val="en-US"/>
        </w:rPr>
        <w:t xml:space="preserve">upply </w:t>
      </w:r>
      <w:r w:rsidR="00BF15CA">
        <w:rPr>
          <w:lang w:val="en-US"/>
        </w:rPr>
        <w:t>c</w:t>
      </w:r>
      <w:r w:rsidR="00B324D6" w:rsidRPr="00B324D6">
        <w:rPr>
          <w:lang w:val="en-US"/>
        </w:rPr>
        <w:t>hain</w:t>
      </w:r>
      <w:bookmarkEnd w:id="47"/>
      <w:bookmarkEnd w:id="48"/>
      <w:bookmarkEnd w:id="49"/>
    </w:p>
    <w:p w14:paraId="1FACADA1" w14:textId="77777777" w:rsidR="00260C54" w:rsidRPr="00260C54" w:rsidRDefault="00260C54" w:rsidP="00260C54">
      <w:pPr>
        <w:rPr>
          <w:lang w:val="en-IN"/>
        </w:rPr>
      </w:pPr>
      <w:r w:rsidRPr="00260C54">
        <w:rPr>
          <w:lang w:val="en-IN"/>
        </w:rPr>
        <w:t>The telecom and ICT infrastructure supply chain consists of interconnected layers, each with distinct roles and cost implications:</w:t>
      </w:r>
    </w:p>
    <w:p w14:paraId="3E8DCE15" w14:textId="4FDE3A2E"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International </w:t>
      </w:r>
      <w:r w:rsidR="00E9320E">
        <w:rPr>
          <w:b/>
          <w:bCs/>
          <w:lang w:val="en-IN"/>
        </w:rPr>
        <w:t>c</w:t>
      </w:r>
      <w:r w:rsidR="00260C54" w:rsidRPr="00260C54">
        <w:rPr>
          <w:b/>
          <w:bCs/>
          <w:lang w:val="en-IN"/>
        </w:rPr>
        <w:t>onnectivity</w:t>
      </w:r>
      <w:r w:rsidR="00260C54" w:rsidRPr="00260C54">
        <w:rPr>
          <w:lang w:val="en-IN"/>
        </w:rPr>
        <w:t xml:space="preserve"> – Encompasses submarine </w:t>
      </w:r>
      <w:r w:rsidR="001F2EF3" w:rsidRPr="00260C54">
        <w:rPr>
          <w:lang w:val="en-IN"/>
        </w:rPr>
        <w:t>fibre</w:t>
      </w:r>
      <w:r w:rsidR="00260C54" w:rsidRPr="00260C54">
        <w:rPr>
          <w:lang w:val="en-IN"/>
        </w:rPr>
        <w:t xml:space="preserve">-optic cables and satellite systems that link countries and continents to the global </w:t>
      </w:r>
      <w:r w:rsidR="00AF37E5">
        <w:rPr>
          <w:lang w:val="en-IN"/>
        </w:rPr>
        <w:t>I</w:t>
      </w:r>
      <w:r w:rsidR="00260C54" w:rsidRPr="00260C54">
        <w:rPr>
          <w:lang w:val="en-IN"/>
        </w:rPr>
        <w:t>nternet. It provides high-capacity gateways for international data transport.</w:t>
      </w:r>
    </w:p>
    <w:p w14:paraId="6127D83D" w14:textId="70D4A7FF"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National </w:t>
      </w:r>
      <w:r w:rsidR="00822E0E">
        <w:rPr>
          <w:b/>
          <w:bCs/>
          <w:lang w:val="en-IN"/>
        </w:rPr>
        <w:t>b</w:t>
      </w:r>
      <w:r w:rsidR="00260C54" w:rsidRPr="00260C54">
        <w:rPr>
          <w:b/>
          <w:bCs/>
          <w:lang w:val="en-IN"/>
        </w:rPr>
        <w:t xml:space="preserve">ackbone </w:t>
      </w:r>
      <w:r w:rsidR="00822E0E">
        <w:rPr>
          <w:b/>
          <w:bCs/>
          <w:lang w:val="en-IN"/>
        </w:rPr>
        <w:t>n</w:t>
      </w:r>
      <w:r w:rsidR="00260C54" w:rsidRPr="00260C54">
        <w:rPr>
          <w:b/>
          <w:bCs/>
          <w:lang w:val="en-IN"/>
        </w:rPr>
        <w:t>etworks</w:t>
      </w:r>
      <w:r w:rsidR="00260C54" w:rsidRPr="00260C54">
        <w:rPr>
          <w:lang w:val="en-IN"/>
        </w:rPr>
        <w:t xml:space="preserve"> – Extends connectivity from international landing points to regional hubs through long-haul terrestrial </w:t>
      </w:r>
      <w:r w:rsidR="001F2EF3" w:rsidRPr="00260C54">
        <w:rPr>
          <w:lang w:val="en-IN"/>
        </w:rPr>
        <w:t>fibre</w:t>
      </w:r>
      <w:r w:rsidR="00260C54" w:rsidRPr="00260C54">
        <w:rPr>
          <w:lang w:val="en-IN"/>
        </w:rPr>
        <w:t xml:space="preserve"> and cross-border links. It forms the backbone of national data transit infrastructure.</w:t>
      </w:r>
    </w:p>
    <w:p w14:paraId="509F897B" w14:textId="293DD2DB"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Interconnection and </w:t>
      </w:r>
      <w:r w:rsidR="00822E0E">
        <w:rPr>
          <w:b/>
          <w:bCs/>
          <w:lang w:val="en-IN"/>
        </w:rPr>
        <w:t>e</w:t>
      </w:r>
      <w:r w:rsidR="00260C54" w:rsidRPr="00260C54">
        <w:rPr>
          <w:b/>
          <w:bCs/>
          <w:lang w:val="en-IN"/>
        </w:rPr>
        <w:t xml:space="preserve">xchange </w:t>
      </w:r>
      <w:r w:rsidR="00822E0E">
        <w:rPr>
          <w:b/>
          <w:bCs/>
          <w:lang w:val="en-IN"/>
        </w:rPr>
        <w:t>i</w:t>
      </w:r>
      <w:r w:rsidR="00260C54" w:rsidRPr="00260C54">
        <w:rPr>
          <w:b/>
          <w:bCs/>
          <w:lang w:val="en-IN"/>
        </w:rPr>
        <w:t>nfrastructure</w:t>
      </w:r>
      <w:r w:rsidR="00260C54" w:rsidRPr="00260C54">
        <w:rPr>
          <w:lang w:val="en-IN"/>
        </w:rPr>
        <w:t xml:space="preserve"> – Includes Internet </w:t>
      </w:r>
      <w:r w:rsidR="00C54E6C">
        <w:rPr>
          <w:lang w:val="en-IN"/>
        </w:rPr>
        <w:t>e</w:t>
      </w:r>
      <w:r w:rsidR="00260C54" w:rsidRPr="00260C54">
        <w:rPr>
          <w:lang w:val="en-IN"/>
        </w:rPr>
        <w:t xml:space="preserve">xchange </w:t>
      </w:r>
      <w:r w:rsidR="00C54E6C">
        <w:rPr>
          <w:lang w:val="en-IN"/>
        </w:rPr>
        <w:t>p</w:t>
      </w:r>
      <w:r w:rsidR="00260C54" w:rsidRPr="00260C54">
        <w:rPr>
          <w:lang w:val="en-IN"/>
        </w:rPr>
        <w:t>oints (IXPs), peering hubs, and regional gateways. It facilitates efficient data exchange within and between networks, reducing dependence on costly international transit.</w:t>
      </w:r>
    </w:p>
    <w:p w14:paraId="136A0E0D" w14:textId="43CEE0B8"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Metro and </w:t>
      </w:r>
      <w:r w:rsidR="00822E0E">
        <w:rPr>
          <w:b/>
          <w:bCs/>
          <w:lang w:val="en-IN"/>
        </w:rPr>
        <w:t>m</w:t>
      </w:r>
      <w:r w:rsidR="00260C54" w:rsidRPr="00260C54">
        <w:rPr>
          <w:b/>
          <w:bCs/>
          <w:lang w:val="en-IN"/>
        </w:rPr>
        <w:t>iddle-</w:t>
      </w:r>
      <w:r w:rsidR="00822E0E">
        <w:rPr>
          <w:b/>
          <w:bCs/>
          <w:lang w:val="en-IN"/>
        </w:rPr>
        <w:t>m</w:t>
      </w:r>
      <w:r w:rsidR="00260C54" w:rsidRPr="00260C54">
        <w:rPr>
          <w:b/>
          <w:bCs/>
          <w:lang w:val="en-IN"/>
        </w:rPr>
        <w:t xml:space="preserve">ile </w:t>
      </w:r>
      <w:r w:rsidR="00822E0E">
        <w:rPr>
          <w:b/>
          <w:bCs/>
          <w:lang w:val="en-IN"/>
        </w:rPr>
        <w:t>n</w:t>
      </w:r>
      <w:r w:rsidR="00260C54" w:rsidRPr="00260C54">
        <w:rPr>
          <w:b/>
          <w:bCs/>
          <w:lang w:val="en-IN"/>
        </w:rPr>
        <w:t>etworks</w:t>
      </w:r>
      <w:r w:rsidR="00260C54" w:rsidRPr="00260C54">
        <w:rPr>
          <w:lang w:val="en-IN"/>
        </w:rPr>
        <w:t xml:space="preserve"> – Comprises metropolitan </w:t>
      </w:r>
      <w:r w:rsidR="001F2EF3" w:rsidRPr="00260C54">
        <w:rPr>
          <w:lang w:val="en-IN"/>
        </w:rPr>
        <w:t>fibre</w:t>
      </w:r>
      <w:r w:rsidR="00260C54" w:rsidRPr="00260C54">
        <w:rPr>
          <w:lang w:val="en-IN"/>
        </w:rPr>
        <w:t xml:space="preserve"> rings and wireless backhaul solutions such as microwave and </w:t>
      </w:r>
      <w:r w:rsidR="00116665" w:rsidRPr="00260C54">
        <w:rPr>
          <w:lang w:val="en-IN"/>
        </w:rPr>
        <w:t>millimetre</w:t>
      </w:r>
      <w:r w:rsidR="00260C54" w:rsidRPr="00260C54">
        <w:rPr>
          <w:lang w:val="en-IN"/>
        </w:rPr>
        <w:t xml:space="preserve">-wave links. It aggregates data traffic within urban and suburban areas, bridging the backbone and access networks. It also incorporates edge data </w:t>
      </w:r>
      <w:r w:rsidR="00116665" w:rsidRPr="00260C54">
        <w:rPr>
          <w:lang w:val="en-IN"/>
        </w:rPr>
        <w:t>centres</w:t>
      </w:r>
      <w:r w:rsidR="00260C54" w:rsidRPr="00260C54">
        <w:rPr>
          <w:lang w:val="en-IN"/>
        </w:rPr>
        <w:t xml:space="preserve"> and local caching to optimize content delivery and reduce latency.</w:t>
      </w:r>
    </w:p>
    <w:p w14:paraId="66A9BE72" w14:textId="728FBF6B"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Last-</w:t>
      </w:r>
      <w:r w:rsidR="00E9320E">
        <w:rPr>
          <w:b/>
          <w:bCs/>
          <w:lang w:val="en-IN"/>
        </w:rPr>
        <w:t>m</w:t>
      </w:r>
      <w:r w:rsidR="00260C54" w:rsidRPr="00260C54">
        <w:rPr>
          <w:b/>
          <w:bCs/>
          <w:lang w:val="en-IN"/>
        </w:rPr>
        <w:t xml:space="preserve">ile </w:t>
      </w:r>
      <w:r w:rsidR="00E9320E">
        <w:rPr>
          <w:b/>
          <w:bCs/>
          <w:lang w:val="en-IN"/>
        </w:rPr>
        <w:t>a</w:t>
      </w:r>
      <w:r w:rsidR="00260C54" w:rsidRPr="00260C54">
        <w:rPr>
          <w:b/>
          <w:bCs/>
          <w:lang w:val="en-IN"/>
        </w:rPr>
        <w:t xml:space="preserve">ccess </w:t>
      </w:r>
      <w:r w:rsidR="00E9320E">
        <w:rPr>
          <w:b/>
          <w:bCs/>
          <w:lang w:val="en-IN"/>
        </w:rPr>
        <w:t>n</w:t>
      </w:r>
      <w:r w:rsidR="00260C54" w:rsidRPr="00260C54">
        <w:rPr>
          <w:b/>
          <w:bCs/>
          <w:lang w:val="en-IN"/>
        </w:rPr>
        <w:t>etworks</w:t>
      </w:r>
      <w:r w:rsidR="00260C54" w:rsidRPr="00260C54">
        <w:rPr>
          <w:lang w:val="en-IN"/>
        </w:rPr>
        <w:t xml:space="preserve"> – Delivers broadband connectivity directly to end-users through fixed (FTTH, </w:t>
      </w:r>
      <w:r w:rsidR="00DB5BEA">
        <w:rPr>
          <w:szCs w:val="24"/>
          <w:lang w:val="en-IN" w:eastAsia="en-IN"/>
        </w:rPr>
        <w:t>d</w:t>
      </w:r>
      <w:r w:rsidR="00254C5D" w:rsidRPr="00550655">
        <w:rPr>
          <w:szCs w:val="24"/>
          <w:lang w:val="en-IN" w:eastAsia="en-IN"/>
        </w:rPr>
        <w:t xml:space="preserve">igital </w:t>
      </w:r>
      <w:r w:rsidR="00C033FD">
        <w:rPr>
          <w:szCs w:val="24"/>
          <w:lang w:val="en-IN" w:eastAsia="en-IN"/>
        </w:rPr>
        <w:t>s</w:t>
      </w:r>
      <w:r w:rsidR="00254C5D" w:rsidRPr="00550655">
        <w:rPr>
          <w:szCs w:val="24"/>
          <w:lang w:val="en-IN" w:eastAsia="en-IN"/>
        </w:rPr>
        <w:t xml:space="preserve">ubscriber </w:t>
      </w:r>
      <w:r w:rsidR="00C033FD">
        <w:rPr>
          <w:szCs w:val="24"/>
          <w:lang w:val="en-IN" w:eastAsia="en-IN"/>
        </w:rPr>
        <w:t>l</w:t>
      </w:r>
      <w:r w:rsidR="00254C5D" w:rsidRPr="00550655">
        <w:rPr>
          <w:szCs w:val="24"/>
          <w:lang w:val="en-IN" w:eastAsia="en-IN"/>
        </w:rPr>
        <w:t>ine</w:t>
      </w:r>
      <w:r w:rsidR="00254C5D" w:rsidRPr="00260C54">
        <w:rPr>
          <w:lang w:val="en-IN"/>
        </w:rPr>
        <w:t xml:space="preserve"> </w:t>
      </w:r>
      <w:r w:rsidR="00254C5D">
        <w:rPr>
          <w:lang w:val="en-IN"/>
        </w:rPr>
        <w:t>(</w:t>
      </w:r>
      <w:r w:rsidR="00260C54" w:rsidRPr="00260C54">
        <w:rPr>
          <w:lang w:val="en-IN"/>
        </w:rPr>
        <w:t>DSL</w:t>
      </w:r>
      <w:r w:rsidR="00254C5D">
        <w:rPr>
          <w:lang w:val="en-IN"/>
        </w:rPr>
        <w:t>)</w:t>
      </w:r>
      <w:r w:rsidR="00260C54" w:rsidRPr="00260C54">
        <w:rPr>
          <w:lang w:val="en-IN"/>
        </w:rPr>
        <w:t>, cable) and wireless (2G to 5G) access technologies. It includes innovative community networks and alternative access models in underserved areas.</w:t>
      </w:r>
    </w:p>
    <w:p w14:paraId="18FBFE52" w14:textId="0FAF5E24"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Passive </w:t>
      </w:r>
      <w:r w:rsidR="000A1149">
        <w:rPr>
          <w:b/>
          <w:bCs/>
          <w:lang w:val="en-IN"/>
        </w:rPr>
        <w:t>i</w:t>
      </w:r>
      <w:r w:rsidR="00260C54" w:rsidRPr="00260C54">
        <w:rPr>
          <w:b/>
          <w:bCs/>
          <w:lang w:val="en-IN"/>
        </w:rPr>
        <w:t>nfrastructure</w:t>
      </w:r>
      <w:r w:rsidR="00260C54" w:rsidRPr="00260C54">
        <w:rPr>
          <w:lang w:val="en-IN"/>
        </w:rPr>
        <w:t xml:space="preserve"> – Encompasses supporting physical structures such as towers, poles, ducts, conduits, and power systems. It provides the foundation for deploying active network components across the supply chain.</w:t>
      </w:r>
    </w:p>
    <w:p w14:paraId="165860A4" w14:textId="55BB3EB4" w:rsidR="00260C54" w:rsidRPr="00260C54" w:rsidRDefault="00497B40" w:rsidP="00497B40">
      <w:pPr>
        <w:pStyle w:val="enumlev1"/>
        <w:rPr>
          <w:lang w:val="en-IN"/>
        </w:rPr>
      </w:pPr>
      <w:r w:rsidRPr="00497B40">
        <w:rPr>
          <w:b/>
          <w:bCs/>
          <w:lang w:val="en-IN"/>
        </w:rPr>
        <w:t>•</w:t>
      </w:r>
      <w:r>
        <w:rPr>
          <w:b/>
          <w:bCs/>
          <w:lang w:val="en-IN"/>
        </w:rPr>
        <w:tab/>
      </w:r>
      <w:r w:rsidR="00260C54" w:rsidRPr="00260C54">
        <w:rPr>
          <w:b/>
          <w:bCs/>
          <w:lang w:val="en-IN"/>
        </w:rPr>
        <w:t xml:space="preserve">Customer </w:t>
      </w:r>
      <w:r w:rsidR="000A1149">
        <w:rPr>
          <w:b/>
          <w:bCs/>
          <w:lang w:val="en-IN"/>
        </w:rPr>
        <w:t>p</w:t>
      </w:r>
      <w:r w:rsidR="00260C54" w:rsidRPr="00260C54">
        <w:rPr>
          <w:b/>
          <w:bCs/>
          <w:lang w:val="en-IN"/>
        </w:rPr>
        <w:t xml:space="preserve">remises </w:t>
      </w:r>
      <w:r w:rsidR="000A1149">
        <w:rPr>
          <w:b/>
          <w:bCs/>
          <w:lang w:val="en-IN"/>
        </w:rPr>
        <w:t>e</w:t>
      </w:r>
      <w:r w:rsidR="00260C54" w:rsidRPr="00260C54">
        <w:rPr>
          <w:b/>
          <w:bCs/>
          <w:lang w:val="en-IN"/>
        </w:rPr>
        <w:t>quipment (CPE)</w:t>
      </w:r>
      <w:r w:rsidR="00260C54" w:rsidRPr="00260C54">
        <w:rPr>
          <w:lang w:val="en-IN"/>
        </w:rPr>
        <w:t xml:space="preserve"> – Consists of modems, routers, and optical network terminals that establish connectivity within homes and businesses. It serves as the essential interface between the access network and the end-user.</w:t>
      </w:r>
    </w:p>
    <w:p w14:paraId="578026AE" w14:textId="513FE7BD" w:rsidR="00260C54" w:rsidRDefault="00260C54" w:rsidP="00260C54">
      <w:pPr>
        <w:rPr>
          <w:lang w:val="en-IN"/>
        </w:rPr>
      </w:pPr>
      <w:r w:rsidRPr="00260C54">
        <w:rPr>
          <w:lang w:val="en-IN"/>
        </w:rPr>
        <w:t>This layered breakdown forms the foundation for analy</w:t>
      </w:r>
      <w:r w:rsidR="004B6367">
        <w:rPr>
          <w:lang w:val="en-IN"/>
        </w:rPr>
        <w:t>s</w:t>
      </w:r>
      <w:r w:rsidRPr="00260C54">
        <w:rPr>
          <w:lang w:val="en-IN"/>
        </w:rPr>
        <w:t>ing the cost components, operational dynamics, and potential optimization strategies in the subsequent sections.</w:t>
      </w:r>
    </w:p>
    <w:p w14:paraId="0225E319" w14:textId="4FAFF253" w:rsidR="005E5301" w:rsidRDefault="005E5301" w:rsidP="00026601">
      <w:pPr>
        <w:pStyle w:val="Heading1"/>
        <w:rPr>
          <w:lang w:val="en-IN"/>
        </w:rPr>
      </w:pPr>
      <w:bookmarkStart w:id="50" w:name="_Toc210208979"/>
      <w:bookmarkStart w:id="51" w:name="_Toc239941084"/>
      <w:bookmarkStart w:id="52" w:name="_Toc239947943"/>
      <w:r>
        <w:rPr>
          <w:lang w:val="en-IN"/>
        </w:rPr>
        <w:lastRenderedPageBreak/>
        <w:t>7</w:t>
      </w:r>
      <w:r w:rsidR="00026601">
        <w:rPr>
          <w:lang w:val="en-IN"/>
        </w:rPr>
        <w:tab/>
      </w:r>
      <w:r w:rsidR="00161A19">
        <w:rPr>
          <w:lang w:val="en-IN"/>
        </w:rPr>
        <w:t xml:space="preserve">Cost </w:t>
      </w:r>
      <w:r w:rsidR="002F250B">
        <w:rPr>
          <w:lang w:val="en-IN"/>
        </w:rPr>
        <w:t>c</w:t>
      </w:r>
      <w:r w:rsidR="00161A19">
        <w:rPr>
          <w:lang w:val="en-IN"/>
        </w:rPr>
        <w:t xml:space="preserve">omponents </w:t>
      </w:r>
      <w:r w:rsidR="00680783">
        <w:rPr>
          <w:lang w:val="en-IN"/>
        </w:rPr>
        <w:t>and</w:t>
      </w:r>
      <w:r w:rsidR="00161A19">
        <w:rPr>
          <w:lang w:val="en-IN"/>
        </w:rPr>
        <w:t xml:space="preserve"> </w:t>
      </w:r>
      <w:r w:rsidR="002F250B">
        <w:rPr>
          <w:lang w:val="en-IN"/>
        </w:rPr>
        <w:t>c</w:t>
      </w:r>
      <w:r w:rsidR="00161A19">
        <w:rPr>
          <w:lang w:val="en-IN"/>
        </w:rPr>
        <w:t>onsiderations</w:t>
      </w:r>
      <w:bookmarkEnd w:id="50"/>
      <w:bookmarkEnd w:id="51"/>
      <w:bookmarkEnd w:id="52"/>
    </w:p>
    <w:p w14:paraId="585E1CB3" w14:textId="1844002D" w:rsidR="006C31FE" w:rsidRPr="006C31FE" w:rsidRDefault="006C31FE" w:rsidP="007360AE">
      <w:pPr>
        <w:rPr>
          <w:lang w:val="en-IN"/>
        </w:rPr>
      </w:pPr>
      <w:r w:rsidRPr="006C31FE">
        <w:rPr>
          <w:lang w:val="en-IN"/>
        </w:rPr>
        <w:t>The affordability and sustainability of broadband connectivity rely on a nuanced understanding of the cost components across each layer of the telecom and ICT infrastructure supply chain. Each layer introduces unique technical, operational, and economic challenges that collectively shape the final cost of delivering data services to end-users.</w:t>
      </w:r>
    </w:p>
    <w:p w14:paraId="575CDFF0" w14:textId="4B9B8BD4" w:rsidR="00161A19" w:rsidRPr="008D0D9D" w:rsidRDefault="006C31FE" w:rsidP="007360AE">
      <w:pPr>
        <w:rPr>
          <w:b/>
          <w:bCs/>
          <w:lang w:val="en-IN"/>
        </w:rPr>
      </w:pPr>
      <w:r w:rsidRPr="006C31FE">
        <w:rPr>
          <w:lang w:val="en-IN"/>
        </w:rPr>
        <w:t xml:space="preserve">This </w:t>
      </w:r>
      <w:r w:rsidR="00882E34">
        <w:rPr>
          <w:lang w:val="en-IN"/>
        </w:rPr>
        <w:t>clause</w:t>
      </w:r>
      <w:r w:rsidRPr="006C31FE">
        <w:rPr>
          <w:lang w:val="en-IN"/>
        </w:rPr>
        <w:t xml:space="preserve"> provides a detailed analysis of the cost structures associated with the major layers of the supply chain</w:t>
      </w:r>
      <w:r w:rsidR="009A087C">
        <w:rPr>
          <w:lang w:val="en-IN"/>
        </w:rPr>
        <w:t>.</w:t>
      </w:r>
      <w:r w:rsidRPr="006C31FE">
        <w:rPr>
          <w:lang w:val="en-IN"/>
        </w:rPr>
        <w:t xml:space="preserve"> For each layer, </w:t>
      </w:r>
      <w:r w:rsidR="009A087C">
        <w:rPr>
          <w:lang w:val="en-IN"/>
        </w:rPr>
        <w:t>it</w:t>
      </w:r>
      <w:r w:rsidRPr="006C31FE">
        <w:rPr>
          <w:lang w:val="en-IN"/>
        </w:rPr>
        <w:t xml:space="preserve"> covers</w:t>
      </w:r>
      <w:r w:rsidR="009A087C">
        <w:rPr>
          <w:lang w:val="en-IN"/>
        </w:rPr>
        <w:t xml:space="preserve"> aspects such </w:t>
      </w:r>
      <w:r w:rsidR="00FD3C41">
        <w:rPr>
          <w:lang w:val="en-IN"/>
        </w:rPr>
        <w:t xml:space="preserve">as </w:t>
      </w:r>
      <w:r w:rsidR="00FD3C41" w:rsidRPr="008D0D9D">
        <w:rPr>
          <w:b/>
          <w:bCs/>
          <w:lang w:val="en-IN"/>
        </w:rPr>
        <w:t>capital</w:t>
      </w:r>
      <w:r w:rsidRPr="008D0D9D">
        <w:rPr>
          <w:b/>
          <w:bCs/>
          <w:lang w:val="en-IN"/>
        </w:rPr>
        <w:t xml:space="preserve"> expenditures (</w:t>
      </w:r>
      <w:proofErr w:type="spellStart"/>
      <w:r w:rsidRPr="008D0D9D">
        <w:rPr>
          <w:b/>
          <w:bCs/>
          <w:lang w:val="en-IN"/>
        </w:rPr>
        <w:t>CapEx</w:t>
      </w:r>
      <w:proofErr w:type="spellEnd"/>
      <w:r w:rsidRPr="008D0D9D">
        <w:rPr>
          <w:b/>
          <w:bCs/>
          <w:lang w:val="en-IN"/>
        </w:rPr>
        <w:t>), operational expenditures (</w:t>
      </w:r>
      <w:proofErr w:type="spellStart"/>
      <w:r w:rsidRPr="008D0D9D">
        <w:rPr>
          <w:b/>
          <w:bCs/>
          <w:lang w:val="en-IN"/>
        </w:rPr>
        <w:t>OpEx</w:t>
      </w:r>
      <w:proofErr w:type="spellEnd"/>
      <w:r w:rsidRPr="008D0D9D">
        <w:rPr>
          <w:b/>
          <w:bCs/>
          <w:lang w:val="en-IN"/>
        </w:rPr>
        <w:t>), energy costs, regulatory and licensing fees, and market structure dynamics</w:t>
      </w:r>
      <w:r w:rsidRPr="00863A53">
        <w:rPr>
          <w:lang w:val="en-IN"/>
        </w:rPr>
        <w:t>.</w:t>
      </w:r>
    </w:p>
    <w:p w14:paraId="0E981E5D" w14:textId="64EB5E0C" w:rsidR="009A087C" w:rsidRDefault="009A087C" w:rsidP="00026601">
      <w:pPr>
        <w:pStyle w:val="Heading2"/>
        <w:rPr>
          <w:lang w:val="en-IN"/>
        </w:rPr>
      </w:pPr>
      <w:bookmarkStart w:id="53" w:name="_Toc210208980"/>
      <w:bookmarkStart w:id="54" w:name="_Toc239941085"/>
      <w:bookmarkStart w:id="55" w:name="_Toc239947944"/>
      <w:r>
        <w:rPr>
          <w:lang w:val="en-IN"/>
        </w:rPr>
        <w:t>7.</w:t>
      </w:r>
      <w:r w:rsidR="00EC3662">
        <w:rPr>
          <w:lang w:val="en-IN"/>
        </w:rPr>
        <w:t>1</w:t>
      </w:r>
      <w:r w:rsidR="00026601">
        <w:rPr>
          <w:lang w:val="en-IN"/>
        </w:rPr>
        <w:tab/>
      </w:r>
      <w:r w:rsidR="00883942">
        <w:rPr>
          <w:lang w:val="en-IN"/>
        </w:rPr>
        <w:t xml:space="preserve">International </w:t>
      </w:r>
      <w:r w:rsidR="00234FE0">
        <w:rPr>
          <w:lang w:val="en-IN"/>
        </w:rPr>
        <w:t>c</w:t>
      </w:r>
      <w:r w:rsidR="00883942">
        <w:rPr>
          <w:lang w:val="en-IN"/>
        </w:rPr>
        <w:t>onnectivity</w:t>
      </w:r>
      <w:bookmarkEnd w:id="53"/>
      <w:bookmarkEnd w:id="54"/>
      <w:bookmarkEnd w:id="55"/>
    </w:p>
    <w:p w14:paraId="2061FA82" w14:textId="01B8AAAF" w:rsidR="009C1C0B" w:rsidRPr="009C1C0B" w:rsidRDefault="009C1C0B" w:rsidP="009C1C0B">
      <w:pPr>
        <w:rPr>
          <w:lang w:val="en-IN"/>
        </w:rPr>
      </w:pPr>
      <w:r w:rsidRPr="009C1C0B">
        <w:rPr>
          <w:lang w:val="en-IN"/>
        </w:rPr>
        <w:t xml:space="preserve">International connectivity is the foundational layer of the telecom and ICT infrastructure supply chain, enabling cross-border data transport. It primarily relies on submarine </w:t>
      </w:r>
      <w:r w:rsidR="001F2EF3" w:rsidRPr="009C1C0B">
        <w:rPr>
          <w:lang w:val="en-IN"/>
        </w:rPr>
        <w:t>fibre</w:t>
      </w:r>
      <w:r w:rsidRPr="009C1C0B">
        <w:rPr>
          <w:lang w:val="en-IN"/>
        </w:rPr>
        <w:t>-optic cables and satellite systems, each introducing distinct capital and operational cost considerations that shape the affordability of downstream services.</w:t>
      </w:r>
    </w:p>
    <w:p w14:paraId="69D400B3" w14:textId="408C07ED" w:rsidR="009C1C0B" w:rsidRPr="009C1C0B" w:rsidRDefault="009C1C0B" w:rsidP="009C1C0B">
      <w:pPr>
        <w:rPr>
          <w:lang w:val="en-IN"/>
        </w:rPr>
      </w:pPr>
      <w:r w:rsidRPr="009C1C0B">
        <w:rPr>
          <w:lang w:val="en-IN"/>
        </w:rPr>
        <w:t xml:space="preserve">Capital expenditure for submarine cable systems includes the manufacture and deployment of </w:t>
      </w:r>
      <w:r w:rsidR="001F2EF3" w:rsidRPr="009C1C0B">
        <w:rPr>
          <w:lang w:val="en-IN"/>
        </w:rPr>
        <w:t>fibre</w:t>
      </w:r>
      <w:r w:rsidRPr="009C1C0B">
        <w:rPr>
          <w:lang w:val="en-IN"/>
        </w:rPr>
        <w:t>-optic cables, optical amplifiers, and landing station infrastructure. Costs are driven by the system</w:t>
      </w:r>
      <w:r w:rsidR="002E0B1A">
        <w:rPr>
          <w:lang w:val="en-IN"/>
        </w:rPr>
        <w:t>'</w:t>
      </w:r>
      <w:r w:rsidRPr="009C1C0B">
        <w:rPr>
          <w:lang w:val="en-IN"/>
        </w:rPr>
        <w:t>s design capacity (fibr</w:t>
      </w:r>
      <w:r w:rsidR="00F21517">
        <w:rPr>
          <w:lang w:val="en-IN"/>
        </w:rPr>
        <w:t>e</w:t>
      </w:r>
      <w:r w:rsidRPr="009C1C0B">
        <w:rPr>
          <w:lang w:val="en-IN"/>
        </w:rPr>
        <w:t xml:space="preserve"> pairs, amplifier count), route complexity, and seabed topology. Satellite connectivity involves satellite manufacturing, launch services, and the construction of ground station facilities, with costs influenced by the satellite</w:t>
      </w:r>
      <w:r w:rsidR="00234FE0">
        <w:rPr>
          <w:lang w:val="en-IN"/>
        </w:rPr>
        <w:t>'</w:t>
      </w:r>
      <w:r w:rsidRPr="009C1C0B">
        <w:rPr>
          <w:lang w:val="en-IN"/>
        </w:rPr>
        <w:t xml:space="preserve">s orbital configuration (GEO, </w:t>
      </w:r>
      <w:r w:rsidR="00806E86">
        <w:rPr>
          <w:szCs w:val="24"/>
          <w:lang w:val="en-IN" w:eastAsia="en-IN"/>
        </w:rPr>
        <w:t>m</w:t>
      </w:r>
      <w:r w:rsidR="00CF3078" w:rsidRPr="00550655">
        <w:rPr>
          <w:szCs w:val="24"/>
          <w:lang w:val="en-IN" w:eastAsia="en-IN"/>
        </w:rPr>
        <w:t xml:space="preserve">edium Earth </w:t>
      </w:r>
      <w:r w:rsidR="00806E86">
        <w:rPr>
          <w:szCs w:val="24"/>
          <w:lang w:val="en-IN" w:eastAsia="en-IN"/>
        </w:rPr>
        <w:t>o</w:t>
      </w:r>
      <w:r w:rsidR="00CF3078" w:rsidRPr="00550655">
        <w:rPr>
          <w:szCs w:val="24"/>
          <w:lang w:val="en-IN" w:eastAsia="en-IN"/>
        </w:rPr>
        <w:t>rbit</w:t>
      </w:r>
      <w:r w:rsidR="00CF3078" w:rsidRPr="009C1C0B">
        <w:rPr>
          <w:lang w:val="en-IN"/>
        </w:rPr>
        <w:t xml:space="preserve"> </w:t>
      </w:r>
      <w:r w:rsidR="00CF3078">
        <w:rPr>
          <w:lang w:val="en-IN"/>
        </w:rPr>
        <w:t>(</w:t>
      </w:r>
      <w:r w:rsidRPr="009C1C0B">
        <w:rPr>
          <w:lang w:val="en-IN"/>
        </w:rPr>
        <w:t>MEO</w:t>
      </w:r>
      <w:r w:rsidR="00CF3078">
        <w:rPr>
          <w:lang w:val="en-IN"/>
        </w:rPr>
        <w:t>)</w:t>
      </w:r>
      <w:r w:rsidRPr="009C1C0B">
        <w:rPr>
          <w:lang w:val="en-IN"/>
        </w:rPr>
        <w:t>, LEO) and transponder capacity.</w:t>
      </w:r>
    </w:p>
    <w:p w14:paraId="052BCB11" w14:textId="09E14195" w:rsidR="009C1C0B" w:rsidRPr="009C1C0B" w:rsidRDefault="009C1C0B" w:rsidP="009C1C0B">
      <w:pPr>
        <w:rPr>
          <w:lang w:val="en-IN"/>
        </w:rPr>
      </w:pPr>
      <w:r w:rsidRPr="009C1C0B">
        <w:rPr>
          <w:lang w:val="en-IN"/>
        </w:rPr>
        <w:t xml:space="preserve">Operational expenditure in submarine cable systems </w:t>
      </w:r>
      <w:r w:rsidR="00116665" w:rsidRPr="009C1C0B">
        <w:rPr>
          <w:lang w:val="en-IN"/>
        </w:rPr>
        <w:t>centres</w:t>
      </w:r>
      <w:r w:rsidRPr="009C1C0B">
        <w:rPr>
          <w:lang w:val="en-IN"/>
        </w:rPr>
        <w:t xml:space="preserve"> on periodic maintenance and repairs. Specialized cable ships and consortia arrangements spread these costs among participating operators. For satellites, operational costs include ground station operation and satellite fleet management. Capacity leasing for international bandwidth</w:t>
      </w:r>
      <w:r w:rsidR="009D2EE0">
        <w:rPr>
          <w:lang w:val="en-IN"/>
        </w:rPr>
        <w:t xml:space="preserve">, </w:t>
      </w:r>
      <w:r w:rsidRPr="009C1C0B">
        <w:rPr>
          <w:lang w:val="en-IN"/>
        </w:rPr>
        <w:t>whether from cable operators or satellite providers</w:t>
      </w:r>
      <w:r w:rsidR="009D2EE0">
        <w:rPr>
          <w:lang w:val="en-IN"/>
        </w:rPr>
        <w:t xml:space="preserve">, </w:t>
      </w:r>
      <w:r w:rsidRPr="009C1C0B">
        <w:rPr>
          <w:lang w:val="en-IN"/>
        </w:rPr>
        <w:t xml:space="preserve">constitutes a recurring expense for downstream </w:t>
      </w:r>
      <w:r w:rsidR="00C82BEA" w:rsidRPr="00550655">
        <w:rPr>
          <w:szCs w:val="24"/>
          <w:lang w:val="en-IN" w:eastAsia="en-IN"/>
        </w:rPr>
        <w:t xml:space="preserve">Internet </w:t>
      </w:r>
      <w:r w:rsidR="00C82BEA">
        <w:rPr>
          <w:szCs w:val="24"/>
          <w:lang w:val="en-IN" w:eastAsia="en-IN"/>
        </w:rPr>
        <w:t>s</w:t>
      </w:r>
      <w:r w:rsidR="00C82BEA" w:rsidRPr="00550655">
        <w:rPr>
          <w:szCs w:val="24"/>
          <w:lang w:val="en-IN" w:eastAsia="en-IN"/>
        </w:rPr>
        <w:t xml:space="preserve">ervice </w:t>
      </w:r>
      <w:r w:rsidR="00C82BEA">
        <w:rPr>
          <w:szCs w:val="24"/>
          <w:lang w:val="en-IN" w:eastAsia="en-IN"/>
        </w:rPr>
        <w:t>p</w:t>
      </w:r>
      <w:r w:rsidR="00C82BEA" w:rsidRPr="00550655">
        <w:rPr>
          <w:szCs w:val="24"/>
          <w:lang w:val="en-IN" w:eastAsia="en-IN"/>
        </w:rPr>
        <w:t>rovider</w:t>
      </w:r>
      <w:r w:rsidR="00C82BEA">
        <w:rPr>
          <w:szCs w:val="24"/>
          <w:lang w:val="en-IN" w:eastAsia="en-IN"/>
        </w:rPr>
        <w:t>s</w:t>
      </w:r>
      <w:r w:rsidR="00C82BEA" w:rsidRPr="009C1C0B">
        <w:rPr>
          <w:lang w:val="en-IN"/>
        </w:rPr>
        <w:t xml:space="preserve"> </w:t>
      </w:r>
      <w:r w:rsidR="00C82BEA">
        <w:rPr>
          <w:lang w:val="en-IN"/>
        </w:rPr>
        <w:t>(</w:t>
      </w:r>
      <w:r w:rsidRPr="009C1C0B">
        <w:rPr>
          <w:lang w:val="en-IN"/>
        </w:rPr>
        <w:t>ISPs</w:t>
      </w:r>
      <w:r w:rsidR="00C82BEA">
        <w:rPr>
          <w:lang w:val="en-IN"/>
        </w:rPr>
        <w:t>)</w:t>
      </w:r>
      <w:r w:rsidRPr="009C1C0B">
        <w:rPr>
          <w:lang w:val="en-IN"/>
        </w:rPr>
        <w:t>.</w:t>
      </w:r>
    </w:p>
    <w:p w14:paraId="7C19FE33" w14:textId="77777777" w:rsidR="009C1C0B" w:rsidRPr="009C1C0B" w:rsidRDefault="009C1C0B" w:rsidP="009C1C0B">
      <w:pPr>
        <w:rPr>
          <w:lang w:val="en-IN"/>
        </w:rPr>
      </w:pPr>
      <w:r w:rsidRPr="009C1C0B">
        <w:rPr>
          <w:lang w:val="en-IN"/>
        </w:rPr>
        <w:t>Energy consumption is a notable operational factor. Submarine cable landing stations and satellite gateways require continuous power for optical or RF transmission systems and climate control, with higher costs in regions with unreliable grid access.</w:t>
      </w:r>
    </w:p>
    <w:p w14:paraId="0C39DF1F" w14:textId="77777777" w:rsidR="009C1C0B" w:rsidRPr="009C1C0B" w:rsidRDefault="009C1C0B" w:rsidP="009C1C0B">
      <w:pPr>
        <w:rPr>
          <w:lang w:val="en-IN"/>
        </w:rPr>
      </w:pPr>
      <w:r w:rsidRPr="009C1C0B">
        <w:rPr>
          <w:lang w:val="en-IN"/>
        </w:rPr>
        <w:t>Licensing and regulatory compliance impose costs related to maritime permits, environmental clearances, and spectrum or orbital slot coordination. Navigating these requirements adds to project timelines and introduces additional financial commitments.</w:t>
      </w:r>
    </w:p>
    <w:p w14:paraId="23314DA7" w14:textId="34E6249B" w:rsidR="009C1C0B" w:rsidRPr="009C1C0B" w:rsidRDefault="009C1C0B" w:rsidP="009C1C0B">
      <w:pPr>
        <w:rPr>
          <w:lang w:val="en-IN"/>
        </w:rPr>
      </w:pPr>
      <w:r w:rsidRPr="009C1C0B">
        <w:rPr>
          <w:lang w:val="en-IN"/>
        </w:rPr>
        <w:t xml:space="preserve">Market structure has a direct impact on transit prices. In regions with limited international connectivity routes, capacity prices remain high, constraining downstream affordability. Competitive landing environments and multiple submarine cable options can reduce unit costs and create more </w:t>
      </w:r>
      <w:r w:rsidR="009D2EE0" w:rsidRPr="009C1C0B">
        <w:rPr>
          <w:lang w:val="en-IN"/>
        </w:rPr>
        <w:t>favourable</w:t>
      </w:r>
      <w:r w:rsidRPr="009C1C0B">
        <w:rPr>
          <w:lang w:val="en-IN"/>
        </w:rPr>
        <w:t xml:space="preserve"> market conditions.</w:t>
      </w:r>
    </w:p>
    <w:p w14:paraId="357CCBA5" w14:textId="4F249172" w:rsidR="009C1C0B" w:rsidRPr="009C1C0B" w:rsidRDefault="009C1C0B" w:rsidP="00B33C61">
      <w:pPr>
        <w:pStyle w:val="Headingb"/>
        <w:rPr>
          <w:lang w:val="en-IN"/>
        </w:rPr>
      </w:pPr>
      <w:r w:rsidRPr="009C1C0B">
        <w:rPr>
          <w:lang w:val="en-IN"/>
        </w:rPr>
        <w:t>Key cost levers:</w:t>
      </w:r>
    </w:p>
    <w:p w14:paraId="0F9D59D4" w14:textId="17572207" w:rsidR="009C1C0B" w:rsidRPr="009C1C0B" w:rsidRDefault="00B33C61" w:rsidP="00B33C61">
      <w:pPr>
        <w:pStyle w:val="enumlev1"/>
        <w:rPr>
          <w:lang w:val="en-IN"/>
        </w:rPr>
      </w:pPr>
      <w:r w:rsidRPr="00B33C61">
        <w:rPr>
          <w:lang w:val="en-IN"/>
        </w:rPr>
        <w:t>•</w:t>
      </w:r>
      <w:r>
        <w:rPr>
          <w:lang w:val="en-IN"/>
        </w:rPr>
        <w:tab/>
      </w:r>
      <w:r w:rsidR="009C1C0B" w:rsidRPr="009C1C0B">
        <w:rPr>
          <w:lang w:val="en-IN"/>
        </w:rPr>
        <w:t>Collaborative financing and ownership models (consortia) to reduce individual capital investment burdens</w:t>
      </w:r>
      <w:r w:rsidR="00863A53">
        <w:rPr>
          <w:lang w:val="en-IN"/>
        </w:rPr>
        <w:t>.</w:t>
      </w:r>
    </w:p>
    <w:p w14:paraId="228BC82C" w14:textId="04C118AD" w:rsidR="009C1C0B" w:rsidRPr="009C1C0B" w:rsidRDefault="00B33C61" w:rsidP="00B33C61">
      <w:pPr>
        <w:pStyle w:val="enumlev1"/>
        <w:rPr>
          <w:lang w:val="en-IN"/>
        </w:rPr>
      </w:pPr>
      <w:r w:rsidRPr="00B33C61">
        <w:rPr>
          <w:lang w:val="en-IN"/>
        </w:rPr>
        <w:t>•</w:t>
      </w:r>
      <w:r>
        <w:rPr>
          <w:lang w:val="en-IN"/>
        </w:rPr>
        <w:tab/>
      </w:r>
      <w:r w:rsidR="009C1C0B" w:rsidRPr="009C1C0B">
        <w:rPr>
          <w:lang w:val="en-IN"/>
        </w:rPr>
        <w:t xml:space="preserve">Maintenance </w:t>
      </w:r>
      <w:r w:rsidR="002E0B1A">
        <w:rPr>
          <w:lang w:val="en-IN"/>
        </w:rPr>
        <w:t xml:space="preserve">of </w:t>
      </w:r>
      <w:r w:rsidR="009C1C0B" w:rsidRPr="009C1C0B">
        <w:rPr>
          <w:lang w:val="en-IN"/>
        </w:rPr>
        <w:t>sharing agreements to lower operational repair costs</w:t>
      </w:r>
      <w:r w:rsidR="00863A53">
        <w:rPr>
          <w:lang w:val="en-IN"/>
        </w:rPr>
        <w:t>.</w:t>
      </w:r>
    </w:p>
    <w:p w14:paraId="678B15A0" w14:textId="7EDC45D0" w:rsidR="009C1C0B" w:rsidRPr="009C1C0B" w:rsidRDefault="00B33C61" w:rsidP="00B33C61">
      <w:pPr>
        <w:pStyle w:val="enumlev1"/>
        <w:rPr>
          <w:lang w:val="en-IN"/>
        </w:rPr>
      </w:pPr>
      <w:r w:rsidRPr="00B33C61">
        <w:rPr>
          <w:lang w:val="en-IN"/>
        </w:rPr>
        <w:t>•</w:t>
      </w:r>
      <w:r>
        <w:rPr>
          <w:lang w:val="en-IN"/>
        </w:rPr>
        <w:tab/>
      </w:r>
      <w:r w:rsidR="009C1C0B" w:rsidRPr="009C1C0B">
        <w:rPr>
          <w:lang w:val="en-IN"/>
        </w:rPr>
        <w:t>Adoption of energy-efficient power and cooling systems at landing stations and ground facilities</w:t>
      </w:r>
      <w:r w:rsidR="00863A53">
        <w:rPr>
          <w:lang w:val="en-IN"/>
        </w:rPr>
        <w:t>.</w:t>
      </w:r>
    </w:p>
    <w:p w14:paraId="5DC98C91" w14:textId="636F39C4" w:rsidR="009C1C0B" w:rsidRPr="009C1C0B" w:rsidRDefault="00B33C61" w:rsidP="00B33C61">
      <w:pPr>
        <w:pStyle w:val="enumlev1"/>
        <w:rPr>
          <w:lang w:val="en-IN"/>
        </w:rPr>
      </w:pPr>
      <w:r w:rsidRPr="00B33C61">
        <w:rPr>
          <w:lang w:val="en-IN"/>
        </w:rPr>
        <w:t>•</w:t>
      </w:r>
      <w:r>
        <w:rPr>
          <w:lang w:val="en-IN"/>
        </w:rPr>
        <w:tab/>
      </w:r>
      <w:r w:rsidR="009C1C0B" w:rsidRPr="009C1C0B">
        <w:rPr>
          <w:lang w:val="en-IN"/>
        </w:rPr>
        <w:t>Establishment of multiple landing points and route diversity to improve resilience and reduce dependency costs</w:t>
      </w:r>
      <w:r w:rsidR="00863A53">
        <w:rPr>
          <w:lang w:val="en-IN"/>
        </w:rPr>
        <w:t>.</w:t>
      </w:r>
    </w:p>
    <w:p w14:paraId="182270AB" w14:textId="3D080220" w:rsidR="009C1C0B" w:rsidRPr="009C1C0B" w:rsidRDefault="00B33C61" w:rsidP="00B33C61">
      <w:pPr>
        <w:pStyle w:val="enumlev1"/>
        <w:rPr>
          <w:lang w:val="en-IN"/>
        </w:rPr>
      </w:pPr>
      <w:r w:rsidRPr="00B33C61">
        <w:rPr>
          <w:lang w:val="en-IN"/>
        </w:rPr>
        <w:t>•</w:t>
      </w:r>
      <w:r>
        <w:rPr>
          <w:lang w:val="en-IN"/>
        </w:rPr>
        <w:tab/>
      </w:r>
      <w:r w:rsidR="009C1C0B" w:rsidRPr="009C1C0B">
        <w:rPr>
          <w:lang w:val="en-IN"/>
        </w:rPr>
        <w:t>Clear and predictable regulatory frameworks to avoid project delays and cost escalation</w:t>
      </w:r>
      <w:r w:rsidR="00863A53">
        <w:rPr>
          <w:lang w:val="en-IN"/>
        </w:rPr>
        <w:t>.</w:t>
      </w:r>
    </w:p>
    <w:p w14:paraId="7C49095D" w14:textId="77464B01" w:rsidR="009C1C0B" w:rsidRDefault="00B33C61" w:rsidP="00B33C61">
      <w:pPr>
        <w:pStyle w:val="enumlev1"/>
        <w:rPr>
          <w:lang w:val="en-IN"/>
        </w:rPr>
      </w:pPr>
      <w:r w:rsidRPr="00B33C61">
        <w:rPr>
          <w:lang w:val="en-IN"/>
        </w:rPr>
        <w:t>•</w:t>
      </w:r>
      <w:r>
        <w:rPr>
          <w:lang w:val="en-IN"/>
        </w:rPr>
        <w:tab/>
      </w:r>
      <w:r w:rsidR="009C1C0B" w:rsidRPr="009C1C0B">
        <w:rPr>
          <w:lang w:val="en-IN"/>
        </w:rPr>
        <w:t>Promoting competitive wholesale markets by encouraging new submarine or satellite systems to enter underserved regions</w:t>
      </w:r>
      <w:r w:rsidR="00863A53">
        <w:rPr>
          <w:lang w:val="en-IN"/>
        </w:rPr>
        <w:t>.</w:t>
      </w:r>
    </w:p>
    <w:p w14:paraId="4E4DC0D4" w14:textId="5C8FC2BD" w:rsidR="00003EF6" w:rsidRPr="00003EF6" w:rsidRDefault="00003EF6" w:rsidP="00B33C61">
      <w:pPr>
        <w:pStyle w:val="Headingb"/>
        <w:rPr>
          <w:lang w:val="en-IN"/>
        </w:rPr>
      </w:pPr>
      <w:r w:rsidRPr="00003EF6">
        <w:rPr>
          <w:lang w:val="en-IN"/>
        </w:rPr>
        <w:lastRenderedPageBreak/>
        <w:t xml:space="preserve">Regulatory </w:t>
      </w:r>
      <w:r w:rsidR="00E474E8">
        <w:rPr>
          <w:lang w:val="en-IN"/>
        </w:rPr>
        <w:t>a</w:t>
      </w:r>
      <w:r w:rsidRPr="00003EF6">
        <w:rPr>
          <w:lang w:val="en-IN"/>
        </w:rPr>
        <w:t xml:space="preserve">spects of </w:t>
      </w:r>
      <w:r w:rsidR="00E474E8">
        <w:rPr>
          <w:lang w:val="en-IN"/>
        </w:rPr>
        <w:t>i</w:t>
      </w:r>
      <w:r w:rsidRPr="00003EF6">
        <w:rPr>
          <w:lang w:val="en-IN"/>
        </w:rPr>
        <w:t xml:space="preserve">nternational Internet </w:t>
      </w:r>
      <w:r w:rsidR="00E474E8">
        <w:rPr>
          <w:lang w:val="en-IN"/>
        </w:rPr>
        <w:t>c</w:t>
      </w:r>
      <w:r w:rsidRPr="00003EF6">
        <w:rPr>
          <w:lang w:val="en-IN"/>
        </w:rPr>
        <w:t xml:space="preserve">onnectivity </w:t>
      </w:r>
      <w:r w:rsidR="00E474E8">
        <w:rPr>
          <w:lang w:val="en-IN"/>
        </w:rPr>
        <w:t>c</w:t>
      </w:r>
      <w:r w:rsidRPr="00003EF6">
        <w:rPr>
          <w:lang w:val="en-IN"/>
        </w:rPr>
        <w:t>osts</w:t>
      </w:r>
    </w:p>
    <w:p w14:paraId="39CB5E71" w14:textId="48348B9E" w:rsidR="00003EF6" w:rsidRPr="00003EF6" w:rsidRDefault="00003EF6" w:rsidP="00003EF6">
      <w:pPr>
        <w:rPr>
          <w:lang w:val="en-IN"/>
        </w:rPr>
      </w:pPr>
      <w:r w:rsidRPr="00003EF6">
        <w:rPr>
          <w:lang w:val="en-IN"/>
        </w:rPr>
        <w:t xml:space="preserve">Regulators provide various economic and fiscal incentives to encourage operators to expand international </w:t>
      </w:r>
      <w:r w:rsidR="00D80F9D">
        <w:rPr>
          <w:lang w:val="en-IN"/>
        </w:rPr>
        <w:t>I</w:t>
      </w:r>
      <w:r w:rsidRPr="00003EF6">
        <w:rPr>
          <w:lang w:val="en-IN"/>
        </w:rPr>
        <w:t xml:space="preserve">nternet connectivity to underserved regions. These include </w:t>
      </w:r>
      <w:r w:rsidR="00B4689C">
        <w:rPr>
          <w:lang w:val="en-IN"/>
        </w:rPr>
        <w:t>s</w:t>
      </w:r>
      <w:r w:rsidRPr="00003EF6">
        <w:rPr>
          <w:lang w:val="en-IN"/>
        </w:rPr>
        <w:t xml:space="preserve">pecial </w:t>
      </w:r>
      <w:r w:rsidR="00B4689C">
        <w:rPr>
          <w:lang w:val="en-IN"/>
        </w:rPr>
        <w:t>p</w:t>
      </w:r>
      <w:r w:rsidRPr="00003EF6">
        <w:rPr>
          <w:lang w:val="en-IN"/>
        </w:rPr>
        <w:t xml:space="preserve">urpose </w:t>
      </w:r>
      <w:r w:rsidR="00B4689C">
        <w:rPr>
          <w:lang w:val="en-IN"/>
        </w:rPr>
        <w:t>v</w:t>
      </w:r>
      <w:r w:rsidRPr="00003EF6">
        <w:rPr>
          <w:lang w:val="en-IN"/>
        </w:rPr>
        <w:t xml:space="preserve">ehicles (SPVs), </w:t>
      </w:r>
      <w:r w:rsidR="00B07851">
        <w:rPr>
          <w:lang w:val="en-IN"/>
        </w:rPr>
        <w:t>u</w:t>
      </w:r>
      <w:r w:rsidRPr="00003EF6">
        <w:rPr>
          <w:lang w:val="en-IN"/>
        </w:rPr>
        <w:t xml:space="preserve">niversal </w:t>
      </w:r>
      <w:r w:rsidR="00B07851">
        <w:rPr>
          <w:lang w:val="en-IN"/>
        </w:rPr>
        <w:t>s</w:t>
      </w:r>
      <w:r w:rsidRPr="00003EF6">
        <w:rPr>
          <w:lang w:val="en-IN"/>
        </w:rPr>
        <w:t xml:space="preserve">ervice </w:t>
      </w:r>
      <w:r w:rsidR="00B07851">
        <w:rPr>
          <w:lang w:val="en-IN"/>
        </w:rPr>
        <w:t>f</w:t>
      </w:r>
      <w:r w:rsidRPr="00003EF6">
        <w:rPr>
          <w:lang w:val="en-IN"/>
        </w:rPr>
        <w:t>unds (USF), and tax incentives.</w:t>
      </w:r>
    </w:p>
    <w:p w14:paraId="057ECCA1" w14:textId="14082621" w:rsidR="00003EF6" w:rsidRPr="00003EF6" w:rsidRDefault="00003EF6" w:rsidP="00003EF6">
      <w:pPr>
        <w:rPr>
          <w:lang w:val="en-IN"/>
        </w:rPr>
      </w:pPr>
      <w:r w:rsidRPr="00003EF6">
        <w:rPr>
          <w:lang w:val="en-IN"/>
        </w:rPr>
        <w:t>TRAI (India): Issued directives and tariff regulations for international bandwidth and interconnection agreements to ensure fair competition, transparent pricing, and efficient traffic exchange.</w:t>
      </w:r>
    </w:p>
    <w:p w14:paraId="0E42BD19" w14:textId="460F1BEA" w:rsidR="00003EF6" w:rsidRPr="00003EF6" w:rsidRDefault="00003EF6" w:rsidP="00003EF6">
      <w:pPr>
        <w:rPr>
          <w:lang w:val="en-IN"/>
        </w:rPr>
      </w:pPr>
      <w:r w:rsidRPr="00003EF6">
        <w:rPr>
          <w:lang w:val="en-IN"/>
        </w:rPr>
        <w:t xml:space="preserve">Department of </w:t>
      </w:r>
      <w:r w:rsidR="006A4B38">
        <w:rPr>
          <w:lang w:val="en-IN"/>
        </w:rPr>
        <w:t>t</w:t>
      </w:r>
      <w:r w:rsidRPr="00003EF6">
        <w:rPr>
          <w:lang w:val="en-IN"/>
        </w:rPr>
        <w:t xml:space="preserve">elecommunications (DoT, India): Issues licenses to </w:t>
      </w:r>
      <w:r w:rsidR="004959D5">
        <w:rPr>
          <w:lang w:val="en-IN"/>
        </w:rPr>
        <w:t>i</w:t>
      </w:r>
      <w:r w:rsidRPr="00003EF6">
        <w:rPr>
          <w:lang w:val="en-IN"/>
        </w:rPr>
        <w:t xml:space="preserve">nternational </w:t>
      </w:r>
      <w:r w:rsidR="004959D5">
        <w:rPr>
          <w:lang w:val="en-IN"/>
        </w:rPr>
        <w:t>l</w:t>
      </w:r>
      <w:r w:rsidRPr="00003EF6">
        <w:rPr>
          <w:lang w:val="en-IN"/>
        </w:rPr>
        <w:t xml:space="preserve">ong </w:t>
      </w:r>
      <w:r w:rsidR="004959D5">
        <w:rPr>
          <w:lang w:val="en-IN"/>
        </w:rPr>
        <w:t>d</w:t>
      </w:r>
      <w:r w:rsidRPr="00003EF6">
        <w:rPr>
          <w:lang w:val="en-IN"/>
        </w:rPr>
        <w:t>istance (ILD) operators with conditions on pricing, quality of service, and compliance with international standards. Monitors ILD operators for compliance and service quality.</w:t>
      </w:r>
    </w:p>
    <w:p w14:paraId="5CFF82B9" w14:textId="68FF4A44" w:rsidR="00003EF6" w:rsidRPr="00003EF6" w:rsidRDefault="00003EF6" w:rsidP="00003EF6">
      <w:pPr>
        <w:rPr>
          <w:lang w:val="en-IN"/>
        </w:rPr>
      </w:pPr>
      <w:r w:rsidRPr="00003EF6">
        <w:rPr>
          <w:lang w:val="en-IN"/>
        </w:rPr>
        <w:t xml:space="preserve">Asia-Pacific </w:t>
      </w:r>
      <w:r w:rsidR="006A4B38">
        <w:rPr>
          <w:lang w:val="en-IN"/>
        </w:rPr>
        <w:t>e</w:t>
      </w:r>
      <w:r w:rsidRPr="00003EF6">
        <w:rPr>
          <w:lang w:val="en-IN"/>
        </w:rPr>
        <w:t xml:space="preserve">conomic </w:t>
      </w:r>
      <w:r w:rsidR="006A4B38">
        <w:rPr>
          <w:lang w:val="en-IN"/>
        </w:rPr>
        <w:t>c</w:t>
      </w:r>
      <w:r w:rsidRPr="00003EF6">
        <w:rPr>
          <w:lang w:val="en-IN"/>
        </w:rPr>
        <w:t>ooperation (APEC): Provides guidelines to promote competition, efficiency, and affordability in international connectivity.</w:t>
      </w:r>
    </w:p>
    <w:p w14:paraId="24D0500D" w14:textId="44C089DB" w:rsidR="00003EF6" w:rsidRPr="00003EF6" w:rsidRDefault="00003EF6" w:rsidP="00B33C61">
      <w:pPr>
        <w:pStyle w:val="Headingb"/>
        <w:rPr>
          <w:lang w:val="en-IN"/>
        </w:rPr>
      </w:pPr>
      <w:r w:rsidRPr="00003EF6">
        <w:rPr>
          <w:lang w:val="en-IN"/>
        </w:rPr>
        <w:t xml:space="preserve">Standardization </w:t>
      </w:r>
      <w:r w:rsidR="008A66A3">
        <w:rPr>
          <w:lang w:val="en-IN"/>
        </w:rPr>
        <w:t>a</w:t>
      </w:r>
      <w:r w:rsidRPr="00003EF6">
        <w:rPr>
          <w:lang w:val="en-IN"/>
        </w:rPr>
        <w:t xml:space="preserve">spects of </w:t>
      </w:r>
      <w:r w:rsidR="008A66A3">
        <w:rPr>
          <w:lang w:val="en-IN"/>
        </w:rPr>
        <w:t>i</w:t>
      </w:r>
      <w:r w:rsidRPr="00003EF6">
        <w:rPr>
          <w:lang w:val="en-IN"/>
        </w:rPr>
        <w:t xml:space="preserve">nternational Internet </w:t>
      </w:r>
      <w:r w:rsidR="006821B2">
        <w:rPr>
          <w:lang w:val="en-IN"/>
        </w:rPr>
        <w:t>c</w:t>
      </w:r>
      <w:r w:rsidRPr="00003EF6">
        <w:rPr>
          <w:lang w:val="en-IN"/>
        </w:rPr>
        <w:t xml:space="preserve">onnectivity </w:t>
      </w:r>
      <w:r w:rsidR="006821B2">
        <w:rPr>
          <w:lang w:val="en-IN"/>
        </w:rPr>
        <w:t>c</w:t>
      </w:r>
      <w:r w:rsidRPr="00003EF6">
        <w:rPr>
          <w:lang w:val="en-IN"/>
        </w:rPr>
        <w:t>osts</w:t>
      </w:r>
    </w:p>
    <w:p w14:paraId="7FBD87C8" w14:textId="3D8F9FEE" w:rsidR="00003EF6" w:rsidRPr="00003EF6" w:rsidRDefault="00003EF6" w:rsidP="00003EF6">
      <w:pPr>
        <w:rPr>
          <w:lang w:val="en-IN"/>
        </w:rPr>
      </w:pPr>
      <w:r w:rsidRPr="00003EF6">
        <w:rPr>
          <w:lang w:val="en-IN"/>
        </w:rPr>
        <w:t>Non-standardized pricing models have created challenges such as lack of transparency, inequitable costs for developing countries, and barriers to competition. Standardization efforts address these issues by establishing benchmarks, methodologies, and regulatory alignment.</w:t>
      </w:r>
    </w:p>
    <w:p w14:paraId="4A36B623" w14:textId="223FDAF3" w:rsidR="00003EF6" w:rsidRPr="00003EF6" w:rsidRDefault="00003EF6" w:rsidP="00003EF6">
      <w:pPr>
        <w:rPr>
          <w:lang w:val="en-IN"/>
        </w:rPr>
      </w:pPr>
      <w:r w:rsidRPr="00003EF6">
        <w:rPr>
          <w:lang w:val="en-IN"/>
        </w:rPr>
        <w:t xml:space="preserve">Cost </w:t>
      </w:r>
      <w:r w:rsidR="00834918">
        <w:rPr>
          <w:lang w:val="en-IN"/>
        </w:rPr>
        <w:t>m</w:t>
      </w:r>
      <w:r w:rsidRPr="00003EF6">
        <w:rPr>
          <w:lang w:val="en-IN"/>
        </w:rPr>
        <w:t xml:space="preserve">odels and </w:t>
      </w:r>
      <w:r w:rsidR="00834918">
        <w:rPr>
          <w:lang w:val="en-IN"/>
        </w:rPr>
        <w:t>b</w:t>
      </w:r>
      <w:r w:rsidRPr="00003EF6">
        <w:rPr>
          <w:lang w:val="en-IN"/>
        </w:rPr>
        <w:t>enchmarking: ITU</w:t>
      </w:r>
      <w:r w:rsidR="00834918">
        <w:rPr>
          <w:lang w:val="en-IN"/>
        </w:rPr>
        <w:t>'</w:t>
      </w:r>
      <w:r w:rsidRPr="00003EF6">
        <w:rPr>
          <w:lang w:val="en-IN"/>
        </w:rPr>
        <w:t>s Recommendation ITU-T D.50 outlines methodologies for calculating international connectivity costs, including submarine cables, terrestrial infrastructure, and operations.</w:t>
      </w:r>
    </w:p>
    <w:p w14:paraId="139A9722" w14:textId="42112AC7" w:rsidR="00003EF6" w:rsidRPr="00003EF6" w:rsidRDefault="00003EF6" w:rsidP="00003EF6">
      <w:pPr>
        <w:rPr>
          <w:lang w:val="en-IN"/>
        </w:rPr>
      </w:pPr>
      <w:r w:rsidRPr="00003EF6">
        <w:rPr>
          <w:lang w:val="en-IN"/>
        </w:rPr>
        <w:t xml:space="preserve">Regulatory </w:t>
      </w:r>
      <w:r w:rsidR="009053D4">
        <w:rPr>
          <w:lang w:val="en-IN"/>
        </w:rPr>
        <w:t>f</w:t>
      </w:r>
      <w:r w:rsidRPr="00003EF6">
        <w:rPr>
          <w:lang w:val="en-IN"/>
        </w:rPr>
        <w:t xml:space="preserve">rameworks: Regional frameworks such as the European </w:t>
      </w:r>
      <w:r w:rsidR="009053D4">
        <w:rPr>
          <w:lang w:val="en-IN"/>
        </w:rPr>
        <w:t>e</w:t>
      </w:r>
      <w:r w:rsidRPr="00003EF6">
        <w:rPr>
          <w:lang w:val="en-IN"/>
        </w:rPr>
        <w:t xml:space="preserve">lectronic </w:t>
      </w:r>
      <w:r w:rsidR="009053D4">
        <w:rPr>
          <w:lang w:val="en-IN"/>
        </w:rPr>
        <w:t>c</w:t>
      </w:r>
      <w:r w:rsidRPr="00003EF6">
        <w:rPr>
          <w:lang w:val="en-IN"/>
        </w:rPr>
        <w:t xml:space="preserve">ommunications </w:t>
      </w:r>
      <w:r w:rsidR="009053D4">
        <w:rPr>
          <w:lang w:val="en-IN"/>
        </w:rPr>
        <w:t>c</w:t>
      </w:r>
      <w:r w:rsidRPr="00003EF6">
        <w:rPr>
          <w:lang w:val="en-IN"/>
        </w:rPr>
        <w:t>ode harmonize cross-border access and pricing rules, fostering fair competition.</w:t>
      </w:r>
    </w:p>
    <w:p w14:paraId="42F18C94" w14:textId="3D91676C" w:rsidR="00003EF6" w:rsidRPr="00003EF6" w:rsidRDefault="00003EF6" w:rsidP="00003EF6">
      <w:pPr>
        <w:rPr>
          <w:lang w:val="en-IN"/>
        </w:rPr>
      </w:pPr>
      <w:r w:rsidRPr="00003EF6">
        <w:rPr>
          <w:lang w:val="en-IN"/>
        </w:rPr>
        <w:t xml:space="preserve">Peering and </w:t>
      </w:r>
      <w:r w:rsidR="00D268EE">
        <w:rPr>
          <w:lang w:val="en-IN"/>
        </w:rPr>
        <w:t>i</w:t>
      </w:r>
      <w:r w:rsidRPr="00003EF6">
        <w:rPr>
          <w:lang w:val="en-IN"/>
        </w:rPr>
        <w:t xml:space="preserve">nterconnection </w:t>
      </w:r>
      <w:r w:rsidR="00D268EE">
        <w:rPr>
          <w:lang w:val="en-IN"/>
        </w:rPr>
        <w:t>g</w:t>
      </w:r>
      <w:r w:rsidRPr="00003EF6">
        <w:rPr>
          <w:lang w:val="en-IN"/>
        </w:rPr>
        <w:t xml:space="preserve">uidelines: </w:t>
      </w:r>
      <w:r w:rsidR="000532FD" w:rsidRPr="00550655">
        <w:rPr>
          <w:szCs w:val="24"/>
          <w:lang w:val="en-IN" w:eastAsia="en-IN"/>
        </w:rPr>
        <w:t xml:space="preserve">Internet </w:t>
      </w:r>
      <w:r w:rsidR="000742E4">
        <w:rPr>
          <w:szCs w:val="24"/>
          <w:lang w:val="en-IN" w:eastAsia="en-IN"/>
        </w:rPr>
        <w:t>e</w:t>
      </w:r>
      <w:r w:rsidR="000532FD" w:rsidRPr="00550655">
        <w:rPr>
          <w:szCs w:val="24"/>
          <w:lang w:val="en-IN" w:eastAsia="en-IN"/>
        </w:rPr>
        <w:t xml:space="preserve">ngineering </w:t>
      </w:r>
      <w:r w:rsidR="000742E4">
        <w:rPr>
          <w:szCs w:val="24"/>
          <w:lang w:val="en-IN" w:eastAsia="en-IN"/>
        </w:rPr>
        <w:t>t</w:t>
      </w:r>
      <w:r w:rsidR="000532FD" w:rsidRPr="00550655">
        <w:rPr>
          <w:szCs w:val="24"/>
          <w:lang w:val="en-IN" w:eastAsia="en-IN"/>
        </w:rPr>
        <w:t xml:space="preserve">ask </w:t>
      </w:r>
      <w:r w:rsidR="000742E4">
        <w:rPr>
          <w:szCs w:val="24"/>
          <w:lang w:val="en-IN" w:eastAsia="en-IN"/>
        </w:rPr>
        <w:t>f</w:t>
      </w:r>
      <w:r w:rsidR="000532FD" w:rsidRPr="00550655">
        <w:rPr>
          <w:szCs w:val="24"/>
          <w:lang w:val="en-IN" w:eastAsia="en-IN"/>
        </w:rPr>
        <w:t>orce</w:t>
      </w:r>
      <w:r w:rsidR="000532FD" w:rsidRPr="00003EF6">
        <w:rPr>
          <w:lang w:val="en-IN"/>
        </w:rPr>
        <w:t xml:space="preserve"> </w:t>
      </w:r>
      <w:r w:rsidR="000532FD">
        <w:rPr>
          <w:lang w:val="en-IN"/>
        </w:rPr>
        <w:t>(</w:t>
      </w:r>
      <w:r w:rsidRPr="00003EF6">
        <w:rPr>
          <w:lang w:val="en-IN"/>
        </w:rPr>
        <w:t>IETF</w:t>
      </w:r>
      <w:r w:rsidR="00043316">
        <w:rPr>
          <w:lang w:val="en-IN"/>
        </w:rPr>
        <w:t>'</w:t>
      </w:r>
      <w:r w:rsidRPr="00003EF6">
        <w:rPr>
          <w:lang w:val="en-IN"/>
        </w:rPr>
        <w:t>s</w:t>
      </w:r>
      <w:r w:rsidR="000532FD">
        <w:rPr>
          <w:lang w:val="en-IN"/>
        </w:rPr>
        <w:t>)</w:t>
      </w:r>
      <w:r w:rsidRPr="00003EF6">
        <w:rPr>
          <w:lang w:val="en-IN"/>
        </w:rPr>
        <w:t xml:space="preserve"> </w:t>
      </w:r>
      <w:r w:rsidR="00043316">
        <w:rPr>
          <w:lang w:val="en-IN"/>
        </w:rPr>
        <w:t>b</w:t>
      </w:r>
      <w:r w:rsidRPr="00003EF6">
        <w:rPr>
          <w:lang w:val="en-IN"/>
        </w:rPr>
        <w:t xml:space="preserve">est </w:t>
      </w:r>
      <w:r w:rsidR="00043316">
        <w:rPr>
          <w:lang w:val="en-IN"/>
        </w:rPr>
        <w:t>c</w:t>
      </w:r>
      <w:r w:rsidRPr="00003EF6">
        <w:rPr>
          <w:lang w:val="en-IN"/>
        </w:rPr>
        <w:t xml:space="preserve">urrent </w:t>
      </w:r>
      <w:r w:rsidR="00043316">
        <w:rPr>
          <w:lang w:val="en-IN"/>
        </w:rPr>
        <w:t>p</w:t>
      </w:r>
      <w:r w:rsidRPr="00003EF6">
        <w:rPr>
          <w:lang w:val="en-IN"/>
        </w:rPr>
        <w:t>ractice</w:t>
      </w:r>
      <w:r w:rsidR="00B33C61">
        <w:rPr>
          <w:lang w:val="en-IN"/>
        </w:rPr>
        <w:t> </w:t>
      </w:r>
      <w:r w:rsidRPr="00003EF6">
        <w:rPr>
          <w:lang w:val="en-IN"/>
        </w:rPr>
        <w:t xml:space="preserve">38 (BCP 38) provides standards for secure and efficient interconnection, reducing risks </w:t>
      </w:r>
      <w:r w:rsidR="007801D8">
        <w:rPr>
          <w:lang w:val="en-IN"/>
        </w:rPr>
        <w:t>such as</w:t>
      </w:r>
      <w:r w:rsidRPr="00003EF6">
        <w:rPr>
          <w:lang w:val="en-IN"/>
        </w:rPr>
        <w:t xml:space="preserve"> IP spoofing while promoting stable </w:t>
      </w:r>
      <w:r w:rsidR="007801D8">
        <w:rPr>
          <w:lang w:val="en-IN"/>
        </w:rPr>
        <w:t xml:space="preserve">and </w:t>
      </w:r>
      <w:r w:rsidRPr="00003EF6">
        <w:rPr>
          <w:lang w:val="en-IN"/>
        </w:rPr>
        <w:t>cost-effective connectivity.</w:t>
      </w:r>
    </w:p>
    <w:p w14:paraId="2BAE01B5" w14:textId="317BA11E" w:rsidR="00003EF6" w:rsidRDefault="00003EF6" w:rsidP="00003EF6">
      <w:pPr>
        <w:rPr>
          <w:lang w:val="en-IN"/>
        </w:rPr>
      </w:pPr>
      <w:r w:rsidRPr="00003EF6">
        <w:rPr>
          <w:lang w:val="en-IN"/>
        </w:rPr>
        <w:t xml:space="preserve">By integrating regulatory and standardization dimensions, this </w:t>
      </w:r>
      <w:r w:rsidR="009053D4">
        <w:rPr>
          <w:lang w:val="en-IN"/>
        </w:rPr>
        <w:t>clause</w:t>
      </w:r>
      <w:r w:rsidRPr="00003EF6">
        <w:rPr>
          <w:lang w:val="en-IN"/>
        </w:rPr>
        <w:t xml:space="preserve"> expands beyond infrastructure costs to show how policy, incentives, and harmonized standards directly shape affordability and equitable access to international bandwidth.</w:t>
      </w:r>
    </w:p>
    <w:p w14:paraId="132B656C" w14:textId="65530C74" w:rsidR="00003EF6" w:rsidRPr="00003EF6" w:rsidRDefault="00003EF6" w:rsidP="00B33C61">
      <w:pPr>
        <w:pStyle w:val="Headingb"/>
        <w:rPr>
          <w:lang w:val="en-IN"/>
        </w:rPr>
      </w:pPr>
      <w:r w:rsidRPr="00003EF6">
        <w:rPr>
          <w:lang w:val="en-IN"/>
        </w:rPr>
        <w:t xml:space="preserve">Case </w:t>
      </w:r>
      <w:r w:rsidR="003923F4">
        <w:rPr>
          <w:lang w:val="en-IN"/>
        </w:rPr>
        <w:t>s</w:t>
      </w:r>
      <w:r w:rsidRPr="00003EF6">
        <w:rPr>
          <w:lang w:val="en-IN"/>
        </w:rPr>
        <w:t xml:space="preserve">tudies on </w:t>
      </w:r>
      <w:r w:rsidR="003923F4">
        <w:rPr>
          <w:lang w:val="en-IN"/>
        </w:rPr>
        <w:t>i</w:t>
      </w:r>
      <w:r w:rsidRPr="00003EF6">
        <w:rPr>
          <w:lang w:val="en-IN"/>
        </w:rPr>
        <w:t xml:space="preserve">nternational </w:t>
      </w:r>
      <w:r w:rsidR="003923F4">
        <w:rPr>
          <w:lang w:val="en-IN"/>
        </w:rPr>
        <w:t>c</w:t>
      </w:r>
      <w:r w:rsidRPr="00003EF6">
        <w:rPr>
          <w:lang w:val="en-IN"/>
        </w:rPr>
        <w:t xml:space="preserve">onnectivity </w:t>
      </w:r>
      <w:r w:rsidR="003923F4">
        <w:rPr>
          <w:lang w:val="en-IN"/>
        </w:rPr>
        <w:t>c</w:t>
      </w:r>
      <w:r w:rsidRPr="00003EF6">
        <w:rPr>
          <w:lang w:val="en-IN"/>
        </w:rPr>
        <w:t>osts</w:t>
      </w:r>
    </w:p>
    <w:p w14:paraId="02DE9FB4" w14:textId="77777777" w:rsidR="00003EF6" w:rsidRPr="00003EF6" w:rsidRDefault="00003EF6" w:rsidP="00003EF6">
      <w:pPr>
        <w:rPr>
          <w:b/>
          <w:bCs/>
          <w:lang w:val="en-IN"/>
        </w:rPr>
      </w:pPr>
      <w:r w:rsidRPr="00003EF6">
        <w:rPr>
          <w:b/>
          <w:bCs/>
          <w:lang w:val="en-IN"/>
        </w:rPr>
        <w:t>India</w:t>
      </w:r>
    </w:p>
    <w:p w14:paraId="18701349" w14:textId="3E1CDD83" w:rsidR="00003EF6" w:rsidRPr="00003EF6" w:rsidRDefault="00003EF6" w:rsidP="00003EF6">
      <w:pPr>
        <w:rPr>
          <w:lang w:val="en-IN"/>
        </w:rPr>
      </w:pPr>
      <w:r w:rsidRPr="00003EF6">
        <w:rPr>
          <w:lang w:val="en-IN"/>
        </w:rPr>
        <w:t xml:space="preserve">The </w:t>
      </w:r>
      <w:r w:rsidR="009053D4">
        <w:rPr>
          <w:lang w:val="en-IN"/>
        </w:rPr>
        <w:t>t</w:t>
      </w:r>
      <w:r w:rsidRPr="00003EF6">
        <w:rPr>
          <w:lang w:val="en-IN"/>
        </w:rPr>
        <w:t xml:space="preserve">elecom </w:t>
      </w:r>
      <w:r w:rsidR="009053D4">
        <w:rPr>
          <w:lang w:val="en-IN"/>
        </w:rPr>
        <w:t>r</w:t>
      </w:r>
      <w:r w:rsidRPr="00003EF6">
        <w:rPr>
          <w:lang w:val="en-IN"/>
        </w:rPr>
        <w:t xml:space="preserve">egulatory </w:t>
      </w:r>
      <w:r w:rsidR="009053D4">
        <w:rPr>
          <w:lang w:val="en-IN"/>
        </w:rPr>
        <w:t>a</w:t>
      </w:r>
      <w:r w:rsidRPr="00003EF6">
        <w:rPr>
          <w:lang w:val="en-IN"/>
        </w:rPr>
        <w:t xml:space="preserve">uthority of India (TRAI) has introduced tariff directives and interconnection regulations for international bandwidth to prevent monopolistic practices and ensure transparency. The </w:t>
      </w:r>
      <w:r w:rsidR="007020CE">
        <w:rPr>
          <w:lang w:val="en-IN"/>
        </w:rPr>
        <w:t>D</w:t>
      </w:r>
      <w:r w:rsidR="007020CE" w:rsidRPr="00003EF6">
        <w:rPr>
          <w:lang w:val="en-IN"/>
        </w:rPr>
        <w:t xml:space="preserve">epartment </w:t>
      </w:r>
      <w:r w:rsidRPr="00003EF6">
        <w:rPr>
          <w:lang w:val="en-IN"/>
        </w:rPr>
        <w:t xml:space="preserve">of </w:t>
      </w:r>
      <w:r w:rsidR="009053D4">
        <w:rPr>
          <w:lang w:val="en-IN"/>
        </w:rPr>
        <w:t>t</w:t>
      </w:r>
      <w:r w:rsidRPr="00003EF6">
        <w:rPr>
          <w:lang w:val="en-IN"/>
        </w:rPr>
        <w:t xml:space="preserve">elecommunications (DoT) issues licenses to </w:t>
      </w:r>
      <w:r w:rsidR="004959D5">
        <w:rPr>
          <w:lang w:val="en-IN"/>
        </w:rPr>
        <w:t>i</w:t>
      </w:r>
      <w:r w:rsidRPr="00003EF6">
        <w:rPr>
          <w:lang w:val="en-IN"/>
        </w:rPr>
        <w:t xml:space="preserve">nternational </w:t>
      </w:r>
      <w:r w:rsidR="004959D5">
        <w:rPr>
          <w:lang w:val="en-IN"/>
        </w:rPr>
        <w:t>l</w:t>
      </w:r>
      <w:r w:rsidRPr="00003EF6">
        <w:rPr>
          <w:lang w:val="en-IN"/>
        </w:rPr>
        <w:t xml:space="preserve">ong </w:t>
      </w:r>
      <w:r w:rsidR="00B75DE0">
        <w:rPr>
          <w:lang w:val="en-IN"/>
        </w:rPr>
        <w:t>d</w:t>
      </w:r>
      <w:r w:rsidRPr="00003EF6">
        <w:rPr>
          <w:lang w:val="en-IN"/>
        </w:rPr>
        <w:t xml:space="preserve">istance (ILD) operators with conditions relating to fair pricing and service quality, while monitoring compliance. The </w:t>
      </w:r>
      <w:proofErr w:type="spellStart"/>
      <w:r w:rsidRPr="00003EF6">
        <w:rPr>
          <w:lang w:val="en-IN"/>
        </w:rPr>
        <w:t>BharatNet</w:t>
      </w:r>
      <w:proofErr w:type="spellEnd"/>
      <w:r w:rsidRPr="00003EF6">
        <w:rPr>
          <w:lang w:val="en-IN"/>
        </w:rPr>
        <w:t xml:space="preserve"> project provides an example of government-driven cost models for rural </w:t>
      </w:r>
      <w:r w:rsidR="001F2EF3" w:rsidRPr="00003EF6">
        <w:rPr>
          <w:lang w:val="en-IN"/>
        </w:rPr>
        <w:t>fibre</w:t>
      </w:r>
      <w:r w:rsidRPr="00003EF6">
        <w:rPr>
          <w:lang w:val="en-IN"/>
        </w:rPr>
        <w:t xml:space="preserve"> deployment, demonstrating standardized approaches to estimating connectivity costs.</w:t>
      </w:r>
    </w:p>
    <w:p w14:paraId="1EA0859A" w14:textId="77777777" w:rsidR="00003EF6" w:rsidRPr="00003EF6" w:rsidRDefault="00003EF6" w:rsidP="00003EF6">
      <w:pPr>
        <w:rPr>
          <w:b/>
          <w:bCs/>
          <w:lang w:val="en-IN"/>
        </w:rPr>
      </w:pPr>
      <w:r w:rsidRPr="00003EF6">
        <w:rPr>
          <w:b/>
          <w:bCs/>
          <w:lang w:val="en-IN"/>
        </w:rPr>
        <w:t>Kenya</w:t>
      </w:r>
    </w:p>
    <w:p w14:paraId="13F329F7" w14:textId="58FEC979" w:rsidR="00003EF6" w:rsidRPr="00003EF6" w:rsidRDefault="00003EF6" w:rsidP="00003EF6">
      <w:pPr>
        <w:rPr>
          <w:lang w:val="en-IN"/>
        </w:rPr>
      </w:pPr>
      <w:r w:rsidRPr="00003EF6">
        <w:rPr>
          <w:lang w:val="en-IN"/>
        </w:rPr>
        <w:t xml:space="preserve">The </w:t>
      </w:r>
      <w:r w:rsidR="009053D4">
        <w:rPr>
          <w:lang w:val="en-IN"/>
        </w:rPr>
        <w:t>e</w:t>
      </w:r>
      <w:r w:rsidRPr="00003EF6">
        <w:rPr>
          <w:lang w:val="en-IN"/>
        </w:rPr>
        <w:t xml:space="preserve">ast African </w:t>
      </w:r>
      <w:r w:rsidR="009053D4">
        <w:rPr>
          <w:lang w:val="en-IN"/>
        </w:rPr>
        <w:t>m</w:t>
      </w:r>
      <w:r w:rsidRPr="00003EF6">
        <w:rPr>
          <w:lang w:val="en-IN"/>
        </w:rPr>
        <w:t xml:space="preserve">arine </w:t>
      </w:r>
      <w:r w:rsidR="009053D4">
        <w:rPr>
          <w:lang w:val="en-IN"/>
        </w:rPr>
        <w:t>s</w:t>
      </w:r>
      <w:r w:rsidRPr="00003EF6">
        <w:rPr>
          <w:lang w:val="en-IN"/>
        </w:rPr>
        <w:t>ystem (TEAMS) submarine cable has been central to Kenya</w:t>
      </w:r>
      <w:r w:rsidR="00206B44">
        <w:rPr>
          <w:lang w:val="en-IN"/>
        </w:rPr>
        <w:t>'</w:t>
      </w:r>
      <w:r w:rsidRPr="00003EF6">
        <w:rPr>
          <w:lang w:val="en-IN"/>
        </w:rPr>
        <w:t xml:space="preserve">s international connectivity. A standardized pricing model for TEAMS bandwidth, developed collaboratively by government and ISPs, reduced costs for operators and consumers. The </w:t>
      </w:r>
      <w:r w:rsidR="00760AD7">
        <w:rPr>
          <w:lang w:val="en-IN"/>
        </w:rPr>
        <w:t>c</w:t>
      </w:r>
      <w:r w:rsidRPr="00003EF6">
        <w:rPr>
          <w:lang w:val="en-IN"/>
        </w:rPr>
        <w:t xml:space="preserve">ommunications </w:t>
      </w:r>
      <w:r w:rsidR="00760AD7">
        <w:rPr>
          <w:lang w:val="en-IN"/>
        </w:rPr>
        <w:t>a</w:t>
      </w:r>
      <w:r w:rsidRPr="00003EF6">
        <w:rPr>
          <w:lang w:val="en-IN"/>
        </w:rPr>
        <w:t>uthority of Kenya (CAK) also introduced regulatory guidelines, aligned with ITU recommendations, to promote non-discriminatory access and fair pricing.</w:t>
      </w:r>
    </w:p>
    <w:p w14:paraId="729D9BFB" w14:textId="77777777" w:rsidR="00003EF6" w:rsidRPr="00003EF6" w:rsidRDefault="00003EF6" w:rsidP="00003EF6">
      <w:pPr>
        <w:rPr>
          <w:b/>
          <w:bCs/>
          <w:lang w:val="en-IN"/>
        </w:rPr>
      </w:pPr>
      <w:r w:rsidRPr="00003EF6">
        <w:rPr>
          <w:b/>
          <w:bCs/>
          <w:lang w:val="en-IN"/>
        </w:rPr>
        <w:t>Brazil</w:t>
      </w:r>
    </w:p>
    <w:p w14:paraId="42F6611D" w14:textId="6532DDEF" w:rsidR="00003EF6" w:rsidRDefault="00003EF6" w:rsidP="00003EF6">
      <w:pPr>
        <w:rPr>
          <w:lang w:val="en-IN"/>
        </w:rPr>
      </w:pPr>
      <w:r w:rsidRPr="00003EF6">
        <w:rPr>
          <w:lang w:val="en-IN"/>
        </w:rPr>
        <w:t xml:space="preserve">Brazil collaborated with </w:t>
      </w:r>
      <w:r w:rsidR="004E092B" w:rsidRPr="00003EF6">
        <w:rPr>
          <w:lang w:val="en-IN"/>
        </w:rPr>
        <w:t>neighbouring</w:t>
      </w:r>
      <w:r w:rsidRPr="00003EF6">
        <w:rPr>
          <w:lang w:val="en-IN"/>
        </w:rPr>
        <w:t xml:space="preserve"> countries on the South America </w:t>
      </w:r>
      <w:r w:rsidR="00C01838">
        <w:rPr>
          <w:lang w:val="en-IN"/>
        </w:rPr>
        <w:t>p</w:t>
      </w:r>
      <w:r w:rsidRPr="00003EF6">
        <w:rPr>
          <w:lang w:val="en-IN"/>
        </w:rPr>
        <w:t xml:space="preserve">acific </w:t>
      </w:r>
      <w:r w:rsidR="00C01838">
        <w:rPr>
          <w:lang w:val="en-IN"/>
        </w:rPr>
        <w:t>l</w:t>
      </w:r>
      <w:r w:rsidRPr="00003EF6">
        <w:rPr>
          <w:lang w:val="en-IN"/>
        </w:rPr>
        <w:t xml:space="preserve">ink (SAPL) submarine cable. Cost-sharing agreements among participants were standardized, ensuring equitable distribution of costs by usage. Brazil also invested in Internet </w:t>
      </w:r>
      <w:r w:rsidR="00C01838">
        <w:rPr>
          <w:lang w:val="en-IN"/>
        </w:rPr>
        <w:t>e</w:t>
      </w:r>
      <w:r w:rsidRPr="00003EF6">
        <w:rPr>
          <w:lang w:val="en-IN"/>
        </w:rPr>
        <w:t xml:space="preserve">xchange </w:t>
      </w:r>
      <w:r w:rsidR="00C01838">
        <w:rPr>
          <w:lang w:val="en-IN"/>
        </w:rPr>
        <w:t>p</w:t>
      </w:r>
      <w:r w:rsidRPr="00003EF6">
        <w:rPr>
          <w:lang w:val="en-IN"/>
        </w:rPr>
        <w:t xml:space="preserve">oints (IXPs), reducing reliance on costly </w:t>
      </w:r>
      <w:r w:rsidRPr="00003EF6">
        <w:rPr>
          <w:lang w:val="en-IN"/>
        </w:rPr>
        <w:lastRenderedPageBreak/>
        <w:t xml:space="preserve">international transit. The Brazilian Internet </w:t>
      </w:r>
      <w:r w:rsidR="00C01838">
        <w:rPr>
          <w:lang w:val="en-IN"/>
        </w:rPr>
        <w:t>s</w:t>
      </w:r>
      <w:r w:rsidRPr="00003EF6">
        <w:rPr>
          <w:lang w:val="en-IN"/>
        </w:rPr>
        <w:t xml:space="preserve">teering </w:t>
      </w:r>
      <w:r w:rsidR="00C01838">
        <w:rPr>
          <w:lang w:val="en-IN"/>
        </w:rPr>
        <w:t>c</w:t>
      </w:r>
      <w:r w:rsidRPr="00003EF6">
        <w:rPr>
          <w:lang w:val="en-IN"/>
        </w:rPr>
        <w:t>ommittee (CGI.br) established IXP guidelines that foster efficient traffic exchange and cost savings.</w:t>
      </w:r>
    </w:p>
    <w:p w14:paraId="61EE0285" w14:textId="77257E2A" w:rsidR="000518AD" w:rsidRPr="000518AD" w:rsidRDefault="009D2EE0" w:rsidP="00B33C61">
      <w:pPr>
        <w:pStyle w:val="Heading2"/>
        <w:rPr>
          <w:lang w:val="en-IN"/>
        </w:rPr>
      </w:pPr>
      <w:bookmarkStart w:id="56" w:name="_Toc210208981"/>
      <w:bookmarkStart w:id="57" w:name="_Toc239941086"/>
      <w:bookmarkStart w:id="58" w:name="_Toc239947945"/>
      <w:r>
        <w:rPr>
          <w:lang w:val="en-IN"/>
        </w:rPr>
        <w:t>7.2</w:t>
      </w:r>
      <w:r w:rsidR="00B33C61">
        <w:rPr>
          <w:lang w:val="en-IN"/>
        </w:rPr>
        <w:tab/>
      </w:r>
      <w:r w:rsidR="000518AD" w:rsidRPr="000518AD">
        <w:rPr>
          <w:lang w:val="en-IN"/>
        </w:rPr>
        <w:t xml:space="preserve">National </w:t>
      </w:r>
      <w:r w:rsidR="00DF0419">
        <w:rPr>
          <w:lang w:val="en-IN"/>
        </w:rPr>
        <w:t>b</w:t>
      </w:r>
      <w:r w:rsidR="000518AD" w:rsidRPr="000518AD">
        <w:rPr>
          <w:lang w:val="en-IN"/>
        </w:rPr>
        <w:t xml:space="preserve">ackbone </w:t>
      </w:r>
      <w:r w:rsidR="00DF0419">
        <w:rPr>
          <w:lang w:val="en-IN"/>
        </w:rPr>
        <w:t>n</w:t>
      </w:r>
      <w:r w:rsidR="000518AD" w:rsidRPr="000518AD">
        <w:rPr>
          <w:lang w:val="en-IN"/>
        </w:rPr>
        <w:t>etworks</w:t>
      </w:r>
      <w:bookmarkEnd w:id="56"/>
      <w:bookmarkEnd w:id="57"/>
      <w:bookmarkEnd w:id="58"/>
    </w:p>
    <w:p w14:paraId="02E3A4ED" w14:textId="09001717" w:rsidR="000518AD" w:rsidRPr="000518AD" w:rsidRDefault="000518AD" w:rsidP="00D628F4">
      <w:pPr>
        <w:rPr>
          <w:lang w:val="en-IN"/>
        </w:rPr>
      </w:pPr>
      <w:r w:rsidRPr="000518AD">
        <w:rPr>
          <w:lang w:val="en-IN"/>
        </w:rPr>
        <w:t xml:space="preserve">National backbone networks extend international connectivity to regional and urban hubs across a country. This layer primarily consists of long-haul terrestrial </w:t>
      </w:r>
      <w:r w:rsidR="001F2EF3" w:rsidRPr="000518AD">
        <w:rPr>
          <w:lang w:val="en-IN"/>
        </w:rPr>
        <w:t>fibre</w:t>
      </w:r>
      <w:r w:rsidRPr="000518AD">
        <w:rPr>
          <w:lang w:val="en-IN"/>
        </w:rPr>
        <w:t xml:space="preserve"> infrastructure and, where relevant, cross-border links to neighbouring countries. The cost profile of national backbone networks is shaped by geography, deployment methods, and operational requirements.</w:t>
      </w:r>
    </w:p>
    <w:p w14:paraId="723ACE31" w14:textId="25C34EAB" w:rsidR="000518AD" w:rsidRPr="000518AD" w:rsidRDefault="000518AD" w:rsidP="00D628F4">
      <w:pPr>
        <w:rPr>
          <w:lang w:val="en-IN"/>
        </w:rPr>
      </w:pPr>
      <w:r w:rsidRPr="000518AD">
        <w:rPr>
          <w:lang w:val="en-IN"/>
        </w:rPr>
        <w:t xml:space="preserve">Capital expenditure in this layer is dominated by the costs of </w:t>
      </w:r>
      <w:r w:rsidR="001F2EF3" w:rsidRPr="000518AD">
        <w:rPr>
          <w:lang w:val="en-IN"/>
        </w:rPr>
        <w:t>fibre</w:t>
      </w:r>
      <w:r w:rsidRPr="000518AD">
        <w:rPr>
          <w:lang w:val="en-IN"/>
        </w:rPr>
        <w:t xml:space="preserve"> deployment. Trenching and duct installation are significant cost drivers, with expenses determined by the length of </w:t>
      </w:r>
      <w:r w:rsidR="001F2EF3" w:rsidRPr="000518AD">
        <w:rPr>
          <w:lang w:val="en-IN"/>
        </w:rPr>
        <w:t>fibre</w:t>
      </w:r>
      <w:r w:rsidRPr="000518AD">
        <w:rPr>
          <w:lang w:val="en-IN"/>
        </w:rPr>
        <w:t xml:space="preserve"> routes, terrain (urban v</w:t>
      </w:r>
      <w:r w:rsidR="005C3BAD">
        <w:rPr>
          <w:lang w:val="en-IN"/>
        </w:rPr>
        <w:t>er</w:t>
      </w:r>
      <w:r w:rsidRPr="000518AD">
        <w:rPr>
          <w:lang w:val="en-IN"/>
        </w:rPr>
        <w:t>s</w:t>
      </w:r>
      <w:r w:rsidR="005C3BAD">
        <w:rPr>
          <w:lang w:val="en-IN"/>
        </w:rPr>
        <w:t>us</w:t>
      </w:r>
      <w:r w:rsidRPr="000518AD">
        <w:rPr>
          <w:lang w:val="en-IN"/>
        </w:rPr>
        <w:t xml:space="preserve"> rural), and the cost of securing rights-of-way. Construction in densely populated areas often involves higher compensation costs for land and disruptions, while remote areas face challenges due to limited supporting infrastructure.</w:t>
      </w:r>
    </w:p>
    <w:p w14:paraId="5505338D" w14:textId="34528198" w:rsidR="000518AD" w:rsidRPr="000518AD" w:rsidRDefault="000518AD" w:rsidP="00D628F4">
      <w:pPr>
        <w:rPr>
          <w:lang w:val="en-IN"/>
        </w:rPr>
      </w:pPr>
      <w:r w:rsidRPr="000518AD">
        <w:rPr>
          <w:lang w:val="en-IN"/>
        </w:rPr>
        <w:t xml:space="preserve">Operational expenditure includes maintenance and repair of </w:t>
      </w:r>
      <w:r w:rsidR="001F2EF3" w:rsidRPr="000518AD">
        <w:rPr>
          <w:lang w:val="en-IN"/>
        </w:rPr>
        <w:t>fibre</w:t>
      </w:r>
      <w:r w:rsidRPr="000518AD">
        <w:rPr>
          <w:lang w:val="en-IN"/>
        </w:rPr>
        <w:t xml:space="preserve"> routes, particularly in areas prone to damage from construction activity or environmental conditions. Regular inspections, repair work, and </w:t>
      </w:r>
      <w:r w:rsidR="001F2EF3" w:rsidRPr="000518AD">
        <w:rPr>
          <w:lang w:val="en-IN"/>
        </w:rPr>
        <w:t>fibre</w:t>
      </w:r>
      <w:r w:rsidRPr="000518AD">
        <w:rPr>
          <w:lang w:val="en-IN"/>
        </w:rPr>
        <w:t xml:space="preserve"> route security measures are necessary to ensure network uptime and service continuity.</w:t>
      </w:r>
    </w:p>
    <w:p w14:paraId="43977B78" w14:textId="5C4285B3" w:rsidR="000518AD" w:rsidRPr="000518AD" w:rsidRDefault="000518AD" w:rsidP="00D628F4">
      <w:pPr>
        <w:rPr>
          <w:lang w:val="en-IN"/>
        </w:rPr>
      </w:pPr>
      <w:r w:rsidRPr="000518AD">
        <w:rPr>
          <w:lang w:val="en-IN"/>
        </w:rPr>
        <w:t xml:space="preserve">Energy consumption in national backbone networks is primarily associated with active network equipment (e.g., optical amplifiers and regeneration sites) located along </w:t>
      </w:r>
      <w:r w:rsidR="001F2EF3" w:rsidRPr="000518AD">
        <w:rPr>
          <w:lang w:val="en-IN"/>
        </w:rPr>
        <w:t>fibre</w:t>
      </w:r>
      <w:r w:rsidRPr="000518AD">
        <w:rPr>
          <w:lang w:val="en-IN"/>
        </w:rPr>
        <w:t xml:space="preserve"> routes. These sites require continuous power supply and environmental controls, with costs dependent on grid access and local electricity pricing.</w:t>
      </w:r>
    </w:p>
    <w:p w14:paraId="25687CDE" w14:textId="77777777" w:rsidR="000518AD" w:rsidRPr="000518AD" w:rsidRDefault="000518AD" w:rsidP="00D628F4">
      <w:pPr>
        <w:rPr>
          <w:lang w:val="en-IN"/>
        </w:rPr>
      </w:pPr>
      <w:r w:rsidRPr="000518AD">
        <w:rPr>
          <w:lang w:val="en-IN"/>
        </w:rPr>
        <w:t>Licensing and regulatory costs include permits for right-of-way access, compliance with safety standards, and adherence to national infrastructure guidelines. Delays or inconsistencies in right-of-way approvals can significantly impact project costs and deployment timelines.</w:t>
      </w:r>
    </w:p>
    <w:p w14:paraId="348B150F" w14:textId="7F1009ED" w:rsidR="000518AD" w:rsidRPr="000518AD" w:rsidRDefault="000518AD" w:rsidP="00D628F4">
      <w:pPr>
        <w:rPr>
          <w:lang w:val="en-IN"/>
        </w:rPr>
      </w:pPr>
      <w:r w:rsidRPr="000518AD">
        <w:rPr>
          <w:lang w:val="en-IN"/>
        </w:rPr>
        <w:t xml:space="preserve">Market structure and competitive dynamics directly influence backbone network costs. In regions with multiple competing backbone operators or open-access </w:t>
      </w:r>
      <w:r w:rsidR="001F2EF3" w:rsidRPr="000518AD">
        <w:rPr>
          <w:lang w:val="en-IN"/>
        </w:rPr>
        <w:t>fibre</w:t>
      </w:r>
      <w:r w:rsidRPr="000518AD">
        <w:rPr>
          <w:lang w:val="en-IN"/>
        </w:rPr>
        <w:t xml:space="preserve"> models, capacity leasing prices tend to be more competitive, reducing downstream service costs. In contrast, areas with limited backbone infrastructure can face elevated wholesale rates and restricted expansion options for downstream ISPs.</w:t>
      </w:r>
    </w:p>
    <w:p w14:paraId="56B3B411" w14:textId="1FD5281E" w:rsidR="000518AD" w:rsidRPr="000518AD" w:rsidRDefault="000518AD" w:rsidP="00B33C61">
      <w:pPr>
        <w:pStyle w:val="Headingb"/>
        <w:rPr>
          <w:lang w:val="en-IN"/>
        </w:rPr>
      </w:pPr>
      <w:r w:rsidRPr="000518AD">
        <w:rPr>
          <w:lang w:val="en-IN"/>
        </w:rPr>
        <w:t>Key cost levers:</w:t>
      </w:r>
    </w:p>
    <w:p w14:paraId="470FE54A" w14:textId="5EB86D35" w:rsidR="000518AD" w:rsidRPr="000518AD" w:rsidRDefault="00B33C61" w:rsidP="00B33C61">
      <w:pPr>
        <w:pStyle w:val="enumlev1"/>
        <w:rPr>
          <w:lang w:val="en-IN"/>
        </w:rPr>
      </w:pPr>
      <w:r w:rsidRPr="00B33C61">
        <w:rPr>
          <w:lang w:val="en-IN"/>
        </w:rPr>
        <w:t>•</w:t>
      </w:r>
      <w:r>
        <w:rPr>
          <w:lang w:val="en-IN"/>
        </w:rPr>
        <w:tab/>
      </w:r>
      <w:r w:rsidR="000518AD" w:rsidRPr="000518AD">
        <w:rPr>
          <w:lang w:val="en-IN"/>
        </w:rPr>
        <w:t>Efficient right-of-way access and streamlined permitting processes to reduce delays and compensation costs</w:t>
      </w:r>
      <w:r w:rsidR="00863A53">
        <w:rPr>
          <w:lang w:val="en-IN"/>
        </w:rPr>
        <w:t>.</w:t>
      </w:r>
    </w:p>
    <w:p w14:paraId="47DC1E0D" w14:textId="6442703B" w:rsidR="000518AD" w:rsidRPr="000518AD" w:rsidRDefault="00B33C61" w:rsidP="00B33C61">
      <w:pPr>
        <w:pStyle w:val="enumlev1"/>
        <w:rPr>
          <w:lang w:val="en-IN"/>
        </w:rPr>
      </w:pPr>
      <w:r w:rsidRPr="00B33C61">
        <w:rPr>
          <w:lang w:val="en-IN"/>
        </w:rPr>
        <w:t>•</w:t>
      </w:r>
      <w:r>
        <w:rPr>
          <w:lang w:val="en-IN"/>
        </w:rPr>
        <w:tab/>
      </w:r>
      <w:r w:rsidR="000518AD" w:rsidRPr="000518AD">
        <w:rPr>
          <w:lang w:val="en-IN"/>
        </w:rPr>
        <w:t>Use of existing utility corridors (e.g., power lines, railways, highways) to minimize civil works expenses</w:t>
      </w:r>
      <w:r w:rsidR="00863A53">
        <w:rPr>
          <w:lang w:val="en-IN"/>
        </w:rPr>
        <w:t>.</w:t>
      </w:r>
    </w:p>
    <w:p w14:paraId="6279AE37" w14:textId="63D86970" w:rsidR="000518AD" w:rsidRPr="000518AD" w:rsidRDefault="00B33C61" w:rsidP="00B33C61">
      <w:pPr>
        <w:pStyle w:val="enumlev1"/>
        <w:rPr>
          <w:lang w:val="en-IN"/>
        </w:rPr>
      </w:pPr>
      <w:r w:rsidRPr="00B33C61">
        <w:rPr>
          <w:lang w:val="en-IN"/>
        </w:rPr>
        <w:t>•</w:t>
      </w:r>
      <w:r>
        <w:rPr>
          <w:lang w:val="en-IN"/>
        </w:rPr>
        <w:tab/>
      </w:r>
      <w:r w:rsidR="000518AD" w:rsidRPr="000518AD">
        <w:rPr>
          <w:lang w:val="en-IN"/>
        </w:rPr>
        <w:t xml:space="preserve">Infrastructure sharing agreements (ducts, </w:t>
      </w:r>
      <w:r w:rsidR="001F2EF3" w:rsidRPr="000518AD">
        <w:rPr>
          <w:lang w:val="en-IN"/>
        </w:rPr>
        <w:t>fibre</w:t>
      </w:r>
      <w:r w:rsidR="000518AD" w:rsidRPr="000518AD">
        <w:rPr>
          <w:lang w:val="en-IN"/>
        </w:rPr>
        <w:t xml:space="preserve"> pairs) to spread capital costs across operators</w:t>
      </w:r>
      <w:r w:rsidR="00863A53">
        <w:rPr>
          <w:lang w:val="en-IN"/>
        </w:rPr>
        <w:t>.</w:t>
      </w:r>
    </w:p>
    <w:p w14:paraId="711D577C" w14:textId="0051DE02" w:rsidR="000518AD" w:rsidRPr="000518AD" w:rsidRDefault="00B33C61" w:rsidP="00B33C61">
      <w:pPr>
        <w:pStyle w:val="enumlev1"/>
        <w:rPr>
          <w:lang w:val="en-IN"/>
        </w:rPr>
      </w:pPr>
      <w:r w:rsidRPr="00B33C61">
        <w:rPr>
          <w:lang w:val="en-IN"/>
        </w:rPr>
        <w:t>•</w:t>
      </w:r>
      <w:r>
        <w:rPr>
          <w:lang w:val="en-IN"/>
        </w:rPr>
        <w:tab/>
      </w:r>
      <w:r w:rsidR="000518AD" w:rsidRPr="000518AD">
        <w:rPr>
          <w:lang w:val="en-IN"/>
        </w:rPr>
        <w:t>Deployment of energy-efficient optical equipment to reduce ongoing power costs</w:t>
      </w:r>
      <w:r w:rsidR="00863A53">
        <w:rPr>
          <w:lang w:val="en-IN"/>
        </w:rPr>
        <w:t>.</w:t>
      </w:r>
    </w:p>
    <w:p w14:paraId="0DB21248" w14:textId="5FBEB0EA" w:rsidR="000518AD" w:rsidRPr="000518AD" w:rsidRDefault="00B33C61" w:rsidP="00B33C61">
      <w:pPr>
        <w:pStyle w:val="enumlev1"/>
        <w:rPr>
          <w:lang w:val="en-IN"/>
        </w:rPr>
      </w:pPr>
      <w:r w:rsidRPr="00B33C61">
        <w:rPr>
          <w:lang w:val="en-IN"/>
        </w:rPr>
        <w:t>•</w:t>
      </w:r>
      <w:r>
        <w:rPr>
          <w:lang w:val="en-IN"/>
        </w:rPr>
        <w:tab/>
      </w:r>
      <w:r w:rsidR="000518AD" w:rsidRPr="000518AD">
        <w:rPr>
          <w:lang w:val="en-IN"/>
        </w:rPr>
        <w:t>Competitive backbone leasing and open-access models to mitigate market concentration risks</w:t>
      </w:r>
      <w:r w:rsidR="00863A53">
        <w:rPr>
          <w:lang w:val="en-IN"/>
        </w:rPr>
        <w:t>.</w:t>
      </w:r>
    </w:p>
    <w:p w14:paraId="50E4B010" w14:textId="0106C425" w:rsidR="007C646F" w:rsidRPr="007C646F" w:rsidRDefault="000518AD" w:rsidP="00B33C61">
      <w:pPr>
        <w:pStyle w:val="Heading2"/>
        <w:rPr>
          <w:lang w:val="en-IN"/>
        </w:rPr>
      </w:pPr>
      <w:bookmarkStart w:id="59" w:name="_Toc210208982"/>
      <w:bookmarkStart w:id="60" w:name="_Toc239941087"/>
      <w:bookmarkStart w:id="61" w:name="_Toc239947946"/>
      <w:r>
        <w:rPr>
          <w:lang w:val="en-IN"/>
        </w:rPr>
        <w:t>7.3</w:t>
      </w:r>
      <w:r w:rsidR="00B33C61">
        <w:rPr>
          <w:lang w:val="en-IN"/>
        </w:rPr>
        <w:tab/>
      </w:r>
      <w:r w:rsidR="007C646F" w:rsidRPr="007C646F">
        <w:rPr>
          <w:lang w:val="en-IN"/>
        </w:rPr>
        <w:t xml:space="preserve">Interconnection and </w:t>
      </w:r>
      <w:r w:rsidR="006E1198">
        <w:rPr>
          <w:lang w:val="en-IN"/>
        </w:rPr>
        <w:t>e</w:t>
      </w:r>
      <w:r w:rsidR="007C646F" w:rsidRPr="007C646F">
        <w:rPr>
          <w:lang w:val="en-IN"/>
        </w:rPr>
        <w:t xml:space="preserve">xchange </w:t>
      </w:r>
      <w:r w:rsidR="006E1198">
        <w:rPr>
          <w:lang w:val="en-IN"/>
        </w:rPr>
        <w:t>i</w:t>
      </w:r>
      <w:r w:rsidR="007C646F" w:rsidRPr="007C646F">
        <w:rPr>
          <w:lang w:val="en-IN"/>
        </w:rPr>
        <w:t>nfrastructure</w:t>
      </w:r>
      <w:bookmarkEnd w:id="59"/>
      <w:bookmarkEnd w:id="60"/>
      <w:bookmarkEnd w:id="61"/>
    </w:p>
    <w:p w14:paraId="704348FA" w14:textId="3419732C" w:rsidR="007C646F" w:rsidRPr="007C646F" w:rsidRDefault="007C646F" w:rsidP="00D628F4">
      <w:pPr>
        <w:rPr>
          <w:lang w:val="en-IN"/>
        </w:rPr>
      </w:pPr>
      <w:r w:rsidRPr="007C646F">
        <w:rPr>
          <w:lang w:val="en-IN"/>
        </w:rPr>
        <w:t xml:space="preserve">Interconnection and exchange infrastructure plays a critical role in ensuring efficient data flow within and between networks. This layer includes Internet </w:t>
      </w:r>
      <w:r w:rsidR="001B3EE7">
        <w:rPr>
          <w:lang w:val="en-IN"/>
        </w:rPr>
        <w:t>e</w:t>
      </w:r>
      <w:r w:rsidRPr="007C646F">
        <w:rPr>
          <w:lang w:val="en-IN"/>
        </w:rPr>
        <w:t xml:space="preserve">xchange </w:t>
      </w:r>
      <w:r w:rsidR="001B3EE7">
        <w:rPr>
          <w:lang w:val="en-IN"/>
        </w:rPr>
        <w:t>p</w:t>
      </w:r>
      <w:r w:rsidRPr="007C646F">
        <w:rPr>
          <w:lang w:val="en-IN"/>
        </w:rPr>
        <w:t>oints (IXPs), regional peering hubs, and gateway facilities. It directly impacts the cost and quality of downstream data services by reducing reliance on costly international transit and improving network performance.</w:t>
      </w:r>
    </w:p>
    <w:p w14:paraId="60537FA0" w14:textId="7DC7C151" w:rsidR="007C646F" w:rsidRPr="007C646F" w:rsidRDefault="007C646F" w:rsidP="00D628F4">
      <w:pPr>
        <w:rPr>
          <w:lang w:val="en-IN"/>
        </w:rPr>
      </w:pPr>
      <w:r w:rsidRPr="007C646F">
        <w:rPr>
          <w:lang w:val="en-IN"/>
        </w:rPr>
        <w:t xml:space="preserve">Capital expenditure in this layer includes the establishment of physical exchange facilities, including data </w:t>
      </w:r>
      <w:r w:rsidR="00116665" w:rsidRPr="007C646F">
        <w:rPr>
          <w:lang w:val="en-IN"/>
        </w:rPr>
        <w:t>centre</w:t>
      </w:r>
      <w:r w:rsidRPr="007C646F">
        <w:rPr>
          <w:lang w:val="en-IN"/>
        </w:rPr>
        <w:t xml:space="preserve"> space, switching equipment, and high-capacity routing infrastructure. The costs depend on the scale of the exchange, the level of redundancy and security measures incorporated, and the need for specialized hardware to handle high traffic volumes.</w:t>
      </w:r>
    </w:p>
    <w:p w14:paraId="7E541109" w14:textId="655BF734" w:rsidR="007C646F" w:rsidRPr="007C646F" w:rsidRDefault="007C646F" w:rsidP="00D628F4">
      <w:pPr>
        <w:rPr>
          <w:lang w:val="en-IN"/>
        </w:rPr>
      </w:pPr>
      <w:r w:rsidRPr="007C646F">
        <w:rPr>
          <w:lang w:val="en-IN"/>
        </w:rPr>
        <w:lastRenderedPageBreak/>
        <w:t xml:space="preserve">Operational expenditure consists of ongoing facility management, maintenance of routing and switching equipment, and </w:t>
      </w:r>
      <w:r w:rsidR="001B3EE7">
        <w:rPr>
          <w:lang w:val="en-IN"/>
        </w:rPr>
        <w:t xml:space="preserve">the </w:t>
      </w:r>
      <w:r w:rsidRPr="007C646F">
        <w:rPr>
          <w:lang w:val="en-IN"/>
        </w:rPr>
        <w:t>interconnection service management. Regular upgrades are necessary to accommodate traffic growth and ensure low latency and high reliability.</w:t>
      </w:r>
    </w:p>
    <w:p w14:paraId="7A1E8665" w14:textId="77777777" w:rsidR="007C646F" w:rsidRPr="007C646F" w:rsidRDefault="007C646F" w:rsidP="00D628F4">
      <w:pPr>
        <w:rPr>
          <w:lang w:val="en-IN"/>
        </w:rPr>
      </w:pPr>
      <w:r w:rsidRPr="007C646F">
        <w:rPr>
          <w:lang w:val="en-IN"/>
        </w:rPr>
        <w:t>Energy costs are significant for large exchange facilities, driven by the continuous operation of high-capacity routing equipment and cooling systems to maintain optimal environmental conditions. In high-cost electricity markets, this contributes directly to the operational cost burden.</w:t>
      </w:r>
    </w:p>
    <w:p w14:paraId="0016C1EA" w14:textId="4C7CBDDE" w:rsidR="007C646F" w:rsidRPr="007C646F" w:rsidRDefault="007C646F" w:rsidP="00D628F4">
      <w:pPr>
        <w:rPr>
          <w:lang w:val="en-IN"/>
        </w:rPr>
      </w:pPr>
      <w:r w:rsidRPr="007C646F">
        <w:rPr>
          <w:lang w:val="en-IN"/>
        </w:rPr>
        <w:t xml:space="preserve">Licensing and regulatory considerations are typically less burdensome in this layer compared to international connectivity, but IXPs must still comply with local data </w:t>
      </w:r>
      <w:r w:rsidR="00116665" w:rsidRPr="007C646F">
        <w:rPr>
          <w:lang w:val="en-IN"/>
        </w:rPr>
        <w:t>centre</w:t>
      </w:r>
      <w:r w:rsidRPr="007C646F">
        <w:rPr>
          <w:lang w:val="en-IN"/>
        </w:rPr>
        <w:t xml:space="preserve"> regulations, security mandates, and peering policy requirements. In some cases, regulatory support for neutral IXPs can lower entry barriers for smaller ISPs, enhancing competition.</w:t>
      </w:r>
    </w:p>
    <w:p w14:paraId="0419CCCF" w14:textId="77777777" w:rsidR="007C646F" w:rsidRPr="007C646F" w:rsidRDefault="007C646F" w:rsidP="00D628F4">
      <w:pPr>
        <w:rPr>
          <w:lang w:val="en-IN"/>
        </w:rPr>
      </w:pPr>
      <w:r w:rsidRPr="007C646F">
        <w:rPr>
          <w:lang w:val="en-IN"/>
        </w:rPr>
        <w:t>Market structure is a central factor influencing interconnection costs. In well-developed markets, neutral IXPs enable multiple operators to exchange traffic directly, reducing transit fees and improving network efficiency. In markets with limited or no neutral IXPs, operators may rely on expensive upstream transit arrangements, increasing costs for downstream data services.</w:t>
      </w:r>
    </w:p>
    <w:p w14:paraId="6CD2C769" w14:textId="6D4CE40A" w:rsidR="007C646F" w:rsidRPr="007C646F" w:rsidRDefault="007C646F" w:rsidP="00B33C61">
      <w:pPr>
        <w:pStyle w:val="Headingb"/>
        <w:rPr>
          <w:lang w:val="en-IN"/>
        </w:rPr>
      </w:pPr>
      <w:r w:rsidRPr="007C646F">
        <w:rPr>
          <w:lang w:val="en-IN"/>
        </w:rPr>
        <w:t>Key cost levers:</w:t>
      </w:r>
    </w:p>
    <w:p w14:paraId="6D390710" w14:textId="3195F812" w:rsidR="007C646F" w:rsidRPr="007C646F" w:rsidRDefault="00B33C61" w:rsidP="00B33C61">
      <w:pPr>
        <w:pStyle w:val="enumlev1"/>
        <w:rPr>
          <w:lang w:val="en-IN"/>
        </w:rPr>
      </w:pPr>
      <w:r w:rsidRPr="00B33C61">
        <w:rPr>
          <w:lang w:val="en-IN"/>
        </w:rPr>
        <w:t>•</w:t>
      </w:r>
      <w:r>
        <w:rPr>
          <w:lang w:val="en-IN"/>
        </w:rPr>
        <w:tab/>
      </w:r>
      <w:r w:rsidR="007C646F" w:rsidRPr="007C646F">
        <w:rPr>
          <w:lang w:val="en-IN"/>
        </w:rPr>
        <w:t>Promoting the establishment of neutral IXPs to enable direct peering and reduce reliance on costly upstream transit</w:t>
      </w:r>
      <w:r w:rsidR="00863A53">
        <w:rPr>
          <w:lang w:val="en-IN"/>
        </w:rPr>
        <w:t>.</w:t>
      </w:r>
    </w:p>
    <w:p w14:paraId="3FD0EB9F" w14:textId="6D63CEC7" w:rsidR="007C646F" w:rsidRPr="007C646F" w:rsidRDefault="00B33C61" w:rsidP="00B33C61">
      <w:pPr>
        <w:pStyle w:val="enumlev1"/>
        <w:rPr>
          <w:lang w:val="en-IN"/>
        </w:rPr>
      </w:pPr>
      <w:r w:rsidRPr="00B33C61">
        <w:rPr>
          <w:lang w:val="en-IN"/>
        </w:rPr>
        <w:t>•</w:t>
      </w:r>
      <w:r>
        <w:rPr>
          <w:lang w:val="en-IN"/>
        </w:rPr>
        <w:tab/>
      </w:r>
      <w:r w:rsidR="007C646F" w:rsidRPr="007C646F">
        <w:rPr>
          <w:lang w:val="en-IN"/>
        </w:rPr>
        <w:t>Efficient facility design and high-density equipment to minimize energy and space costs</w:t>
      </w:r>
      <w:r w:rsidR="00863A53">
        <w:rPr>
          <w:lang w:val="en-IN"/>
        </w:rPr>
        <w:t>.</w:t>
      </w:r>
    </w:p>
    <w:p w14:paraId="4CEC0183" w14:textId="615AA474" w:rsidR="007C646F" w:rsidRPr="007C646F" w:rsidRDefault="00B33C61" w:rsidP="00B33C61">
      <w:pPr>
        <w:pStyle w:val="enumlev1"/>
        <w:rPr>
          <w:lang w:val="en-IN"/>
        </w:rPr>
      </w:pPr>
      <w:r w:rsidRPr="00B33C61">
        <w:rPr>
          <w:lang w:val="en-IN"/>
        </w:rPr>
        <w:t>•</w:t>
      </w:r>
      <w:r>
        <w:rPr>
          <w:lang w:val="en-IN"/>
        </w:rPr>
        <w:tab/>
      </w:r>
      <w:r w:rsidR="007C646F" w:rsidRPr="007C646F">
        <w:rPr>
          <w:lang w:val="en-IN"/>
        </w:rPr>
        <w:t>Shared facility models and public-private partnerships to spread capital and operational expenditures</w:t>
      </w:r>
      <w:r w:rsidR="00863A53">
        <w:rPr>
          <w:lang w:val="en-IN"/>
        </w:rPr>
        <w:t>.</w:t>
      </w:r>
    </w:p>
    <w:p w14:paraId="1502D4C3" w14:textId="0EDAFE3B" w:rsidR="007C646F" w:rsidRDefault="00DC6BBF" w:rsidP="00B33C61">
      <w:pPr>
        <w:pStyle w:val="Heading2"/>
        <w:rPr>
          <w:lang w:val="en-IN"/>
        </w:rPr>
      </w:pPr>
      <w:bookmarkStart w:id="62" w:name="_Toc210208983"/>
      <w:bookmarkStart w:id="63" w:name="_Toc239941088"/>
      <w:bookmarkStart w:id="64" w:name="_Toc239947947"/>
      <w:r>
        <w:rPr>
          <w:lang w:val="en-IN"/>
        </w:rPr>
        <w:t>7.4</w:t>
      </w:r>
      <w:r w:rsidR="00B33C61">
        <w:rPr>
          <w:lang w:val="en-IN"/>
        </w:rPr>
        <w:tab/>
      </w:r>
      <w:r w:rsidR="006B6A20" w:rsidRPr="006B6A20">
        <w:rPr>
          <w:lang w:val="en-IN"/>
        </w:rPr>
        <w:t>Metro and middle-mile networks</w:t>
      </w:r>
      <w:bookmarkEnd w:id="62"/>
      <w:bookmarkEnd w:id="63"/>
      <w:bookmarkEnd w:id="64"/>
    </w:p>
    <w:p w14:paraId="56119231" w14:textId="77777777" w:rsidR="006B6A20" w:rsidRPr="006B6A20" w:rsidRDefault="006B6A20" w:rsidP="00D628F4">
      <w:pPr>
        <w:rPr>
          <w:lang w:val="en-IN"/>
        </w:rPr>
      </w:pPr>
      <w:r w:rsidRPr="006B6A20">
        <w:rPr>
          <w:lang w:val="en-IN"/>
        </w:rPr>
        <w:t>Metro and middle-mile networks provide the critical link between national backbones and last-mile access networks. They aggregate and distribute data traffic within cities and connect regional hubs, shaping both service quality and cost structures.</w:t>
      </w:r>
    </w:p>
    <w:p w14:paraId="7B22430E" w14:textId="4F641F46" w:rsidR="006B6A20" w:rsidRPr="006B6A20" w:rsidRDefault="006B6A20" w:rsidP="00D628F4">
      <w:pPr>
        <w:rPr>
          <w:lang w:val="en-IN"/>
        </w:rPr>
      </w:pPr>
      <w:r w:rsidRPr="006B6A20">
        <w:rPr>
          <w:lang w:val="en-IN"/>
        </w:rPr>
        <w:t xml:space="preserve">Capital expenditure in this layer involves the deployment of metropolitan </w:t>
      </w:r>
      <w:r w:rsidR="003B413D" w:rsidRPr="006B6A20">
        <w:rPr>
          <w:lang w:val="en-IN"/>
        </w:rPr>
        <w:t>fibre</w:t>
      </w:r>
      <w:r w:rsidRPr="006B6A20">
        <w:rPr>
          <w:lang w:val="en-IN"/>
        </w:rPr>
        <w:t xml:space="preserve"> rings and the installation of wireless backhaul solutions, such as microwave and </w:t>
      </w:r>
      <w:r w:rsidR="00116665" w:rsidRPr="006B6A20">
        <w:rPr>
          <w:lang w:val="en-IN"/>
        </w:rPr>
        <w:t>millimetre</w:t>
      </w:r>
      <w:r w:rsidRPr="006B6A20">
        <w:rPr>
          <w:lang w:val="en-IN"/>
        </w:rPr>
        <w:t>-wave links. Costs are influenced by the density of urban infrastructure, the need for secure and redundant paths, and the integration of edge caching or content delivery points to improve data flow efficiency.</w:t>
      </w:r>
    </w:p>
    <w:p w14:paraId="6C736772" w14:textId="4A1AE4D3" w:rsidR="006B6A20" w:rsidRPr="006B6A20" w:rsidRDefault="006B6A20" w:rsidP="00D628F4">
      <w:pPr>
        <w:rPr>
          <w:lang w:val="en-IN"/>
        </w:rPr>
      </w:pPr>
      <w:r w:rsidRPr="006B6A20">
        <w:rPr>
          <w:lang w:val="en-IN"/>
        </w:rPr>
        <w:t xml:space="preserve">Operational expenditure includes routine maintenance of </w:t>
      </w:r>
      <w:r w:rsidR="003B413D" w:rsidRPr="006B6A20">
        <w:rPr>
          <w:lang w:val="en-IN"/>
        </w:rPr>
        <w:t>fibre</w:t>
      </w:r>
      <w:r w:rsidRPr="006B6A20">
        <w:rPr>
          <w:lang w:val="en-IN"/>
        </w:rPr>
        <w:t xml:space="preserve"> routes, wireless backhaul equipment, and aggregation points. Urban environments often pose challenges due to frequent construction activities that can damage </w:t>
      </w:r>
      <w:r w:rsidR="003B413D" w:rsidRPr="006B6A20">
        <w:rPr>
          <w:lang w:val="en-IN"/>
        </w:rPr>
        <w:t>fibre</w:t>
      </w:r>
      <w:r w:rsidRPr="006B6A20">
        <w:rPr>
          <w:lang w:val="en-IN"/>
        </w:rPr>
        <w:t xml:space="preserve"> assets, increasing the need for proactive maintenance.</w:t>
      </w:r>
    </w:p>
    <w:p w14:paraId="225467E4" w14:textId="77777777" w:rsidR="006B6A20" w:rsidRPr="006B6A20" w:rsidRDefault="006B6A20" w:rsidP="00D628F4">
      <w:pPr>
        <w:rPr>
          <w:lang w:val="en-IN"/>
        </w:rPr>
      </w:pPr>
      <w:r w:rsidRPr="006B6A20">
        <w:rPr>
          <w:lang w:val="en-IN"/>
        </w:rPr>
        <w:t>Energy costs in metro networks are driven by active network elements, such as aggregation switches and wireless backhaul equipment, as well as cooling and environmental control systems at central and regional aggregation sites. Efficient design and equipment selection play a direct role in containing these energy costs.</w:t>
      </w:r>
    </w:p>
    <w:p w14:paraId="1B2269D3" w14:textId="1F4F9208" w:rsidR="006B6A20" w:rsidRPr="006B6A20" w:rsidRDefault="006B6A20" w:rsidP="00B33C61">
      <w:pPr>
        <w:rPr>
          <w:lang w:val="en-IN"/>
        </w:rPr>
      </w:pPr>
      <w:r w:rsidRPr="006B6A20">
        <w:rPr>
          <w:lang w:val="en-IN"/>
        </w:rPr>
        <w:t xml:space="preserve">Licensing and regulatory compliance can include local permits for rights-of-way, adherence to municipal infrastructure guidelines, and compliance with safety and environmental standards. Delays in municipal approvals or restrictive local policies can significantly add to </w:t>
      </w:r>
      <w:r w:rsidR="001B3EE7">
        <w:rPr>
          <w:lang w:val="en-IN"/>
        </w:rPr>
        <w:t xml:space="preserve">the </w:t>
      </w:r>
      <w:r w:rsidRPr="006B6A20">
        <w:rPr>
          <w:lang w:val="en-IN"/>
        </w:rPr>
        <w:t>deployment costs and timelines.</w:t>
      </w:r>
    </w:p>
    <w:p w14:paraId="12428EE2" w14:textId="04C95A95" w:rsidR="006B6A20" w:rsidRPr="006B6A20" w:rsidRDefault="006B6A20" w:rsidP="00D628F4">
      <w:pPr>
        <w:rPr>
          <w:lang w:val="en-IN"/>
        </w:rPr>
      </w:pPr>
      <w:r w:rsidRPr="006B6A20">
        <w:rPr>
          <w:lang w:val="en-IN"/>
        </w:rPr>
        <w:t xml:space="preserve">Market structure in metro and middle-mile segments typically includes multiple operators and, in some cases, shared or wholesale-only </w:t>
      </w:r>
      <w:r w:rsidR="003B413D" w:rsidRPr="006B6A20">
        <w:rPr>
          <w:lang w:val="en-IN"/>
        </w:rPr>
        <w:t>fibre</w:t>
      </w:r>
      <w:r w:rsidRPr="006B6A20">
        <w:rPr>
          <w:lang w:val="en-IN"/>
        </w:rPr>
        <w:t xml:space="preserve"> networks. Competitive markets and open-access middle-mile infrastructure can lower leasing costs for downstream ISPs, while limited competition can maintain high costs and reduce service availability.</w:t>
      </w:r>
    </w:p>
    <w:p w14:paraId="1E7035AB" w14:textId="197595AD" w:rsidR="006B6A20" w:rsidRPr="006B6A20" w:rsidRDefault="006B6A20" w:rsidP="00B33C61">
      <w:pPr>
        <w:pStyle w:val="Headingb"/>
        <w:rPr>
          <w:lang w:val="en-IN"/>
        </w:rPr>
      </w:pPr>
      <w:r w:rsidRPr="006B6A20">
        <w:rPr>
          <w:lang w:val="en-IN"/>
        </w:rPr>
        <w:lastRenderedPageBreak/>
        <w:t>Key cost levers:</w:t>
      </w:r>
    </w:p>
    <w:p w14:paraId="51C79220" w14:textId="2900A3ED" w:rsidR="006B6A20" w:rsidRPr="006B6A20" w:rsidRDefault="00B33C61" w:rsidP="00B33C61">
      <w:pPr>
        <w:pStyle w:val="enumlev1"/>
        <w:rPr>
          <w:lang w:val="en-IN"/>
        </w:rPr>
      </w:pPr>
      <w:r w:rsidRPr="00B33C61">
        <w:rPr>
          <w:lang w:val="en-IN"/>
        </w:rPr>
        <w:t>•</w:t>
      </w:r>
      <w:r>
        <w:rPr>
          <w:lang w:val="en-IN"/>
        </w:rPr>
        <w:tab/>
      </w:r>
      <w:r w:rsidR="006B6A20" w:rsidRPr="006B6A20">
        <w:rPr>
          <w:lang w:val="en-IN"/>
        </w:rPr>
        <w:t>Strategic use of existing urban infrastructure (e.g., ducts, utility poles) to reduce civil works costs</w:t>
      </w:r>
      <w:r w:rsidR="00863A53">
        <w:rPr>
          <w:lang w:val="en-IN"/>
        </w:rPr>
        <w:t>.</w:t>
      </w:r>
    </w:p>
    <w:p w14:paraId="703DA785" w14:textId="189D89DA" w:rsidR="006B6A20" w:rsidRPr="006B6A20" w:rsidRDefault="00B33C61" w:rsidP="00B33C61">
      <w:pPr>
        <w:pStyle w:val="enumlev1"/>
        <w:rPr>
          <w:lang w:val="en-IN"/>
        </w:rPr>
      </w:pPr>
      <w:r w:rsidRPr="00B33C61">
        <w:rPr>
          <w:lang w:val="en-IN"/>
        </w:rPr>
        <w:t>•</w:t>
      </w:r>
      <w:r>
        <w:rPr>
          <w:lang w:val="en-IN"/>
        </w:rPr>
        <w:tab/>
      </w:r>
      <w:r w:rsidR="006B6A20" w:rsidRPr="006B6A20">
        <w:rPr>
          <w:lang w:val="en-IN"/>
        </w:rPr>
        <w:t xml:space="preserve">Adoption of high-capacity wireless backhaul and edge caching to minimize </w:t>
      </w:r>
      <w:r w:rsidR="003B413D" w:rsidRPr="006B6A20">
        <w:rPr>
          <w:lang w:val="en-IN"/>
        </w:rPr>
        <w:t>fibre</w:t>
      </w:r>
      <w:r w:rsidR="006B6A20" w:rsidRPr="006B6A20">
        <w:rPr>
          <w:lang w:val="en-IN"/>
        </w:rPr>
        <w:t xml:space="preserve"> extension needs</w:t>
      </w:r>
      <w:r w:rsidR="00863A53">
        <w:rPr>
          <w:lang w:val="en-IN"/>
        </w:rPr>
        <w:t>.</w:t>
      </w:r>
    </w:p>
    <w:p w14:paraId="0850879D" w14:textId="6EBE1FFF" w:rsidR="006B6A20" w:rsidRPr="006B6A20" w:rsidRDefault="00B33C61" w:rsidP="00B33C61">
      <w:pPr>
        <w:pStyle w:val="enumlev1"/>
        <w:rPr>
          <w:lang w:val="en-IN"/>
        </w:rPr>
      </w:pPr>
      <w:r w:rsidRPr="00B33C61">
        <w:rPr>
          <w:lang w:val="en-IN"/>
        </w:rPr>
        <w:t>•</w:t>
      </w:r>
      <w:r>
        <w:rPr>
          <w:lang w:val="en-IN"/>
        </w:rPr>
        <w:tab/>
      </w:r>
      <w:r w:rsidR="006B6A20" w:rsidRPr="006B6A20">
        <w:rPr>
          <w:lang w:val="en-IN"/>
        </w:rPr>
        <w:t>Infrastructure sharing agreements and open-access policies to lower per-operator costs</w:t>
      </w:r>
      <w:r w:rsidR="00863A53">
        <w:rPr>
          <w:lang w:val="en-IN"/>
        </w:rPr>
        <w:t>.</w:t>
      </w:r>
    </w:p>
    <w:p w14:paraId="146F53E6" w14:textId="0EDE757F" w:rsidR="006B6A20" w:rsidRPr="006B6A20" w:rsidRDefault="00B33C61" w:rsidP="00B33C61">
      <w:pPr>
        <w:pStyle w:val="enumlev1"/>
        <w:rPr>
          <w:lang w:val="en-IN"/>
        </w:rPr>
      </w:pPr>
      <w:r w:rsidRPr="00B33C61">
        <w:rPr>
          <w:lang w:val="en-IN"/>
        </w:rPr>
        <w:t>•</w:t>
      </w:r>
      <w:r>
        <w:rPr>
          <w:lang w:val="en-IN"/>
        </w:rPr>
        <w:tab/>
      </w:r>
      <w:r w:rsidR="006B6A20" w:rsidRPr="006B6A20">
        <w:rPr>
          <w:lang w:val="en-IN"/>
        </w:rPr>
        <w:t>Efficient energy management at aggregation sites to contain operational expenditures</w:t>
      </w:r>
      <w:r w:rsidR="00863A53">
        <w:rPr>
          <w:lang w:val="en-IN"/>
        </w:rPr>
        <w:t>.</w:t>
      </w:r>
    </w:p>
    <w:p w14:paraId="0DF26B6F" w14:textId="074E465B" w:rsidR="006B6A20" w:rsidRPr="006B6A20" w:rsidRDefault="00B33C61" w:rsidP="00B33C61">
      <w:pPr>
        <w:pStyle w:val="enumlev1"/>
        <w:rPr>
          <w:lang w:val="en-IN"/>
        </w:rPr>
      </w:pPr>
      <w:r w:rsidRPr="00B33C61">
        <w:rPr>
          <w:lang w:val="en-IN"/>
        </w:rPr>
        <w:t>•</w:t>
      </w:r>
      <w:r>
        <w:rPr>
          <w:lang w:val="en-IN"/>
        </w:rPr>
        <w:tab/>
      </w:r>
      <w:r w:rsidR="006B6A20" w:rsidRPr="006B6A20">
        <w:rPr>
          <w:lang w:val="en-IN"/>
        </w:rPr>
        <w:t>Streamlined municipal permitting and rights-of-way processes to accelerate deployment</w:t>
      </w:r>
      <w:r w:rsidR="00863A53">
        <w:rPr>
          <w:lang w:val="en-IN"/>
        </w:rPr>
        <w:t>.</w:t>
      </w:r>
    </w:p>
    <w:p w14:paraId="56B1CEAC" w14:textId="311FA9D7" w:rsidR="00D17D67" w:rsidRPr="00D17D67" w:rsidRDefault="000D5F5E" w:rsidP="00B33C61">
      <w:pPr>
        <w:pStyle w:val="Heading2"/>
        <w:rPr>
          <w:lang w:val="en-IN"/>
        </w:rPr>
      </w:pPr>
      <w:bookmarkStart w:id="65" w:name="_Toc210208984"/>
      <w:bookmarkStart w:id="66" w:name="_Toc239941089"/>
      <w:bookmarkStart w:id="67" w:name="_Toc239947948"/>
      <w:r>
        <w:rPr>
          <w:lang w:val="en-IN"/>
        </w:rPr>
        <w:t>7.5</w:t>
      </w:r>
      <w:r w:rsidR="00B33C61">
        <w:rPr>
          <w:lang w:val="en-IN"/>
        </w:rPr>
        <w:tab/>
      </w:r>
      <w:r w:rsidR="00D17D67" w:rsidRPr="00D17D67">
        <w:rPr>
          <w:lang w:val="en-IN"/>
        </w:rPr>
        <w:t>Last-</w:t>
      </w:r>
      <w:r w:rsidR="00C777AF">
        <w:rPr>
          <w:lang w:val="en-IN"/>
        </w:rPr>
        <w:t>m</w:t>
      </w:r>
      <w:r w:rsidR="00D17D67" w:rsidRPr="00D17D67">
        <w:rPr>
          <w:lang w:val="en-IN"/>
        </w:rPr>
        <w:t xml:space="preserve">ile </w:t>
      </w:r>
      <w:r w:rsidR="00C777AF">
        <w:rPr>
          <w:lang w:val="en-IN"/>
        </w:rPr>
        <w:t>a</w:t>
      </w:r>
      <w:r w:rsidR="00D17D67" w:rsidRPr="00D17D67">
        <w:rPr>
          <w:lang w:val="en-IN"/>
        </w:rPr>
        <w:t xml:space="preserve">ccess </w:t>
      </w:r>
      <w:r w:rsidR="00C777AF">
        <w:rPr>
          <w:lang w:val="en-IN"/>
        </w:rPr>
        <w:t>n</w:t>
      </w:r>
      <w:r w:rsidR="00D17D67" w:rsidRPr="00D17D67">
        <w:rPr>
          <w:lang w:val="en-IN"/>
        </w:rPr>
        <w:t>etworks</w:t>
      </w:r>
      <w:bookmarkEnd w:id="65"/>
      <w:bookmarkEnd w:id="66"/>
      <w:bookmarkEnd w:id="67"/>
    </w:p>
    <w:p w14:paraId="7E528C20" w14:textId="46A17010" w:rsidR="00D17D67" w:rsidRPr="00D17D67" w:rsidRDefault="00D17D67" w:rsidP="00D628F4">
      <w:pPr>
        <w:rPr>
          <w:lang w:val="en-IN"/>
        </w:rPr>
      </w:pPr>
      <w:r w:rsidRPr="00D17D67">
        <w:rPr>
          <w:lang w:val="en-IN"/>
        </w:rPr>
        <w:t xml:space="preserve">Last-mile access networks are the final link in the telecom and ICT infrastructure supply chain, delivering data services directly to end-users. They include fixed broadband (such as </w:t>
      </w:r>
      <w:r w:rsidR="003B413D" w:rsidRPr="00D17D67">
        <w:rPr>
          <w:lang w:val="en-IN"/>
        </w:rPr>
        <w:t>fibre</w:t>
      </w:r>
      <w:r w:rsidRPr="00D17D67">
        <w:rPr>
          <w:lang w:val="en-IN"/>
        </w:rPr>
        <w:t>-to-the-home</w:t>
      </w:r>
      <w:r w:rsidR="00A66817">
        <w:rPr>
          <w:lang w:val="en-IN"/>
        </w:rPr>
        <w:t xml:space="preserve"> (FTTH)</w:t>
      </w:r>
      <w:r w:rsidRPr="00D17D67">
        <w:rPr>
          <w:lang w:val="en-IN"/>
        </w:rPr>
        <w:t>, DSL, and cable) and mobile radio access networks (2G to 5G), as well as community and alternative access solutions in underserved areas.</w:t>
      </w:r>
    </w:p>
    <w:p w14:paraId="3FD69A31" w14:textId="3A54FD97" w:rsidR="00D17D67" w:rsidRPr="00D17D67" w:rsidRDefault="00D17D67" w:rsidP="00D628F4">
      <w:pPr>
        <w:rPr>
          <w:lang w:val="en-IN"/>
        </w:rPr>
      </w:pPr>
      <w:r w:rsidRPr="00D17D67">
        <w:rPr>
          <w:lang w:val="en-IN"/>
        </w:rPr>
        <w:t xml:space="preserve">Capital expenditure in this layer involves significant investments in physical infrastructure and customer-facing equipment. Fixed broadband deployments require </w:t>
      </w:r>
      <w:r w:rsidR="003B413D" w:rsidRPr="00D17D67">
        <w:rPr>
          <w:lang w:val="en-IN"/>
        </w:rPr>
        <w:t>fibre</w:t>
      </w:r>
      <w:r w:rsidRPr="00D17D67">
        <w:rPr>
          <w:lang w:val="en-IN"/>
        </w:rPr>
        <w:t xml:space="preserve"> drop cables, customer premises installations, and network termination devices. Mobile access networks involve the installation of radio base stations, sector antennas, and supporting backhaul connections. Terrain, building density, and technology choice directly influence these deployment costs.</w:t>
      </w:r>
    </w:p>
    <w:p w14:paraId="26E6194D" w14:textId="69916A49" w:rsidR="00D17D67" w:rsidRPr="00D17D67" w:rsidRDefault="00D17D67" w:rsidP="00D628F4">
      <w:pPr>
        <w:rPr>
          <w:lang w:val="en-IN"/>
        </w:rPr>
      </w:pPr>
      <w:r w:rsidRPr="00D17D67">
        <w:rPr>
          <w:lang w:val="en-IN"/>
        </w:rPr>
        <w:t xml:space="preserve">Operational expenditure covers ongoing maintenance of network elements, such as </w:t>
      </w:r>
      <w:r w:rsidR="003B413D" w:rsidRPr="00D17D67">
        <w:rPr>
          <w:lang w:val="en-IN"/>
        </w:rPr>
        <w:t>fibre</w:t>
      </w:r>
      <w:r w:rsidRPr="00D17D67">
        <w:rPr>
          <w:lang w:val="en-IN"/>
        </w:rPr>
        <w:t xml:space="preserve"> drop connections, wireless base station equipment, and local switching infrastructure. Maintenance challenges vary between dense urban areas and dispersed rural deployments, impacting the scale and frequency of interventions.</w:t>
      </w:r>
    </w:p>
    <w:p w14:paraId="64656E18" w14:textId="0AA769F5" w:rsidR="00D17D67" w:rsidRPr="00D17D67" w:rsidRDefault="00D17D67" w:rsidP="00D628F4">
      <w:pPr>
        <w:rPr>
          <w:lang w:val="en-IN"/>
        </w:rPr>
      </w:pPr>
      <w:r w:rsidRPr="00D17D67">
        <w:rPr>
          <w:lang w:val="en-IN"/>
        </w:rPr>
        <w:t xml:space="preserve">Energy costs in last-mile networks are driven by active equipment at base stations and </w:t>
      </w:r>
      <w:r w:rsidR="003B413D" w:rsidRPr="00D17D67">
        <w:rPr>
          <w:lang w:val="en-IN"/>
        </w:rPr>
        <w:t>fibre</w:t>
      </w:r>
      <w:r w:rsidRPr="00D17D67">
        <w:rPr>
          <w:lang w:val="en-IN"/>
        </w:rPr>
        <w:t xml:space="preserve"> access nodes. In mobile networks, energy demand increases with densification (e.g., small cells) and the introduction of higher-capacity technologies (4G, 5G). In fixed access networks, energy consumption is linked to customer premises equipment and local distribution nodes.</w:t>
      </w:r>
    </w:p>
    <w:p w14:paraId="223D87BB" w14:textId="5398A402" w:rsidR="00D17D67" w:rsidRPr="00D17D67" w:rsidRDefault="00D17D67" w:rsidP="00D628F4">
      <w:pPr>
        <w:rPr>
          <w:lang w:val="en-IN"/>
        </w:rPr>
      </w:pPr>
      <w:r w:rsidRPr="00D17D67">
        <w:rPr>
          <w:lang w:val="en-IN"/>
        </w:rPr>
        <w:t>Licensing and regulatory compliance can involve spectrum fees for mobile services, municipal permissions for fibr</w:t>
      </w:r>
      <w:r w:rsidR="000A1149">
        <w:rPr>
          <w:lang w:val="en-IN"/>
        </w:rPr>
        <w:t>e</w:t>
      </w:r>
      <w:r w:rsidRPr="00D17D67">
        <w:rPr>
          <w:lang w:val="en-IN"/>
        </w:rPr>
        <w:t xml:space="preserve"> or cable deployments, and adherence to building safety codes. In some cases, licensing complexity can delay deployment and increase financial risk.</w:t>
      </w:r>
    </w:p>
    <w:p w14:paraId="2D8CD1D3" w14:textId="77777777" w:rsidR="00D17D67" w:rsidRPr="00D17D67" w:rsidRDefault="00D17D67" w:rsidP="00D628F4">
      <w:pPr>
        <w:rPr>
          <w:lang w:val="en-IN"/>
        </w:rPr>
      </w:pPr>
      <w:r w:rsidRPr="00D17D67">
        <w:rPr>
          <w:lang w:val="en-IN"/>
        </w:rPr>
        <w:t>Market structure plays a decisive role in last-mile costs. In competitive markets, multiple access network operators can create downward pricing pressure on both wholesale and retail services. In rural or remote areas with limited competition, costs remain high due to low customer density and the need to recover investments across fewer subscribers.</w:t>
      </w:r>
    </w:p>
    <w:p w14:paraId="0E5A4AAC" w14:textId="01501AD8" w:rsidR="00D17D67" w:rsidRPr="00D17D67" w:rsidRDefault="00D17D67" w:rsidP="00B33C61">
      <w:pPr>
        <w:pStyle w:val="Headingb"/>
        <w:rPr>
          <w:lang w:val="en-IN"/>
        </w:rPr>
      </w:pPr>
      <w:r w:rsidRPr="00D17D67">
        <w:rPr>
          <w:lang w:val="en-IN"/>
        </w:rPr>
        <w:t>Key cost levers:</w:t>
      </w:r>
    </w:p>
    <w:p w14:paraId="38EF52BF" w14:textId="60EDD3E5" w:rsidR="00D17D67" w:rsidRPr="00D17D67" w:rsidRDefault="00B33C61" w:rsidP="00B33C61">
      <w:pPr>
        <w:pStyle w:val="enumlev1"/>
        <w:rPr>
          <w:lang w:val="en-IN"/>
        </w:rPr>
      </w:pPr>
      <w:r w:rsidRPr="00B33C61">
        <w:rPr>
          <w:lang w:val="en-IN"/>
        </w:rPr>
        <w:t>•</w:t>
      </w:r>
      <w:r>
        <w:rPr>
          <w:lang w:val="en-IN"/>
        </w:rPr>
        <w:tab/>
      </w:r>
      <w:r w:rsidR="00D17D67" w:rsidRPr="00D17D67">
        <w:rPr>
          <w:lang w:val="en-IN"/>
        </w:rPr>
        <w:t>Efficient deployment strategies tailored to urban density and rural sparsity to control civil works and equipment costs</w:t>
      </w:r>
      <w:r w:rsidR="00863A53">
        <w:rPr>
          <w:lang w:val="en-IN"/>
        </w:rPr>
        <w:t>.</w:t>
      </w:r>
    </w:p>
    <w:p w14:paraId="50462DF2" w14:textId="1EE6D2EF" w:rsidR="00D17D67" w:rsidRPr="00D17D67" w:rsidRDefault="00B33C61" w:rsidP="00B33C61">
      <w:pPr>
        <w:pStyle w:val="enumlev1"/>
        <w:rPr>
          <w:lang w:val="en-IN"/>
        </w:rPr>
      </w:pPr>
      <w:r w:rsidRPr="00B33C61">
        <w:rPr>
          <w:lang w:val="en-IN"/>
        </w:rPr>
        <w:t>•</w:t>
      </w:r>
      <w:r>
        <w:rPr>
          <w:lang w:val="en-IN"/>
        </w:rPr>
        <w:tab/>
      </w:r>
      <w:r w:rsidR="00D17D67" w:rsidRPr="00D17D67">
        <w:rPr>
          <w:lang w:val="en-IN"/>
        </w:rPr>
        <w:t>Use of alternative technologies (e.g., wireless or hybrid solutions) in low-density areas to reduce fibr</w:t>
      </w:r>
      <w:r w:rsidR="00A56FA7">
        <w:rPr>
          <w:lang w:val="en-IN"/>
        </w:rPr>
        <w:t>e</w:t>
      </w:r>
      <w:r w:rsidR="00D17D67" w:rsidRPr="00D17D67">
        <w:rPr>
          <w:lang w:val="en-IN"/>
        </w:rPr>
        <w:t xml:space="preserve"> extension costs</w:t>
      </w:r>
      <w:r w:rsidR="00863A53">
        <w:rPr>
          <w:lang w:val="en-IN"/>
        </w:rPr>
        <w:t>.</w:t>
      </w:r>
    </w:p>
    <w:p w14:paraId="2F5D7E79" w14:textId="1836CD07" w:rsidR="00D17D67" w:rsidRPr="00D17D67" w:rsidRDefault="00B33C61" w:rsidP="00B33C61">
      <w:pPr>
        <w:pStyle w:val="enumlev1"/>
        <w:rPr>
          <w:lang w:val="en-IN"/>
        </w:rPr>
      </w:pPr>
      <w:r w:rsidRPr="00B33C61">
        <w:rPr>
          <w:lang w:val="en-IN"/>
        </w:rPr>
        <w:t>•</w:t>
      </w:r>
      <w:r>
        <w:rPr>
          <w:lang w:val="en-IN"/>
        </w:rPr>
        <w:tab/>
      </w:r>
      <w:r w:rsidR="00D17D67" w:rsidRPr="00D17D67">
        <w:rPr>
          <w:lang w:val="en-IN"/>
        </w:rPr>
        <w:t xml:space="preserve">Infrastructure sharing models (active and passive) to reduce per-operator </w:t>
      </w:r>
      <w:proofErr w:type="spellStart"/>
      <w:r w:rsidR="00D17D67" w:rsidRPr="00D17D67">
        <w:rPr>
          <w:lang w:val="en-IN"/>
        </w:rPr>
        <w:t>CapEx</w:t>
      </w:r>
      <w:proofErr w:type="spellEnd"/>
      <w:r w:rsidR="00D17D67" w:rsidRPr="00D17D67">
        <w:rPr>
          <w:lang w:val="en-IN"/>
        </w:rPr>
        <w:t xml:space="preserve"> and </w:t>
      </w:r>
      <w:proofErr w:type="spellStart"/>
      <w:r w:rsidR="00D17D67" w:rsidRPr="00D17D67">
        <w:rPr>
          <w:lang w:val="en-IN"/>
        </w:rPr>
        <w:t>OpEx</w:t>
      </w:r>
      <w:proofErr w:type="spellEnd"/>
      <w:r w:rsidR="00D17D67" w:rsidRPr="00D17D67">
        <w:rPr>
          <w:lang w:val="en-IN"/>
        </w:rPr>
        <w:t xml:space="preserve"> burdens</w:t>
      </w:r>
      <w:r w:rsidR="00863A53">
        <w:rPr>
          <w:lang w:val="en-IN"/>
        </w:rPr>
        <w:t>.</w:t>
      </w:r>
    </w:p>
    <w:p w14:paraId="30C9AE77" w14:textId="096453D9" w:rsidR="00D17D67" w:rsidRPr="00D17D67" w:rsidRDefault="00B33C61" w:rsidP="00B33C61">
      <w:pPr>
        <w:pStyle w:val="enumlev1"/>
        <w:rPr>
          <w:lang w:val="en-IN"/>
        </w:rPr>
      </w:pPr>
      <w:r w:rsidRPr="00B33C61">
        <w:rPr>
          <w:lang w:val="en-IN"/>
        </w:rPr>
        <w:t>•</w:t>
      </w:r>
      <w:r>
        <w:rPr>
          <w:lang w:val="en-IN"/>
        </w:rPr>
        <w:tab/>
      </w:r>
      <w:r w:rsidR="00D17D67" w:rsidRPr="00D17D67">
        <w:rPr>
          <w:lang w:val="en-IN"/>
        </w:rPr>
        <w:t>Energy-efficient access node and small-cell deployments to lower recurring power expenses</w:t>
      </w:r>
      <w:r w:rsidR="00863A53">
        <w:rPr>
          <w:lang w:val="en-IN"/>
        </w:rPr>
        <w:t>.</w:t>
      </w:r>
    </w:p>
    <w:p w14:paraId="4436E226" w14:textId="68F15830" w:rsidR="00D17D67" w:rsidRDefault="00B33C61" w:rsidP="00B33C61">
      <w:pPr>
        <w:pStyle w:val="enumlev1"/>
        <w:rPr>
          <w:lang w:val="en-IN"/>
        </w:rPr>
      </w:pPr>
      <w:r w:rsidRPr="00B33C61">
        <w:rPr>
          <w:lang w:val="en-IN"/>
        </w:rPr>
        <w:t>•</w:t>
      </w:r>
      <w:r>
        <w:rPr>
          <w:lang w:val="en-IN"/>
        </w:rPr>
        <w:tab/>
      </w:r>
      <w:r w:rsidR="00D17D67" w:rsidRPr="00D17D67">
        <w:rPr>
          <w:lang w:val="en-IN"/>
        </w:rPr>
        <w:t>Competitive wholesale and retail environments to mitigate monopolistic pricing and expand service reach</w:t>
      </w:r>
      <w:r w:rsidR="00863A53">
        <w:rPr>
          <w:lang w:val="en-IN"/>
        </w:rPr>
        <w:t>.</w:t>
      </w:r>
    </w:p>
    <w:p w14:paraId="3BA713E0" w14:textId="4FBD4587" w:rsidR="009712D6" w:rsidRPr="009712D6" w:rsidRDefault="00D17D67" w:rsidP="00B33C61">
      <w:pPr>
        <w:pStyle w:val="Heading2"/>
        <w:rPr>
          <w:lang w:val="en-IN"/>
        </w:rPr>
      </w:pPr>
      <w:bookmarkStart w:id="68" w:name="_Toc210208985"/>
      <w:bookmarkStart w:id="69" w:name="_Toc239941090"/>
      <w:bookmarkStart w:id="70" w:name="_Toc239947949"/>
      <w:r>
        <w:rPr>
          <w:lang w:val="en-IN"/>
        </w:rPr>
        <w:lastRenderedPageBreak/>
        <w:t>7.6</w:t>
      </w:r>
      <w:r w:rsidR="00B33C61">
        <w:rPr>
          <w:lang w:val="en-IN"/>
        </w:rPr>
        <w:tab/>
      </w:r>
      <w:r w:rsidR="009712D6" w:rsidRPr="009712D6">
        <w:rPr>
          <w:lang w:val="en-IN"/>
        </w:rPr>
        <w:t xml:space="preserve">Passive </w:t>
      </w:r>
      <w:r w:rsidR="00070518">
        <w:rPr>
          <w:lang w:val="en-IN"/>
        </w:rPr>
        <w:t>i</w:t>
      </w:r>
      <w:r w:rsidR="009712D6" w:rsidRPr="009712D6">
        <w:rPr>
          <w:lang w:val="en-IN"/>
        </w:rPr>
        <w:t>nfrastructure</w:t>
      </w:r>
      <w:bookmarkEnd w:id="68"/>
      <w:bookmarkEnd w:id="69"/>
      <w:bookmarkEnd w:id="70"/>
    </w:p>
    <w:p w14:paraId="13B23FA3" w14:textId="77777777" w:rsidR="009712D6" w:rsidRPr="009712D6" w:rsidRDefault="009712D6" w:rsidP="00D628F4">
      <w:pPr>
        <w:rPr>
          <w:lang w:val="en-IN"/>
        </w:rPr>
      </w:pPr>
      <w:r w:rsidRPr="009712D6">
        <w:rPr>
          <w:lang w:val="en-IN"/>
        </w:rPr>
        <w:t>Passive infrastructure includes the physical structures and systems that support active network components across the telecom and ICT supply chain. Key elements include towers, poles, ducts, conduits, and power systems, all of which are essential for reliable service delivery.</w:t>
      </w:r>
    </w:p>
    <w:p w14:paraId="383FF9BA" w14:textId="77777777" w:rsidR="009712D6" w:rsidRPr="009712D6" w:rsidRDefault="009712D6" w:rsidP="00D628F4">
      <w:pPr>
        <w:rPr>
          <w:lang w:val="en-IN"/>
        </w:rPr>
      </w:pPr>
      <w:r w:rsidRPr="009712D6">
        <w:rPr>
          <w:lang w:val="en-IN"/>
        </w:rPr>
        <w:t>Capital expenditure in this layer covers the construction and installation of these structures. Towers and poles require significant upfront investment in site acquisition, civil works, and materials. In urban areas, costs are influenced by limited availability of suitable sites and stringent municipal guidelines. In rural areas, terrain and distance from utility corridors can increase site preparation and transport costs.</w:t>
      </w:r>
    </w:p>
    <w:p w14:paraId="095C202D" w14:textId="77777777" w:rsidR="009712D6" w:rsidRPr="009712D6" w:rsidRDefault="009712D6" w:rsidP="00D628F4">
      <w:pPr>
        <w:rPr>
          <w:lang w:val="en-IN"/>
        </w:rPr>
      </w:pPr>
      <w:r w:rsidRPr="009712D6">
        <w:rPr>
          <w:lang w:val="en-IN"/>
        </w:rPr>
        <w:t>Operational expenditure involves routine site maintenance, security, and inspections to ensure the structural integrity and safety of passive assets. Harsh environmental conditions and ongoing urban construction activities can accelerate wear and increase maintenance demands.</w:t>
      </w:r>
    </w:p>
    <w:p w14:paraId="2E4B1C64" w14:textId="77777777" w:rsidR="009712D6" w:rsidRPr="009712D6" w:rsidRDefault="009712D6" w:rsidP="00D628F4">
      <w:pPr>
        <w:rPr>
          <w:lang w:val="en-IN"/>
        </w:rPr>
      </w:pPr>
      <w:r w:rsidRPr="009712D6">
        <w:rPr>
          <w:lang w:val="en-IN"/>
        </w:rPr>
        <w:t>Energy costs in passive infrastructure are driven by the need to power active network equipment at tower and aggregation sites. In regions with unreliable grid access, diesel generators and hybrid power systems are often used, introducing ongoing fuel costs and logistical complexities.</w:t>
      </w:r>
    </w:p>
    <w:p w14:paraId="128CEB18" w14:textId="77777777" w:rsidR="009712D6" w:rsidRPr="009712D6" w:rsidRDefault="009712D6" w:rsidP="00D628F4">
      <w:pPr>
        <w:rPr>
          <w:lang w:val="en-IN"/>
        </w:rPr>
      </w:pPr>
      <w:r w:rsidRPr="009712D6">
        <w:rPr>
          <w:lang w:val="en-IN"/>
        </w:rPr>
        <w:t>Licensing and regulatory costs include securing construction permits, land use approvals, and compliance with environmental standards. Inconsistent or delayed municipal approvals can increase project costs and extend deployment timelines.</w:t>
      </w:r>
    </w:p>
    <w:p w14:paraId="4323A520" w14:textId="77777777" w:rsidR="009712D6" w:rsidRPr="009712D6" w:rsidRDefault="009712D6" w:rsidP="00D628F4">
      <w:pPr>
        <w:rPr>
          <w:lang w:val="en-IN"/>
        </w:rPr>
      </w:pPr>
      <w:r w:rsidRPr="009712D6">
        <w:rPr>
          <w:lang w:val="en-IN"/>
        </w:rPr>
        <w:t>Market structure and ownership models significantly shape cost outcomes in this layer. Shared passive infrastructure, such as tower co-location and duct sharing, enables operators to spread costs and reduce duplication. In markets with fragmented or proprietary infrastructure ownership, redundant deployments can raise sector-wide costs and limit affordable access for end-users.</w:t>
      </w:r>
    </w:p>
    <w:p w14:paraId="49829950" w14:textId="0C9E51EC" w:rsidR="009712D6" w:rsidRPr="009712D6" w:rsidRDefault="009712D6" w:rsidP="00B33C61">
      <w:pPr>
        <w:pStyle w:val="Headingb"/>
        <w:rPr>
          <w:lang w:val="en-IN"/>
        </w:rPr>
      </w:pPr>
      <w:r w:rsidRPr="009712D6">
        <w:rPr>
          <w:lang w:val="en-IN"/>
        </w:rPr>
        <w:t>Key cost lever</w:t>
      </w:r>
      <w:r>
        <w:rPr>
          <w:lang w:val="en-IN"/>
        </w:rPr>
        <w:t>s</w:t>
      </w:r>
      <w:r w:rsidRPr="009712D6">
        <w:rPr>
          <w:lang w:val="en-IN"/>
        </w:rPr>
        <w:t>:</w:t>
      </w:r>
    </w:p>
    <w:p w14:paraId="32405FFD" w14:textId="0DD117A9" w:rsidR="009712D6" w:rsidRPr="009712D6" w:rsidRDefault="00B33C61" w:rsidP="00B33C61">
      <w:pPr>
        <w:pStyle w:val="enumlev1"/>
        <w:rPr>
          <w:lang w:val="en-IN"/>
        </w:rPr>
      </w:pPr>
      <w:r w:rsidRPr="00B33C61">
        <w:rPr>
          <w:lang w:val="en-IN"/>
        </w:rPr>
        <w:t>•</w:t>
      </w:r>
      <w:r>
        <w:rPr>
          <w:lang w:val="en-IN"/>
        </w:rPr>
        <w:tab/>
      </w:r>
      <w:r w:rsidR="009712D6" w:rsidRPr="009712D6">
        <w:rPr>
          <w:lang w:val="en-IN"/>
        </w:rPr>
        <w:t>Promotion of tower and duct sharing arrangements to reduce duplication and lower total deployment costs</w:t>
      </w:r>
      <w:r w:rsidR="00863A53">
        <w:rPr>
          <w:lang w:val="en-IN"/>
        </w:rPr>
        <w:t>.</w:t>
      </w:r>
    </w:p>
    <w:p w14:paraId="6AAF4326" w14:textId="2985694A" w:rsidR="009712D6" w:rsidRPr="009712D6" w:rsidRDefault="00B33C61" w:rsidP="00B33C61">
      <w:pPr>
        <w:pStyle w:val="enumlev1"/>
        <w:rPr>
          <w:lang w:val="en-IN"/>
        </w:rPr>
      </w:pPr>
      <w:r w:rsidRPr="00B33C61">
        <w:rPr>
          <w:lang w:val="en-IN"/>
        </w:rPr>
        <w:t>•</w:t>
      </w:r>
      <w:r>
        <w:rPr>
          <w:lang w:val="en-IN"/>
        </w:rPr>
        <w:tab/>
      </w:r>
      <w:r w:rsidR="009712D6" w:rsidRPr="009712D6">
        <w:rPr>
          <w:lang w:val="en-IN"/>
        </w:rPr>
        <w:t>Utilization of existing urban structures (buildings, utility poles) to minimize new construction expenses</w:t>
      </w:r>
      <w:r w:rsidR="00863A53">
        <w:rPr>
          <w:lang w:val="en-IN"/>
        </w:rPr>
        <w:t>.</w:t>
      </w:r>
    </w:p>
    <w:p w14:paraId="60B00BA1" w14:textId="7E250CE0" w:rsidR="009712D6" w:rsidRPr="009712D6" w:rsidRDefault="00B33C61" w:rsidP="00B33C61">
      <w:pPr>
        <w:pStyle w:val="enumlev1"/>
        <w:rPr>
          <w:lang w:val="en-IN"/>
        </w:rPr>
      </w:pPr>
      <w:r w:rsidRPr="00B33C61">
        <w:rPr>
          <w:lang w:val="en-IN"/>
        </w:rPr>
        <w:t>•</w:t>
      </w:r>
      <w:r>
        <w:rPr>
          <w:lang w:val="en-IN"/>
        </w:rPr>
        <w:tab/>
      </w:r>
      <w:r w:rsidR="009712D6" w:rsidRPr="009712D6">
        <w:rPr>
          <w:lang w:val="en-IN"/>
        </w:rPr>
        <w:t>Deployment of energy-efficient power systems to reduce fuel dependency and operational costs</w:t>
      </w:r>
      <w:r w:rsidR="00863A53">
        <w:rPr>
          <w:lang w:val="en-IN"/>
        </w:rPr>
        <w:t>.</w:t>
      </w:r>
    </w:p>
    <w:p w14:paraId="5CBAFEDF" w14:textId="6E6BFB23" w:rsidR="009712D6" w:rsidRPr="009712D6" w:rsidRDefault="00B33C61" w:rsidP="00B33C61">
      <w:pPr>
        <w:pStyle w:val="enumlev1"/>
        <w:rPr>
          <w:lang w:val="en-IN"/>
        </w:rPr>
      </w:pPr>
      <w:r w:rsidRPr="00B33C61">
        <w:rPr>
          <w:lang w:val="en-IN"/>
        </w:rPr>
        <w:t>•</w:t>
      </w:r>
      <w:r>
        <w:rPr>
          <w:lang w:val="en-IN"/>
        </w:rPr>
        <w:tab/>
      </w:r>
      <w:r w:rsidR="009712D6" w:rsidRPr="009712D6">
        <w:rPr>
          <w:lang w:val="en-IN"/>
        </w:rPr>
        <w:t>Streamlined permitting and regulatory processes to contain civil works expenses and avoid delays</w:t>
      </w:r>
      <w:r w:rsidR="00863A53">
        <w:rPr>
          <w:lang w:val="en-IN"/>
        </w:rPr>
        <w:t>.</w:t>
      </w:r>
    </w:p>
    <w:p w14:paraId="0CD0939F" w14:textId="3F8E6108" w:rsidR="009712D6" w:rsidRDefault="00B33C61" w:rsidP="00B33C61">
      <w:pPr>
        <w:pStyle w:val="enumlev1"/>
        <w:rPr>
          <w:lang w:val="en-IN"/>
        </w:rPr>
      </w:pPr>
      <w:r w:rsidRPr="00B33C61">
        <w:rPr>
          <w:lang w:val="en-IN"/>
        </w:rPr>
        <w:t>•</w:t>
      </w:r>
      <w:r>
        <w:rPr>
          <w:lang w:val="en-IN"/>
        </w:rPr>
        <w:tab/>
      </w:r>
      <w:r w:rsidR="009712D6" w:rsidRPr="009712D6">
        <w:rPr>
          <w:lang w:val="en-IN"/>
        </w:rPr>
        <w:t>Robust asset management and maintenance practices to extend asset lifespans and ensure efficient operation</w:t>
      </w:r>
      <w:r w:rsidR="00863A53">
        <w:rPr>
          <w:lang w:val="en-IN"/>
        </w:rPr>
        <w:t>.</w:t>
      </w:r>
    </w:p>
    <w:p w14:paraId="5BE205FB" w14:textId="1F6130A1" w:rsidR="0035418D" w:rsidRPr="0035418D" w:rsidRDefault="009712D6" w:rsidP="00B33C61">
      <w:pPr>
        <w:pStyle w:val="Heading2"/>
        <w:rPr>
          <w:lang w:val="en-IN"/>
        </w:rPr>
      </w:pPr>
      <w:bookmarkStart w:id="71" w:name="_Toc210208986"/>
      <w:bookmarkStart w:id="72" w:name="_Toc239941091"/>
      <w:bookmarkStart w:id="73" w:name="_Toc239947950"/>
      <w:r>
        <w:rPr>
          <w:lang w:val="en-IN"/>
        </w:rPr>
        <w:t>7.7</w:t>
      </w:r>
      <w:r w:rsidR="00B33C61">
        <w:rPr>
          <w:lang w:val="en-IN"/>
        </w:rPr>
        <w:tab/>
      </w:r>
      <w:r w:rsidR="0035418D" w:rsidRPr="0035418D">
        <w:rPr>
          <w:lang w:val="en-IN"/>
        </w:rPr>
        <w:t xml:space="preserve">Customer </w:t>
      </w:r>
      <w:r w:rsidR="00070518">
        <w:rPr>
          <w:lang w:val="en-IN"/>
        </w:rPr>
        <w:t>p</w:t>
      </w:r>
      <w:r w:rsidR="0035418D" w:rsidRPr="0035418D">
        <w:rPr>
          <w:lang w:val="en-IN"/>
        </w:rPr>
        <w:t xml:space="preserve">remises </w:t>
      </w:r>
      <w:r w:rsidR="00070518">
        <w:rPr>
          <w:lang w:val="en-IN"/>
        </w:rPr>
        <w:t>e</w:t>
      </w:r>
      <w:r w:rsidR="0035418D" w:rsidRPr="0035418D">
        <w:rPr>
          <w:lang w:val="en-IN"/>
        </w:rPr>
        <w:t>quipment (CPE)</w:t>
      </w:r>
      <w:bookmarkEnd w:id="71"/>
      <w:bookmarkEnd w:id="72"/>
      <w:bookmarkEnd w:id="73"/>
    </w:p>
    <w:p w14:paraId="090C6566" w14:textId="1569A595" w:rsidR="0035418D" w:rsidRPr="0035418D" w:rsidRDefault="0035418D" w:rsidP="00D628F4">
      <w:pPr>
        <w:rPr>
          <w:lang w:val="en-IN"/>
        </w:rPr>
      </w:pPr>
      <w:r w:rsidRPr="0035418D">
        <w:rPr>
          <w:lang w:val="en-IN"/>
        </w:rPr>
        <w:t xml:space="preserve">Customer </w:t>
      </w:r>
      <w:r w:rsidR="00070518">
        <w:rPr>
          <w:lang w:val="en-IN"/>
        </w:rPr>
        <w:t>p</w:t>
      </w:r>
      <w:r w:rsidRPr="0035418D">
        <w:rPr>
          <w:lang w:val="en-IN"/>
        </w:rPr>
        <w:t xml:space="preserve">remises </w:t>
      </w:r>
      <w:r w:rsidR="00070518">
        <w:rPr>
          <w:lang w:val="en-IN"/>
        </w:rPr>
        <w:t>e</w:t>
      </w:r>
      <w:r w:rsidRPr="0035418D">
        <w:rPr>
          <w:lang w:val="en-IN"/>
        </w:rPr>
        <w:t>quipment (CPE) forms the final link in the telecom and ICT infrastructure supply chain, connecting the end-user to broadband services. It includes devices such as modems, routers, optical network terminals (ONTs), and wireless access points installed at homes, businesses, and institutions.</w:t>
      </w:r>
    </w:p>
    <w:p w14:paraId="3B9AAD28" w14:textId="77777777" w:rsidR="0035418D" w:rsidRPr="0035418D" w:rsidRDefault="0035418D" w:rsidP="00D628F4">
      <w:pPr>
        <w:rPr>
          <w:lang w:val="en-IN"/>
        </w:rPr>
      </w:pPr>
      <w:r w:rsidRPr="0035418D">
        <w:rPr>
          <w:lang w:val="en-IN"/>
        </w:rPr>
        <w:t>Capital expenditure in this layer involves the procurement of CPE devices and their installation at customer premises. While unit costs for CPE have declined over time due to mass production and technology standardization, the cumulative capital outlay remains significant for service providers, particularly in large-scale deployments.</w:t>
      </w:r>
    </w:p>
    <w:p w14:paraId="37F1ACBA" w14:textId="77777777" w:rsidR="0035418D" w:rsidRPr="0035418D" w:rsidRDefault="0035418D" w:rsidP="00D628F4">
      <w:pPr>
        <w:rPr>
          <w:lang w:val="en-IN"/>
        </w:rPr>
      </w:pPr>
      <w:r w:rsidRPr="0035418D">
        <w:rPr>
          <w:lang w:val="en-IN"/>
        </w:rPr>
        <w:t>Operational expenditure covers ongoing device management, firmware updates, troubleshooting, and in some cases, equipment replacement cycles. These costs are essential to maintain service reliability and quality, especially as customer expectations for seamless connectivity grow.</w:t>
      </w:r>
    </w:p>
    <w:p w14:paraId="4D7C2334" w14:textId="77777777" w:rsidR="0035418D" w:rsidRPr="0035418D" w:rsidRDefault="0035418D" w:rsidP="00D628F4">
      <w:pPr>
        <w:rPr>
          <w:lang w:val="en-IN"/>
        </w:rPr>
      </w:pPr>
      <w:r w:rsidRPr="0035418D">
        <w:rPr>
          <w:lang w:val="en-IN"/>
        </w:rPr>
        <w:lastRenderedPageBreak/>
        <w:t>Energy costs for CPE are relatively modest compared to other supply chain layers but still contribute to household and small-business energy usage. Efficient device design and low-power standby modes help minimize these impacts.</w:t>
      </w:r>
    </w:p>
    <w:p w14:paraId="2E5F4E3E" w14:textId="4202DD6E" w:rsidR="0035418D" w:rsidRPr="0035418D" w:rsidRDefault="0035418D" w:rsidP="00D628F4">
      <w:pPr>
        <w:rPr>
          <w:lang w:val="en-IN"/>
        </w:rPr>
      </w:pPr>
      <w:r w:rsidRPr="0035418D">
        <w:rPr>
          <w:lang w:val="en-IN"/>
        </w:rPr>
        <w:t>Licensing and regulatory considerations typically focus on device certification and compliance with national telecom standards and compatibility requirements. Regulatory delays or fragmented standards can complicate procurement and deployment strategies, adding indirect costs.</w:t>
      </w:r>
    </w:p>
    <w:p w14:paraId="19497DE3" w14:textId="77777777" w:rsidR="0035418D" w:rsidRPr="0035418D" w:rsidRDefault="0035418D" w:rsidP="00D628F4">
      <w:pPr>
        <w:rPr>
          <w:lang w:val="en-IN"/>
        </w:rPr>
      </w:pPr>
      <w:r w:rsidRPr="0035418D">
        <w:rPr>
          <w:lang w:val="en-IN"/>
        </w:rPr>
        <w:t>Market structure and equipment sourcing models shape the cost dynamics of this layer. In some markets, operators supply and manage CPE as part of bundled service offerings, absorbing device costs within subscription fees. In other contexts, end-users procure their own CPE, shifting the upfront financial burden away from operators.</w:t>
      </w:r>
    </w:p>
    <w:p w14:paraId="336F2D61" w14:textId="77777777" w:rsidR="0035418D" w:rsidRPr="0035418D" w:rsidRDefault="0035418D" w:rsidP="00B33C61">
      <w:pPr>
        <w:pStyle w:val="Headingb"/>
        <w:rPr>
          <w:lang w:val="en-IN"/>
        </w:rPr>
      </w:pPr>
      <w:r w:rsidRPr="0035418D">
        <w:rPr>
          <w:lang w:val="en-IN"/>
        </w:rPr>
        <w:t>Key cost levers in customer premises equipment:</w:t>
      </w:r>
    </w:p>
    <w:p w14:paraId="4B2CB9C1" w14:textId="542D385C" w:rsidR="0035418D" w:rsidRPr="0035418D" w:rsidRDefault="00B33C61" w:rsidP="00B33C61">
      <w:pPr>
        <w:pStyle w:val="enumlev1"/>
        <w:rPr>
          <w:lang w:val="en-IN"/>
        </w:rPr>
      </w:pPr>
      <w:r w:rsidRPr="00B33C61">
        <w:rPr>
          <w:lang w:val="en-IN"/>
        </w:rPr>
        <w:t>•</w:t>
      </w:r>
      <w:r>
        <w:rPr>
          <w:lang w:val="en-IN"/>
        </w:rPr>
        <w:tab/>
      </w:r>
      <w:r w:rsidR="0035418D" w:rsidRPr="0035418D">
        <w:rPr>
          <w:lang w:val="en-IN"/>
        </w:rPr>
        <w:t>Bulk procurement and standardized device models to achieve scale economies and reduce unit costs</w:t>
      </w:r>
      <w:r w:rsidR="00863A53">
        <w:rPr>
          <w:lang w:val="en-IN"/>
        </w:rPr>
        <w:t>.</w:t>
      </w:r>
    </w:p>
    <w:p w14:paraId="0DDF00F3" w14:textId="65D8140F" w:rsidR="0035418D" w:rsidRPr="0035418D" w:rsidRDefault="00B33C61" w:rsidP="00B33C61">
      <w:pPr>
        <w:pStyle w:val="enumlev1"/>
        <w:rPr>
          <w:lang w:val="en-IN"/>
        </w:rPr>
      </w:pPr>
      <w:r w:rsidRPr="00B33C61">
        <w:rPr>
          <w:lang w:val="en-IN"/>
        </w:rPr>
        <w:t>•</w:t>
      </w:r>
      <w:r>
        <w:rPr>
          <w:lang w:val="en-IN"/>
        </w:rPr>
        <w:tab/>
      </w:r>
      <w:r w:rsidR="0035418D" w:rsidRPr="0035418D">
        <w:rPr>
          <w:lang w:val="en-IN"/>
        </w:rPr>
        <w:t>Efficient device lifecycle management to minimize replacement and maintenance expenses</w:t>
      </w:r>
      <w:r w:rsidR="00863A53">
        <w:rPr>
          <w:lang w:val="en-IN"/>
        </w:rPr>
        <w:t>.</w:t>
      </w:r>
    </w:p>
    <w:p w14:paraId="3F3429F7" w14:textId="2D868035" w:rsidR="0035418D" w:rsidRPr="0035418D" w:rsidRDefault="00B33C61" w:rsidP="00B33C61">
      <w:pPr>
        <w:pStyle w:val="enumlev1"/>
        <w:rPr>
          <w:lang w:val="en-IN"/>
        </w:rPr>
      </w:pPr>
      <w:r w:rsidRPr="00B33C61">
        <w:rPr>
          <w:lang w:val="en-IN"/>
        </w:rPr>
        <w:t>•</w:t>
      </w:r>
      <w:r>
        <w:rPr>
          <w:lang w:val="en-IN"/>
        </w:rPr>
        <w:tab/>
      </w:r>
      <w:r w:rsidR="0035418D" w:rsidRPr="0035418D">
        <w:rPr>
          <w:lang w:val="en-IN"/>
        </w:rPr>
        <w:t>Adoption of low-power, energy-efficient CPE designs to lower household energy costs and environmental impacts</w:t>
      </w:r>
      <w:r w:rsidR="00863A53">
        <w:rPr>
          <w:lang w:val="en-IN"/>
        </w:rPr>
        <w:t>.</w:t>
      </w:r>
    </w:p>
    <w:p w14:paraId="4F3AD1B4" w14:textId="1BF1354B" w:rsidR="0035418D" w:rsidRPr="0035418D" w:rsidRDefault="00B33C61" w:rsidP="00B33C61">
      <w:pPr>
        <w:pStyle w:val="enumlev1"/>
        <w:rPr>
          <w:lang w:val="en-IN"/>
        </w:rPr>
      </w:pPr>
      <w:r w:rsidRPr="00B33C61">
        <w:rPr>
          <w:lang w:val="en-IN"/>
        </w:rPr>
        <w:t>•</w:t>
      </w:r>
      <w:r>
        <w:rPr>
          <w:lang w:val="en-IN"/>
        </w:rPr>
        <w:tab/>
      </w:r>
      <w:r w:rsidR="0035418D" w:rsidRPr="0035418D">
        <w:rPr>
          <w:lang w:val="en-IN"/>
        </w:rPr>
        <w:t>Regulatory streamlining and alignment to reduce compliance complexity and procurement delays</w:t>
      </w:r>
      <w:r w:rsidR="00863A53">
        <w:rPr>
          <w:lang w:val="en-IN"/>
        </w:rPr>
        <w:t>.</w:t>
      </w:r>
    </w:p>
    <w:p w14:paraId="1E8BD297" w14:textId="0F962F07" w:rsidR="0035418D" w:rsidRDefault="00B33C61" w:rsidP="00B33C61">
      <w:pPr>
        <w:pStyle w:val="enumlev1"/>
        <w:rPr>
          <w:lang w:val="en-IN"/>
        </w:rPr>
      </w:pPr>
      <w:r w:rsidRPr="00B33C61">
        <w:rPr>
          <w:lang w:val="en-IN"/>
        </w:rPr>
        <w:t>•</w:t>
      </w:r>
      <w:r>
        <w:rPr>
          <w:lang w:val="en-IN"/>
        </w:rPr>
        <w:tab/>
      </w:r>
      <w:r w:rsidR="0035418D" w:rsidRPr="0035418D">
        <w:rPr>
          <w:lang w:val="en-IN"/>
        </w:rPr>
        <w:t>Flexible sourcing strategies (operator-supplied v</w:t>
      </w:r>
      <w:r w:rsidR="00070518">
        <w:rPr>
          <w:lang w:val="en-IN"/>
        </w:rPr>
        <w:t>er</w:t>
      </w:r>
      <w:r w:rsidR="0035418D" w:rsidRPr="0035418D">
        <w:rPr>
          <w:lang w:val="en-IN"/>
        </w:rPr>
        <w:t>s</w:t>
      </w:r>
      <w:r w:rsidR="00070518">
        <w:rPr>
          <w:lang w:val="en-IN"/>
        </w:rPr>
        <w:t>us</w:t>
      </w:r>
      <w:r w:rsidR="0035418D" w:rsidRPr="0035418D">
        <w:rPr>
          <w:lang w:val="en-IN"/>
        </w:rPr>
        <w:t xml:space="preserve"> user-supplied) tailored to market preferences and competitive dynamics</w:t>
      </w:r>
      <w:r w:rsidR="00863A53">
        <w:rPr>
          <w:lang w:val="en-IN"/>
        </w:rPr>
        <w:t>.</w:t>
      </w:r>
    </w:p>
    <w:p w14:paraId="6588AE21" w14:textId="487592C8" w:rsidR="001F540E" w:rsidRDefault="001F540E" w:rsidP="00B33C61">
      <w:pPr>
        <w:pStyle w:val="Heading1"/>
        <w:rPr>
          <w:lang w:val="en-IN"/>
        </w:rPr>
      </w:pPr>
      <w:bookmarkStart w:id="74" w:name="_Toc210208987"/>
      <w:bookmarkStart w:id="75" w:name="_Toc239941092"/>
      <w:bookmarkStart w:id="76" w:name="_Toc239947951"/>
      <w:r>
        <w:rPr>
          <w:lang w:val="en-IN"/>
        </w:rPr>
        <w:t>8</w:t>
      </w:r>
      <w:r w:rsidR="00B33C61">
        <w:rPr>
          <w:lang w:val="en-IN"/>
        </w:rPr>
        <w:tab/>
      </w:r>
      <w:r w:rsidR="00025CE4" w:rsidRPr="00025CE4">
        <w:rPr>
          <w:lang w:val="en-IN"/>
        </w:rPr>
        <w:t xml:space="preserve">Cost </w:t>
      </w:r>
      <w:r w:rsidR="00096C04">
        <w:rPr>
          <w:lang w:val="en-IN"/>
        </w:rPr>
        <w:t>o</w:t>
      </w:r>
      <w:r w:rsidR="00025CE4" w:rsidRPr="00025CE4">
        <w:rPr>
          <w:lang w:val="en-IN"/>
        </w:rPr>
        <w:t xml:space="preserve">ptimization </w:t>
      </w:r>
      <w:r w:rsidR="00096C04">
        <w:rPr>
          <w:lang w:val="en-IN"/>
        </w:rPr>
        <w:t>s</w:t>
      </w:r>
      <w:r w:rsidR="00025CE4" w:rsidRPr="00025CE4">
        <w:rPr>
          <w:lang w:val="en-IN"/>
        </w:rPr>
        <w:t xml:space="preserve">trategies </w:t>
      </w:r>
      <w:r w:rsidR="00096C04">
        <w:rPr>
          <w:lang w:val="en-IN"/>
        </w:rPr>
        <w:t>a</w:t>
      </w:r>
      <w:r w:rsidR="00025CE4" w:rsidRPr="00025CE4">
        <w:rPr>
          <w:lang w:val="en-IN"/>
        </w:rPr>
        <w:t xml:space="preserve">cross the </w:t>
      </w:r>
      <w:r w:rsidR="00096C04">
        <w:rPr>
          <w:lang w:val="en-IN"/>
        </w:rPr>
        <w:t>s</w:t>
      </w:r>
      <w:r w:rsidR="00025CE4" w:rsidRPr="00025CE4">
        <w:rPr>
          <w:lang w:val="en-IN"/>
        </w:rPr>
        <w:t xml:space="preserve">upply </w:t>
      </w:r>
      <w:r w:rsidR="00096C04">
        <w:rPr>
          <w:lang w:val="en-IN"/>
        </w:rPr>
        <w:t>c</w:t>
      </w:r>
      <w:r w:rsidR="00025CE4" w:rsidRPr="00025CE4">
        <w:rPr>
          <w:lang w:val="en-IN"/>
        </w:rPr>
        <w:t>hain</w:t>
      </w:r>
      <w:bookmarkEnd w:id="74"/>
      <w:bookmarkEnd w:id="75"/>
      <w:bookmarkEnd w:id="76"/>
    </w:p>
    <w:p w14:paraId="37C3BFF9" w14:textId="52A5C835" w:rsidR="00025CE4" w:rsidRDefault="000411CF" w:rsidP="00D628F4">
      <w:pPr>
        <w:rPr>
          <w:lang w:val="en-IN"/>
        </w:rPr>
      </w:pPr>
      <w:r w:rsidRPr="000411CF">
        <w:rPr>
          <w:lang w:val="en-IN"/>
        </w:rPr>
        <w:t xml:space="preserve">The cost structures identified across the telecom and ICT infrastructure supply chain require targeted strategies to ensure affordable and sustainable data services. Industry stakeholders and policymakers have implemented a range of practical measures to manage capital and operational expenditures, streamline deployment, and improve service resilience. These strategies are shaped by both technological innovation and regulatory frameworks, </w:t>
      </w:r>
      <w:r>
        <w:rPr>
          <w:lang w:val="en-IN"/>
        </w:rPr>
        <w:t xml:space="preserve">with examples drawn from global </w:t>
      </w:r>
      <w:r w:rsidRPr="000411CF">
        <w:rPr>
          <w:lang w:val="en-IN"/>
        </w:rPr>
        <w:t>best practices.</w:t>
      </w:r>
    </w:p>
    <w:p w14:paraId="1873264F" w14:textId="6FCE983A" w:rsidR="0047097C" w:rsidRPr="0047097C" w:rsidRDefault="000411CF" w:rsidP="00A82E0F">
      <w:pPr>
        <w:pStyle w:val="Heading2"/>
        <w:rPr>
          <w:lang w:val="en-IN"/>
        </w:rPr>
      </w:pPr>
      <w:bookmarkStart w:id="77" w:name="_Toc210208988"/>
      <w:bookmarkStart w:id="78" w:name="_Toc239941093"/>
      <w:bookmarkStart w:id="79" w:name="_Toc239947952"/>
      <w:r>
        <w:rPr>
          <w:lang w:val="en-IN"/>
        </w:rPr>
        <w:t>8.1</w:t>
      </w:r>
      <w:r w:rsidR="00A82E0F">
        <w:rPr>
          <w:rtl/>
          <w:lang w:val="en-IN"/>
        </w:rPr>
        <w:tab/>
      </w:r>
      <w:r w:rsidR="0047097C" w:rsidRPr="0047097C">
        <w:rPr>
          <w:lang w:val="en-IN"/>
        </w:rPr>
        <w:t xml:space="preserve">International </w:t>
      </w:r>
      <w:r w:rsidR="008C0DA1">
        <w:rPr>
          <w:lang w:val="en-IN"/>
        </w:rPr>
        <w:t>c</w:t>
      </w:r>
      <w:r w:rsidR="0047097C" w:rsidRPr="0047097C">
        <w:rPr>
          <w:lang w:val="en-IN"/>
        </w:rPr>
        <w:t>onnectivity</w:t>
      </w:r>
      <w:bookmarkEnd w:id="77"/>
      <w:bookmarkEnd w:id="78"/>
      <w:bookmarkEnd w:id="79"/>
    </w:p>
    <w:p w14:paraId="14915388" w14:textId="77777777" w:rsidR="0047097C" w:rsidRPr="0047097C" w:rsidRDefault="0047097C" w:rsidP="0047097C">
      <w:pPr>
        <w:rPr>
          <w:lang w:val="en-IN"/>
        </w:rPr>
      </w:pPr>
      <w:r w:rsidRPr="0047097C">
        <w:rPr>
          <w:lang w:val="en-IN"/>
        </w:rPr>
        <w:t>Global strategies to optimize international connectivity costs focus on collaborative investment, technology innovation, and regulatory streamlining:</w:t>
      </w:r>
    </w:p>
    <w:p w14:paraId="263E500A" w14:textId="737D1591" w:rsidR="0047097C" w:rsidRPr="0047097C" w:rsidRDefault="00A82E0F" w:rsidP="00A82E0F">
      <w:pPr>
        <w:pStyle w:val="enumlev1"/>
        <w:rPr>
          <w:lang w:val="en-IN"/>
        </w:rPr>
      </w:pPr>
      <w:r w:rsidRPr="00B33C61">
        <w:rPr>
          <w:lang w:val="en-IN"/>
        </w:rPr>
        <w:t>•</w:t>
      </w:r>
      <w:r>
        <w:rPr>
          <w:lang w:val="en-IN"/>
        </w:rPr>
        <w:tab/>
      </w:r>
      <w:r w:rsidR="0047097C" w:rsidRPr="0047097C">
        <w:rPr>
          <w:b/>
          <w:bCs/>
          <w:lang w:val="en-IN"/>
        </w:rPr>
        <w:t>Carrier consortium models</w:t>
      </w:r>
      <w:r w:rsidR="0047097C" w:rsidRPr="0047097C">
        <w:rPr>
          <w:lang w:val="en-IN"/>
        </w:rPr>
        <w:t>: Major cables like SEA</w:t>
      </w:r>
      <w:r w:rsidR="0047097C" w:rsidRPr="0047097C">
        <w:rPr>
          <w:lang w:val="en-IN"/>
        </w:rPr>
        <w:noBreakHyphen/>
        <w:t>ME</w:t>
      </w:r>
      <w:r w:rsidR="0047097C" w:rsidRPr="0047097C">
        <w:rPr>
          <w:lang w:val="en-IN"/>
        </w:rPr>
        <w:noBreakHyphen/>
        <w:t>WE</w:t>
      </w:r>
      <w:r w:rsidR="0047097C" w:rsidRPr="0047097C">
        <w:rPr>
          <w:lang w:val="en-IN"/>
        </w:rPr>
        <w:noBreakHyphen/>
        <w:t>4 (built by 16 operators) and ACE (serving 24 countries) exemplify how shared funding minimizes individual capital burden for multi-continent cable systems.</w:t>
      </w:r>
    </w:p>
    <w:p w14:paraId="3F915BFC" w14:textId="22B6CDF1" w:rsidR="0047097C" w:rsidRPr="0047097C" w:rsidRDefault="00A82E0F" w:rsidP="00A82E0F">
      <w:pPr>
        <w:pStyle w:val="enumlev1"/>
        <w:rPr>
          <w:lang w:val="en-IN"/>
        </w:rPr>
      </w:pPr>
      <w:r w:rsidRPr="00B33C61">
        <w:rPr>
          <w:lang w:val="en-IN"/>
        </w:rPr>
        <w:t>•</w:t>
      </w:r>
      <w:r>
        <w:rPr>
          <w:lang w:val="en-IN"/>
        </w:rPr>
        <w:tab/>
      </w:r>
      <w:r w:rsidR="0047097C" w:rsidRPr="0047097C">
        <w:rPr>
          <w:b/>
          <w:bCs/>
          <w:lang w:val="en-IN"/>
        </w:rPr>
        <w:t>Maintenance-sharing agreements</w:t>
      </w:r>
      <w:r w:rsidR="0047097C" w:rsidRPr="0047097C">
        <w:rPr>
          <w:lang w:val="en-IN"/>
        </w:rPr>
        <w:t>: Joint contracts support shared deployment of repair vessels, distributing maintenance costs across all consortium participants and reducing OPEX per operator.</w:t>
      </w:r>
    </w:p>
    <w:p w14:paraId="4682AFE8" w14:textId="25C6D3FF" w:rsidR="0047097C" w:rsidRPr="0047097C" w:rsidRDefault="00A82E0F" w:rsidP="00A82E0F">
      <w:pPr>
        <w:pStyle w:val="enumlev1"/>
        <w:rPr>
          <w:lang w:val="en-IN"/>
        </w:rPr>
      </w:pPr>
      <w:r w:rsidRPr="00B33C61">
        <w:rPr>
          <w:lang w:val="en-IN"/>
        </w:rPr>
        <w:t>•</w:t>
      </w:r>
      <w:r>
        <w:rPr>
          <w:lang w:val="en-IN"/>
        </w:rPr>
        <w:tab/>
      </w:r>
      <w:r w:rsidR="0047097C" w:rsidRPr="0047097C">
        <w:rPr>
          <w:b/>
          <w:bCs/>
          <w:lang w:val="en-IN"/>
        </w:rPr>
        <w:t>Advanced transmission technologies</w:t>
      </w:r>
      <w:r w:rsidR="0047097C" w:rsidRPr="0047097C">
        <w:rPr>
          <w:lang w:val="en-IN"/>
        </w:rPr>
        <w:t>: Cables like Equiano and Dunant use space-division and wavelength multiplexing to dramatically increase capacity while lowering per-unit costs and deferring total system replacement.</w:t>
      </w:r>
    </w:p>
    <w:p w14:paraId="1EA33D90" w14:textId="0A367106" w:rsidR="0047097C" w:rsidRPr="0047097C" w:rsidRDefault="00A82E0F" w:rsidP="00A82E0F">
      <w:pPr>
        <w:pStyle w:val="enumlev1"/>
        <w:rPr>
          <w:lang w:val="en-IN"/>
        </w:rPr>
      </w:pPr>
      <w:r w:rsidRPr="00B33C61">
        <w:rPr>
          <w:lang w:val="en-IN"/>
        </w:rPr>
        <w:t>•</w:t>
      </w:r>
      <w:r>
        <w:rPr>
          <w:lang w:val="en-IN"/>
        </w:rPr>
        <w:tab/>
      </w:r>
      <w:r w:rsidR="0047097C" w:rsidRPr="0047097C">
        <w:rPr>
          <w:b/>
          <w:bCs/>
          <w:lang w:val="en-IN"/>
        </w:rPr>
        <w:t>Energy efficiency at landing sites</w:t>
      </w:r>
      <w:r w:rsidR="0047097C" w:rsidRPr="0047097C">
        <w:rPr>
          <w:lang w:val="en-IN"/>
        </w:rPr>
        <w:t xml:space="preserve">: Modern landing stations and satellite ground hubs are optimized with efficient cooling and power </w:t>
      </w:r>
      <w:r w:rsidR="0071463B" w:rsidRPr="0047097C">
        <w:rPr>
          <w:lang w:val="en-IN"/>
        </w:rPr>
        <w:t>systems and</w:t>
      </w:r>
      <w:r w:rsidR="0047097C" w:rsidRPr="0047097C">
        <w:rPr>
          <w:lang w:val="en-IN"/>
        </w:rPr>
        <w:t xml:space="preserve"> increasingly deploy hybrid or solar solutions to lower recurring energy expenses.</w:t>
      </w:r>
    </w:p>
    <w:p w14:paraId="777D6E76" w14:textId="140FC67F" w:rsidR="0047097C" w:rsidRPr="0047097C" w:rsidRDefault="00A82E0F" w:rsidP="00A82E0F">
      <w:pPr>
        <w:pStyle w:val="enumlev1"/>
        <w:rPr>
          <w:lang w:val="en-IN"/>
        </w:rPr>
      </w:pPr>
      <w:r w:rsidRPr="00B33C61">
        <w:rPr>
          <w:lang w:val="en-IN"/>
        </w:rPr>
        <w:t>•</w:t>
      </w:r>
      <w:r>
        <w:rPr>
          <w:lang w:val="en-IN"/>
        </w:rPr>
        <w:tab/>
      </w:r>
      <w:r w:rsidR="0047097C" w:rsidRPr="0047097C">
        <w:rPr>
          <w:b/>
          <w:bCs/>
          <w:lang w:val="en-IN"/>
        </w:rPr>
        <w:t>Regulatory harmonization</w:t>
      </w:r>
      <w:r w:rsidR="0047097C" w:rsidRPr="0047097C">
        <w:rPr>
          <w:lang w:val="en-IN"/>
        </w:rPr>
        <w:t>: Regional coordination in permitting and licensing</w:t>
      </w:r>
      <w:r w:rsidR="00863A53">
        <w:rPr>
          <w:lang w:val="en-IN"/>
        </w:rPr>
        <w:t xml:space="preserve"> </w:t>
      </w:r>
      <w:r w:rsidR="00863A53" w:rsidRPr="00863A53">
        <w:rPr>
          <w:lang w:val="en-IN"/>
        </w:rPr>
        <w:t>–</w:t>
      </w:r>
      <w:r w:rsidR="00863A53">
        <w:rPr>
          <w:lang w:val="en-IN"/>
        </w:rPr>
        <w:t xml:space="preserve"> </w:t>
      </w:r>
      <w:r w:rsidR="0047097C" w:rsidRPr="0047097C">
        <w:rPr>
          <w:lang w:val="en-IN"/>
        </w:rPr>
        <w:t>across coastal nations</w:t>
      </w:r>
      <w:r w:rsidR="00863A53">
        <w:rPr>
          <w:lang w:val="en-IN"/>
        </w:rPr>
        <w:t xml:space="preserve"> </w:t>
      </w:r>
      <w:r w:rsidR="00863A53" w:rsidRPr="00863A53">
        <w:rPr>
          <w:lang w:val="en-IN"/>
        </w:rPr>
        <w:t>–</w:t>
      </w:r>
      <w:r w:rsidR="00863A53">
        <w:rPr>
          <w:lang w:val="en-IN"/>
        </w:rPr>
        <w:t xml:space="preserve"> </w:t>
      </w:r>
      <w:r w:rsidR="0047097C" w:rsidRPr="0047097C">
        <w:rPr>
          <w:lang w:val="en-IN"/>
        </w:rPr>
        <w:t>is reducing deployment timelines and avoiding redundant regulatory costs and delays.</w:t>
      </w:r>
    </w:p>
    <w:p w14:paraId="2203AB11" w14:textId="5A5B0C98" w:rsidR="0047097C" w:rsidRPr="0047097C" w:rsidRDefault="00A82E0F" w:rsidP="00A82E0F">
      <w:pPr>
        <w:pStyle w:val="enumlev1"/>
        <w:rPr>
          <w:lang w:val="en-IN"/>
        </w:rPr>
      </w:pPr>
      <w:r w:rsidRPr="00B33C61">
        <w:rPr>
          <w:lang w:val="en-IN"/>
        </w:rPr>
        <w:lastRenderedPageBreak/>
        <w:t>•</w:t>
      </w:r>
      <w:r>
        <w:rPr>
          <w:lang w:val="en-IN"/>
        </w:rPr>
        <w:tab/>
      </w:r>
      <w:r w:rsidR="0047097C" w:rsidRPr="0047097C">
        <w:rPr>
          <w:b/>
          <w:bCs/>
          <w:lang w:val="en-IN"/>
        </w:rPr>
        <w:t>Market competition</w:t>
      </w:r>
      <w:r w:rsidR="0047097C" w:rsidRPr="0047097C">
        <w:rPr>
          <w:lang w:val="en-IN"/>
        </w:rPr>
        <w:t>: Entry of new cables on major routes has led to wholesale bandwidth price reductions of over 20% annually, preventing any single operator from controlling transit pricing.</w:t>
      </w:r>
    </w:p>
    <w:p w14:paraId="5846EA37" w14:textId="298762EF" w:rsidR="00556CE6" w:rsidRDefault="00556CE6" w:rsidP="00795817">
      <w:pPr>
        <w:pStyle w:val="Heading2"/>
        <w:rPr>
          <w:lang w:val="en-US"/>
        </w:rPr>
      </w:pPr>
      <w:bookmarkStart w:id="80" w:name="_Toc210208989"/>
      <w:bookmarkStart w:id="81" w:name="_Toc239941094"/>
      <w:bookmarkStart w:id="82" w:name="_Toc239947953"/>
      <w:r>
        <w:rPr>
          <w:lang w:val="en-IN"/>
        </w:rPr>
        <w:t>8.2</w:t>
      </w:r>
      <w:r w:rsidR="00795817">
        <w:rPr>
          <w:lang w:val="en-IN"/>
        </w:rPr>
        <w:tab/>
      </w:r>
      <w:r>
        <w:rPr>
          <w:lang w:val="en-IN"/>
        </w:rPr>
        <w:t xml:space="preserve">National </w:t>
      </w:r>
      <w:r w:rsidR="0060208C">
        <w:rPr>
          <w:lang w:val="en-IN"/>
        </w:rPr>
        <w:t>b</w:t>
      </w:r>
      <w:r>
        <w:rPr>
          <w:lang w:val="en-IN"/>
        </w:rPr>
        <w:t xml:space="preserve">ackbone </w:t>
      </w:r>
      <w:r w:rsidR="0060208C">
        <w:rPr>
          <w:lang w:val="en-IN"/>
        </w:rPr>
        <w:t>n</w:t>
      </w:r>
      <w:r>
        <w:rPr>
          <w:lang w:val="en-IN"/>
        </w:rPr>
        <w:t>etwork</w:t>
      </w:r>
      <w:bookmarkEnd w:id="80"/>
      <w:bookmarkEnd w:id="81"/>
      <w:bookmarkEnd w:id="82"/>
    </w:p>
    <w:p w14:paraId="1259ADF1" w14:textId="0CC62189" w:rsidR="00556CE6" w:rsidRPr="00556CE6" w:rsidRDefault="00556CE6" w:rsidP="00795817">
      <w:pPr>
        <w:rPr>
          <w:lang w:val="en-IN"/>
        </w:rPr>
      </w:pPr>
      <w:r>
        <w:rPr>
          <w:lang w:val="en-IN"/>
        </w:rPr>
        <w:t>S</w:t>
      </w:r>
      <w:r w:rsidRPr="00556CE6">
        <w:rPr>
          <w:lang w:val="en-IN"/>
        </w:rPr>
        <w:t>trategies to optimize national backbone network costs focus on infrastructure sharing, efficient deployment methods, and supportive regulatory frameworks:</w:t>
      </w:r>
    </w:p>
    <w:p w14:paraId="1572ACBA" w14:textId="17120BA1"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Duct and corridor sharing</w:t>
      </w:r>
      <w:r w:rsidR="00556CE6" w:rsidRPr="00556CE6">
        <w:rPr>
          <w:lang w:val="en-IN"/>
        </w:rPr>
        <w:t xml:space="preserve">: Coordinating </w:t>
      </w:r>
      <w:r w:rsidR="001F2EF3" w:rsidRPr="00556CE6">
        <w:rPr>
          <w:lang w:val="en-IN"/>
        </w:rPr>
        <w:t>fibre</w:t>
      </w:r>
      <w:r w:rsidR="00556CE6" w:rsidRPr="00556CE6">
        <w:rPr>
          <w:lang w:val="en-IN"/>
        </w:rPr>
        <w:t xml:space="preserve"> deployment with road, rail, and utility projects minimizes repeated trenching and reduces civil works costs.</w:t>
      </w:r>
    </w:p>
    <w:p w14:paraId="6B591B8F" w14:textId="1FACEE21"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 xml:space="preserve">Aerial </w:t>
      </w:r>
      <w:r w:rsidR="003C61D7" w:rsidRPr="00556CE6">
        <w:rPr>
          <w:b/>
          <w:bCs/>
          <w:lang w:val="en-IN"/>
        </w:rPr>
        <w:t>fibre</w:t>
      </w:r>
      <w:r w:rsidR="00556CE6" w:rsidRPr="00556CE6">
        <w:rPr>
          <w:b/>
          <w:bCs/>
          <w:lang w:val="en-IN"/>
        </w:rPr>
        <w:t xml:space="preserve"> deployment</w:t>
      </w:r>
      <w:r w:rsidR="00556CE6" w:rsidRPr="00556CE6">
        <w:rPr>
          <w:lang w:val="en-IN"/>
        </w:rPr>
        <w:t xml:space="preserve">: In areas where existing utility poles are available, aerial installations are leveraged as a cost-effective alternative to underground </w:t>
      </w:r>
      <w:r w:rsidR="001F2EF3" w:rsidRPr="00556CE6">
        <w:rPr>
          <w:lang w:val="en-IN"/>
        </w:rPr>
        <w:t>fibre</w:t>
      </w:r>
      <w:r w:rsidR="00556CE6" w:rsidRPr="00556CE6">
        <w:rPr>
          <w:lang w:val="en-IN"/>
        </w:rPr>
        <w:t>, particularly in suburban and rural areas.</w:t>
      </w:r>
    </w:p>
    <w:p w14:paraId="54831B6F" w14:textId="589C7E45"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Open-access and wholesale backbone models</w:t>
      </w:r>
      <w:r w:rsidR="00556CE6" w:rsidRPr="00556CE6">
        <w:rPr>
          <w:lang w:val="en-IN"/>
        </w:rPr>
        <w:t>: Shared backbone networks</w:t>
      </w:r>
      <w:r w:rsidR="00556CE6">
        <w:rPr>
          <w:lang w:val="en-IN"/>
        </w:rPr>
        <w:t xml:space="preserve"> </w:t>
      </w:r>
      <w:r w:rsidR="00556CE6" w:rsidRPr="00556CE6">
        <w:rPr>
          <w:lang w:val="en-IN"/>
        </w:rPr>
        <w:t>promote fair access for ISPs, preventing monopolistic pricing and supporting broader market competition.</w:t>
      </w:r>
    </w:p>
    <w:p w14:paraId="44C04D1D" w14:textId="4FD68681"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Energy-efficient backbone upgrades</w:t>
      </w:r>
      <w:r w:rsidR="00556CE6" w:rsidRPr="00556CE6">
        <w:rPr>
          <w:lang w:val="en-IN"/>
        </w:rPr>
        <w:t>: Amplifier and regeneration sites are increasingly equipped with modern, energy-saving equipment and, in some areas, hybrid or renewable energy solutions to reduce long-term power expenses.</w:t>
      </w:r>
    </w:p>
    <w:p w14:paraId="205B1892" w14:textId="4A15DAD0"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Supportive regulatory frameworks</w:t>
      </w:r>
      <w:r w:rsidR="00556CE6" w:rsidRPr="00556CE6">
        <w:rPr>
          <w:lang w:val="en-IN"/>
        </w:rPr>
        <w:t>: Policies that enable and incentivize infrastructure sharing have proven crucial to avoiding duplication and reducing both capital and operational costs.</w:t>
      </w:r>
    </w:p>
    <w:p w14:paraId="61CA5402" w14:textId="481A394F" w:rsidR="00556CE6" w:rsidRPr="00556CE6" w:rsidRDefault="00795817" w:rsidP="00795817">
      <w:pPr>
        <w:pStyle w:val="enumlev1"/>
        <w:rPr>
          <w:lang w:val="en-IN"/>
        </w:rPr>
      </w:pPr>
      <w:r w:rsidRPr="00B33C61">
        <w:rPr>
          <w:lang w:val="en-IN"/>
        </w:rPr>
        <w:t>•</w:t>
      </w:r>
      <w:r>
        <w:rPr>
          <w:lang w:val="en-IN"/>
        </w:rPr>
        <w:tab/>
      </w:r>
      <w:r w:rsidR="00556CE6" w:rsidRPr="00556CE6">
        <w:rPr>
          <w:b/>
          <w:bCs/>
          <w:lang w:val="en-IN"/>
        </w:rPr>
        <w:t>Competitive backbone leasing markets</w:t>
      </w:r>
      <w:r w:rsidR="00556CE6" w:rsidRPr="00556CE6">
        <w:rPr>
          <w:lang w:val="en-IN"/>
        </w:rPr>
        <w:t>: Where multiple backbone providers operate under clear regulatory guidelines, capacity leasing costs for downstream ISPs are contained, supporting lower end-user tariffs.</w:t>
      </w:r>
    </w:p>
    <w:p w14:paraId="52300459" w14:textId="3A90DD77" w:rsidR="009D78F9" w:rsidRPr="009D78F9" w:rsidRDefault="0071463B" w:rsidP="00795817">
      <w:pPr>
        <w:pStyle w:val="Heading2"/>
        <w:rPr>
          <w:lang w:val="en-IN"/>
        </w:rPr>
      </w:pPr>
      <w:bookmarkStart w:id="83" w:name="_Toc210208990"/>
      <w:bookmarkStart w:id="84" w:name="_Toc239941095"/>
      <w:bookmarkStart w:id="85" w:name="_Toc239947954"/>
      <w:r>
        <w:rPr>
          <w:lang w:val="en-IN"/>
        </w:rPr>
        <w:t>8.3</w:t>
      </w:r>
      <w:r w:rsidR="00795817">
        <w:rPr>
          <w:lang w:val="en-IN"/>
        </w:rPr>
        <w:tab/>
      </w:r>
      <w:r w:rsidR="009D78F9" w:rsidRPr="009D78F9">
        <w:rPr>
          <w:lang w:val="en-IN"/>
        </w:rPr>
        <w:t xml:space="preserve">Interconnection and </w:t>
      </w:r>
      <w:r w:rsidR="000C4C1B">
        <w:rPr>
          <w:lang w:val="en-IN"/>
        </w:rPr>
        <w:t>e</w:t>
      </w:r>
      <w:r w:rsidR="009D78F9" w:rsidRPr="009D78F9">
        <w:rPr>
          <w:lang w:val="en-IN"/>
        </w:rPr>
        <w:t xml:space="preserve">xchange </w:t>
      </w:r>
      <w:r w:rsidR="000C4C1B">
        <w:rPr>
          <w:lang w:val="en-IN"/>
        </w:rPr>
        <w:t>i</w:t>
      </w:r>
      <w:r w:rsidR="009D78F9" w:rsidRPr="009D78F9">
        <w:rPr>
          <w:lang w:val="en-IN"/>
        </w:rPr>
        <w:t>nfrastructure</w:t>
      </w:r>
      <w:bookmarkEnd w:id="83"/>
      <w:bookmarkEnd w:id="84"/>
      <w:bookmarkEnd w:id="85"/>
    </w:p>
    <w:p w14:paraId="1723A54C" w14:textId="77777777" w:rsidR="009D78F9" w:rsidRPr="009D78F9" w:rsidRDefault="009D78F9" w:rsidP="00D628F4">
      <w:pPr>
        <w:rPr>
          <w:lang w:val="en-IN"/>
        </w:rPr>
      </w:pPr>
      <w:r w:rsidRPr="009D78F9">
        <w:rPr>
          <w:lang w:val="en-IN"/>
        </w:rPr>
        <w:t>Efficient interconnection and exchange infrastructure is vital for reducing wholesale transit costs and supporting local data exchange, with optimization strategies focusing on neutral platforms and shared facilities:</w:t>
      </w:r>
    </w:p>
    <w:p w14:paraId="4D891BB7" w14:textId="68C50E3F" w:rsidR="009D78F9" w:rsidRPr="009D78F9" w:rsidRDefault="00795817" w:rsidP="00795817">
      <w:pPr>
        <w:pStyle w:val="enumlev1"/>
        <w:rPr>
          <w:lang w:val="en-IN"/>
        </w:rPr>
      </w:pPr>
      <w:r w:rsidRPr="00B33C61">
        <w:rPr>
          <w:lang w:val="en-IN"/>
        </w:rPr>
        <w:t>•</w:t>
      </w:r>
      <w:r>
        <w:rPr>
          <w:lang w:val="en-IN"/>
        </w:rPr>
        <w:tab/>
      </w:r>
      <w:r w:rsidR="009D78F9" w:rsidRPr="009D78F9">
        <w:rPr>
          <w:b/>
          <w:bCs/>
          <w:lang w:val="en-IN"/>
        </w:rPr>
        <w:t xml:space="preserve">Neutral Internet </w:t>
      </w:r>
      <w:r w:rsidR="006F6140">
        <w:rPr>
          <w:b/>
          <w:bCs/>
          <w:lang w:val="en-IN"/>
        </w:rPr>
        <w:t>e</w:t>
      </w:r>
      <w:r w:rsidR="009D78F9" w:rsidRPr="009D78F9">
        <w:rPr>
          <w:b/>
          <w:bCs/>
          <w:lang w:val="en-IN"/>
        </w:rPr>
        <w:t xml:space="preserve">xchange </w:t>
      </w:r>
      <w:r w:rsidR="006F6140">
        <w:rPr>
          <w:b/>
          <w:bCs/>
          <w:lang w:val="en-IN"/>
        </w:rPr>
        <w:t>p</w:t>
      </w:r>
      <w:r w:rsidR="009D78F9" w:rsidRPr="009D78F9">
        <w:rPr>
          <w:b/>
          <w:bCs/>
          <w:lang w:val="en-IN"/>
        </w:rPr>
        <w:t>oints (IXPs)</w:t>
      </w:r>
      <w:r w:rsidR="009D78F9" w:rsidRPr="009D78F9">
        <w:rPr>
          <w:lang w:val="en-IN"/>
        </w:rPr>
        <w:t>: Neutral, carrier-agnostic IXPs enable direct traffic exchange between networks, reducing reliance on expensive international transit and improving routing efficiency.</w:t>
      </w:r>
    </w:p>
    <w:p w14:paraId="1FF923C8" w14:textId="0CE059E2" w:rsidR="009D78F9" w:rsidRPr="009D78F9" w:rsidRDefault="00795817" w:rsidP="00795817">
      <w:pPr>
        <w:pStyle w:val="enumlev1"/>
        <w:rPr>
          <w:lang w:val="en-IN"/>
        </w:rPr>
      </w:pPr>
      <w:r w:rsidRPr="00B33C61">
        <w:rPr>
          <w:lang w:val="en-IN"/>
        </w:rPr>
        <w:t>•</w:t>
      </w:r>
      <w:r>
        <w:rPr>
          <w:lang w:val="en-IN"/>
        </w:rPr>
        <w:tab/>
      </w:r>
      <w:r w:rsidR="009D78F9" w:rsidRPr="009D78F9">
        <w:rPr>
          <w:b/>
          <w:bCs/>
          <w:lang w:val="en-IN"/>
        </w:rPr>
        <w:t>Shared facilities and peering hubs</w:t>
      </w:r>
      <w:r w:rsidR="009D78F9" w:rsidRPr="009D78F9">
        <w:rPr>
          <w:lang w:val="en-IN"/>
        </w:rPr>
        <w:t xml:space="preserve">: Co-location and facility-sharing agreements lower capital and operational costs by pooling data </w:t>
      </w:r>
      <w:r w:rsidR="00116665" w:rsidRPr="009D78F9">
        <w:rPr>
          <w:lang w:val="en-IN"/>
        </w:rPr>
        <w:t>centre</w:t>
      </w:r>
      <w:r w:rsidR="009D78F9" w:rsidRPr="009D78F9">
        <w:rPr>
          <w:lang w:val="en-IN"/>
        </w:rPr>
        <w:t xml:space="preserve"> resources and network equipment in centralized exchange points.</w:t>
      </w:r>
    </w:p>
    <w:p w14:paraId="33DE8381" w14:textId="7F3D8DA3" w:rsidR="009D78F9" w:rsidRPr="009D78F9" w:rsidRDefault="00795817" w:rsidP="00795817">
      <w:pPr>
        <w:pStyle w:val="enumlev1"/>
        <w:rPr>
          <w:lang w:val="en-IN"/>
        </w:rPr>
      </w:pPr>
      <w:r w:rsidRPr="00B33C61">
        <w:rPr>
          <w:lang w:val="en-IN"/>
        </w:rPr>
        <w:t>•</w:t>
      </w:r>
      <w:r>
        <w:rPr>
          <w:lang w:val="en-IN"/>
        </w:rPr>
        <w:tab/>
      </w:r>
      <w:r w:rsidR="009D78F9" w:rsidRPr="009D78F9">
        <w:rPr>
          <w:b/>
          <w:bCs/>
          <w:lang w:val="en-IN"/>
        </w:rPr>
        <w:t>Energy-efficient facility design</w:t>
      </w:r>
      <w:r w:rsidR="009D78F9" w:rsidRPr="009D78F9">
        <w:rPr>
          <w:lang w:val="en-IN"/>
        </w:rPr>
        <w:t>: Modern IXPs and peering hubs use efficient cooling and power systems to contain operational expenses, particularly in regions with high energy costs.</w:t>
      </w:r>
    </w:p>
    <w:p w14:paraId="7A67A927" w14:textId="2A01B4C3" w:rsidR="009D78F9" w:rsidRPr="009D78F9" w:rsidRDefault="00795817" w:rsidP="00795817">
      <w:pPr>
        <w:pStyle w:val="enumlev1"/>
        <w:rPr>
          <w:lang w:val="en-IN"/>
        </w:rPr>
      </w:pPr>
      <w:r w:rsidRPr="00B33C61">
        <w:rPr>
          <w:lang w:val="en-IN"/>
        </w:rPr>
        <w:t>•</w:t>
      </w:r>
      <w:r>
        <w:rPr>
          <w:lang w:val="en-IN"/>
        </w:rPr>
        <w:tab/>
      </w:r>
      <w:r w:rsidR="009D78F9" w:rsidRPr="009D78F9">
        <w:rPr>
          <w:b/>
          <w:bCs/>
          <w:lang w:val="en-IN"/>
        </w:rPr>
        <w:t>Supportive regulatory and policy frameworks</w:t>
      </w:r>
      <w:r w:rsidR="009D78F9" w:rsidRPr="009D78F9">
        <w:rPr>
          <w:lang w:val="en-IN"/>
        </w:rPr>
        <w:t>: Policies that recognize and promote neutral IXPs and shared facilities help reduce administrative costs and encourage more ISPs and content providers to participate.</w:t>
      </w:r>
    </w:p>
    <w:p w14:paraId="75D12D55" w14:textId="278D6D59" w:rsidR="009D78F9" w:rsidRDefault="00795817" w:rsidP="00795817">
      <w:pPr>
        <w:pStyle w:val="enumlev1"/>
        <w:rPr>
          <w:lang w:val="en-IN"/>
        </w:rPr>
      </w:pPr>
      <w:r w:rsidRPr="00B33C61">
        <w:rPr>
          <w:lang w:val="en-IN"/>
        </w:rPr>
        <w:t>•</w:t>
      </w:r>
      <w:r>
        <w:rPr>
          <w:lang w:val="en-IN"/>
        </w:rPr>
        <w:tab/>
      </w:r>
      <w:r w:rsidR="009D78F9" w:rsidRPr="009D78F9">
        <w:rPr>
          <w:b/>
          <w:bCs/>
          <w:lang w:val="en-IN"/>
        </w:rPr>
        <w:t>Market-driven peering and interconnection models</w:t>
      </w:r>
      <w:r w:rsidR="009D78F9" w:rsidRPr="009D78F9">
        <w:rPr>
          <w:lang w:val="en-IN"/>
        </w:rPr>
        <w:t>: Competitive interconnection environments, including vibrant local IXPs, lower peering and transit costs, supporting more affordable downstream services.</w:t>
      </w:r>
    </w:p>
    <w:p w14:paraId="26647617" w14:textId="691EA935" w:rsidR="009D78F9" w:rsidRDefault="009D78F9" w:rsidP="00863A53">
      <w:pPr>
        <w:pStyle w:val="Heading2"/>
        <w:rPr>
          <w:lang w:val="en-IN"/>
        </w:rPr>
      </w:pPr>
      <w:bookmarkStart w:id="86" w:name="_Toc210208991"/>
      <w:bookmarkStart w:id="87" w:name="_Toc239941096"/>
      <w:bookmarkStart w:id="88" w:name="_Toc239947955"/>
      <w:r>
        <w:rPr>
          <w:lang w:val="en-IN"/>
        </w:rPr>
        <w:lastRenderedPageBreak/>
        <w:t>8.4</w:t>
      </w:r>
      <w:r w:rsidR="00795817">
        <w:rPr>
          <w:lang w:val="en-IN"/>
        </w:rPr>
        <w:tab/>
      </w:r>
      <w:r w:rsidR="00467575" w:rsidRPr="00467575">
        <w:t xml:space="preserve">Metro and </w:t>
      </w:r>
      <w:r w:rsidR="00420B93">
        <w:t>m</w:t>
      </w:r>
      <w:r w:rsidR="00467575" w:rsidRPr="00467575">
        <w:t>iddle-</w:t>
      </w:r>
      <w:r w:rsidR="00420B93">
        <w:t>m</w:t>
      </w:r>
      <w:r w:rsidR="00467575" w:rsidRPr="00467575">
        <w:t xml:space="preserve">ile </w:t>
      </w:r>
      <w:r w:rsidR="00420B93">
        <w:t>n</w:t>
      </w:r>
      <w:r w:rsidR="00467575" w:rsidRPr="00467575">
        <w:t>etworks</w:t>
      </w:r>
      <w:bookmarkEnd w:id="86"/>
      <w:bookmarkEnd w:id="87"/>
      <w:bookmarkEnd w:id="88"/>
    </w:p>
    <w:p w14:paraId="6285BAFE" w14:textId="73C4CF95" w:rsidR="007D69A3" w:rsidRPr="007D69A3" w:rsidRDefault="007D69A3" w:rsidP="00863A53">
      <w:pPr>
        <w:keepNext/>
        <w:keepLines/>
        <w:rPr>
          <w:lang w:val="en-IN"/>
        </w:rPr>
      </w:pPr>
      <w:r w:rsidRPr="007D69A3">
        <w:rPr>
          <w:lang w:val="en-IN"/>
        </w:rPr>
        <w:t xml:space="preserve">Metro and middle-mile networks form the crucial link between backbone systems and last-mile access networks. Strategies for optimizing costs in this layer emphasize </w:t>
      </w:r>
      <w:r w:rsidR="00A42AFF">
        <w:rPr>
          <w:lang w:val="en-IN"/>
        </w:rPr>
        <w:t xml:space="preserve">the </w:t>
      </w:r>
      <w:r w:rsidRPr="007D69A3">
        <w:rPr>
          <w:lang w:val="en-IN"/>
        </w:rPr>
        <w:t>reuse of existing assets, efficient backhaul solutions, and local content delivery:</w:t>
      </w:r>
    </w:p>
    <w:p w14:paraId="3F639B35" w14:textId="6E4BEBA0" w:rsidR="007D69A3" w:rsidRPr="007D69A3" w:rsidRDefault="00795817" w:rsidP="00863A53">
      <w:pPr>
        <w:pStyle w:val="enumlev1"/>
        <w:keepNext/>
        <w:keepLines/>
        <w:rPr>
          <w:lang w:val="en-IN"/>
        </w:rPr>
      </w:pPr>
      <w:r w:rsidRPr="00B33C61">
        <w:rPr>
          <w:lang w:val="en-IN"/>
        </w:rPr>
        <w:t>•</w:t>
      </w:r>
      <w:r>
        <w:rPr>
          <w:lang w:val="en-IN"/>
        </w:rPr>
        <w:tab/>
      </w:r>
      <w:r w:rsidR="007D69A3" w:rsidRPr="007D69A3">
        <w:rPr>
          <w:b/>
          <w:bCs/>
          <w:lang w:val="en-IN"/>
        </w:rPr>
        <w:t>Use of existing urban infrastructure</w:t>
      </w:r>
      <w:r w:rsidR="007D69A3" w:rsidRPr="007D69A3">
        <w:rPr>
          <w:lang w:val="en-IN"/>
        </w:rPr>
        <w:t>: Leveraging existing ducts, utility poles, and municipal infrastructure minimizes civil works costs and reduces deployment disruptions.</w:t>
      </w:r>
    </w:p>
    <w:p w14:paraId="6B462089" w14:textId="5E7E03DC" w:rsidR="007D69A3" w:rsidRPr="007D69A3" w:rsidRDefault="00795817" w:rsidP="00795817">
      <w:pPr>
        <w:pStyle w:val="enumlev1"/>
        <w:rPr>
          <w:lang w:val="en-IN"/>
        </w:rPr>
      </w:pPr>
      <w:r w:rsidRPr="00B33C61">
        <w:rPr>
          <w:lang w:val="en-IN"/>
        </w:rPr>
        <w:t>•</w:t>
      </w:r>
      <w:r>
        <w:rPr>
          <w:lang w:val="en-IN"/>
        </w:rPr>
        <w:tab/>
      </w:r>
      <w:r w:rsidR="007D69A3" w:rsidRPr="007D69A3">
        <w:rPr>
          <w:b/>
          <w:bCs/>
          <w:lang w:val="en-IN"/>
        </w:rPr>
        <w:t xml:space="preserve">High-capacity wireless </w:t>
      </w:r>
      <w:proofErr w:type="gramStart"/>
      <w:r w:rsidR="007D69A3" w:rsidRPr="007D69A3">
        <w:rPr>
          <w:b/>
          <w:bCs/>
          <w:lang w:val="en-IN"/>
        </w:rPr>
        <w:t>backhaul</w:t>
      </w:r>
      <w:proofErr w:type="gramEnd"/>
      <w:r w:rsidR="007D69A3" w:rsidRPr="007D69A3">
        <w:rPr>
          <w:lang w:val="en-IN"/>
        </w:rPr>
        <w:t xml:space="preserve">: In areas where </w:t>
      </w:r>
      <w:r w:rsidR="003C61D7" w:rsidRPr="007D69A3">
        <w:rPr>
          <w:lang w:val="en-IN"/>
        </w:rPr>
        <w:t>fibre</w:t>
      </w:r>
      <w:r w:rsidR="007D69A3" w:rsidRPr="007D69A3">
        <w:rPr>
          <w:lang w:val="en-IN"/>
        </w:rPr>
        <w:t xml:space="preserve"> deployment is challenging or cost-prohibitive, microwave and </w:t>
      </w:r>
      <w:r w:rsidR="007D2A87" w:rsidRPr="007D69A3">
        <w:rPr>
          <w:lang w:val="en-IN"/>
        </w:rPr>
        <w:t>millimetre</w:t>
      </w:r>
      <w:r w:rsidR="007D69A3" w:rsidRPr="007D69A3">
        <w:rPr>
          <w:lang w:val="en-IN"/>
        </w:rPr>
        <w:t>-wave wireless backhaul solutions offer a lower-cost, high-capacity alternative.</w:t>
      </w:r>
    </w:p>
    <w:p w14:paraId="7C5B1144" w14:textId="749A1395" w:rsidR="007D69A3" w:rsidRPr="007D69A3" w:rsidRDefault="00795817" w:rsidP="00795817">
      <w:pPr>
        <w:pStyle w:val="enumlev1"/>
        <w:rPr>
          <w:lang w:val="en-IN"/>
        </w:rPr>
      </w:pPr>
      <w:r w:rsidRPr="00B33C61">
        <w:rPr>
          <w:lang w:val="en-IN"/>
        </w:rPr>
        <w:t>•</w:t>
      </w:r>
      <w:r>
        <w:rPr>
          <w:lang w:val="en-IN"/>
        </w:rPr>
        <w:tab/>
      </w:r>
      <w:r w:rsidR="007D69A3" w:rsidRPr="007D69A3">
        <w:rPr>
          <w:b/>
          <w:bCs/>
          <w:lang w:val="en-IN"/>
        </w:rPr>
        <w:t>Edge caching and local content delivery</w:t>
      </w:r>
      <w:r w:rsidR="007D69A3" w:rsidRPr="007D69A3">
        <w:rPr>
          <w:lang w:val="en-IN"/>
        </w:rPr>
        <w:t xml:space="preserve">: Deploying edge data </w:t>
      </w:r>
      <w:r w:rsidR="00116665" w:rsidRPr="007D69A3">
        <w:rPr>
          <w:lang w:val="en-IN"/>
        </w:rPr>
        <w:t>centres</w:t>
      </w:r>
      <w:r w:rsidR="007D69A3" w:rsidRPr="007D69A3">
        <w:rPr>
          <w:lang w:val="en-IN"/>
        </w:rPr>
        <w:t xml:space="preserve"> and caching servers reduces long-haul traffic demand, improving performance and lowering overall transport costs.</w:t>
      </w:r>
    </w:p>
    <w:p w14:paraId="4CB25450" w14:textId="4859510C" w:rsidR="007D69A3" w:rsidRPr="007D69A3" w:rsidRDefault="00795817" w:rsidP="00795817">
      <w:pPr>
        <w:pStyle w:val="enumlev1"/>
        <w:rPr>
          <w:lang w:val="en-IN"/>
        </w:rPr>
      </w:pPr>
      <w:r w:rsidRPr="00B33C61">
        <w:rPr>
          <w:lang w:val="en-IN"/>
        </w:rPr>
        <w:t>•</w:t>
      </w:r>
      <w:r>
        <w:rPr>
          <w:lang w:val="en-IN"/>
        </w:rPr>
        <w:tab/>
      </w:r>
      <w:r w:rsidR="007D69A3" w:rsidRPr="007D69A3">
        <w:rPr>
          <w:b/>
          <w:bCs/>
          <w:lang w:val="en-IN"/>
        </w:rPr>
        <w:t>Infrastructure sharing</w:t>
      </w:r>
      <w:r w:rsidR="007D69A3" w:rsidRPr="007D69A3">
        <w:rPr>
          <w:lang w:val="en-IN"/>
        </w:rPr>
        <w:t xml:space="preserve">: Shared middle-mile </w:t>
      </w:r>
      <w:r w:rsidR="003C61D7" w:rsidRPr="007D69A3">
        <w:rPr>
          <w:lang w:val="en-IN"/>
        </w:rPr>
        <w:t>fibre</w:t>
      </w:r>
      <w:r w:rsidR="007D69A3" w:rsidRPr="007D69A3">
        <w:rPr>
          <w:lang w:val="en-IN"/>
        </w:rPr>
        <w:t xml:space="preserve"> and wireless assets spread capital and operational expenses across multiple operators, reducing per-operator costs and improving service affordability.</w:t>
      </w:r>
    </w:p>
    <w:p w14:paraId="70596F94" w14:textId="7BD0958C" w:rsidR="007D69A3" w:rsidRDefault="00795817" w:rsidP="00795817">
      <w:pPr>
        <w:pStyle w:val="enumlev1"/>
        <w:rPr>
          <w:lang w:val="en-IN"/>
        </w:rPr>
      </w:pPr>
      <w:r w:rsidRPr="00B33C61">
        <w:rPr>
          <w:lang w:val="en-IN"/>
        </w:rPr>
        <w:t>•</w:t>
      </w:r>
      <w:r>
        <w:rPr>
          <w:lang w:val="en-IN"/>
        </w:rPr>
        <w:tab/>
      </w:r>
      <w:r w:rsidR="007D69A3" w:rsidRPr="007D69A3">
        <w:rPr>
          <w:b/>
          <w:bCs/>
          <w:lang w:val="en-IN"/>
        </w:rPr>
        <w:t>Streamlined municipal permissions</w:t>
      </w:r>
      <w:r w:rsidR="007D69A3" w:rsidRPr="007D69A3">
        <w:rPr>
          <w:lang w:val="en-IN"/>
        </w:rPr>
        <w:t>: Efficient permitting processes for metro and middle-mile projects help avoid costly delays and minimize project risk, especially in dense urban environments.</w:t>
      </w:r>
    </w:p>
    <w:p w14:paraId="2D63950A" w14:textId="20A0AAA7" w:rsidR="00FA5B9A" w:rsidRPr="00FA5B9A" w:rsidRDefault="00FA5B9A" w:rsidP="00795817">
      <w:pPr>
        <w:pStyle w:val="Heading2"/>
        <w:rPr>
          <w:lang w:val="en-IN"/>
        </w:rPr>
      </w:pPr>
      <w:bookmarkStart w:id="89" w:name="_Toc210208992"/>
      <w:bookmarkStart w:id="90" w:name="_Toc239941097"/>
      <w:bookmarkStart w:id="91" w:name="_Toc239947956"/>
      <w:r>
        <w:rPr>
          <w:lang w:val="en-IN"/>
        </w:rPr>
        <w:t>8.5</w:t>
      </w:r>
      <w:r w:rsidR="00795817">
        <w:rPr>
          <w:lang w:val="en-IN"/>
        </w:rPr>
        <w:tab/>
      </w:r>
      <w:r w:rsidRPr="00FA5B9A">
        <w:rPr>
          <w:lang w:val="en-IN"/>
        </w:rPr>
        <w:t>Last-</w:t>
      </w:r>
      <w:r w:rsidR="006011FD">
        <w:rPr>
          <w:lang w:val="en-IN"/>
        </w:rPr>
        <w:t>m</w:t>
      </w:r>
      <w:r w:rsidRPr="00FA5B9A">
        <w:rPr>
          <w:lang w:val="en-IN"/>
        </w:rPr>
        <w:t xml:space="preserve">ile </w:t>
      </w:r>
      <w:r w:rsidR="006011FD">
        <w:rPr>
          <w:lang w:val="en-IN"/>
        </w:rPr>
        <w:t>a</w:t>
      </w:r>
      <w:r w:rsidRPr="00FA5B9A">
        <w:rPr>
          <w:lang w:val="en-IN"/>
        </w:rPr>
        <w:t xml:space="preserve">ccess </w:t>
      </w:r>
      <w:r w:rsidR="006011FD">
        <w:rPr>
          <w:lang w:val="en-IN"/>
        </w:rPr>
        <w:t>n</w:t>
      </w:r>
      <w:r w:rsidRPr="00FA5B9A">
        <w:rPr>
          <w:lang w:val="en-IN"/>
        </w:rPr>
        <w:t>etworks</w:t>
      </w:r>
      <w:bookmarkEnd w:id="89"/>
      <w:bookmarkEnd w:id="90"/>
      <w:bookmarkEnd w:id="91"/>
    </w:p>
    <w:p w14:paraId="60595D19" w14:textId="77777777" w:rsidR="00FA5B9A" w:rsidRPr="00FA5B9A" w:rsidRDefault="00FA5B9A" w:rsidP="00FA5B9A">
      <w:pPr>
        <w:rPr>
          <w:lang w:val="en-IN"/>
        </w:rPr>
      </w:pPr>
      <w:r w:rsidRPr="00FA5B9A">
        <w:rPr>
          <w:lang w:val="en-IN"/>
        </w:rPr>
        <w:t>The last-mile segment is the final bridge between network infrastructure and end-users. Strategies for cost optimization focus on matching deployment models to geography and leveraging flexible technologies:</w:t>
      </w:r>
    </w:p>
    <w:p w14:paraId="5F557853" w14:textId="0E397726" w:rsidR="00FA5B9A" w:rsidRPr="00FA5B9A" w:rsidRDefault="00795817" w:rsidP="00795817">
      <w:pPr>
        <w:pStyle w:val="enumlev1"/>
        <w:rPr>
          <w:lang w:val="en-IN"/>
        </w:rPr>
      </w:pPr>
      <w:r w:rsidRPr="00B33C61">
        <w:rPr>
          <w:lang w:val="en-IN"/>
        </w:rPr>
        <w:t>•</w:t>
      </w:r>
      <w:r>
        <w:rPr>
          <w:lang w:val="en-IN"/>
        </w:rPr>
        <w:tab/>
      </w:r>
      <w:r w:rsidR="00FA5B9A" w:rsidRPr="00FA5B9A">
        <w:rPr>
          <w:b/>
          <w:bCs/>
          <w:lang w:val="en-IN"/>
        </w:rPr>
        <w:t>Deployment models tailored to urban and rural contexts</w:t>
      </w:r>
      <w:r w:rsidR="00FA5B9A" w:rsidRPr="00FA5B9A">
        <w:rPr>
          <w:lang w:val="en-IN"/>
        </w:rPr>
        <w:t xml:space="preserve">: In high-density urban areas, </w:t>
      </w:r>
      <w:r w:rsidR="001F2EF3" w:rsidRPr="00FA5B9A">
        <w:rPr>
          <w:lang w:val="en-IN"/>
        </w:rPr>
        <w:t>fibre</w:t>
      </w:r>
      <w:r w:rsidR="00FA5B9A" w:rsidRPr="00FA5B9A">
        <w:rPr>
          <w:lang w:val="en-IN"/>
        </w:rPr>
        <w:t>-to-the-home (FTTH) and small-cell solutions maximize capacity and service quality. In rural or low-density areas, wireless or hybrid solutions reduce deployment costs and improve feasibility.</w:t>
      </w:r>
    </w:p>
    <w:p w14:paraId="6CF5E5BC" w14:textId="1A981928" w:rsidR="00FA5B9A" w:rsidRPr="00FA5B9A" w:rsidRDefault="00795817" w:rsidP="00795817">
      <w:pPr>
        <w:pStyle w:val="enumlev1"/>
        <w:rPr>
          <w:lang w:val="en-IN"/>
        </w:rPr>
      </w:pPr>
      <w:r w:rsidRPr="00B33C61">
        <w:rPr>
          <w:lang w:val="en-IN"/>
        </w:rPr>
        <w:t>•</w:t>
      </w:r>
      <w:r>
        <w:rPr>
          <w:lang w:val="en-IN"/>
        </w:rPr>
        <w:tab/>
      </w:r>
      <w:r w:rsidR="00FA5B9A" w:rsidRPr="00FA5B9A">
        <w:rPr>
          <w:b/>
          <w:bCs/>
          <w:lang w:val="en-IN"/>
        </w:rPr>
        <w:t>Active and passive infrastructure sharing</w:t>
      </w:r>
      <w:r w:rsidR="00FA5B9A" w:rsidRPr="00FA5B9A">
        <w:rPr>
          <w:lang w:val="en-IN"/>
        </w:rPr>
        <w:t xml:space="preserve">: Shared towers, poles, and </w:t>
      </w:r>
      <w:r w:rsidR="001F2EF3" w:rsidRPr="00FA5B9A">
        <w:rPr>
          <w:lang w:val="en-IN"/>
        </w:rPr>
        <w:t>fibre</w:t>
      </w:r>
      <w:r w:rsidR="00FA5B9A" w:rsidRPr="00FA5B9A">
        <w:rPr>
          <w:lang w:val="en-IN"/>
        </w:rPr>
        <w:t xml:space="preserve"> </w:t>
      </w:r>
      <w:proofErr w:type="gramStart"/>
      <w:r w:rsidR="00FA5B9A" w:rsidRPr="00FA5B9A">
        <w:rPr>
          <w:lang w:val="en-IN"/>
        </w:rPr>
        <w:t>drops</w:t>
      </w:r>
      <w:proofErr w:type="gramEnd"/>
      <w:r w:rsidR="00FA5B9A" w:rsidRPr="00FA5B9A">
        <w:rPr>
          <w:lang w:val="en-IN"/>
        </w:rPr>
        <w:t xml:space="preserve"> help reduce both capital and operational expenses, avoiding redundant investments.</w:t>
      </w:r>
    </w:p>
    <w:p w14:paraId="307B587B" w14:textId="686E6FFC" w:rsidR="00FA5B9A" w:rsidRPr="00FA5B9A" w:rsidRDefault="00795817" w:rsidP="00795817">
      <w:pPr>
        <w:pStyle w:val="enumlev1"/>
        <w:rPr>
          <w:lang w:val="en-IN"/>
        </w:rPr>
      </w:pPr>
      <w:r w:rsidRPr="00B33C61">
        <w:rPr>
          <w:lang w:val="en-IN"/>
        </w:rPr>
        <w:t>•</w:t>
      </w:r>
      <w:r>
        <w:rPr>
          <w:lang w:val="en-IN"/>
        </w:rPr>
        <w:tab/>
      </w:r>
      <w:r w:rsidR="00FA5B9A" w:rsidRPr="00FA5B9A">
        <w:rPr>
          <w:b/>
          <w:bCs/>
          <w:lang w:val="en-IN"/>
        </w:rPr>
        <w:t>Use of alternative technologies</w:t>
      </w:r>
      <w:r w:rsidR="00FA5B9A" w:rsidRPr="00FA5B9A">
        <w:rPr>
          <w:lang w:val="en-IN"/>
        </w:rPr>
        <w:t xml:space="preserve">: In low-density or remote areas, fixed wireless and hybrid </w:t>
      </w:r>
      <w:r w:rsidR="001F2EF3" w:rsidRPr="00FA5B9A">
        <w:rPr>
          <w:lang w:val="en-IN"/>
        </w:rPr>
        <w:t>fibre</w:t>
      </w:r>
      <w:r w:rsidR="00FA5B9A" w:rsidRPr="00FA5B9A">
        <w:rPr>
          <w:lang w:val="en-IN"/>
        </w:rPr>
        <w:t xml:space="preserve">-wireless solutions offer more cost-effective connectivity options compared to full </w:t>
      </w:r>
      <w:r w:rsidR="001F2EF3" w:rsidRPr="00FA5B9A">
        <w:rPr>
          <w:lang w:val="en-IN"/>
        </w:rPr>
        <w:t>fibre</w:t>
      </w:r>
      <w:r w:rsidR="00FA5B9A" w:rsidRPr="00FA5B9A">
        <w:rPr>
          <w:lang w:val="en-IN"/>
        </w:rPr>
        <w:t xml:space="preserve"> builds.</w:t>
      </w:r>
    </w:p>
    <w:p w14:paraId="60CABFB3" w14:textId="4D9CA945" w:rsidR="00FA5B9A" w:rsidRDefault="00795817" w:rsidP="00795817">
      <w:pPr>
        <w:pStyle w:val="enumlev1"/>
        <w:rPr>
          <w:lang w:val="en-IN"/>
        </w:rPr>
      </w:pPr>
      <w:r w:rsidRPr="00B33C61">
        <w:rPr>
          <w:lang w:val="en-IN"/>
        </w:rPr>
        <w:t>•</w:t>
      </w:r>
      <w:r>
        <w:rPr>
          <w:lang w:val="en-IN"/>
        </w:rPr>
        <w:tab/>
      </w:r>
      <w:r w:rsidR="00FA5B9A" w:rsidRPr="00FA5B9A">
        <w:rPr>
          <w:b/>
          <w:bCs/>
          <w:lang w:val="en-IN"/>
        </w:rPr>
        <w:t>Competitive wholesale and retail models</w:t>
      </w:r>
      <w:r w:rsidR="00FA5B9A" w:rsidRPr="00FA5B9A">
        <w:rPr>
          <w:lang w:val="en-IN"/>
        </w:rPr>
        <w:t xml:space="preserve">: Policy frameworks that encourage multiple last-mile providers and wholesale access ensure competitive pricing, </w:t>
      </w:r>
      <w:r w:rsidR="003C61D7">
        <w:rPr>
          <w:lang w:val="en-IN"/>
        </w:rPr>
        <w:t>thereby</w:t>
      </w:r>
      <w:r w:rsidR="00DE435E">
        <w:rPr>
          <w:lang w:val="en-IN"/>
        </w:rPr>
        <w:t xml:space="preserve"> </w:t>
      </w:r>
      <w:r w:rsidR="00FA5B9A" w:rsidRPr="00FA5B9A">
        <w:rPr>
          <w:lang w:val="en-IN"/>
        </w:rPr>
        <w:t>improving affordability for end-users.</w:t>
      </w:r>
    </w:p>
    <w:p w14:paraId="5B67F55C" w14:textId="6340BE5E" w:rsidR="007D2A87" w:rsidRPr="007D2A87" w:rsidRDefault="00FA5B9A" w:rsidP="00795817">
      <w:pPr>
        <w:pStyle w:val="Heading2"/>
        <w:rPr>
          <w:lang w:val="en-IN"/>
        </w:rPr>
      </w:pPr>
      <w:bookmarkStart w:id="92" w:name="_Toc210208993"/>
      <w:bookmarkStart w:id="93" w:name="_Toc239941098"/>
      <w:bookmarkStart w:id="94" w:name="_Toc239947957"/>
      <w:r>
        <w:rPr>
          <w:lang w:val="en-IN"/>
        </w:rPr>
        <w:t>8.6</w:t>
      </w:r>
      <w:r w:rsidR="00795817">
        <w:rPr>
          <w:lang w:val="en-IN"/>
        </w:rPr>
        <w:tab/>
      </w:r>
      <w:r w:rsidR="007D2A87" w:rsidRPr="007D2A87">
        <w:rPr>
          <w:lang w:val="en-IN"/>
        </w:rPr>
        <w:t xml:space="preserve">Passive </w:t>
      </w:r>
      <w:r w:rsidR="00B543F6">
        <w:rPr>
          <w:lang w:val="en-IN"/>
        </w:rPr>
        <w:t>i</w:t>
      </w:r>
      <w:r w:rsidR="007D2A87" w:rsidRPr="007D2A87">
        <w:rPr>
          <w:lang w:val="en-IN"/>
        </w:rPr>
        <w:t>nfrastructure</w:t>
      </w:r>
      <w:bookmarkEnd w:id="92"/>
      <w:bookmarkEnd w:id="93"/>
      <w:bookmarkEnd w:id="94"/>
    </w:p>
    <w:p w14:paraId="3E3CABC1" w14:textId="47EB2B89" w:rsidR="007D2A87" w:rsidRPr="007D2A87" w:rsidRDefault="007D2A87" w:rsidP="007D2A87">
      <w:pPr>
        <w:rPr>
          <w:lang w:val="en-IN"/>
        </w:rPr>
      </w:pPr>
      <w:r w:rsidRPr="007D2A87">
        <w:rPr>
          <w:lang w:val="en-IN"/>
        </w:rPr>
        <w:t>Passive infrastructure</w:t>
      </w:r>
      <w:r>
        <w:rPr>
          <w:lang w:val="en-IN"/>
        </w:rPr>
        <w:t xml:space="preserve"> </w:t>
      </w:r>
      <w:r w:rsidRPr="007D2A87">
        <w:rPr>
          <w:lang w:val="en-IN"/>
        </w:rPr>
        <w:t>including towers, poles, ducts, and power systems</w:t>
      </w:r>
      <w:r>
        <w:rPr>
          <w:lang w:val="en-IN"/>
        </w:rPr>
        <w:t xml:space="preserve"> </w:t>
      </w:r>
      <w:r w:rsidRPr="007D2A87">
        <w:rPr>
          <w:lang w:val="en-IN"/>
        </w:rPr>
        <w:t>supports active network equipment throughout the supply chain. Strategies for cost optimization focus on sharing models, efficient use of physical assets, and sustainable practices:</w:t>
      </w:r>
    </w:p>
    <w:p w14:paraId="3895E314" w14:textId="3B03AFA0" w:rsidR="007D2A87" w:rsidRPr="007D2A87" w:rsidRDefault="00795817" w:rsidP="00795817">
      <w:pPr>
        <w:pStyle w:val="enumlev1"/>
        <w:rPr>
          <w:lang w:val="en-IN"/>
        </w:rPr>
      </w:pPr>
      <w:r w:rsidRPr="00B33C61">
        <w:rPr>
          <w:lang w:val="en-IN"/>
        </w:rPr>
        <w:t>•</w:t>
      </w:r>
      <w:r>
        <w:rPr>
          <w:lang w:val="en-IN"/>
        </w:rPr>
        <w:tab/>
      </w:r>
      <w:r w:rsidR="007D2A87" w:rsidRPr="007D2A87">
        <w:rPr>
          <w:b/>
          <w:bCs/>
          <w:lang w:val="en-IN"/>
        </w:rPr>
        <w:t>Infrastructure sharing models</w:t>
      </w:r>
      <w:r w:rsidR="007D2A87" w:rsidRPr="007D2A87">
        <w:rPr>
          <w:lang w:val="en-IN"/>
        </w:rPr>
        <w:t>: Tower and duct sharing arrangements reduce redundant deployments, lowering both capital and operational costs for all operators.</w:t>
      </w:r>
    </w:p>
    <w:p w14:paraId="6935598B" w14:textId="7EE718F3" w:rsidR="007D2A87" w:rsidRPr="007D2A87" w:rsidRDefault="00795817" w:rsidP="00795817">
      <w:pPr>
        <w:pStyle w:val="enumlev1"/>
        <w:rPr>
          <w:lang w:val="en-IN"/>
        </w:rPr>
      </w:pPr>
      <w:r w:rsidRPr="00B33C61">
        <w:rPr>
          <w:lang w:val="en-IN"/>
        </w:rPr>
        <w:t>•</w:t>
      </w:r>
      <w:r>
        <w:rPr>
          <w:lang w:val="en-IN"/>
        </w:rPr>
        <w:tab/>
      </w:r>
      <w:r w:rsidR="007D2A87" w:rsidRPr="007D2A87">
        <w:rPr>
          <w:b/>
          <w:bCs/>
          <w:lang w:val="en-IN"/>
        </w:rPr>
        <w:t>Use of existing structures</w:t>
      </w:r>
      <w:r w:rsidR="007D2A87" w:rsidRPr="007D2A87">
        <w:rPr>
          <w:lang w:val="en-IN"/>
        </w:rPr>
        <w:t>: Reusing existing buildings, utility poles, and other municipal assets minimizes new construction needs and reduces site acquisition costs.</w:t>
      </w:r>
    </w:p>
    <w:p w14:paraId="3EB91D30" w14:textId="1DC4DADD" w:rsidR="007D2A87" w:rsidRPr="007D2A87" w:rsidRDefault="00795817" w:rsidP="00795817">
      <w:pPr>
        <w:pStyle w:val="enumlev1"/>
        <w:rPr>
          <w:lang w:val="en-IN"/>
        </w:rPr>
      </w:pPr>
      <w:r w:rsidRPr="00B33C61">
        <w:rPr>
          <w:lang w:val="en-IN"/>
        </w:rPr>
        <w:t>•</w:t>
      </w:r>
      <w:r>
        <w:rPr>
          <w:lang w:val="en-IN"/>
        </w:rPr>
        <w:tab/>
      </w:r>
      <w:r w:rsidR="007D2A87" w:rsidRPr="007D2A87">
        <w:rPr>
          <w:b/>
          <w:bCs/>
          <w:lang w:val="en-IN"/>
        </w:rPr>
        <w:t>Energy-efficient power solutions</w:t>
      </w:r>
      <w:r w:rsidR="007D2A87" w:rsidRPr="007D2A87">
        <w:rPr>
          <w:lang w:val="en-IN"/>
        </w:rPr>
        <w:t>: Deploying hybrid or renewable power systems at tower sites and aggregation points lowers fuel costs and improves operational sustainability, especially in areas without reliable grid access.</w:t>
      </w:r>
    </w:p>
    <w:p w14:paraId="5EA17F4C" w14:textId="2DFADADA" w:rsidR="007D2A87" w:rsidRPr="007D2A87" w:rsidRDefault="00795817" w:rsidP="00795817">
      <w:pPr>
        <w:pStyle w:val="enumlev1"/>
        <w:rPr>
          <w:lang w:val="en-IN"/>
        </w:rPr>
      </w:pPr>
      <w:r w:rsidRPr="00B33C61">
        <w:rPr>
          <w:lang w:val="en-IN"/>
        </w:rPr>
        <w:lastRenderedPageBreak/>
        <w:t>•</w:t>
      </w:r>
      <w:r>
        <w:rPr>
          <w:lang w:val="en-IN"/>
        </w:rPr>
        <w:tab/>
      </w:r>
      <w:r w:rsidR="007D2A87" w:rsidRPr="007D2A87">
        <w:rPr>
          <w:b/>
          <w:bCs/>
          <w:lang w:val="en-IN"/>
        </w:rPr>
        <w:t>Streamlined permitting and regulatory processes</w:t>
      </w:r>
      <w:r w:rsidR="007D2A87" w:rsidRPr="007D2A87">
        <w:rPr>
          <w:lang w:val="en-IN"/>
        </w:rPr>
        <w:t>: Clear guidelines and efficient municipal approvals reduce deployment delays and associated costs.</w:t>
      </w:r>
    </w:p>
    <w:p w14:paraId="749D5DAC" w14:textId="496266F1" w:rsidR="007D2A87" w:rsidRDefault="00795817" w:rsidP="00795817">
      <w:pPr>
        <w:pStyle w:val="enumlev1"/>
        <w:rPr>
          <w:lang w:val="en-IN"/>
        </w:rPr>
      </w:pPr>
      <w:r w:rsidRPr="00B33C61">
        <w:rPr>
          <w:lang w:val="en-IN"/>
        </w:rPr>
        <w:t>•</w:t>
      </w:r>
      <w:r>
        <w:rPr>
          <w:lang w:val="en-IN"/>
        </w:rPr>
        <w:tab/>
      </w:r>
      <w:r w:rsidR="007D2A87" w:rsidRPr="007D2A87">
        <w:rPr>
          <w:b/>
          <w:bCs/>
          <w:lang w:val="en-IN"/>
        </w:rPr>
        <w:t>Proactive maintenance practices</w:t>
      </w:r>
      <w:r w:rsidR="007D2A87" w:rsidRPr="007D2A87">
        <w:rPr>
          <w:lang w:val="en-IN"/>
        </w:rPr>
        <w:t>: Robust asset management and preventive maintenance extend the lifespan of passive infrastructure and help avoid expensive emergency repairs.</w:t>
      </w:r>
    </w:p>
    <w:p w14:paraId="3CDC09EF" w14:textId="6FD1500F" w:rsidR="0011233E" w:rsidRPr="0011233E" w:rsidRDefault="0011233E" w:rsidP="00795817">
      <w:pPr>
        <w:pStyle w:val="Heading2"/>
        <w:rPr>
          <w:lang w:val="en-IN"/>
        </w:rPr>
      </w:pPr>
      <w:bookmarkStart w:id="95" w:name="_Toc210208994"/>
      <w:bookmarkStart w:id="96" w:name="_Toc239941099"/>
      <w:bookmarkStart w:id="97" w:name="_Toc239947958"/>
      <w:r>
        <w:rPr>
          <w:lang w:val="en-IN"/>
        </w:rPr>
        <w:t>8.7</w:t>
      </w:r>
      <w:r w:rsidR="00795817">
        <w:rPr>
          <w:lang w:val="en-IN"/>
        </w:rPr>
        <w:tab/>
      </w:r>
      <w:r w:rsidRPr="0011233E">
        <w:rPr>
          <w:lang w:val="en-IN"/>
        </w:rPr>
        <w:t xml:space="preserve">Customer </w:t>
      </w:r>
      <w:r w:rsidR="00662DE6">
        <w:rPr>
          <w:lang w:val="en-IN"/>
        </w:rPr>
        <w:t>p</w:t>
      </w:r>
      <w:r w:rsidRPr="0011233E">
        <w:rPr>
          <w:lang w:val="en-IN"/>
        </w:rPr>
        <w:t xml:space="preserve">remises </w:t>
      </w:r>
      <w:r w:rsidR="00662DE6">
        <w:rPr>
          <w:lang w:val="en-IN"/>
        </w:rPr>
        <w:t>e</w:t>
      </w:r>
      <w:r w:rsidRPr="0011233E">
        <w:rPr>
          <w:lang w:val="en-IN"/>
        </w:rPr>
        <w:t>quipment (CPE)</w:t>
      </w:r>
      <w:bookmarkEnd w:id="95"/>
      <w:bookmarkEnd w:id="96"/>
      <w:bookmarkEnd w:id="97"/>
    </w:p>
    <w:p w14:paraId="6075F49B" w14:textId="0109A2E1" w:rsidR="0011233E" w:rsidRPr="0011233E" w:rsidRDefault="0011233E" w:rsidP="0011233E">
      <w:pPr>
        <w:rPr>
          <w:lang w:val="en-IN"/>
        </w:rPr>
      </w:pPr>
      <w:r w:rsidRPr="0011233E">
        <w:rPr>
          <w:lang w:val="en-IN"/>
        </w:rPr>
        <w:t>CPE devices</w:t>
      </w:r>
      <w:r w:rsidR="00863A53">
        <w:rPr>
          <w:lang w:val="en-IN"/>
        </w:rPr>
        <w:t xml:space="preserve"> </w:t>
      </w:r>
      <w:r w:rsidR="00863A53" w:rsidRPr="00863A53">
        <w:rPr>
          <w:lang w:val="en-IN"/>
        </w:rPr>
        <w:t>–</w:t>
      </w:r>
      <w:r w:rsidR="00863A53">
        <w:rPr>
          <w:lang w:val="en-IN"/>
        </w:rPr>
        <w:t xml:space="preserve"> </w:t>
      </w:r>
      <w:r w:rsidRPr="0011233E">
        <w:rPr>
          <w:lang w:val="en-IN"/>
        </w:rPr>
        <w:t>such as modems, routers, and optical network terminals</w:t>
      </w:r>
      <w:r w:rsidR="00863A53">
        <w:rPr>
          <w:lang w:val="en-IN"/>
        </w:rPr>
        <w:t xml:space="preserve"> </w:t>
      </w:r>
      <w:r w:rsidR="00863A53" w:rsidRPr="00863A53">
        <w:rPr>
          <w:lang w:val="en-IN"/>
        </w:rPr>
        <w:t>–</w:t>
      </w:r>
      <w:r w:rsidR="00863A53">
        <w:rPr>
          <w:lang w:val="en-IN"/>
        </w:rPr>
        <w:t xml:space="preserve"> </w:t>
      </w:r>
      <w:r w:rsidRPr="0011233E">
        <w:rPr>
          <w:lang w:val="en-IN"/>
        </w:rPr>
        <w:t>form the end-user interface with the broadband network. Strategies for optimizing costs in this layer focus on procurement, management, and technology choices:</w:t>
      </w:r>
    </w:p>
    <w:p w14:paraId="2835D5E5" w14:textId="32510E8A" w:rsidR="0011233E" w:rsidRPr="0011233E" w:rsidRDefault="00795817" w:rsidP="00795817">
      <w:pPr>
        <w:pStyle w:val="enumlev1"/>
        <w:rPr>
          <w:lang w:val="en-IN"/>
        </w:rPr>
      </w:pPr>
      <w:r w:rsidRPr="00B33C61">
        <w:rPr>
          <w:lang w:val="en-IN"/>
        </w:rPr>
        <w:t>•</w:t>
      </w:r>
      <w:r>
        <w:rPr>
          <w:lang w:val="en-IN"/>
        </w:rPr>
        <w:tab/>
      </w:r>
      <w:r w:rsidR="0011233E" w:rsidRPr="0011233E">
        <w:rPr>
          <w:b/>
          <w:bCs/>
          <w:lang w:val="en-IN"/>
        </w:rPr>
        <w:t>Bulk procurement and standardized device models</w:t>
      </w:r>
      <w:r w:rsidR="0011233E" w:rsidRPr="0011233E">
        <w:rPr>
          <w:lang w:val="en-IN"/>
        </w:rPr>
        <w:t>: Operators leverage bulk purchasing and standardized models to reduce unit costs and streamline logistics.</w:t>
      </w:r>
    </w:p>
    <w:p w14:paraId="345B8823" w14:textId="0AE9907C" w:rsidR="0011233E" w:rsidRPr="0011233E" w:rsidRDefault="00795817" w:rsidP="00795817">
      <w:pPr>
        <w:pStyle w:val="enumlev1"/>
        <w:rPr>
          <w:lang w:val="en-IN"/>
        </w:rPr>
      </w:pPr>
      <w:r w:rsidRPr="00B33C61">
        <w:rPr>
          <w:lang w:val="en-IN"/>
        </w:rPr>
        <w:t>•</w:t>
      </w:r>
      <w:r>
        <w:rPr>
          <w:lang w:val="en-IN"/>
        </w:rPr>
        <w:tab/>
      </w:r>
      <w:r w:rsidR="0011233E" w:rsidRPr="0011233E">
        <w:rPr>
          <w:b/>
          <w:bCs/>
          <w:lang w:val="en-IN"/>
        </w:rPr>
        <w:t>Efficient device lifecycle management</w:t>
      </w:r>
      <w:r w:rsidR="0011233E" w:rsidRPr="0011233E">
        <w:rPr>
          <w:lang w:val="en-IN"/>
        </w:rPr>
        <w:t>: Proactive device upgrades and lifecycle planning minimize replacements and help reduce long-term costs.</w:t>
      </w:r>
    </w:p>
    <w:p w14:paraId="0074ED37" w14:textId="2B2F3842" w:rsidR="0011233E" w:rsidRPr="0011233E" w:rsidRDefault="00795817" w:rsidP="00795817">
      <w:pPr>
        <w:pStyle w:val="enumlev1"/>
        <w:rPr>
          <w:lang w:val="en-IN"/>
        </w:rPr>
      </w:pPr>
      <w:r w:rsidRPr="00B33C61">
        <w:rPr>
          <w:lang w:val="en-IN"/>
        </w:rPr>
        <w:t>•</w:t>
      </w:r>
      <w:r>
        <w:rPr>
          <w:lang w:val="en-IN"/>
        </w:rPr>
        <w:tab/>
      </w:r>
      <w:r w:rsidR="0011233E" w:rsidRPr="0011233E">
        <w:rPr>
          <w:b/>
          <w:bCs/>
          <w:lang w:val="en-IN"/>
        </w:rPr>
        <w:t>Flexible sourcing models</w:t>
      </w:r>
      <w:r w:rsidR="0011233E" w:rsidRPr="0011233E">
        <w:rPr>
          <w:lang w:val="en-IN"/>
        </w:rPr>
        <w:t>: Allowing users to choose between operator-supplied and user-owned CPE can optimize affordability and improve market fit.</w:t>
      </w:r>
    </w:p>
    <w:p w14:paraId="2FA60FF2" w14:textId="24B7B8BC" w:rsidR="00003EF6" w:rsidRPr="00003EF6" w:rsidRDefault="00003EF6" w:rsidP="00795817">
      <w:pPr>
        <w:pStyle w:val="Heading2"/>
        <w:rPr>
          <w:lang w:val="en-IN"/>
        </w:rPr>
      </w:pPr>
      <w:bookmarkStart w:id="98" w:name="_Toc210208995"/>
      <w:bookmarkStart w:id="99" w:name="_Toc239941100"/>
      <w:bookmarkStart w:id="100" w:name="_Toc239947959"/>
      <w:r>
        <w:rPr>
          <w:lang w:val="en-IN"/>
        </w:rPr>
        <w:t>8.8</w:t>
      </w:r>
      <w:r w:rsidR="00795817">
        <w:rPr>
          <w:lang w:val="en-IN"/>
        </w:rPr>
        <w:tab/>
      </w:r>
      <w:r w:rsidRPr="00003EF6">
        <w:rPr>
          <w:lang w:val="en-IN"/>
        </w:rPr>
        <w:t xml:space="preserve">Sustainability </w:t>
      </w:r>
      <w:r w:rsidR="00662DE6">
        <w:rPr>
          <w:lang w:val="en-IN"/>
        </w:rPr>
        <w:t>a</w:t>
      </w:r>
      <w:r w:rsidRPr="00003EF6">
        <w:rPr>
          <w:lang w:val="en-IN"/>
        </w:rPr>
        <w:t xml:space="preserve">spects of the </w:t>
      </w:r>
      <w:r w:rsidR="00662DE6">
        <w:rPr>
          <w:lang w:val="en-IN"/>
        </w:rPr>
        <w:t>t</w:t>
      </w:r>
      <w:r w:rsidRPr="00003EF6">
        <w:rPr>
          <w:lang w:val="en-IN"/>
        </w:rPr>
        <w:t xml:space="preserve">elecom/ICT </w:t>
      </w:r>
      <w:r w:rsidR="00662DE6">
        <w:rPr>
          <w:lang w:val="en-IN"/>
        </w:rPr>
        <w:t>s</w:t>
      </w:r>
      <w:r w:rsidRPr="00003EF6">
        <w:rPr>
          <w:lang w:val="en-IN"/>
        </w:rPr>
        <w:t xml:space="preserve">upply </w:t>
      </w:r>
      <w:r w:rsidR="00662DE6">
        <w:rPr>
          <w:lang w:val="en-IN"/>
        </w:rPr>
        <w:t>c</w:t>
      </w:r>
      <w:r w:rsidRPr="00003EF6">
        <w:rPr>
          <w:lang w:val="en-IN"/>
        </w:rPr>
        <w:t>hain</w:t>
      </w:r>
      <w:bookmarkEnd w:id="98"/>
      <w:bookmarkEnd w:id="99"/>
      <w:bookmarkEnd w:id="100"/>
    </w:p>
    <w:p w14:paraId="79345440" w14:textId="77777777" w:rsidR="00003EF6" w:rsidRPr="00003EF6" w:rsidRDefault="00003EF6" w:rsidP="00D628F4">
      <w:pPr>
        <w:rPr>
          <w:lang w:val="en-IN"/>
        </w:rPr>
      </w:pPr>
      <w:r w:rsidRPr="00003EF6">
        <w:rPr>
          <w:lang w:val="en-IN"/>
        </w:rPr>
        <w:t>In addition to economic and technical factors, sustainability is increasingly shaping cost models for data services:</w:t>
      </w:r>
    </w:p>
    <w:p w14:paraId="41282D4E" w14:textId="1582DA63" w:rsidR="00003EF6" w:rsidRPr="00003EF6" w:rsidRDefault="00465F73" w:rsidP="00465F73">
      <w:pPr>
        <w:pStyle w:val="enumlev1"/>
        <w:rPr>
          <w:lang w:val="en-IN"/>
        </w:rPr>
      </w:pPr>
      <w:r w:rsidRPr="00B33C61">
        <w:rPr>
          <w:lang w:val="en-IN"/>
        </w:rPr>
        <w:t>•</w:t>
      </w:r>
      <w:r>
        <w:rPr>
          <w:lang w:val="en-IN"/>
        </w:rPr>
        <w:tab/>
      </w:r>
      <w:r w:rsidR="00003EF6" w:rsidRPr="00465F73">
        <w:rPr>
          <w:b/>
          <w:bCs/>
          <w:lang w:val="en-IN"/>
        </w:rPr>
        <w:t xml:space="preserve">Green </w:t>
      </w:r>
      <w:r w:rsidR="00C638CE" w:rsidRPr="00465F73">
        <w:rPr>
          <w:b/>
          <w:bCs/>
          <w:lang w:val="en-IN"/>
        </w:rPr>
        <w:t>n</w:t>
      </w:r>
      <w:r w:rsidR="00003EF6" w:rsidRPr="00465F73">
        <w:rPr>
          <w:b/>
          <w:bCs/>
          <w:lang w:val="en-IN"/>
        </w:rPr>
        <w:t>etworking</w:t>
      </w:r>
      <w:r w:rsidR="00003EF6" w:rsidRPr="00003EF6">
        <w:rPr>
          <w:lang w:val="en-IN"/>
        </w:rPr>
        <w:t>: ISPs and telecom operators are adopting energy-efficient equipment, dynamic power management, and network virtualization to reduce both operational costs and environmental impact.</w:t>
      </w:r>
    </w:p>
    <w:p w14:paraId="7E910C3F" w14:textId="3ED1EA07" w:rsidR="00003EF6" w:rsidRPr="00003EF6" w:rsidRDefault="00465F73" w:rsidP="00465F73">
      <w:pPr>
        <w:pStyle w:val="enumlev1"/>
        <w:rPr>
          <w:lang w:val="en-IN"/>
        </w:rPr>
      </w:pPr>
      <w:r w:rsidRPr="00B33C61">
        <w:rPr>
          <w:lang w:val="en-IN"/>
        </w:rPr>
        <w:t>•</w:t>
      </w:r>
      <w:r>
        <w:rPr>
          <w:lang w:val="en-IN"/>
        </w:rPr>
        <w:tab/>
      </w:r>
      <w:r w:rsidR="00003EF6" w:rsidRPr="00465F73">
        <w:rPr>
          <w:b/>
          <w:bCs/>
          <w:lang w:val="en-IN"/>
        </w:rPr>
        <w:t>E-</w:t>
      </w:r>
      <w:r w:rsidR="00D9443C" w:rsidRPr="00465F73">
        <w:rPr>
          <w:b/>
          <w:bCs/>
          <w:lang w:val="en-IN"/>
        </w:rPr>
        <w:t>w</w:t>
      </w:r>
      <w:r w:rsidR="00003EF6" w:rsidRPr="00465F73">
        <w:rPr>
          <w:b/>
          <w:bCs/>
          <w:lang w:val="en-IN"/>
        </w:rPr>
        <w:t xml:space="preserve">aste </w:t>
      </w:r>
      <w:r w:rsidR="00D9443C" w:rsidRPr="00465F73">
        <w:rPr>
          <w:b/>
          <w:bCs/>
          <w:lang w:val="en-IN"/>
        </w:rPr>
        <w:t>m</w:t>
      </w:r>
      <w:r w:rsidR="00003EF6" w:rsidRPr="00465F73">
        <w:rPr>
          <w:b/>
          <w:bCs/>
          <w:lang w:val="en-IN"/>
        </w:rPr>
        <w:t>anagement</w:t>
      </w:r>
      <w:r w:rsidR="00003EF6" w:rsidRPr="00003EF6">
        <w:rPr>
          <w:lang w:val="en-IN"/>
        </w:rPr>
        <w:t xml:space="preserve">: The rapid turnover of IT equipment generates large volumes of e-waste. Effective recycling and </w:t>
      </w:r>
      <w:r w:rsidR="00D9443C">
        <w:rPr>
          <w:lang w:val="en-IN"/>
        </w:rPr>
        <w:t>e</w:t>
      </w:r>
      <w:r w:rsidR="00003EF6" w:rsidRPr="00003EF6">
        <w:rPr>
          <w:lang w:val="en-IN"/>
        </w:rPr>
        <w:t xml:space="preserve">xtended </w:t>
      </w:r>
      <w:r w:rsidR="00D9443C">
        <w:rPr>
          <w:lang w:val="en-IN"/>
        </w:rPr>
        <w:t>p</w:t>
      </w:r>
      <w:r w:rsidR="00003EF6" w:rsidRPr="00003EF6">
        <w:rPr>
          <w:lang w:val="en-IN"/>
        </w:rPr>
        <w:t xml:space="preserve">roducer </w:t>
      </w:r>
      <w:r w:rsidR="00D9443C">
        <w:rPr>
          <w:lang w:val="en-IN"/>
        </w:rPr>
        <w:t>r</w:t>
      </w:r>
      <w:r w:rsidR="00003EF6" w:rsidRPr="00003EF6">
        <w:rPr>
          <w:lang w:val="en-IN"/>
        </w:rPr>
        <w:t>esponsibility (EPR) frameworks, such as India</w:t>
      </w:r>
      <w:r w:rsidR="00D9443C">
        <w:rPr>
          <w:lang w:val="en-IN"/>
        </w:rPr>
        <w:t>'</w:t>
      </w:r>
      <w:r w:rsidR="00003EF6" w:rsidRPr="00003EF6">
        <w:rPr>
          <w:lang w:val="en-IN"/>
        </w:rPr>
        <w:t xml:space="preserve">s </w:t>
      </w:r>
      <w:r w:rsidR="00D9443C">
        <w:rPr>
          <w:lang w:val="en-IN"/>
        </w:rPr>
        <w:t>e</w:t>
      </w:r>
      <w:r w:rsidR="00003EF6" w:rsidRPr="00003EF6">
        <w:rPr>
          <w:lang w:val="en-IN"/>
        </w:rPr>
        <w:t>-</w:t>
      </w:r>
      <w:r w:rsidR="00D9443C">
        <w:rPr>
          <w:lang w:val="en-IN"/>
        </w:rPr>
        <w:t>w</w:t>
      </w:r>
      <w:r w:rsidR="00003EF6" w:rsidRPr="00003EF6">
        <w:rPr>
          <w:lang w:val="en-IN"/>
        </w:rPr>
        <w:t>aste (</w:t>
      </w:r>
      <w:r w:rsidR="00D9443C">
        <w:rPr>
          <w:lang w:val="en-IN"/>
        </w:rPr>
        <w:t>m</w:t>
      </w:r>
      <w:r w:rsidR="00003EF6" w:rsidRPr="00003EF6">
        <w:rPr>
          <w:lang w:val="en-IN"/>
        </w:rPr>
        <w:t xml:space="preserve">anagement) </w:t>
      </w:r>
      <w:r w:rsidR="00221BDA">
        <w:rPr>
          <w:lang w:val="en-IN"/>
        </w:rPr>
        <w:t>r</w:t>
      </w:r>
      <w:r w:rsidR="00003EF6" w:rsidRPr="00003EF6">
        <w:rPr>
          <w:lang w:val="en-IN"/>
        </w:rPr>
        <w:t>ules 2016, encourage sustainable product design and responsible disposal.</w:t>
      </w:r>
    </w:p>
    <w:p w14:paraId="2F4EAD74" w14:textId="6C228CA4" w:rsidR="00003EF6" w:rsidRPr="00003EF6" w:rsidRDefault="00465F73" w:rsidP="00465F73">
      <w:pPr>
        <w:pStyle w:val="enumlev1"/>
        <w:rPr>
          <w:lang w:val="en-IN"/>
        </w:rPr>
      </w:pPr>
      <w:r w:rsidRPr="00B33C61">
        <w:rPr>
          <w:lang w:val="en-IN"/>
        </w:rPr>
        <w:t>•</w:t>
      </w:r>
      <w:r>
        <w:rPr>
          <w:lang w:val="en-IN"/>
        </w:rPr>
        <w:tab/>
      </w:r>
      <w:r w:rsidR="00003EF6" w:rsidRPr="00465F73">
        <w:rPr>
          <w:b/>
          <w:bCs/>
          <w:lang w:val="en-IN"/>
        </w:rPr>
        <w:t xml:space="preserve">Renewable </w:t>
      </w:r>
      <w:r w:rsidR="001A7FFD" w:rsidRPr="00465F73">
        <w:rPr>
          <w:b/>
          <w:bCs/>
          <w:lang w:val="en-IN"/>
        </w:rPr>
        <w:t>e</w:t>
      </w:r>
      <w:r w:rsidR="00003EF6" w:rsidRPr="00465F73">
        <w:rPr>
          <w:b/>
          <w:bCs/>
          <w:lang w:val="en-IN"/>
        </w:rPr>
        <w:t xml:space="preserve">nergy </w:t>
      </w:r>
      <w:r w:rsidR="004A277D" w:rsidRPr="00465F73">
        <w:rPr>
          <w:b/>
          <w:bCs/>
          <w:lang w:val="en-IN"/>
        </w:rPr>
        <w:t>i</w:t>
      </w:r>
      <w:r w:rsidR="00003EF6" w:rsidRPr="00465F73">
        <w:rPr>
          <w:b/>
          <w:bCs/>
          <w:lang w:val="en-IN"/>
        </w:rPr>
        <w:t>ntegration</w:t>
      </w:r>
      <w:r w:rsidR="00003EF6" w:rsidRPr="00003EF6">
        <w:rPr>
          <w:lang w:val="en-IN"/>
        </w:rPr>
        <w:t xml:space="preserve">: Data centres and network hubs are major energy consumers. Companies like </w:t>
      </w:r>
      <w:proofErr w:type="spellStart"/>
      <w:r w:rsidR="00003EF6" w:rsidRPr="00003EF6">
        <w:rPr>
          <w:lang w:val="en-IN"/>
        </w:rPr>
        <w:t>CtrlS</w:t>
      </w:r>
      <w:proofErr w:type="spellEnd"/>
      <w:r w:rsidR="00003EF6" w:rsidRPr="00003EF6">
        <w:rPr>
          <w:lang w:val="en-IN"/>
        </w:rPr>
        <w:t xml:space="preserve"> and </w:t>
      </w:r>
      <w:proofErr w:type="spellStart"/>
      <w:r w:rsidR="00003EF6" w:rsidRPr="00003EF6">
        <w:rPr>
          <w:lang w:val="en-IN"/>
        </w:rPr>
        <w:t>NxtGen</w:t>
      </w:r>
      <w:proofErr w:type="spellEnd"/>
      <w:r w:rsidR="00003EF6" w:rsidRPr="00003EF6">
        <w:rPr>
          <w:lang w:val="en-IN"/>
        </w:rPr>
        <w:t xml:space="preserve"> in India are investing in solar-powered data centres. The </w:t>
      </w:r>
      <w:r w:rsidR="007020CE">
        <w:rPr>
          <w:lang w:val="en-IN"/>
        </w:rPr>
        <w:t>M</w:t>
      </w:r>
      <w:r w:rsidR="007020CE" w:rsidRPr="00003EF6">
        <w:rPr>
          <w:lang w:val="en-IN"/>
        </w:rPr>
        <w:t xml:space="preserve">inistry </w:t>
      </w:r>
      <w:r w:rsidR="00003EF6" w:rsidRPr="00003EF6">
        <w:rPr>
          <w:lang w:val="en-IN"/>
        </w:rPr>
        <w:t xml:space="preserve">of </w:t>
      </w:r>
      <w:r w:rsidR="0082287E">
        <w:rPr>
          <w:lang w:val="en-IN"/>
        </w:rPr>
        <w:t>n</w:t>
      </w:r>
      <w:r w:rsidR="00003EF6" w:rsidRPr="00003EF6">
        <w:rPr>
          <w:lang w:val="en-IN"/>
        </w:rPr>
        <w:t xml:space="preserve">ew and </w:t>
      </w:r>
      <w:r w:rsidR="0082287E">
        <w:rPr>
          <w:lang w:val="en-IN"/>
        </w:rPr>
        <w:t>r</w:t>
      </w:r>
      <w:r w:rsidR="00003EF6" w:rsidRPr="00003EF6">
        <w:rPr>
          <w:lang w:val="en-IN"/>
        </w:rPr>
        <w:t xml:space="preserve">enewable </w:t>
      </w:r>
      <w:r w:rsidR="0082287E">
        <w:rPr>
          <w:lang w:val="en-IN"/>
        </w:rPr>
        <w:t>e</w:t>
      </w:r>
      <w:r w:rsidR="00003EF6" w:rsidRPr="00003EF6">
        <w:rPr>
          <w:lang w:val="en-IN"/>
        </w:rPr>
        <w:t xml:space="preserve">nergy supports the use of </w:t>
      </w:r>
      <w:r w:rsidR="00C13139">
        <w:rPr>
          <w:lang w:val="en-IN"/>
        </w:rPr>
        <w:t>r</w:t>
      </w:r>
      <w:r w:rsidR="00003EF6" w:rsidRPr="00003EF6">
        <w:rPr>
          <w:lang w:val="en-IN"/>
        </w:rPr>
        <w:t xml:space="preserve">enewable </w:t>
      </w:r>
      <w:r w:rsidR="00C13139">
        <w:rPr>
          <w:lang w:val="en-IN"/>
        </w:rPr>
        <w:t>e</w:t>
      </w:r>
      <w:r w:rsidR="00003EF6" w:rsidRPr="00003EF6">
        <w:rPr>
          <w:lang w:val="en-IN"/>
        </w:rPr>
        <w:t xml:space="preserve">nergy </w:t>
      </w:r>
      <w:r w:rsidR="00C13139">
        <w:rPr>
          <w:lang w:val="en-IN"/>
        </w:rPr>
        <w:t>c</w:t>
      </w:r>
      <w:r w:rsidR="00003EF6" w:rsidRPr="00003EF6">
        <w:rPr>
          <w:lang w:val="en-IN"/>
        </w:rPr>
        <w:t>ertificates (RECs) to offset carbon footprints.</w:t>
      </w:r>
    </w:p>
    <w:p w14:paraId="3D4F6B4C" w14:textId="2E2A5445" w:rsidR="00003EF6" w:rsidRPr="00003EF6" w:rsidRDefault="00465F73" w:rsidP="00465F73">
      <w:pPr>
        <w:pStyle w:val="enumlev1"/>
        <w:rPr>
          <w:lang w:val="en-IN"/>
        </w:rPr>
      </w:pPr>
      <w:r w:rsidRPr="00B33C61">
        <w:rPr>
          <w:lang w:val="en-IN"/>
        </w:rPr>
        <w:t>•</w:t>
      </w:r>
      <w:r>
        <w:rPr>
          <w:lang w:val="en-IN"/>
        </w:rPr>
        <w:tab/>
      </w:r>
      <w:r w:rsidR="00003EF6" w:rsidRPr="00465F73">
        <w:rPr>
          <w:b/>
          <w:bCs/>
          <w:lang w:val="en-IN"/>
        </w:rPr>
        <w:t xml:space="preserve">Efficient </w:t>
      </w:r>
      <w:r w:rsidR="0082287E" w:rsidRPr="00465F73">
        <w:rPr>
          <w:b/>
          <w:bCs/>
          <w:lang w:val="en-IN"/>
        </w:rPr>
        <w:t>i</w:t>
      </w:r>
      <w:r w:rsidR="00003EF6" w:rsidRPr="00465F73">
        <w:rPr>
          <w:b/>
          <w:bCs/>
          <w:lang w:val="en-IN"/>
        </w:rPr>
        <w:t xml:space="preserve">nfrastructure </w:t>
      </w:r>
      <w:r w:rsidR="0082287E" w:rsidRPr="00465F73">
        <w:rPr>
          <w:b/>
          <w:bCs/>
          <w:lang w:val="en-IN"/>
        </w:rPr>
        <w:t>d</w:t>
      </w:r>
      <w:r w:rsidR="00003EF6" w:rsidRPr="00465F73">
        <w:rPr>
          <w:b/>
          <w:bCs/>
          <w:lang w:val="en-IN"/>
        </w:rPr>
        <w:t>esign</w:t>
      </w:r>
      <w:r w:rsidR="00003EF6" w:rsidRPr="00003EF6">
        <w:rPr>
          <w:lang w:val="en-IN"/>
        </w:rPr>
        <w:t xml:space="preserve">: </w:t>
      </w:r>
      <w:r w:rsidR="009C0A35" w:rsidRPr="00550655">
        <w:rPr>
          <w:szCs w:val="24"/>
          <w:lang w:val="en-IN" w:eastAsia="en-IN"/>
        </w:rPr>
        <w:t xml:space="preserve">Leadership in </w:t>
      </w:r>
      <w:r w:rsidR="00271338">
        <w:rPr>
          <w:szCs w:val="24"/>
          <w:lang w:val="en-IN" w:eastAsia="en-IN"/>
        </w:rPr>
        <w:t>e</w:t>
      </w:r>
      <w:r w:rsidR="009C0A35" w:rsidRPr="00550655">
        <w:rPr>
          <w:szCs w:val="24"/>
          <w:lang w:val="en-IN" w:eastAsia="en-IN"/>
        </w:rPr>
        <w:t xml:space="preserve">nergy and </w:t>
      </w:r>
      <w:r w:rsidR="00271338">
        <w:rPr>
          <w:szCs w:val="24"/>
          <w:lang w:val="en-IN" w:eastAsia="en-IN"/>
        </w:rPr>
        <w:t>e</w:t>
      </w:r>
      <w:r w:rsidR="009C0A35" w:rsidRPr="00550655">
        <w:rPr>
          <w:szCs w:val="24"/>
          <w:lang w:val="en-IN" w:eastAsia="en-IN"/>
        </w:rPr>
        <w:t xml:space="preserve">nvironmental </w:t>
      </w:r>
      <w:r w:rsidR="00271338">
        <w:rPr>
          <w:szCs w:val="24"/>
          <w:lang w:val="en-IN" w:eastAsia="en-IN"/>
        </w:rPr>
        <w:t>d</w:t>
      </w:r>
      <w:r w:rsidR="009C0A35" w:rsidRPr="00550655">
        <w:rPr>
          <w:szCs w:val="24"/>
          <w:lang w:val="en-IN" w:eastAsia="en-IN"/>
        </w:rPr>
        <w:t>esign</w:t>
      </w:r>
      <w:r w:rsidR="009C0A35" w:rsidRPr="00003EF6">
        <w:rPr>
          <w:lang w:val="en-IN"/>
        </w:rPr>
        <w:t xml:space="preserve"> </w:t>
      </w:r>
      <w:r w:rsidR="009C0A35">
        <w:rPr>
          <w:lang w:val="en-IN"/>
        </w:rPr>
        <w:t>(</w:t>
      </w:r>
      <w:r w:rsidR="00003EF6" w:rsidRPr="00003EF6">
        <w:rPr>
          <w:lang w:val="en-IN"/>
        </w:rPr>
        <w:t>LEED</w:t>
      </w:r>
      <w:r w:rsidR="009C0A35">
        <w:rPr>
          <w:lang w:val="en-IN"/>
        </w:rPr>
        <w:t>)</w:t>
      </w:r>
      <w:r w:rsidR="00003EF6" w:rsidRPr="00003EF6">
        <w:rPr>
          <w:lang w:val="en-IN"/>
        </w:rPr>
        <w:t>-certified data centres and energy-efficient building practices are reducing long-term costs while meeting sustainability goals.</w:t>
      </w:r>
    </w:p>
    <w:p w14:paraId="5E4D0BE7" w14:textId="220F6DDE" w:rsidR="0011233E" w:rsidRPr="0011233E" w:rsidRDefault="00003EF6" w:rsidP="00D628F4">
      <w:pPr>
        <w:rPr>
          <w:lang w:val="en-IN"/>
        </w:rPr>
      </w:pPr>
      <w:r>
        <w:rPr>
          <w:lang w:val="en-IN"/>
        </w:rPr>
        <w:t>T</w:t>
      </w:r>
      <w:r w:rsidRPr="00003EF6">
        <w:rPr>
          <w:lang w:val="en-IN"/>
        </w:rPr>
        <w:t>hese practices demonstrate how environmental sustainability aligns with economic efficiency. Reducing energy use and waste lowers operational expenditures while also supporting regulatory compliance and corporate social responsibility objectives.</w:t>
      </w:r>
    </w:p>
    <w:p w14:paraId="12676BF0" w14:textId="541E30F3" w:rsidR="00C45917" w:rsidRPr="00C45917" w:rsidRDefault="00C45917" w:rsidP="00465F73">
      <w:pPr>
        <w:pStyle w:val="Heading1"/>
        <w:rPr>
          <w:lang w:val="en-IN"/>
        </w:rPr>
      </w:pPr>
      <w:bookmarkStart w:id="101" w:name="_Toc210208996"/>
      <w:bookmarkStart w:id="102" w:name="_Toc239941101"/>
      <w:bookmarkStart w:id="103" w:name="_Toc239947960"/>
      <w:r>
        <w:rPr>
          <w:lang w:val="en-IN"/>
        </w:rPr>
        <w:t>9</w:t>
      </w:r>
      <w:r w:rsidR="00465F73">
        <w:rPr>
          <w:lang w:val="en-IN"/>
        </w:rPr>
        <w:tab/>
      </w:r>
      <w:r>
        <w:rPr>
          <w:lang w:val="en-IN"/>
        </w:rPr>
        <w:t>Conclusion</w:t>
      </w:r>
      <w:bookmarkEnd w:id="101"/>
      <w:bookmarkEnd w:id="102"/>
      <w:bookmarkEnd w:id="103"/>
    </w:p>
    <w:p w14:paraId="3922D66A" w14:textId="2184222B" w:rsidR="007D2A87" w:rsidRPr="007D2A87" w:rsidRDefault="00D127C4" w:rsidP="00D628F4">
      <w:pPr>
        <w:rPr>
          <w:lang w:val="en-IN"/>
        </w:rPr>
      </w:pPr>
      <w:r w:rsidRPr="00D127C4">
        <w:t xml:space="preserve">This </w:t>
      </w:r>
      <w:r w:rsidR="00F22D5E">
        <w:t>Technical R</w:t>
      </w:r>
      <w:r w:rsidRPr="00D127C4">
        <w:t>eport has highlighted the key cost drivers and optimization strategies across the telecom and ICT infrastructure supply chain. Addressing these challenges requires coordinated action that combines technology upgrades, regulatory simplification, and shared infrastructure use. Competitive markets and energy-efficient practices also play crucial roles in lowering costs and ensuring affordability. By adopting these targeted approaches, stakeholders can build robust, inclusive broadband networks that support sustainable digital growth</w:t>
      </w:r>
      <w:r w:rsidR="00332B69">
        <w:t>.</w:t>
      </w:r>
    </w:p>
    <w:p w14:paraId="69BA2F7C" w14:textId="77777777" w:rsidR="00863A53" w:rsidRDefault="00863A53" w:rsidP="00863A53"/>
    <w:p w14:paraId="26BC8629" w14:textId="77777777" w:rsidR="00863A53" w:rsidRDefault="00863A53">
      <w:pPr>
        <w:jc w:val="center"/>
      </w:pPr>
      <w:r>
        <w:t>______________</w:t>
      </w:r>
    </w:p>
    <w:sectPr w:rsidR="00863A53" w:rsidSect="00536363">
      <w:footerReference w:type="default" r:id="rId26"/>
      <w:footerReference w:type="first" r:id="rId27"/>
      <w:type w:val="oddPage"/>
      <w:pgSz w:w="11907" w:h="16840" w:code="9"/>
      <w:pgMar w:top="1134" w:right="1134" w:bottom="1134" w:left="1134" w:header="567"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4B949" w14:textId="77777777" w:rsidR="007960B4" w:rsidRDefault="007960B4">
      <w:r>
        <w:separator/>
      </w:r>
    </w:p>
  </w:endnote>
  <w:endnote w:type="continuationSeparator" w:id="0">
    <w:p w14:paraId="7633930B" w14:textId="77777777" w:rsidR="007960B4" w:rsidRDefault="00796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
    <w:altName w:val="Yu Gothic"/>
    <w:charset w:val="80"/>
    <w:family w:val="auto"/>
    <w:pitch w:val="default"/>
    <w:sig w:usb0="00000000" w:usb1="0000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G Times">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1G Medium">
    <w:altName w:val="Calibri"/>
    <w:panose1 w:val="00000000000000000000"/>
    <w:charset w:val="00"/>
    <w:family w:val="swiss"/>
    <w:notTrueType/>
    <w:pitch w:val="variable"/>
    <w:sig w:usb0="A00002E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F5533" w14:textId="77777777" w:rsidR="00AB3A43" w:rsidRPr="00DC0B58" w:rsidRDefault="00AB3A43" w:rsidP="00AB3A43">
    <w:pPr>
      <w:pStyle w:val="Footer"/>
      <w:tabs>
        <w:tab w:val="left" w:pos="851"/>
        <w:tab w:val="right" w:pos="8789"/>
      </w:tabs>
      <w:rPr>
        <w:szCs w:val="16"/>
        <w:lang w:eastAsia="zh-CN"/>
      </w:rPr>
    </w:pPr>
    <w:r w:rsidRPr="009D5FF3">
      <w:rPr>
        <w:color w:val="262626" w:themeColor="text1" w:themeTint="D9"/>
        <w:szCs w:val="8"/>
      </w:rPr>
      <w:fldChar w:fldCharType="begin"/>
    </w:r>
    <w:r w:rsidRPr="009D5FF3">
      <w:rPr>
        <w:color w:val="262626" w:themeColor="text1" w:themeTint="D9"/>
        <w:szCs w:val="8"/>
      </w:rPr>
      <w:instrText xml:space="preserve"> PAGE </w:instrText>
    </w:r>
    <w:r w:rsidRPr="009D5FF3">
      <w:rPr>
        <w:color w:val="262626" w:themeColor="text1" w:themeTint="D9"/>
        <w:szCs w:val="8"/>
      </w:rPr>
      <w:fldChar w:fldCharType="separate"/>
    </w:r>
    <w:r>
      <w:rPr>
        <w:color w:val="262626" w:themeColor="text1" w:themeTint="D9"/>
        <w:szCs w:val="8"/>
      </w:rPr>
      <w:t>ii</w:t>
    </w:r>
    <w:r w:rsidRPr="009D5FF3">
      <w:rPr>
        <w:color w:val="262626" w:themeColor="text1" w:themeTint="D9"/>
        <w:szCs w:val="8"/>
      </w:rPr>
      <w:fldChar w:fldCharType="end"/>
    </w:r>
    <w:r>
      <w:rPr>
        <w:color w:val="262626" w:themeColor="text1" w:themeTint="D9"/>
        <w:szCs w:val="8"/>
      </w:rPr>
      <w:tab/>
    </w:r>
    <w:r w:rsidRPr="00E55209">
      <w:rPr>
        <w:b/>
        <w:bCs/>
        <w:color w:val="262626" w:themeColor="text1" w:themeTint="D9"/>
        <w:szCs w:val="8"/>
      </w:rPr>
      <w:t>FGMV-35</w:t>
    </w:r>
    <w:r w:rsidRPr="00E55209">
      <w:rPr>
        <w:rFonts w:hint="eastAsia"/>
        <w:b/>
        <w:bCs/>
        <w:color w:val="262626" w:themeColor="text1" w:themeTint="D9"/>
        <w:szCs w:val="8"/>
      </w:rPr>
      <w:t xml:space="preserve"> (2024-06)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807673"/>
      <w:docPartObj>
        <w:docPartGallery w:val="Page Numbers (Bottom of Page)"/>
        <w:docPartUnique/>
      </w:docPartObj>
    </w:sdtPr>
    <w:sdtContent>
      <w:p w14:paraId="2C8004C8" w14:textId="77777777" w:rsidR="00AB2B91" w:rsidRDefault="00AB2B91" w:rsidP="00E7313D">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i</w:t>
        </w:r>
        <w:r>
          <w:rPr>
            <w:rStyle w:val="PageNumber"/>
          </w:rPr>
          <w:fldChar w:fldCharType="end"/>
        </w:r>
      </w:p>
    </w:sdtContent>
  </w:sdt>
  <w:p w14:paraId="46443004" w14:textId="2D505F7A" w:rsidR="00AB2B91" w:rsidRPr="008F0E27" w:rsidRDefault="00AB2B91" w:rsidP="00E7313D">
    <w:pPr>
      <w:pStyle w:val="Footer"/>
      <w:tabs>
        <w:tab w:val="right" w:pos="8789"/>
      </w:tabs>
      <w:ind w:right="360" w:firstLine="360"/>
      <w:rPr>
        <w:b/>
        <w:bCs/>
      </w:rPr>
    </w:pPr>
    <w:r>
      <w:tab/>
    </w:r>
    <w:bookmarkStart w:id="13" w:name="OLE_LINK151"/>
    <w:bookmarkStart w:id="14" w:name="OLE_LINK152"/>
    <w:r w:rsidR="005208CB">
      <w:rPr>
        <w:b/>
        <w:bCs/>
        <w:lang w:val="fr-CH"/>
      </w:rPr>
      <w:t>FGCD</w:t>
    </w:r>
    <w:r w:rsidRPr="000B5A74">
      <w:rPr>
        <w:b/>
        <w:bCs/>
        <w:lang w:val="fr-CH"/>
      </w:rPr>
      <w:t>-D.WG</w:t>
    </w:r>
    <w:r>
      <w:rPr>
        <w:b/>
        <w:bCs/>
        <w:lang w:val="fr-CH"/>
      </w:rPr>
      <w:t>8</w:t>
    </w:r>
    <w:r w:rsidRPr="000B5A74">
      <w:rPr>
        <w:b/>
        <w:bCs/>
        <w:lang w:val="fr-CH"/>
      </w:rPr>
      <w:t>-0</w:t>
    </w:r>
    <w:r>
      <w:rPr>
        <w:b/>
        <w:bCs/>
        <w:lang w:val="fr-CH"/>
      </w:rPr>
      <w:t>2</w:t>
    </w:r>
    <w:r w:rsidRPr="000B5A74">
      <w:rPr>
        <w:b/>
        <w:bCs/>
      </w:rPr>
      <w:t xml:space="preserve"> </w:t>
    </w:r>
    <w:r w:rsidRPr="00926B6C">
      <w:rPr>
        <w:b/>
        <w:bCs/>
      </w:rPr>
      <w:t>(</w:t>
    </w:r>
    <w:r>
      <w:rPr>
        <w:b/>
        <w:bCs/>
      </w:rPr>
      <w:t>2023</w:t>
    </w:r>
    <w:r w:rsidRPr="00926B6C">
      <w:rPr>
        <w:b/>
        <w:bCs/>
      </w:rPr>
      <w:t>-</w:t>
    </w:r>
    <w:r>
      <w:rPr>
        <w:b/>
        <w:bCs/>
      </w:rPr>
      <w:t>09</w:t>
    </w:r>
    <w:r w:rsidRPr="00926B6C">
      <w:rPr>
        <w:b/>
        <w:bCs/>
      </w:rPr>
      <w:t>)</w:t>
    </w:r>
  </w:p>
  <w:bookmarkEnd w:id="13"/>
  <w:bookmarkEnd w:id="14"/>
  <w:p w14:paraId="40F2EE9B" w14:textId="77777777" w:rsidR="00AB2B91" w:rsidRDefault="00AB2B91" w:rsidP="00E7313D">
    <w:pPr>
      <w:pStyle w:val="Footer"/>
      <w:tabs>
        <w:tab w:val="left" w:pos="682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D740" w14:textId="77777777" w:rsidR="00AB2B91" w:rsidRPr="008F0E27" w:rsidRDefault="00AB2B91" w:rsidP="002F0ED7">
    <w:pPr>
      <w:pStyle w:val="Footer"/>
      <w:tabs>
        <w:tab w:val="right" w:pos="8789"/>
      </w:tabs>
      <w:ind w:right="81"/>
      <w:jc w:val="right"/>
      <w:rPr>
        <w:b/>
        <w:bC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A303" w14:textId="17596FB0" w:rsidR="00AB3A43" w:rsidRPr="00DC0B58" w:rsidRDefault="00AB3A43" w:rsidP="00AB3A43">
    <w:pPr>
      <w:pStyle w:val="Footer"/>
      <w:tabs>
        <w:tab w:val="left" w:pos="851"/>
        <w:tab w:val="right" w:pos="8789"/>
      </w:tabs>
      <w:rPr>
        <w:szCs w:val="16"/>
        <w:lang w:eastAsia="zh-CN"/>
      </w:rPr>
    </w:pPr>
    <w:r w:rsidRPr="009D5FF3">
      <w:rPr>
        <w:color w:val="262626" w:themeColor="text1" w:themeTint="D9"/>
        <w:szCs w:val="8"/>
      </w:rPr>
      <w:fldChar w:fldCharType="begin"/>
    </w:r>
    <w:r w:rsidRPr="009D5FF3">
      <w:rPr>
        <w:color w:val="262626" w:themeColor="text1" w:themeTint="D9"/>
        <w:szCs w:val="8"/>
      </w:rPr>
      <w:instrText xml:space="preserve"> PAGE </w:instrText>
    </w:r>
    <w:r w:rsidRPr="009D5FF3">
      <w:rPr>
        <w:color w:val="262626" w:themeColor="text1" w:themeTint="D9"/>
        <w:szCs w:val="8"/>
      </w:rPr>
      <w:fldChar w:fldCharType="separate"/>
    </w:r>
    <w:r>
      <w:rPr>
        <w:color w:val="262626" w:themeColor="text1" w:themeTint="D9"/>
        <w:szCs w:val="8"/>
      </w:rPr>
      <w:t>ii</w:t>
    </w:r>
    <w:r w:rsidRPr="009D5FF3">
      <w:rPr>
        <w:color w:val="262626" w:themeColor="text1" w:themeTint="D9"/>
        <w:szCs w:val="8"/>
      </w:rPr>
      <w:fldChar w:fldCharType="end"/>
    </w:r>
    <w:r>
      <w:rPr>
        <w:color w:val="262626" w:themeColor="text1" w:themeTint="D9"/>
        <w:szCs w:val="8"/>
      </w:rPr>
      <w:tab/>
    </w:r>
    <w:r w:rsidR="00863A53" w:rsidRPr="00863A53">
      <w:rPr>
        <w:rFonts w:eastAsia="SimSun"/>
        <w:b/>
        <w:bCs/>
        <w:lang w:eastAsia="zh-CN"/>
      </w:rPr>
      <w:t xml:space="preserve">FG-CD-D4 </w:t>
    </w:r>
    <w:r w:rsidRPr="00E55209">
      <w:rPr>
        <w:rFonts w:eastAsia="SimSun" w:hint="eastAsia"/>
        <w:b/>
        <w:bCs/>
        <w:lang w:eastAsia="zh-CN"/>
      </w:rPr>
      <w:t>(202</w:t>
    </w:r>
    <w:r>
      <w:rPr>
        <w:rFonts w:eastAsia="SimSun"/>
        <w:b/>
        <w:bCs/>
        <w:lang w:eastAsia="zh-CN"/>
      </w:rPr>
      <w:t>5</w:t>
    </w:r>
    <w:r w:rsidRPr="00E55209">
      <w:rPr>
        <w:rFonts w:eastAsia="SimSun" w:hint="eastAsia"/>
        <w:b/>
        <w:bCs/>
        <w:lang w:eastAsia="zh-CN"/>
      </w:rPr>
      <w:t>-</w:t>
    </w:r>
    <w:r>
      <w:rPr>
        <w:rFonts w:eastAsia="SimSun"/>
        <w:b/>
        <w:bCs/>
        <w:lang w:eastAsia="zh-CN"/>
      </w:rPr>
      <w:t>10</w:t>
    </w:r>
    <w:r w:rsidRPr="00E55209">
      <w:rPr>
        <w:rFonts w:eastAsia="SimSun" w:hint="eastAsia"/>
        <w:b/>
        <w:bCs/>
        <w:lang w:eastAsia="zh-CN"/>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A7568" w14:textId="77777777" w:rsidR="00AF3EA3" w:rsidRDefault="00AF3E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A8D6" w14:textId="16FFFA69" w:rsidR="00AB3A43" w:rsidRPr="00EF4D56" w:rsidRDefault="00AB3A43" w:rsidP="00AB3A43">
    <w:pPr>
      <w:pStyle w:val="Footer"/>
      <w:tabs>
        <w:tab w:val="clear" w:pos="5954"/>
        <w:tab w:val="right" w:pos="8789"/>
      </w:tabs>
      <w:jc w:val="right"/>
      <w:rPr>
        <w:rFonts w:eastAsia="SimSun" w:cs="Arial"/>
        <w:szCs w:val="16"/>
      </w:rPr>
    </w:pPr>
    <w:r>
      <w:rPr>
        <w:rFonts w:eastAsia="SimSun"/>
        <w:b/>
        <w:bCs/>
        <w:caps w:val="0"/>
        <w:lang w:eastAsia="zh-CN"/>
      </w:rPr>
      <w:tab/>
    </w:r>
    <w:r w:rsidR="00863A53" w:rsidRPr="00863A53">
      <w:rPr>
        <w:rFonts w:eastAsia="SimSun"/>
        <w:b/>
        <w:bCs/>
        <w:lang w:eastAsia="zh-CN"/>
      </w:rPr>
      <w:t xml:space="preserve">FG-CD-D4 </w:t>
    </w:r>
    <w:r w:rsidRPr="00E55209">
      <w:rPr>
        <w:rFonts w:eastAsia="SimSun" w:hint="eastAsia"/>
        <w:b/>
        <w:bCs/>
        <w:lang w:eastAsia="zh-CN"/>
      </w:rPr>
      <w:t>(202</w:t>
    </w:r>
    <w:r>
      <w:rPr>
        <w:rFonts w:eastAsia="SimSun"/>
        <w:b/>
        <w:bCs/>
        <w:lang w:eastAsia="zh-CN"/>
      </w:rPr>
      <w:t>5</w:t>
    </w:r>
    <w:r w:rsidRPr="00E55209">
      <w:rPr>
        <w:rFonts w:eastAsia="SimSun" w:hint="eastAsia"/>
        <w:b/>
        <w:bCs/>
        <w:lang w:eastAsia="zh-CN"/>
      </w:rPr>
      <w:t>-</w:t>
    </w:r>
    <w:r>
      <w:rPr>
        <w:rFonts w:eastAsia="SimSun"/>
        <w:b/>
        <w:bCs/>
        <w:lang w:eastAsia="zh-CN"/>
      </w:rPr>
      <w:t>10</w:t>
    </w:r>
    <w:r w:rsidRPr="00E55209">
      <w:rPr>
        <w:rFonts w:eastAsia="SimSun" w:hint="eastAsia"/>
        <w:b/>
        <w:bCs/>
        <w:lang w:eastAsia="zh-CN"/>
      </w:rPr>
      <w:t>)</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rFonts w:eastAsia="SimSun"/>
        <w:caps w:val="0"/>
      </w:rPr>
      <w:t>i</w:t>
    </w:r>
    <w:r w:rsidRPr="00EF4D56">
      <w:rPr>
        <w:rFonts w:eastAsia="SimSun"/>
        <w:caps w:val="0"/>
      </w:rPr>
      <w:fldChar w:fldCharType="end"/>
    </w:r>
  </w:p>
  <w:p w14:paraId="1F1F495B" w14:textId="77777777" w:rsidR="00AB3A43" w:rsidRPr="00AB3A43" w:rsidRDefault="00AB3A43" w:rsidP="00AB3A4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31AB5" w14:textId="135D3335" w:rsidR="00536363" w:rsidRPr="00EF4D56" w:rsidRDefault="00536363" w:rsidP="00536363">
    <w:pPr>
      <w:pStyle w:val="Footer"/>
      <w:tabs>
        <w:tab w:val="clear" w:pos="5954"/>
        <w:tab w:val="right" w:pos="8789"/>
      </w:tabs>
      <w:jc w:val="right"/>
      <w:rPr>
        <w:rFonts w:eastAsia="SimSun" w:cs="Arial"/>
        <w:szCs w:val="16"/>
      </w:rPr>
    </w:pPr>
    <w:r>
      <w:rPr>
        <w:rFonts w:eastAsia="SimSun"/>
        <w:b/>
        <w:bCs/>
        <w:caps w:val="0"/>
      </w:rPr>
      <w:tab/>
    </w:r>
    <w:r w:rsidR="00863A53" w:rsidRPr="00863A53">
      <w:rPr>
        <w:rFonts w:eastAsia="SimSun"/>
        <w:b/>
        <w:bCs/>
        <w:lang w:eastAsia="zh-CN"/>
      </w:rPr>
      <w:t>FG-CD-D4</w:t>
    </w:r>
    <w:r w:rsidRPr="00E55209">
      <w:rPr>
        <w:rFonts w:eastAsia="SimSun" w:hint="eastAsia"/>
        <w:b/>
        <w:bCs/>
        <w:lang w:eastAsia="zh-CN"/>
      </w:rPr>
      <w:t xml:space="preserve"> (202</w:t>
    </w:r>
    <w:r>
      <w:rPr>
        <w:rFonts w:eastAsia="SimSun"/>
        <w:b/>
        <w:bCs/>
        <w:lang w:eastAsia="zh-CN"/>
      </w:rPr>
      <w:t>5</w:t>
    </w:r>
    <w:r w:rsidRPr="00E55209">
      <w:rPr>
        <w:rFonts w:eastAsia="SimSun" w:hint="eastAsia"/>
        <w:b/>
        <w:bCs/>
        <w:lang w:eastAsia="zh-CN"/>
      </w:rPr>
      <w:t>-</w:t>
    </w:r>
    <w:r>
      <w:rPr>
        <w:rFonts w:eastAsia="SimSun"/>
        <w:b/>
        <w:bCs/>
        <w:lang w:eastAsia="zh-CN"/>
      </w:rPr>
      <w:t>10</w:t>
    </w:r>
    <w:r w:rsidRPr="00E55209">
      <w:rPr>
        <w:rFonts w:eastAsia="SimSun" w:hint="eastAsia"/>
        <w:b/>
        <w:bCs/>
        <w:lang w:eastAsia="zh-CN"/>
      </w:rPr>
      <w:t>)</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rFonts w:eastAsia="SimSun"/>
        <w:caps w:val="0"/>
      </w:rPr>
      <w:t>3</w:t>
    </w:r>
    <w:r w:rsidRPr="00EF4D56">
      <w:rPr>
        <w:rFonts w:eastAsia="SimSun"/>
        <w:caps w:val="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3551C" w14:textId="3DD5F326" w:rsidR="00536363" w:rsidRPr="00EF4D56" w:rsidRDefault="00536363" w:rsidP="00AB3A43">
    <w:pPr>
      <w:pStyle w:val="Footer"/>
      <w:tabs>
        <w:tab w:val="clear" w:pos="5954"/>
        <w:tab w:val="right" w:pos="8789"/>
      </w:tabs>
      <w:jc w:val="right"/>
      <w:rPr>
        <w:rFonts w:eastAsia="SimSun" w:cs="Arial"/>
        <w:szCs w:val="16"/>
      </w:rPr>
    </w:pPr>
    <w:r>
      <w:rPr>
        <w:rFonts w:eastAsia="SimSun"/>
        <w:b/>
        <w:bCs/>
        <w:caps w:val="0"/>
        <w:lang w:eastAsia="zh-CN"/>
      </w:rPr>
      <w:tab/>
    </w:r>
    <w:r w:rsidR="00863A53" w:rsidRPr="00863A53">
      <w:rPr>
        <w:rFonts w:eastAsia="SimSun"/>
        <w:b/>
        <w:bCs/>
        <w:lang w:eastAsia="zh-CN"/>
      </w:rPr>
      <w:t xml:space="preserve">FG-CD-D4 </w:t>
    </w:r>
    <w:r w:rsidRPr="00E55209">
      <w:rPr>
        <w:rFonts w:eastAsia="SimSun" w:hint="eastAsia"/>
        <w:b/>
        <w:bCs/>
        <w:lang w:eastAsia="zh-CN"/>
      </w:rPr>
      <w:t>(202</w:t>
    </w:r>
    <w:r>
      <w:rPr>
        <w:rFonts w:eastAsia="SimSun"/>
        <w:b/>
        <w:bCs/>
        <w:lang w:eastAsia="zh-CN"/>
      </w:rPr>
      <w:t>5</w:t>
    </w:r>
    <w:r w:rsidRPr="00E55209">
      <w:rPr>
        <w:rFonts w:eastAsia="SimSun" w:hint="eastAsia"/>
        <w:b/>
        <w:bCs/>
        <w:lang w:eastAsia="zh-CN"/>
      </w:rPr>
      <w:t>-</w:t>
    </w:r>
    <w:r>
      <w:rPr>
        <w:rFonts w:eastAsia="SimSun"/>
        <w:b/>
        <w:bCs/>
        <w:lang w:eastAsia="zh-CN"/>
      </w:rPr>
      <w:t>10</w:t>
    </w:r>
    <w:r w:rsidRPr="00E55209">
      <w:rPr>
        <w:rFonts w:eastAsia="SimSun" w:hint="eastAsia"/>
        <w:b/>
        <w:bCs/>
        <w:lang w:eastAsia="zh-CN"/>
      </w:rPr>
      <w:t>)</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rFonts w:eastAsia="SimSun"/>
        <w:caps w:val="0"/>
      </w:rPr>
      <w:t>i</w:t>
    </w:r>
    <w:r w:rsidRPr="00EF4D56">
      <w:rPr>
        <w:rFonts w:eastAsia="SimSun"/>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B82DC" w14:textId="77777777" w:rsidR="007960B4" w:rsidRDefault="007960B4">
      <w:r>
        <w:separator/>
      </w:r>
    </w:p>
  </w:footnote>
  <w:footnote w:type="continuationSeparator" w:id="0">
    <w:p w14:paraId="66A6EB65" w14:textId="77777777" w:rsidR="007960B4" w:rsidRDefault="00796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F33D" w14:textId="77777777" w:rsidR="00AB2B91" w:rsidRDefault="00AB2B91">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3CF7" w14:textId="77777777" w:rsidR="00AB2B91" w:rsidRDefault="00AB2B91" w:rsidP="002F0ED7">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7DC1" w14:textId="77777777" w:rsidR="007020CE" w:rsidRDefault="00702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3DA7C6F"/>
    <w:multiLevelType w:val="multilevel"/>
    <w:tmpl w:val="DE80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D672C"/>
    <w:multiLevelType w:val="multilevel"/>
    <w:tmpl w:val="7DE2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9539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91B76C5"/>
    <w:multiLevelType w:val="hybridMultilevel"/>
    <w:tmpl w:val="2D3EE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D25B0"/>
    <w:multiLevelType w:val="multilevel"/>
    <w:tmpl w:val="16CA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A1829"/>
    <w:multiLevelType w:val="multilevel"/>
    <w:tmpl w:val="37368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F0C4D"/>
    <w:multiLevelType w:val="multilevel"/>
    <w:tmpl w:val="211E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5263E"/>
    <w:multiLevelType w:val="multilevel"/>
    <w:tmpl w:val="877C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27213"/>
    <w:multiLevelType w:val="multilevel"/>
    <w:tmpl w:val="46467B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774457"/>
    <w:multiLevelType w:val="hybridMultilevel"/>
    <w:tmpl w:val="16260DCE"/>
    <w:lvl w:ilvl="0" w:tplc="5F1C4A46">
      <w:start w:val="1"/>
      <w:numFmt w:val="decimal"/>
      <w:lvlText w:val="[%1]"/>
      <w:lvlJc w:val="left"/>
      <w:pPr>
        <w:tabs>
          <w:tab w:val="num" w:pos="576"/>
        </w:tabs>
        <w:ind w:left="5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9B317C3"/>
    <w:multiLevelType w:val="hybridMultilevel"/>
    <w:tmpl w:val="97260070"/>
    <w:lvl w:ilvl="0" w:tplc="E990E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9208AD"/>
    <w:multiLevelType w:val="multilevel"/>
    <w:tmpl w:val="E60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52D18"/>
    <w:multiLevelType w:val="multilevel"/>
    <w:tmpl w:val="E668E1EA"/>
    <w:lvl w:ilvl="0">
      <w:start w:val="1"/>
      <w:numFmt w:val="lowerLetter"/>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1D8950C5"/>
    <w:multiLevelType w:val="multilevel"/>
    <w:tmpl w:val="CB88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3858F1"/>
    <w:multiLevelType w:val="multilevel"/>
    <w:tmpl w:val="AAAA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A60B36"/>
    <w:multiLevelType w:val="hybridMultilevel"/>
    <w:tmpl w:val="7DE2D3C8"/>
    <w:lvl w:ilvl="0" w:tplc="7980A4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76513A7"/>
    <w:multiLevelType w:val="multilevel"/>
    <w:tmpl w:val="4D6E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3F210C"/>
    <w:multiLevelType w:val="multilevel"/>
    <w:tmpl w:val="F18C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3642A9"/>
    <w:multiLevelType w:val="multilevel"/>
    <w:tmpl w:val="3E76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C812C8"/>
    <w:multiLevelType w:val="multilevel"/>
    <w:tmpl w:val="8384CE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750FAF"/>
    <w:multiLevelType w:val="multilevel"/>
    <w:tmpl w:val="A564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278C5"/>
    <w:multiLevelType w:val="multilevel"/>
    <w:tmpl w:val="E3B2C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E77BD"/>
    <w:multiLevelType w:val="multilevel"/>
    <w:tmpl w:val="9D7A027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40765B"/>
    <w:multiLevelType w:val="multilevel"/>
    <w:tmpl w:val="B068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106E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3CA656B"/>
    <w:multiLevelType w:val="multilevel"/>
    <w:tmpl w:val="FE30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286269"/>
    <w:multiLevelType w:val="multilevel"/>
    <w:tmpl w:val="4324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6577CF"/>
    <w:multiLevelType w:val="multilevel"/>
    <w:tmpl w:val="03E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8E1929"/>
    <w:multiLevelType w:val="multilevel"/>
    <w:tmpl w:val="D31434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935887"/>
    <w:multiLevelType w:val="multilevel"/>
    <w:tmpl w:val="1770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DF2CEA"/>
    <w:multiLevelType w:val="multilevel"/>
    <w:tmpl w:val="95D6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0471F8"/>
    <w:multiLevelType w:val="multilevel"/>
    <w:tmpl w:val="ECDC49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214678"/>
    <w:multiLevelType w:val="multilevel"/>
    <w:tmpl w:val="71D2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E27CEC"/>
    <w:multiLevelType w:val="hybridMultilevel"/>
    <w:tmpl w:val="97DEC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B47CAC"/>
    <w:multiLevelType w:val="hybridMultilevel"/>
    <w:tmpl w:val="653A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527176"/>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658850C4"/>
    <w:multiLevelType w:val="multilevel"/>
    <w:tmpl w:val="65D2A3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71481F"/>
    <w:multiLevelType w:val="multilevel"/>
    <w:tmpl w:val="90243FAE"/>
    <w:lvl w:ilvl="0">
      <w:start w:val="7"/>
      <w:numFmt w:val="decimal"/>
      <w:lvlText w:val="%1."/>
      <w:lvlJc w:val="left"/>
      <w:pPr>
        <w:tabs>
          <w:tab w:val="num" w:pos="720"/>
        </w:tabs>
        <w:ind w:left="720" w:hanging="360"/>
      </w:p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013ABE"/>
    <w:multiLevelType w:val="multilevel"/>
    <w:tmpl w:val="2E909B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6F8D4E93"/>
    <w:multiLevelType w:val="multilevel"/>
    <w:tmpl w:val="B70A9802"/>
    <w:lvl w:ilvl="0">
      <w:start w:val="6"/>
      <w:numFmt w:val="decimal"/>
      <w:lvlText w:val="%1."/>
      <w:lvlJc w:val="left"/>
      <w:pPr>
        <w:tabs>
          <w:tab w:val="num" w:pos="720"/>
        </w:tabs>
        <w:ind w:left="720" w:hanging="360"/>
      </w:p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5F6D89"/>
    <w:multiLevelType w:val="multilevel"/>
    <w:tmpl w:val="F314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166487"/>
    <w:multiLevelType w:val="multilevel"/>
    <w:tmpl w:val="AE50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955040">
    <w:abstractNumId w:val="0"/>
  </w:num>
  <w:num w:numId="2" w16cid:durableId="1853689372">
    <w:abstractNumId w:val="0"/>
  </w:num>
  <w:num w:numId="3" w16cid:durableId="1003706676">
    <w:abstractNumId w:val="0"/>
  </w:num>
  <w:num w:numId="4" w16cid:durableId="965624160">
    <w:abstractNumId w:val="0"/>
  </w:num>
  <w:num w:numId="5" w16cid:durableId="646714007">
    <w:abstractNumId w:val="0"/>
  </w:num>
  <w:num w:numId="6" w16cid:durableId="359864422">
    <w:abstractNumId w:val="11"/>
  </w:num>
  <w:num w:numId="7" w16cid:durableId="2071688730">
    <w:abstractNumId w:val="10"/>
  </w:num>
  <w:num w:numId="8" w16cid:durableId="1926763763">
    <w:abstractNumId w:val="16"/>
  </w:num>
  <w:num w:numId="9" w16cid:durableId="2111898006">
    <w:abstractNumId w:val="23"/>
  </w:num>
  <w:num w:numId="10" w16cid:durableId="1219320659">
    <w:abstractNumId w:val="41"/>
  </w:num>
  <w:num w:numId="11" w16cid:durableId="1209955084">
    <w:abstractNumId w:val="9"/>
  </w:num>
  <w:num w:numId="12" w16cid:durableId="1939020755">
    <w:abstractNumId w:val="20"/>
  </w:num>
  <w:num w:numId="13" w16cid:durableId="190531836">
    <w:abstractNumId w:val="32"/>
  </w:num>
  <w:num w:numId="14" w16cid:durableId="50079043">
    <w:abstractNumId w:val="29"/>
  </w:num>
  <w:num w:numId="15" w16cid:durableId="1156145557">
    <w:abstractNumId w:val="40"/>
  </w:num>
  <w:num w:numId="16" w16cid:durableId="1281183151">
    <w:abstractNumId w:val="38"/>
  </w:num>
  <w:num w:numId="17" w16cid:durableId="1909261808">
    <w:abstractNumId w:val="37"/>
  </w:num>
  <w:num w:numId="18" w16cid:durableId="587618114">
    <w:abstractNumId w:val="4"/>
  </w:num>
  <w:num w:numId="19" w16cid:durableId="250311494">
    <w:abstractNumId w:val="25"/>
  </w:num>
  <w:num w:numId="20" w16cid:durableId="461268715">
    <w:abstractNumId w:val="36"/>
  </w:num>
  <w:num w:numId="21" w16cid:durableId="2021160438">
    <w:abstractNumId w:val="13"/>
  </w:num>
  <w:num w:numId="22" w16cid:durableId="337657857">
    <w:abstractNumId w:val="34"/>
  </w:num>
  <w:num w:numId="23" w16cid:durableId="1156144891">
    <w:abstractNumId w:val="3"/>
  </w:num>
  <w:num w:numId="24" w16cid:durableId="1874732226">
    <w:abstractNumId w:val="33"/>
  </w:num>
  <w:num w:numId="25" w16cid:durableId="520126175">
    <w:abstractNumId w:val="8"/>
  </w:num>
  <w:num w:numId="26" w16cid:durableId="928588623">
    <w:abstractNumId w:val="6"/>
  </w:num>
  <w:num w:numId="27" w16cid:durableId="546918192">
    <w:abstractNumId w:val="22"/>
  </w:num>
  <w:num w:numId="28" w16cid:durableId="1486361983">
    <w:abstractNumId w:val="31"/>
  </w:num>
  <w:num w:numId="29" w16cid:durableId="970522797">
    <w:abstractNumId w:val="14"/>
  </w:num>
  <w:num w:numId="30" w16cid:durableId="1573537689">
    <w:abstractNumId w:val="26"/>
  </w:num>
  <w:num w:numId="31" w16cid:durableId="431434885">
    <w:abstractNumId w:val="17"/>
  </w:num>
  <w:num w:numId="32" w16cid:durableId="859510098">
    <w:abstractNumId w:val="21"/>
  </w:num>
  <w:num w:numId="33" w16cid:durableId="13459387">
    <w:abstractNumId w:val="5"/>
  </w:num>
  <w:num w:numId="34" w16cid:durableId="632099346">
    <w:abstractNumId w:val="27"/>
  </w:num>
  <w:num w:numId="35" w16cid:durableId="232201536">
    <w:abstractNumId w:val="28"/>
  </w:num>
  <w:num w:numId="36" w16cid:durableId="214977473">
    <w:abstractNumId w:val="12"/>
  </w:num>
  <w:num w:numId="37" w16cid:durableId="1781799851">
    <w:abstractNumId w:val="19"/>
  </w:num>
  <w:num w:numId="38" w16cid:durableId="1576743300">
    <w:abstractNumId w:val="1"/>
  </w:num>
  <w:num w:numId="39" w16cid:durableId="1783499162">
    <w:abstractNumId w:val="7"/>
  </w:num>
  <w:num w:numId="40" w16cid:durableId="1065420043">
    <w:abstractNumId w:val="3"/>
    <w:lvlOverride w:ilvl="0">
      <w:startOverride w:val="8"/>
    </w:lvlOverride>
    <w:lvlOverride w:ilvl="1">
      <w:startOverride w:val="2"/>
    </w:lvlOverride>
  </w:num>
  <w:num w:numId="41" w16cid:durableId="724639605">
    <w:abstractNumId w:val="18"/>
  </w:num>
  <w:num w:numId="42" w16cid:durableId="802581823">
    <w:abstractNumId w:val="15"/>
  </w:num>
  <w:num w:numId="43" w16cid:durableId="1950238267">
    <w:abstractNumId w:val="42"/>
  </w:num>
  <w:num w:numId="44" w16cid:durableId="486364219">
    <w:abstractNumId w:val="30"/>
  </w:num>
  <w:num w:numId="45" w16cid:durableId="2135176815">
    <w:abstractNumId w:val="24"/>
  </w:num>
  <w:num w:numId="46" w16cid:durableId="700671263">
    <w:abstractNumId w:val="2"/>
  </w:num>
  <w:num w:numId="47" w16cid:durableId="540242733">
    <w:abstractNumId w:val="35"/>
  </w:num>
  <w:num w:numId="48" w16cid:durableId="77675382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de-DE" w:vendorID="9" w:dllVersion="512" w:checkStyle="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xMDY2MjMzMrAwNbRQ0lEKTi0uzszPAykwqQUAEkZUoywAAAA="/>
  </w:docVars>
  <w:rsids>
    <w:rsidRoot w:val="002B6698"/>
    <w:rsid w:val="0000106C"/>
    <w:rsid w:val="00003A46"/>
    <w:rsid w:val="00003EF6"/>
    <w:rsid w:val="000240F0"/>
    <w:rsid w:val="00025CE4"/>
    <w:rsid w:val="00026601"/>
    <w:rsid w:val="000279E4"/>
    <w:rsid w:val="000411CF"/>
    <w:rsid w:val="0004268D"/>
    <w:rsid w:val="00043316"/>
    <w:rsid w:val="0004396B"/>
    <w:rsid w:val="00046939"/>
    <w:rsid w:val="00046957"/>
    <w:rsid w:val="00047A4B"/>
    <w:rsid w:val="00047F98"/>
    <w:rsid w:val="000518AD"/>
    <w:rsid w:val="000532FD"/>
    <w:rsid w:val="0006415A"/>
    <w:rsid w:val="00070518"/>
    <w:rsid w:val="00070F09"/>
    <w:rsid w:val="00072BBA"/>
    <w:rsid w:val="000742E4"/>
    <w:rsid w:val="00076A19"/>
    <w:rsid w:val="00095DF1"/>
    <w:rsid w:val="00096C04"/>
    <w:rsid w:val="000A03F5"/>
    <w:rsid w:val="000A1149"/>
    <w:rsid w:val="000A4B9B"/>
    <w:rsid w:val="000A5BA0"/>
    <w:rsid w:val="000B3DE5"/>
    <w:rsid w:val="000C48E2"/>
    <w:rsid w:val="000C4C1B"/>
    <w:rsid w:val="000C4C66"/>
    <w:rsid w:val="000D5EF7"/>
    <w:rsid w:val="000D5F5E"/>
    <w:rsid w:val="000E21BE"/>
    <w:rsid w:val="000F5F03"/>
    <w:rsid w:val="0011233E"/>
    <w:rsid w:val="00116665"/>
    <w:rsid w:val="00120EB0"/>
    <w:rsid w:val="0012121A"/>
    <w:rsid w:val="00121703"/>
    <w:rsid w:val="0012245A"/>
    <w:rsid w:val="00123DF0"/>
    <w:rsid w:val="001331ED"/>
    <w:rsid w:val="0015046B"/>
    <w:rsid w:val="00161A19"/>
    <w:rsid w:val="001730DD"/>
    <w:rsid w:val="001827E1"/>
    <w:rsid w:val="00190680"/>
    <w:rsid w:val="00195888"/>
    <w:rsid w:val="001A7FFD"/>
    <w:rsid w:val="001B083C"/>
    <w:rsid w:val="001B3EE7"/>
    <w:rsid w:val="001B6BF9"/>
    <w:rsid w:val="001C4099"/>
    <w:rsid w:val="001C4660"/>
    <w:rsid w:val="001C511F"/>
    <w:rsid w:val="001D278A"/>
    <w:rsid w:val="001D7138"/>
    <w:rsid w:val="001F2EF3"/>
    <w:rsid w:val="001F540E"/>
    <w:rsid w:val="001F7842"/>
    <w:rsid w:val="0020399F"/>
    <w:rsid w:val="002052E1"/>
    <w:rsid w:val="00206B44"/>
    <w:rsid w:val="00215166"/>
    <w:rsid w:val="00221AC5"/>
    <w:rsid w:val="00221BDA"/>
    <w:rsid w:val="00231278"/>
    <w:rsid w:val="00233DC0"/>
    <w:rsid w:val="002342FD"/>
    <w:rsid w:val="00234FE0"/>
    <w:rsid w:val="0023670C"/>
    <w:rsid w:val="00245263"/>
    <w:rsid w:val="00246A56"/>
    <w:rsid w:val="00247549"/>
    <w:rsid w:val="002521D7"/>
    <w:rsid w:val="00254C5D"/>
    <w:rsid w:val="00260C54"/>
    <w:rsid w:val="0026525F"/>
    <w:rsid w:val="00267599"/>
    <w:rsid w:val="00271338"/>
    <w:rsid w:val="00280629"/>
    <w:rsid w:val="0028160A"/>
    <w:rsid w:val="00284941"/>
    <w:rsid w:val="00297C85"/>
    <w:rsid w:val="002A30FA"/>
    <w:rsid w:val="002A5B56"/>
    <w:rsid w:val="002B6698"/>
    <w:rsid w:val="002D7177"/>
    <w:rsid w:val="002E0B1A"/>
    <w:rsid w:val="002F250B"/>
    <w:rsid w:val="002F2D7B"/>
    <w:rsid w:val="00300C11"/>
    <w:rsid w:val="00305669"/>
    <w:rsid w:val="003112FE"/>
    <w:rsid w:val="00332B69"/>
    <w:rsid w:val="00332CB5"/>
    <w:rsid w:val="00334838"/>
    <w:rsid w:val="003352F5"/>
    <w:rsid w:val="00341B39"/>
    <w:rsid w:val="00352600"/>
    <w:rsid w:val="0035418D"/>
    <w:rsid w:val="0035744A"/>
    <w:rsid w:val="0036196A"/>
    <w:rsid w:val="0036772B"/>
    <w:rsid w:val="003719C8"/>
    <w:rsid w:val="00377B48"/>
    <w:rsid w:val="00380A21"/>
    <w:rsid w:val="003923F4"/>
    <w:rsid w:val="003A159F"/>
    <w:rsid w:val="003A39A6"/>
    <w:rsid w:val="003A68FD"/>
    <w:rsid w:val="003B413D"/>
    <w:rsid w:val="003C1D02"/>
    <w:rsid w:val="003C41EE"/>
    <w:rsid w:val="003C4BCB"/>
    <w:rsid w:val="003C5583"/>
    <w:rsid w:val="003C61D7"/>
    <w:rsid w:val="003D3AD1"/>
    <w:rsid w:val="003E04D0"/>
    <w:rsid w:val="003E1A04"/>
    <w:rsid w:val="003F1F02"/>
    <w:rsid w:val="00403793"/>
    <w:rsid w:val="0040780C"/>
    <w:rsid w:val="00420B93"/>
    <w:rsid w:val="00420C46"/>
    <w:rsid w:val="00422417"/>
    <w:rsid w:val="00423A86"/>
    <w:rsid w:val="00430298"/>
    <w:rsid w:val="00430EDB"/>
    <w:rsid w:val="00431ED3"/>
    <w:rsid w:val="004344C0"/>
    <w:rsid w:val="00440982"/>
    <w:rsid w:val="00446FE8"/>
    <w:rsid w:val="00461F2E"/>
    <w:rsid w:val="0046200C"/>
    <w:rsid w:val="00465F73"/>
    <w:rsid w:val="004672B1"/>
    <w:rsid w:val="00467575"/>
    <w:rsid w:val="00470944"/>
    <w:rsid w:val="0047097C"/>
    <w:rsid w:val="00475835"/>
    <w:rsid w:val="00484862"/>
    <w:rsid w:val="00485B36"/>
    <w:rsid w:val="004959D5"/>
    <w:rsid w:val="00497B40"/>
    <w:rsid w:val="004A106E"/>
    <w:rsid w:val="004A1775"/>
    <w:rsid w:val="004A277D"/>
    <w:rsid w:val="004A6AF6"/>
    <w:rsid w:val="004B6367"/>
    <w:rsid w:val="004D1ECB"/>
    <w:rsid w:val="004E092B"/>
    <w:rsid w:val="004E7699"/>
    <w:rsid w:val="004F08A6"/>
    <w:rsid w:val="00505018"/>
    <w:rsid w:val="00507AF4"/>
    <w:rsid w:val="00511A7E"/>
    <w:rsid w:val="005121DB"/>
    <w:rsid w:val="005208CB"/>
    <w:rsid w:val="00522137"/>
    <w:rsid w:val="0052485C"/>
    <w:rsid w:val="00531C42"/>
    <w:rsid w:val="00536363"/>
    <w:rsid w:val="0054018A"/>
    <w:rsid w:val="00540EED"/>
    <w:rsid w:val="00544975"/>
    <w:rsid w:val="00545616"/>
    <w:rsid w:val="00547291"/>
    <w:rsid w:val="00550655"/>
    <w:rsid w:val="0055069B"/>
    <w:rsid w:val="00555329"/>
    <w:rsid w:val="00556CE6"/>
    <w:rsid w:val="00580CAF"/>
    <w:rsid w:val="00591C91"/>
    <w:rsid w:val="005B37DD"/>
    <w:rsid w:val="005C053E"/>
    <w:rsid w:val="005C1969"/>
    <w:rsid w:val="005C30EA"/>
    <w:rsid w:val="005C3BAD"/>
    <w:rsid w:val="005C708F"/>
    <w:rsid w:val="005D2541"/>
    <w:rsid w:val="005E2E8F"/>
    <w:rsid w:val="005E5301"/>
    <w:rsid w:val="006011FD"/>
    <w:rsid w:val="0060208C"/>
    <w:rsid w:val="00612AA9"/>
    <w:rsid w:val="00614B2D"/>
    <w:rsid w:val="00621448"/>
    <w:rsid w:val="00623DC5"/>
    <w:rsid w:val="00624B97"/>
    <w:rsid w:val="00625931"/>
    <w:rsid w:val="00625D8F"/>
    <w:rsid w:val="00627AFA"/>
    <w:rsid w:val="0063170A"/>
    <w:rsid w:val="00645E0C"/>
    <w:rsid w:val="006606D6"/>
    <w:rsid w:val="006626C9"/>
    <w:rsid w:val="00662DE6"/>
    <w:rsid w:val="00664E0D"/>
    <w:rsid w:val="00680783"/>
    <w:rsid w:val="006821B2"/>
    <w:rsid w:val="0068295E"/>
    <w:rsid w:val="00696854"/>
    <w:rsid w:val="006A4B38"/>
    <w:rsid w:val="006A7605"/>
    <w:rsid w:val="006A776F"/>
    <w:rsid w:val="006B3210"/>
    <w:rsid w:val="006B553E"/>
    <w:rsid w:val="006B69BE"/>
    <w:rsid w:val="006B6A20"/>
    <w:rsid w:val="006C31FE"/>
    <w:rsid w:val="006C40EC"/>
    <w:rsid w:val="006E1198"/>
    <w:rsid w:val="006E3981"/>
    <w:rsid w:val="006E5905"/>
    <w:rsid w:val="006E71B1"/>
    <w:rsid w:val="006F47E7"/>
    <w:rsid w:val="006F6140"/>
    <w:rsid w:val="00701334"/>
    <w:rsid w:val="007020CE"/>
    <w:rsid w:val="0071463B"/>
    <w:rsid w:val="00725DC2"/>
    <w:rsid w:val="007309D6"/>
    <w:rsid w:val="007360AE"/>
    <w:rsid w:val="007375A3"/>
    <w:rsid w:val="00752258"/>
    <w:rsid w:val="007539F9"/>
    <w:rsid w:val="00755102"/>
    <w:rsid w:val="00755BDA"/>
    <w:rsid w:val="00760AD7"/>
    <w:rsid w:val="00761643"/>
    <w:rsid w:val="00772C35"/>
    <w:rsid w:val="007801D8"/>
    <w:rsid w:val="00785821"/>
    <w:rsid w:val="00795817"/>
    <w:rsid w:val="007960B4"/>
    <w:rsid w:val="007A5320"/>
    <w:rsid w:val="007A5777"/>
    <w:rsid w:val="007C646F"/>
    <w:rsid w:val="007D09FA"/>
    <w:rsid w:val="007D2A87"/>
    <w:rsid w:val="007D69A3"/>
    <w:rsid w:val="007E7246"/>
    <w:rsid w:val="007F0695"/>
    <w:rsid w:val="007F1861"/>
    <w:rsid w:val="007F6547"/>
    <w:rsid w:val="00801DD9"/>
    <w:rsid w:val="00806E86"/>
    <w:rsid w:val="008226AD"/>
    <w:rsid w:val="0082287E"/>
    <w:rsid w:val="00822E0E"/>
    <w:rsid w:val="00826028"/>
    <w:rsid w:val="00832300"/>
    <w:rsid w:val="00834918"/>
    <w:rsid w:val="008352C7"/>
    <w:rsid w:val="00835B4D"/>
    <w:rsid w:val="008501B1"/>
    <w:rsid w:val="0085354C"/>
    <w:rsid w:val="00857DF6"/>
    <w:rsid w:val="00860F76"/>
    <w:rsid w:val="00863A53"/>
    <w:rsid w:val="008768FD"/>
    <w:rsid w:val="0087720C"/>
    <w:rsid w:val="008818C5"/>
    <w:rsid w:val="00882E34"/>
    <w:rsid w:val="00883942"/>
    <w:rsid w:val="00887B06"/>
    <w:rsid w:val="008A1664"/>
    <w:rsid w:val="008A53C3"/>
    <w:rsid w:val="008A5F99"/>
    <w:rsid w:val="008A6476"/>
    <w:rsid w:val="008A66A3"/>
    <w:rsid w:val="008B5816"/>
    <w:rsid w:val="008C0DA1"/>
    <w:rsid w:val="008C1165"/>
    <w:rsid w:val="008C473D"/>
    <w:rsid w:val="008D0D9D"/>
    <w:rsid w:val="008D4A0B"/>
    <w:rsid w:val="008F46F3"/>
    <w:rsid w:val="00902B79"/>
    <w:rsid w:val="009053D4"/>
    <w:rsid w:val="0092328C"/>
    <w:rsid w:val="0093281C"/>
    <w:rsid w:val="0093379A"/>
    <w:rsid w:val="00937F79"/>
    <w:rsid w:val="00941712"/>
    <w:rsid w:val="00941EAC"/>
    <w:rsid w:val="009528B5"/>
    <w:rsid w:val="00955DDF"/>
    <w:rsid w:val="0096183F"/>
    <w:rsid w:val="00967559"/>
    <w:rsid w:val="0096793F"/>
    <w:rsid w:val="00971202"/>
    <w:rsid w:val="009712D6"/>
    <w:rsid w:val="0099596F"/>
    <w:rsid w:val="00996A8B"/>
    <w:rsid w:val="009A087C"/>
    <w:rsid w:val="009A2E02"/>
    <w:rsid w:val="009A7C1C"/>
    <w:rsid w:val="009C0A35"/>
    <w:rsid w:val="009C1C0B"/>
    <w:rsid w:val="009D20B2"/>
    <w:rsid w:val="009D235C"/>
    <w:rsid w:val="009D2EE0"/>
    <w:rsid w:val="009D78F9"/>
    <w:rsid w:val="009D7DAA"/>
    <w:rsid w:val="00A02D12"/>
    <w:rsid w:val="00A06D6F"/>
    <w:rsid w:val="00A1570F"/>
    <w:rsid w:val="00A17D26"/>
    <w:rsid w:val="00A23CF5"/>
    <w:rsid w:val="00A25E56"/>
    <w:rsid w:val="00A27FD7"/>
    <w:rsid w:val="00A3683A"/>
    <w:rsid w:val="00A369BD"/>
    <w:rsid w:val="00A42AFF"/>
    <w:rsid w:val="00A455BC"/>
    <w:rsid w:val="00A47368"/>
    <w:rsid w:val="00A53674"/>
    <w:rsid w:val="00A56FA7"/>
    <w:rsid w:val="00A61CFA"/>
    <w:rsid w:val="00A66817"/>
    <w:rsid w:val="00A82E0F"/>
    <w:rsid w:val="00A86250"/>
    <w:rsid w:val="00A917A7"/>
    <w:rsid w:val="00AB2B91"/>
    <w:rsid w:val="00AB3A43"/>
    <w:rsid w:val="00AB50A6"/>
    <w:rsid w:val="00AD185E"/>
    <w:rsid w:val="00AD2888"/>
    <w:rsid w:val="00AD6A4D"/>
    <w:rsid w:val="00AF37E5"/>
    <w:rsid w:val="00AF3EA3"/>
    <w:rsid w:val="00B07851"/>
    <w:rsid w:val="00B104A8"/>
    <w:rsid w:val="00B10E9F"/>
    <w:rsid w:val="00B160C8"/>
    <w:rsid w:val="00B27790"/>
    <w:rsid w:val="00B30DB7"/>
    <w:rsid w:val="00B324D6"/>
    <w:rsid w:val="00B3374F"/>
    <w:rsid w:val="00B33C61"/>
    <w:rsid w:val="00B33D24"/>
    <w:rsid w:val="00B35180"/>
    <w:rsid w:val="00B36849"/>
    <w:rsid w:val="00B4082B"/>
    <w:rsid w:val="00B44E80"/>
    <w:rsid w:val="00B4689C"/>
    <w:rsid w:val="00B5048D"/>
    <w:rsid w:val="00B53B08"/>
    <w:rsid w:val="00B543F6"/>
    <w:rsid w:val="00B5578E"/>
    <w:rsid w:val="00B61C94"/>
    <w:rsid w:val="00B75DE0"/>
    <w:rsid w:val="00B774CF"/>
    <w:rsid w:val="00B8318D"/>
    <w:rsid w:val="00B8430D"/>
    <w:rsid w:val="00B86B04"/>
    <w:rsid w:val="00B9100A"/>
    <w:rsid w:val="00B91C44"/>
    <w:rsid w:val="00B9544C"/>
    <w:rsid w:val="00B9761B"/>
    <w:rsid w:val="00BA274B"/>
    <w:rsid w:val="00BA5DDA"/>
    <w:rsid w:val="00BA7F70"/>
    <w:rsid w:val="00BB25D9"/>
    <w:rsid w:val="00BB4B86"/>
    <w:rsid w:val="00BB7569"/>
    <w:rsid w:val="00BC6E55"/>
    <w:rsid w:val="00BD10D5"/>
    <w:rsid w:val="00BE4346"/>
    <w:rsid w:val="00BF15CA"/>
    <w:rsid w:val="00BF7AEA"/>
    <w:rsid w:val="00C01838"/>
    <w:rsid w:val="00C02490"/>
    <w:rsid w:val="00C033FD"/>
    <w:rsid w:val="00C05A6D"/>
    <w:rsid w:val="00C13139"/>
    <w:rsid w:val="00C20FB0"/>
    <w:rsid w:val="00C25162"/>
    <w:rsid w:val="00C25A64"/>
    <w:rsid w:val="00C27BDB"/>
    <w:rsid w:val="00C34740"/>
    <w:rsid w:val="00C355B8"/>
    <w:rsid w:val="00C360AC"/>
    <w:rsid w:val="00C36AF2"/>
    <w:rsid w:val="00C40702"/>
    <w:rsid w:val="00C41BE5"/>
    <w:rsid w:val="00C425A7"/>
    <w:rsid w:val="00C43A08"/>
    <w:rsid w:val="00C44A36"/>
    <w:rsid w:val="00C45917"/>
    <w:rsid w:val="00C45D3F"/>
    <w:rsid w:val="00C50718"/>
    <w:rsid w:val="00C50B99"/>
    <w:rsid w:val="00C54E6C"/>
    <w:rsid w:val="00C6213C"/>
    <w:rsid w:val="00C638CE"/>
    <w:rsid w:val="00C67FF1"/>
    <w:rsid w:val="00C74EF5"/>
    <w:rsid w:val="00C777AF"/>
    <w:rsid w:val="00C802FE"/>
    <w:rsid w:val="00C82BEA"/>
    <w:rsid w:val="00C83258"/>
    <w:rsid w:val="00C83E6B"/>
    <w:rsid w:val="00C97E8A"/>
    <w:rsid w:val="00CA7DB0"/>
    <w:rsid w:val="00CC0EC5"/>
    <w:rsid w:val="00CD6EB0"/>
    <w:rsid w:val="00CE113C"/>
    <w:rsid w:val="00CE2115"/>
    <w:rsid w:val="00CF3078"/>
    <w:rsid w:val="00D127C4"/>
    <w:rsid w:val="00D13C9D"/>
    <w:rsid w:val="00D17D67"/>
    <w:rsid w:val="00D21475"/>
    <w:rsid w:val="00D268EE"/>
    <w:rsid w:val="00D37E9B"/>
    <w:rsid w:val="00D40749"/>
    <w:rsid w:val="00D43137"/>
    <w:rsid w:val="00D55DA1"/>
    <w:rsid w:val="00D628F4"/>
    <w:rsid w:val="00D6418E"/>
    <w:rsid w:val="00D66D29"/>
    <w:rsid w:val="00D763A7"/>
    <w:rsid w:val="00D80F9D"/>
    <w:rsid w:val="00D82AF2"/>
    <w:rsid w:val="00D9443C"/>
    <w:rsid w:val="00D94DD7"/>
    <w:rsid w:val="00D97236"/>
    <w:rsid w:val="00DA3C56"/>
    <w:rsid w:val="00DB5BEA"/>
    <w:rsid w:val="00DC2333"/>
    <w:rsid w:val="00DC6BBF"/>
    <w:rsid w:val="00DE435E"/>
    <w:rsid w:val="00DF0419"/>
    <w:rsid w:val="00DF43AA"/>
    <w:rsid w:val="00DF4F4D"/>
    <w:rsid w:val="00DF6799"/>
    <w:rsid w:val="00E01045"/>
    <w:rsid w:val="00E0680F"/>
    <w:rsid w:val="00E1193A"/>
    <w:rsid w:val="00E176B9"/>
    <w:rsid w:val="00E17F7D"/>
    <w:rsid w:val="00E41B61"/>
    <w:rsid w:val="00E474E8"/>
    <w:rsid w:val="00E549BD"/>
    <w:rsid w:val="00E60215"/>
    <w:rsid w:val="00E9320E"/>
    <w:rsid w:val="00E95E88"/>
    <w:rsid w:val="00EA61B8"/>
    <w:rsid w:val="00EB11CF"/>
    <w:rsid w:val="00EC1B13"/>
    <w:rsid w:val="00EC2A42"/>
    <w:rsid w:val="00EC3662"/>
    <w:rsid w:val="00EC4F8E"/>
    <w:rsid w:val="00ED5323"/>
    <w:rsid w:val="00EF75C2"/>
    <w:rsid w:val="00F1236E"/>
    <w:rsid w:val="00F12A9B"/>
    <w:rsid w:val="00F21517"/>
    <w:rsid w:val="00F223DC"/>
    <w:rsid w:val="00F22D5E"/>
    <w:rsid w:val="00F30FCF"/>
    <w:rsid w:val="00F31B0E"/>
    <w:rsid w:val="00F34DB7"/>
    <w:rsid w:val="00F35AEB"/>
    <w:rsid w:val="00F41014"/>
    <w:rsid w:val="00F529E1"/>
    <w:rsid w:val="00F60A3A"/>
    <w:rsid w:val="00F661A9"/>
    <w:rsid w:val="00F7315C"/>
    <w:rsid w:val="00F84CDD"/>
    <w:rsid w:val="00F874CD"/>
    <w:rsid w:val="00F92D09"/>
    <w:rsid w:val="00F933C8"/>
    <w:rsid w:val="00F937B7"/>
    <w:rsid w:val="00F9425E"/>
    <w:rsid w:val="00F9551A"/>
    <w:rsid w:val="00F97449"/>
    <w:rsid w:val="00FA5B9A"/>
    <w:rsid w:val="00FB65BF"/>
    <w:rsid w:val="00FC216C"/>
    <w:rsid w:val="00FC6E8E"/>
    <w:rsid w:val="00FC76ED"/>
    <w:rsid w:val="00FC7A2A"/>
    <w:rsid w:val="00FD3C41"/>
    <w:rsid w:val="00FD647A"/>
    <w:rsid w:val="00FE080D"/>
    <w:rsid w:val="00FE230B"/>
    <w:rsid w:val="00FE2C4C"/>
    <w:rsid w:val="00FF151E"/>
    <w:rsid w:val="00FF625F"/>
    <w:rsid w:val="0320D62A"/>
    <w:rsid w:val="341F235F"/>
    <w:rsid w:val="363DB6F9"/>
    <w:rsid w:val="5AB6EF88"/>
    <w:rsid w:val="6DB850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DBC8C"/>
  <w15:chartTrackingRefBased/>
  <w15:docId w15:val="{55875325-2DDE-4251-BC09-1FEA8CD9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able of figures"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1045"/>
    <w:pPr>
      <w:tabs>
        <w:tab w:val="left" w:pos="794"/>
        <w:tab w:val="left" w:pos="1191"/>
        <w:tab w:val="left" w:pos="1588"/>
        <w:tab w:val="left" w:pos="1985"/>
      </w:tabs>
      <w:overflowPunct w:val="0"/>
      <w:autoSpaceDE w:val="0"/>
      <w:autoSpaceDN w:val="0"/>
      <w:adjustRightInd w:val="0"/>
      <w:spacing w:before="120"/>
      <w:jc w:val="both"/>
      <w:textAlignment w:val="baseline"/>
    </w:pPr>
    <w:rPr>
      <w:sz w:val="24"/>
      <w:lang w:val="en-GB" w:eastAsia="en-US"/>
    </w:rPr>
  </w:style>
  <w:style w:type="paragraph" w:styleId="Heading1">
    <w:name w:val="heading 1"/>
    <w:basedOn w:val="Normal"/>
    <w:next w:val="Normal"/>
    <w:link w:val="Heading1Char"/>
    <w:qFormat/>
    <w:rsid w:val="00E01045"/>
    <w:pPr>
      <w:keepNext/>
      <w:keepLines/>
      <w:spacing w:before="360"/>
      <w:ind w:left="794" w:hanging="794"/>
      <w:jc w:val="left"/>
      <w:outlineLvl w:val="0"/>
    </w:pPr>
    <w:rPr>
      <w:b/>
    </w:rPr>
  </w:style>
  <w:style w:type="paragraph" w:styleId="Heading2">
    <w:name w:val="heading 2"/>
    <w:basedOn w:val="Heading1"/>
    <w:next w:val="Normal"/>
    <w:qFormat/>
    <w:rsid w:val="00E01045"/>
    <w:pPr>
      <w:spacing w:before="240"/>
      <w:outlineLvl w:val="1"/>
    </w:pPr>
  </w:style>
  <w:style w:type="paragraph" w:styleId="Heading3">
    <w:name w:val="heading 3"/>
    <w:basedOn w:val="Heading1"/>
    <w:next w:val="Normal"/>
    <w:qFormat/>
    <w:rsid w:val="00E01045"/>
    <w:pPr>
      <w:spacing w:before="160"/>
      <w:outlineLvl w:val="2"/>
    </w:pPr>
  </w:style>
  <w:style w:type="paragraph" w:styleId="Heading4">
    <w:name w:val="heading 4"/>
    <w:basedOn w:val="Heading3"/>
    <w:next w:val="Normal"/>
    <w:qFormat/>
    <w:rsid w:val="00E01045"/>
    <w:pPr>
      <w:tabs>
        <w:tab w:val="clear" w:pos="794"/>
        <w:tab w:val="left" w:pos="1021"/>
      </w:tabs>
      <w:ind w:left="1021" w:hanging="1021"/>
      <w:outlineLvl w:val="3"/>
    </w:pPr>
  </w:style>
  <w:style w:type="paragraph" w:styleId="Heading5">
    <w:name w:val="heading 5"/>
    <w:basedOn w:val="Heading4"/>
    <w:next w:val="Normal"/>
    <w:qFormat/>
    <w:rsid w:val="00E01045"/>
    <w:pPr>
      <w:outlineLvl w:val="4"/>
    </w:pPr>
  </w:style>
  <w:style w:type="paragraph" w:styleId="Heading6">
    <w:name w:val="heading 6"/>
    <w:basedOn w:val="Heading4"/>
    <w:next w:val="Normal"/>
    <w:qFormat/>
    <w:rsid w:val="00E01045"/>
    <w:pPr>
      <w:tabs>
        <w:tab w:val="clear" w:pos="1021"/>
        <w:tab w:val="clear" w:pos="1191"/>
      </w:tabs>
      <w:ind w:left="1588" w:hanging="1588"/>
      <w:outlineLvl w:val="5"/>
    </w:pPr>
  </w:style>
  <w:style w:type="paragraph" w:styleId="Heading7">
    <w:name w:val="heading 7"/>
    <w:basedOn w:val="Heading6"/>
    <w:next w:val="Normal"/>
    <w:qFormat/>
    <w:rsid w:val="00E01045"/>
    <w:pPr>
      <w:outlineLvl w:val="6"/>
    </w:pPr>
  </w:style>
  <w:style w:type="paragraph" w:styleId="Heading8">
    <w:name w:val="heading 8"/>
    <w:basedOn w:val="Heading6"/>
    <w:next w:val="Normal"/>
    <w:qFormat/>
    <w:rsid w:val="00E01045"/>
    <w:pPr>
      <w:outlineLvl w:val="7"/>
    </w:pPr>
  </w:style>
  <w:style w:type="paragraph" w:styleId="Heading9">
    <w:name w:val="heading 9"/>
    <w:basedOn w:val="Heading6"/>
    <w:next w:val="Normal"/>
    <w:qFormat/>
    <w:rsid w:val="00E0104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rsid w:val="00E01045"/>
    <w:pPr>
      <w:keepNext/>
      <w:keepLines/>
      <w:spacing w:before="480"/>
      <w:jc w:val="center"/>
    </w:pPr>
    <w:rPr>
      <w:b/>
      <w:sz w:val="28"/>
    </w:rPr>
  </w:style>
  <w:style w:type="paragraph" w:customStyle="1" w:styleId="Docnumber">
    <w:name w:val="Docnumber"/>
    <w:basedOn w:val="Normal"/>
    <w:link w:val="DocnumberChar"/>
    <w:qFormat/>
    <w:rsid w:val="00E17F7D"/>
    <w:pPr>
      <w:jc w:val="right"/>
    </w:pPr>
    <w:rPr>
      <w:rFonts w:eastAsia="SimSun"/>
      <w:b/>
      <w:sz w:val="40"/>
    </w:rPr>
  </w:style>
  <w:style w:type="character" w:customStyle="1" w:styleId="DocnumberChar">
    <w:name w:val="Docnumber Char"/>
    <w:link w:val="Docnumber"/>
    <w:qFormat/>
    <w:rsid w:val="00E17F7D"/>
    <w:rPr>
      <w:rFonts w:eastAsia="SimSun"/>
      <w:b/>
      <w:sz w:val="40"/>
      <w:lang w:val="en-GB" w:eastAsia="en-US"/>
    </w:rPr>
  </w:style>
  <w:style w:type="paragraph" w:customStyle="1" w:styleId="AppendixNotitle">
    <w:name w:val="Appendix_No &amp; title"/>
    <w:basedOn w:val="AnnexNotitle"/>
    <w:next w:val="Normal"/>
    <w:rsid w:val="00E01045"/>
  </w:style>
  <w:style w:type="paragraph" w:customStyle="1" w:styleId="Normalbeforetable">
    <w:name w:val="Normal before table"/>
    <w:basedOn w:val="Normal"/>
    <w:rsid w:val="00E17F7D"/>
    <w:pPr>
      <w:keepNext/>
      <w:overflowPunct/>
      <w:autoSpaceDE/>
      <w:autoSpaceDN/>
      <w:adjustRightInd/>
      <w:spacing w:after="120"/>
      <w:textAlignment w:val="auto"/>
    </w:pPr>
    <w:rPr>
      <w:rFonts w:eastAsia="????"/>
      <w:szCs w:val="24"/>
    </w:rPr>
  </w:style>
  <w:style w:type="paragraph" w:customStyle="1" w:styleId="NormalITU">
    <w:name w:val="Normal_ITU"/>
    <w:basedOn w:val="Normal"/>
    <w:rsid w:val="00E17F7D"/>
    <w:pPr>
      <w:overflowPunct/>
      <w:textAlignment w:val="auto"/>
    </w:pPr>
    <w:rPr>
      <w:rFonts w:eastAsia="SimSun" w:cs="Arial"/>
      <w:lang w:val="en-US"/>
    </w:rPr>
  </w:style>
  <w:style w:type="character" w:customStyle="1" w:styleId="ReftextArial9pt">
    <w:name w:val="Ref_text Arial 9 pt"/>
    <w:rsid w:val="00E17F7D"/>
    <w:rPr>
      <w:rFonts w:ascii="Arial" w:hAnsi="Arial" w:cs="Arial"/>
      <w:sz w:val="18"/>
      <w:szCs w:val="18"/>
    </w:rPr>
  </w:style>
  <w:style w:type="paragraph" w:styleId="TableofFigures">
    <w:name w:val="table of figures"/>
    <w:basedOn w:val="Normal"/>
    <w:next w:val="Normal"/>
    <w:uiPriority w:val="99"/>
    <w:rsid w:val="00E17F7D"/>
    <w:pPr>
      <w:tabs>
        <w:tab w:val="right" w:leader="dot" w:pos="9639"/>
      </w:tabs>
      <w:overflowPunct/>
      <w:autoSpaceDE/>
      <w:autoSpaceDN/>
      <w:adjustRightInd/>
      <w:textAlignment w:val="auto"/>
    </w:pPr>
    <w:rPr>
      <w:rFonts w:eastAsia="MS Mincho"/>
      <w:szCs w:val="24"/>
      <w:lang w:eastAsia="ja-JP"/>
    </w:rPr>
  </w:style>
  <w:style w:type="paragraph" w:customStyle="1" w:styleId="FigureNoTitle">
    <w:name w:val="Figure_NoTitle"/>
    <w:basedOn w:val="Normal"/>
    <w:next w:val="Normalaftertitle"/>
    <w:rsid w:val="00E01045"/>
    <w:pPr>
      <w:keepLines/>
      <w:spacing w:before="240" w:after="120"/>
      <w:jc w:val="center"/>
    </w:pPr>
    <w:rPr>
      <w:b/>
    </w:rPr>
  </w:style>
  <w:style w:type="paragraph" w:customStyle="1" w:styleId="Normalaftertitle">
    <w:name w:val="Normal_after_title"/>
    <w:basedOn w:val="Normal"/>
    <w:next w:val="Normal"/>
    <w:rsid w:val="00E01045"/>
    <w:pPr>
      <w:spacing w:before="360"/>
    </w:pPr>
  </w:style>
  <w:style w:type="paragraph" w:customStyle="1" w:styleId="ASN1">
    <w:name w:val="ASN.1"/>
    <w:rsid w:val="00E01045"/>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hAnsi="Courier New"/>
      <w:b/>
      <w:noProof/>
      <w:lang w:val="en-GB" w:eastAsia="en-US"/>
    </w:rPr>
  </w:style>
  <w:style w:type="paragraph" w:customStyle="1" w:styleId="TableNoTitle">
    <w:name w:val="Table_NoTitle"/>
    <w:basedOn w:val="Normal"/>
    <w:next w:val="Tablehead"/>
    <w:rsid w:val="00E01045"/>
    <w:pPr>
      <w:keepNext/>
      <w:keepLines/>
      <w:spacing w:before="360" w:after="120"/>
      <w:jc w:val="center"/>
    </w:pPr>
    <w:rPr>
      <w:b/>
    </w:rPr>
  </w:style>
  <w:style w:type="paragraph" w:customStyle="1" w:styleId="Tablehead">
    <w:name w:val="Table_head"/>
    <w:basedOn w:val="Normal"/>
    <w:next w:val="Tabletext"/>
    <w:rsid w:val="00E01045"/>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character" w:styleId="EndnoteReference">
    <w:name w:val="endnote reference"/>
    <w:semiHidden/>
    <w:rPr>
      <w:vertAlign w:val="superscript"/>
    </w:rPr>
  </w:style>
  <w:style w:type="paragraph" w:customStyle="1" w:styleId="enumlev1">
    <w:name w:val="enumlev1"/>
    <w:basedOn w:val="Normal"/>
    <w:rsid w:val="00E01045"/>
    <w:pPr>
      <w:spacing w:before="80"/>
      <w:ind w:left="794" w:hanging="794"/>
    </w:pPr>
  </w:style>
  <w:style w:type="paragraph" w:customStyle="1" w:styleId="enumlev2">
    <w:name w:val="enumlev2"/>
    <w:basedOn w:val="enumlev1"/>
    <w:rsid w:val="00E01045"/>
    <w:pPr>
      <w:ind w:left="1191" w:hanging="397"/>
    </w:pPr>
  </w:style>
  <w:style w:type="paragraph" w:customStyle="1" w:styleId="enumlev3">
    <w:name w:val="enumlev3"/>
    <w:basedOn w:val="enumlev2"/>
    <w:rsid w:val="00E01045"/>
    <w:pPr>
      <w:ind w:left="1588"/>
    </w:pPr>
  </w:style>
  <w:style w:type="paragraph" w:customStyle="1" w:styleId="Equation">
    <w:name w:val="Equation"/>
    <w:basedOn w:val="Normal"/>
    <w:rsid w:val="00E01045"/>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E01045"/>
    <w:pPr>
      <w:tabs>
        <w:tab w:val="clear" w:pos="794"/>
        <w:tab w:val="clear" w:pos="1191"/>
        <w:tab w:val="clear" w:pos="1588"/>
        <w:tab w:val="right" w:pos="1814"/>
      </w:tabs>
      <w:spacing w:before="80"/>
      <w:ind w:left="1985" w:hanging="1985"/>
    </w:pPr>
  </w:style>
  <w:style w:type="paragraph" w:customStyle="1" w:styleId="Figure">
    <w:name w:val="Figure"/>
    <w:basedOn w:val="Normal"/>
    <w:next w:val="FigureNoTitle"/>
    <w:rsid w:val="00E01045"/>
    <w:pPr>
      <w:keepNext/>
      <w:keepLines/>
      <w:spacing w:before="240" w:after="120"/>
      <w:jc w:val="center"/>
    </w:pPr>
  </w:style>
  <w:style w:type="paragraph" w:customStyle="1" w:styleId="Figurelegend">
    <w:name w:val="Figure_legend"/>
    <w:basedOn w:val="Normal"/>
    <w:rsid w:val="00E01045"/>
    <w:pPr>
      <w:keepNext/>
      <w:keepLines/>
      <w:tabs>
        <w:tab w:val="clear" w:pos="794"/>
        <w:tab w:val="clear" w:pos="1191"/>
        <w:tab w:val="clear" w:pos="1588"/>
        <w:tab w:val="clear" w:pos="1985"/>
      </w:tabs>
      <w:spacing w:before="20" w:after="20"/>
      <w:jc w:val="left"/>
    </w:pPr>
    <w:rPr>
      <w:sz w:val="18"/>
    </w:rPr>
  </w:style>
  <w:style w:type="paragraph" w:styleId="Footer">
    <w:name w:val="footer"/>
    <w:basedOn w:val="Normal"/>
    <w:link w:val="FooterChar"/>
    <w:rsid w:val="00E01045"/>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rsid w:val="00E01045"/>
    <w:pPr>
      <w:tabs>
        <w:tab w:val="clear" w:pos="5954"/>
        <w:tab w:val="clear" w:pos="9639"/>
      </w:tabs>
      <w:overflowPunct/>
      <w:autoSpaceDE/>
      <w:autoSpaceDN/>
      <w:adjustRightInd/>
      <w:spacing w:before="40"/>
      <w:jc w:val="left"/>
      <w:textAlignment w:val="auto"/>
    </w:pPr>
    <w:rPr>
      <w:caps w:val="0"/>
      <w:noProof w:val="0"/>
    </w:rPr>
  </w:style>
  <w:style w:type="character" w:styleId="FootnoteReference">
    <w:name w:val="footnote reference"/>
    <w:basedOn w:val="DefaultParagraphFont"/>
    <w:semiHidden/>
    <w:rsid w:val="00E01045"/>
    <w:rPr>
      <w:position w:val="6"/>
      <w:sz w:val="18"/>
    </w:rPr>
  </w:style>
  <w:style w:type="paragraph" w:customStyle="1" w:styleId="Note">
    <w:name w:val="Note"/>
    <w:basedOn w:val="Normal"/>
    <w:rsid w:val="00E01045"/>
    <w:pPr>
      <w:spacing w:before="80"/>
    </w:pPr>
    <w:rPr>
      <w:sz w:val="22"/>
    </w:rPr>
  </w:style>
  <w:style w:type="paragraph" w:styleId="FootnoteText">
    <w:name w:val="footnote text"/>
    <w:basedOn w:val="Note"/>
    <w:semiHidden/>
    <w:rsid w:val="00E01045"/>
    <w:pPr>
      <w:keepLines/>
      <w:tabs>
        <w:tab w:val="left" w:pos="255"/>
      </w:tabs>
      <w:ind w:left="255" w:hanging="255"/>
    </w:pPr>
  </w:style>
  <w:style w:type="paragraph" w:customStyle="1" w:styleId="Formal">
    <w:name w:val="Formal"/>
    <w:basedOn w:val="ASN1"/>
    <w:rsid w:val="00E01045"/>
    <w:rPr>
      <w:b w:val="0"/>
    </w:rPr>
  </w:style>
  <w:style w:type="paragraph" w:styleId="Header">
    <w:name w:val="header"/>
    <w:basedOn w:val="Normal"/>
    <w:link w:val="HeaderChar"/>
    <w:rsid w:val="00E01045"/>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rsid w:val="00E01045"/>
    <w:pPr>
      <w:keepNext/>
      <w:spacing w:before="160"/>
      <w:jc w:val="left"/>
    </w:pPr>
    <w:rPr>
      <w:b/>
    </w:rPr>
  </w:style>
  <w:style w:type="paragraph" w:customStyle="1" w:styleId="Headingi">
    <w:name w:val="Heading_i"/>
    <w:basedOn w:val="Normal"/>
    <w:next w:val="Normal"/>
    <w:rsid w:val="00E01045"/>
    <w:pPr>
      <w:keepNext/>
      <w:spacing w:before="160"/>
      <w:jc w:val="left"/>
    </w:pPr>
    <w:rPr>
      <w:i/>
    </w:rPr>
  </w:style>
  <w:style w:type="paragraph" w:customStyle="1" w:styleId="RecNo">
    <w:name w:val="Rec_No"/>
    <w:basedOn w:val="Normal"/>
    <w:next w:val="Rectitle"/>
    <w:rsid w:val="00E01045"/>
    <w:pPr>
      <w:keepNext/>
      <w:keepLines/>
      <w:spacing w:before="0"/>
      <w:jc w:val="left"/>
    </w:pPr>
    <w:rPr>
      <w:b/>
      <w:sz w:val="28"/>
    </w:rPr>
  </w:style>
  <w:style w:type="paragraph" w:customStyle="1" w:styleId="Rectitle">
    <w:name w:val="Rec_title"/>
    <w:basedOn w:val="Normal"/>
    <w:next w:val="Normalaftertitle"/>
    <w:rsid w:val="00E01045"/>
    <w:pPr>
      <w:keepNext/>
      <w:keepLines/>
      <w:spacing w:before="360"/>
      <w:jc w:val="center"/>
    </w:pPr>
    <w:rPr>
      <w:b/>
      <w:sz w:val="28"/>
    </w:rPr>
  </w:style>
  <w:style w:type="paragraph" w:customStyle="1" w:styleId="Reftext">
    <w:name w:val="Ref_text"/>
    <w:basedOn w:val="Normal"/>
    <w:rsid w:val="00E01045"/>
    <w:pPr>
      <w:ind w:left="794" w:hanging="794"/>
      <w:jc w:val="left"/>
    </w:pPr>
  </w:style>
  <w:style w:type="paragraph" w:customStyle="1" w:styleId="Tablelegend">
    <w:name w:val="Table_legend"/>
    <w:basedOn w:val="Normal"/>
    <w:rsid w:val="00E01045"/>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E01045"/>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Title1">
    <w:name w:val="Title 1"/>
    <w:basedOn w:val="Source"/>
    <w:next w:val="Title2"/>
    <w:rsid w:val="00E01045"/>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E01045"/>
  </w:style>
  <w:style w:type="paragraph" w:customStyle="1" w:styleId="Title3">
    <w:name w:val="Title 3"/>
    <w:basedOn w:val="Title2"/>
    <w:next w:val="Title4"/>
    <w:rsid w:val="00E01045"/>
    <w:rPr>
      <w:caps w:val="0"/>
    </w:rPr>
  </w:style>
  <w:style w:type="paragraph" w:customStyle="1" w:styleId="Title4">
    <w:name w:val="Title 4"/>
    <w:basedOn w:val="Title3"/>
    <w:next w:val="Heading1"/>
    <w:rsid w:val="00E01045"/>
    <w:rPr>
      <w:b/>
    </w:rPr>
  </w:style>
  <w:style w:type="paragraph" w:customStyle="1" w:styleId="toc0">
    <w:name w:val="toc 0"/>
    <w:basedOn w:val="Normal"/>
    <w:next w:val="TOC1"/>
    <w:rsid w:val="00E01045"/>
    <w:pPr>
      <w:keepLines/>
      <w:tabs>
        <w:tab w:val="clear" w:pos="794"/>
        <w:tab w:val="clear" w:pos="1191"/>
        <w:tab w:val="clear" w:pos="1588"/>
        <w:tab w:val="clear" w:pos="1985"/>
        <w:tab w:val="right" w:pos="9639"/>
      </w:tabs>
      <w:jc w:val="left"/>
    </w:pPr>
    <w:rPr>
      <w:b/>
    </w:rPr>
  </w:style>
  <w:style w:type="paragraph" w:styleId="TOC1">
    <w:name w:val="toc 1"/>
    <w:basedOn w:val="Normal"/>
    <w:uiPriority w:val="39"/>
    <w:rsid w:val="00E01045"/>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uiPriority w:val="39"/>
    <w:rsid w:val="00E01045"/>
    <w:pPr>
      <w:spacing w:before="80"/>
      <w:ind w:left="1531" w:hanging="851"/>
    </w:pPr>
  </w:style>
  <w:style w:type="paragraph" w:styleId="TOC3">
    <w:name w:val="toc 3"/>
    <w:basedOn w:val="TOC2"/>
    <w:rsid w:val="00E01045"/>
  </w:style>
  <w:style w:type="character" w:styleId="Hyperlink">
    <w:name w:val="Hyperlink"/>
    <w:basedOn w:val="DefaultParagraphFont"/>
    <w:uiPriority w:val="99"/>
    <w:rsid w:val="00E01045"/>
    <w:rPr>
      <w:color w:val="0000FF"/>
      <w:u w:val="single"/>
    </w:rPr>
  </w:style>
  <w:style w:type="character" w:styleId="FollowedHyperlink">
    <w:name w:val="FollowedHyperlink"/>
    <w:basedOn w:val="DefaultParagraphFont"/>
    <w:rsid w:val="00B30DB7"/>
    <w:rPr>
      <w:color w:val="954F72" w:themeColor="followedHyperlink"/>
      <w:u w:val="single"/>
    </w:rPr>
  </w:style>
  <w:style w:type="paragraph" w:customStyle="1" w:styleId="FigureNotitle0">
    <w:name w:val="Figure_No &amp; title"/>
    <w:basedOn w:val="Normal"/>
    <w:next w:val="Normal"/>
    <w:qFormat/>
    <w:rsid w:val="00E01045"/>
    <w:pPr>
      <w:keepLines/>
      <w:spacing w:before="240" w:after="120"/>
      <w:jc w:val="center"/>
    </w:pPr>
    <w:rPr>
      <w:b/>
    </w:rPr>
  </w:style>
  <w:style w:type="paragraph" w:customStyle="1" w:styleId="TableNotitle0">
    <w:name w:val="Table_No &amp; title"/>
    <w:basedOn w:val="Normal"/>
    <w:next w:val="Normal"/>
    <w:qFormat/>
    <w:rsid w:val="00E01045"/>
    <w:pPr>
      <w:keepNext/>
      <w:keepLines/>
      <w:spacing w:before="360" w:after="120"/>
      <w:jc w:val="center"/>
    </w:pPr>
    <w:rPr>
      <w:b/>
    </w:rPr>
  </w:style>
  <w:style w:type="paragraph" w:customStyle="1" w:styleId="VenueDate">
    <w:name w:val="VenueDate"/>
    <w:basedOn w:val="Normal"/>
    <w:rsid w:val="00046939"/>
    <w:pPr>
      <w:overflowPunct/>
      <w:autoSpaceDE/>
      <w:autoSpaceDN/>
      <w:adjustRightInd/>
      <w:spacing w:before="60" w:after="60"/>
      <w:jc w:val="right"/>
      <w:textAlignment w:val="auto"/>
    </w:pPr>
    <w:rPr>
      <w:rFonts w:eastAsiaTheme="minorEastAsia"/>
      <w:szCs w:val="24"/>
      <w:lang w:eastAsia="ja-JP"/>
    </w:rPr>
  </w:style>
  <w:style w:type="character" w:customStyle="1" w:styleId="Heading1Char">
    <w:name w:val="Heading 1 Char"/>
    <w:link w:val="Heading1"/>
    <w:rsid w:val="00E01045"/>
    <w:rPr>
      <w:b/>
      <w:sz w:val="24"/>
      <w:lang w:val="en-GB" w:eastAsia="en-US"/>
    </w:rPr>
  </w:style>
  <w:style w:type="paragraph" w:styleId="Revision">
    <w:name w:val="Revision"/>
    <w:hidden/>
    <w:uiPriority w:val="99"/>
    <w:semiHidden/>
    <w:rsid w:val="00E01045"/>
    <w:rPr>
      <w:sz w:val="24"/>
      <w:lang w:val="en-GB" w:eastAsia="en-US"/>
    </w:rPr>
  </w:style>
  <w:style w:type="character" w:styleId="CommentReference">
    <w:name w:val="annotation reference"/>
    <w:basedOn w:val="DefaultParagraphFont"/>
    <w:rsid w:val="00E01045"/>
    <w:rPr>
      <w:sz w:val="16"/>
      <w:szCs w:val="16"/>
    </w:rPr>
  </w:style>
  <w:style w:type="paragraph" w:styleId="CommentText">
    <w:name w:val="annotation text"/>
    <w:basedOn w:val="Normal"/>
    <w:link w:val="CommentTextChar"/>
    <w:rsid w:val="00E01045"/>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customStyle="1" w:styleId="CommentTextChar">
    <w:name w:val="Comment Text Char"/>
    <w:basedOn w:val="DefaultParagraphFont"/>
    <w:link w:val="CommentText"/>
    <w:rsid w:val="0087720C"/>
    <w:rPr>
      <w:lang w:eastAsia="en-US"/>
    </w:rPr>
  </w:style>
  <w:style w:type="paragraph" w:styleId="CommentSubject">
    <w:name w:val="annotation subject"/>
    <w:basedOn w:val="CommentText"/>
    <w:next w:val="CommentText"/>
    <w:link w:val="CommentSubjectChar"/>
    <w:semiHidden/>
    <w:unhideWhenUsed/>
    <w:rsid w:val="0087720C"/>
    <w:rPr>
      <w:b/>
      <w:bCs/>
    </w:rPr>
  </w:style>
  <w:style w:type="character" w:customStyle="1" w:styleId="CommentSubjectChar">
    <w:name w:val="Comment Subject Char"/>
    <w:basedOn w:val="CommentTextChar"/>
    <w:link w:val="CommentSubject"/>
    <w:semiHidden/>
    <w:rsid w:val="0087720C"/>
    <w:rPr>
      <w:b/>
      <w:bCs/>
      <w:lang w:val="en-GB" w:eastAsia="en-US"/>
    </w:rPr>
  </w:style>
  <w:style w:type="table" w:styleId="TableGrid">
    <w:name w:val="Table Grid"/>
    <w:basedOn w:val="TableNormal"/>
    <w:rsid w:val="00E01045"/>
    <w:rPr>
      <w:rFonts w:ascii="CG Times"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B4082B"/>
    <w:pPr>
      <w:overflowPunct/>
      <w:autoSpaceDE/>
      <w:autoSpaceDN/>
      <w:adjustRightInd/>
      <w:ind w:left="720"/>
      <w:contextualSpacing/>
      <w:textAlignment w:val="auto"/>
    </w:pPr>
    <w:rPr>
      <w:rFonts w:eastAsiaTheme="minorHAnsi"/>
      <w:szCs w:val="24"/>
      <w:lang w:eastAsia="ja-JP"/>
    </w:rPr>
  </w:style>
  <w:style w:type="character" w:customStyle="1" w:styleId="UnresolvedMention1">
    <w:name w:val="Unresolved Mention1"/>
    <w:basedOn w:val="DefaultParagraphFont"/>
    <w:uiPriority w:val="99"/>
    <w:semiHidden/>
    <w:unhideWhenUsed/>
    <w:rsid w:val="00752258"/>
    <w:rPr>
      <w:color w:val="605E5C"/>
      <w:shd w:val="clear" w:color="auto" w:fill="E1DFDD"/>
    </w:rPr>
  </w:style>
  <w:style w:type="character" w:customStyle="1" w:styleId="UnresolvedMention2">
    <w:name w:val="Unresolved Mention2"/>
    <w:basedOn w:val="DefaultParagraphFont"/>
    <w:uiPriority w:val="99"/>
    <w:semiHidden/>
    <w:unhideWhenUsed/>
    <w:rsid w:val="00D13C9D"/>
    <w:rPr>
      <w:color w:val="605E5C"/>
      <w:shd w:val="clear" w:color="auto" w:fill="E1DFDD"/>
    </w:rPr>
  </w:style>
  <w:style w:type="paragraph" w:styleId="BalloonText">
    <w:name w:val="Balloon Text"/>
    <w:basedOn w:val="Normal"/>
    <w:link w:val="BalloonTextChar"/>
    <w:rsid w:val="00E01045"/>
    <w:pPr>
      <w:spacing w:before="0"/>
    </w:pPr>
    <w:rPr>
      <w:rFonts w:ascii="Tahoma" w:hAnsi="Tahoma" w:cs="Tahoma"/>
      <w:sz w:val="16"/>
      <w:szCs w:val="16"/>
    </w:rPr>
  </w:style>
  <w:style w:type="character" w:customStyle="1" w:styleId="BalloonTextChar">
    <w:name w:val="Balloon Text Char"/>
    <w:basedOn w:val="DefaultParagraphFont"/>
    <w:link w:val="BalloonText"/>
    <w:rsid w:val="00E01045"/>
    <w:rPr>
      <w:rFonts w:ascii="Tahoma" w:hAnsi="Tahoma" w:cs="Tahoma"/>
      <w:sz w:val="16"/>
      <w:szCs w:val="16"/>
      <w:lang w:val="en-GB" w:eastAsia="en-US"/>
    </w:rPr>
  </w:style>
  <w:style w:type="character" w:customStyle="1" w:styleId="FooterChar">
    <w:name w:val="Footer Char"/>
    <w:basedOn w:val="DefaultParagraphFont"/>
    <w:link w:val="Footer"/>
    <w:qFormat/>
    <w:rsid w:val="00AF3EA3"/>
    <w:rPr>
      <w:caps/>
      <w:noProof/>
      <w:sz w:val="16"/>
      <w:lang w:val="en-GB" w:eastAsia="en-US"/>
    </w:rPr>
  </w:style>
  <w:style w:type="character" w:customStyle="1" w:styleId="HeaderChar">
    <w:name w:val="Header Char"/>
    <w:basedOn w:val="DefaultParagraphFont"/>
    <w:link w:val="Header"/>
    <w:rsid w:val="00AB2B91"/>
    <w:rPr>
      <w:sz w:val="18"/>
      <w:lang w:val="en-GB" w:eastAsia="en-US"/>
    </w:rPr>
  </w:style>
  <w:style w:type="character" w:styleId="PageNumber">
    <w:name w:val="page number"/>
    <w:basedOn w:val="DefaultParagraphFont"/>
    <w:rsid w:val="00E01045"/>
  </w:style>
  <w:style w:type="table" w:customStyle="1" w:styleId="TableGrid1">
    <w:name w:val="Table Grid1"/>
    <w:basedOn w:val="TableNormal"/>
    <w:next w:val="TableGrid"/>
    <w:rsid w:val="00AB2B91"/>
    <w:rPr>
      <w:rFonts w:ascii="CG Times" w:eastAsiaTheme="minorEastAsia"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01045"/>
    <w:rPr>
      <w:color w:val="605E5C"/>
      <w:shd w:val="clear" w:color="auto" w:fill="E1DFDD"/>
    </w:rPr>
  </w:style>
  <w:style w:type="paragraph" w:styleId="TOC8">
    <w:name w:val="toc 8"/>
    <w:basedOn w:val="TOC4"/>
    <w:rsid w:val="00E01045"/>
  </w:style>
  <w:style w:type="paragraph" w:styleId="TOC4">
    <w:name w:val="toc 4"/>
    <w:basedOn w:val="TOC3"/>
    <w:rsid w:val="00E01045"/>
  </w:style>
  <w:style w:type="paragraph" w:styleId="TOC7">
    <w:name w:val="toc 7"/>
    <w:basedOn w:val="TOC4"/>
    <w:rsid w:val="00E01045"/>
  </w:style>
  <w:style w:type="paragraph" w:styleId="TOC6">
    <w:name w:val="toc 6"/>
    <w:basedOn w:val="TOC4"/>
    <w:rsid w:val="00E01045"/>
  </w:style>
  <w:style w:type="paragraph" w:styleId="TOC5">
    <w:name w:val="toc 5"/>
    <w:basedOn w:val="TOC4"/>
    <w:rsid w:val="00E01045"/>
  </w:style>
  <w:style w:type="paragraph" w:styleId="TOC9">
    <w:name w:val="toc 9"/>
    <w:basedOn w:val="TOC3"/>
    <w:rsid w:val="00E01045"/>
  </w:style>
  <w:style w:type="paragraph" w:customStyle="1" w:styleId="Chaptitle">
    <w:name w:val="Chap_title"/>
    <w:basedOn w:val="Normal"/>
    <w:next w:val="Normalaftertitle"/>
    <w:rsid w:val="00E01045"/>
    <w:pPr>
      <w:keepNext/>
      <w:keepLines/>
      <w:spacing w:before="240"/>
      <w:jc w:val="center"/>
    </w:pPr>
    <w:rPr>
      <w:b/>
      <w:sz w:val="28"/>
    </w:rPr>
  </w:style>
  <w:style w:type="paragraph" w:styleId="Index1">
    <w:name w:val="index 1"/>
    <w:basedOn w:val="Normal"/>
    <w:next w:val="Normal"/>
    <w:rsid w:val="00E01045"/>
    <w:pPr>
      <w:jc w:val="left"/>
    </w:pPr>
  </w:style>
  <w:style w:type="paragraph" w:customStyle="1" w:styleId="AnnexNoTitle0">
    <w:name w:val="Annex_NoTitle"/>
    <w:basedOn w:val="Normal"/>
    <w:next w:val="Normalaftertitle"/>
    <w:rsid w:val="00E01045"/>
    <w:pPr>
      <w:keepNext/>
      <w:keepLines/>
      <w:spacing w:before="720"/>
      <w:jc w:val="center"/>
      <w:outlineLvl w:val="0"/>
    </w:pPr>
    <w:rPr>
      <w:b/>
      <w:sz w:val="28"/>
    </w:rPr>
  </w:style>
  <w:style w:type="character" w:customStyle="1" w:styleId="Appdef">
    <w:name w:val="App_def"/>
    <w:basedOn w:val="DefaultParagraphFont"/>
    <w:rsid w:val="00E01045"/>
    <w:rPr>
      <w:rFonts w:ascii="Times New Roman" w:hAnsi="Times New Roman"/>
      <w:b/>
    </w:rPr>
  </w:style>
  <w:style w:type="character" w:customStyle="1" w:styleId="Appref">
    <w:name w:val="App_ref"/>
    <w:basedOn w:val="DefaultParagraphFont"/>
    <w:rsid w:val="00E01045"/>
  </w:style>
  <w:style w:type="paragraph" w:customStyle="1" w:styleId="AppendixNoTitle0">
    <w:name w:val="Appendix_NoTitle"/>
    <w:basedOn w:val="AnnexNoTitle0"/>
    <w:next w:val="Normalaftertitle"/>
    <w:rsid w:val="00E01045"/>
  </w:style>
  <w:style w:type="character" w:customStyle="1" w:styleId="Artdef">
    <w:name w:val="Art_def"/>
    <w:basedOn w:val="DefaultParagraphFont"/>
    <w:rsid w:val="00E01045"/>
    <w:rPr>
      <w:rFonts w:ascii="Times New Roman" w:hAnsi="Times New Roman"/>
      <w:b/>
    </w:rPr>
  </w:style>
  <w:style w:type="paragraph" w:customStyle="1" w:styleId="Reftitle">
    <w:name w:val="Ref_title"/>
    <w:basedOn w:val="Normal"/>
    <w:next w:val="Reftext"/>
    <w:rsid w:val="00E01045"/>
    <w:pPr>
      <w:spacing w:before="480"/>
      <w:jc w:val="center"/>
    </w:pPr>
    <w:rPr>
      <w:b/>
    </w:rPr>
  </w:style>
  <w:style w:type="paragraph" w:customStyle="1" w:styleId="ArtNo">
    <w:name w:val="Art_No"/>
    <w:basedOn w:val="Normal"/>
    <w:next w:val="Arttitle"/>
    <w:rsid w:val="00E01045"/>
    <w:pPr>
      <w:keepNext/>
      <w:keepLines/>
      <w:spacing w:before="480"/>
      <w:jc w:val="center"/>
    </w:pPr>
    <w:rPr>
      <w:caps/>
      <w:sz w:val="28"/>
    </w:rPr>
  </w:style>
  <w:style w:type="paragraph" w:customStyle="1" w:styleId="Arttitle">
    <w:name w:val="Art_title"/>
    <w:basedOn w:val="Normal"/>
    <w:next w:val="Normalaftertitle"/>
    <w:rsid w:val="00E01045"/>
    <w:pPr>
      <w:keepNext/>
      <w:keepLines/>
      <w:spacing w:before="240"/>
      <w:jc w:val="center"/>
    </w:pPr>
    <w:rPr>
      <w:b/>
      <w:sz w:val="28"/>
    </w:rPr>
  </w:style>
  <w:style w:type="character" w:customStyle="1" w:styleId="Artref">
    <w:name w:val="Art_ref"/>
    <w:basedOn w:val="DefaultParagraphFont"/>
    <w:rsid w:val="00E01045"/>
  </w:style>
  <w:style w:type="paragraph" w:customStyle="1" w:styleId="Call">
    <w:name w:val="Call"/>
    <w:basedOn w:val="Normal"/>
    <w:next w:val="Normal"/>
    <w:rsid w:val="00E01045"/>
    <w:pPr>
      <w:keepNext/>
      <w:keepLines/>
      <w:spacing w:before="160"/>
      <w:ind w:left="794"/>
      <w:jc w:val="left"/>
    </w:pPr>
    <w:rPr>
      <w:i/>
    </w:rPr>
  </w:style>
  <w:style w:type="paragraph" w:customStyle="1" w:styleId="ChapNo">
    <w:name w:val="Chap_No"/>
    <w:basedOn w:val="Normal"/>
    <w:next w:val="Chaptitle"/>
    <w:rsid w:val="00E01045"/>
    <w:pPr>
      <w:keepNext/>
      <w:keepLines/>
      <w:spacing w:before="480"/>
      <w:jc w:val="center"/>
    </w:pPr>
    <w:rPr>
      <w:b/>
      <w:caps/>
      <w:sz w:val="28"/>
    </w:rPr>
  </w:style>
  <w:style w:type="paragraph" w:customStyle="1" w:styleId="Figurewithouttitle">
    <w:name w:val="Figure_without_title"/>
    <w:basedOn w:val="Normal"/>
    <w:next w:val="Normalaftertitle"/>
    <w:rsid w:val="00E01045"/>
    <w:pPr>
      <w:keepLines/>
      <w:spacing w:before="240" w:after="120"/>
      <w:jc w:val="center"/>
    </w:pPr>
  </w:style>
  <w:style w:type="paragraph" w:customStyle="1" w:styleId="FooterQP">
    <w:name w:val="Footer_QP"/>
    <w:basedOn w:val="Normal"/>
    <w:rsid w:val="00E01045"/>
    <w:pPr>
      <w:tabs>
        <w:tab w:val="clear" w:pos="794"/>
        <w:tab w:val="clear" w:pos="1191"/>
        <w:tab w:val="clear" w:pos="1588"/>
        <w:tab w:val="clear" w:pos="1985"/>
        <w:tab w:val="left" w:pos="907"/>
        <w:tab w:val="right" w:pos="8789"/>
        <w:tab w:val="right" w:pos="9639"/>
      </w:tabs>
      <w:spacing w:before="0"/>
      <w:jc w:val="left"/>
    </w:pPr>
    <w:rPr>
      <w:b/>
      <w:sz w:val="22"/>
    </w:rPr>
  </w:style>
  <w:style w:type="paragraph" w:styleId="Index2">
    <w:name w:val="index 2"/>
    <w:basedOn w:val="Normal"/>
    <w:next w:val="Normal"/>
    <w:rsid w:val="00E01045"/>
    <w:pPr>
      <w:ind w:left="284"/>
      <w:jc w:val="left"/>
    </w:pPr>
  </w:style>
  <w:style w:type="paragraph" w:styleId="Index3">
    <w:name w:val="index 3"/>
    <w:basedOn w:val="Normal"/>
    <w:next w:val="Normal"/>
    <w:rsid w:val="00E01045"/>
    <w:pPr>
      <w:ind w:left="567"/>
      <w:jc w:val="left"/>
    </w:pPr>
  </w:style>
  <w:style w:type="paragraph" w:customStyle="1" w:styleId="PartNo">
    <w:name w:val="Part_No"/>
    <w:basedOn w:val="Normal"/>
    <w:next w:val="Partref"/>
    <w:rsid w:val="00E01045"/>
    <w:pPr>
      <w:keepNext/>
      <w:keepLines/>
      <w:spacing w:before="480" w:after="80"/>
      <w:jc w:val="center"/>
    </w:pPr>
    <w:rPr>
      <w:caps/>
      <w:sz w:val="28"/>
    </w:rPr>
  </w:style>
  <w:style w:type="paragraph" w:customStyle="1" w:styleId="Partref">
    <w:name w:val="Part_ref"/>
    <w:basedOn w:val="Normal"/>
    <w:next w:val="Parttitle"/>
    <w:rsid w:val="00E01045"/>
    <w:pPr>
      <w:keepNext/>
      <w:keepLines/>
      <w:spacing w:before="280"/>
      <w:jc w:val="center"/>
    </w:pPr>
  </w:style>
  <w:style w:type="paragraph" w:customStyle="1" w:styleId="Parttitle">
    <w:name w:val="Part_title"/>
    <w:basedOn w:val="Normal"/>
    <w:next w:val="Normalaftertitle"/>
    <w:rsid w:val="00E01045"/>
    <w:pPr>
      <w:keepNext/>
      <w:keepLines/>
      <w:spacing w:before="240" w:after="280"/>
      <w:jc w:val="center"/>
    </w:pPr>
    <w:rPr>
      <w:b/>
      <w:sz w:val="28"/>
    </w:rPr>
  </w:style>
  <w:style w:type="paragraph" w:customStyle="1" w:styleId="Recdate">
    <w:name w:val="Rec_date"/>
    <w:basedOn w:val="Normal"/>
    <w:next w:val="Normalaftertitle"/>
    <w:rsid w:val="00E01045"/>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E01045"/>
  </w:style>
  <w:style w:type="paragraph" w:customStyle="1" w:styleId="QuestionNo">
    <w:name w:val="Question_No"/>
    <w:basedOn w:val="RecNo"/>
    <w:next w:val="Questiontitle"/>
    <w:rsid w:val="00E01045"/>
  </w:style>
  <w:style w:type="paragraph" w:customStyle="1" w:styleId="Recref">
    <w:name w:val="Rec_ref"/>
    <w:basedOn w:val="Normal"/>
    <w:next w:val="Recdate"/>
    <w:rsid w:val="00E01045"/>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E01045"/>
  </w:style>
  <w:style w:type="paragraph" w:customStyle="1" w:styleId="Questiontitle">
    <w:name w:val="Question_title"/>
    <w:basedOn w:val="Rectitle"/>
    <w:next w:val="Questionref"/>
    <w:rsid w:val="00E01045"/>
  </w:style>
  <w:style w:type="paragraph" w:customStyle="1" w:styleId="Repdate">
    <w:name w:val="Rep_date"/>
    <w:basedOn w:val="Recdate"/>
    <w:next w:val="Normalaftertitle"/>
    <w:rsid w:val="00E01045"/>
  </w:style>
  <w:style w:type="paragraph" w:customStyle="1" w:styleId="RepNo">
    <w:name w:val="Rep_No"/>
    <w:basedOn w:val="RecNo"/>
    <w:next w:val="Reptitle"/>
    <w:rsid w:val="00E01045"/>
  </w:style>
  <w:style w:type="paragraph" w:customStyle="1" w:styleId="Repref">
    <w:name w:val="Rep_ref"/>
    <w:basedOn w:val="Recref"/>
    <w:next w:val="Repdate"/>
    <w:rsid w:val="00E01045"/>
  </w:style>
  <w:style w:type="paragraph" w:customStyle="1" w:styleId="Reptitle">
    <w:name w:val="Rep_title"/>
    <w:basedOn w:val="Rectitle"/>
    <w:next w:val="Repref"/>
    <w:rsid w:val="00E01045"/>
  </w:style>
  <w:style w:type="paragraph" w:customStyle="1" w:styleId="Resdate">
    <w:name w:val="Res_date"/>
    <w:basedOn w:val="Recdate"/>
    <w:next w:val="Normalaftertitle"/>
    <w:rsid w:val="00E01045"/>
  </w:style>
  <w:style w:type="character" w:customStyle="1" w:styleId="Resdef">
    <w:name w:val="Res_def"/>
    <w:basedOn w:val="DefaultParagraphFont"/>
    <w:rsid w:val="00E01045"/>
    <w:rPr>
      <w:rFonts w:ascii="Times New Roman" w:hAnsi="Times New Roman"/>
      <w:b/>
    </w:rPr>
  </w:style>
  <w:style w:type="paragraph" w:customStyle="1" w:styleId="ResNo">
    <w:name w:val="Res_No"/>
    <w:basedOn w:val="RecNo"/>
    <w:next w:val="Restitle"/>
    <w:rsid w:val="00E01045"/>
  </w:style>
  <w:style w:type="paragraph" w:customStyle="1" w:styleId="Resref">
    <w:name w:val="Res_ref"/>
    <w:basedOn w:val="Recref"/>
    <w:next w:val="Resdate"/>
    <w:rsid w:val="00E01045"/>
  </w:style>
  <w:style w:type="paragraph" w:customStyle="1" w:styleId="Restitle">
    <w:name w:val="Res_title"/>
    <w:basedOn w:val="Rectitle"/>
    <w:next w:val="Resref"/>
    <w:rsid w:val="00E01045"/>
  </w:style>
  <w:style w:type="paragraph" w:customStyle="1" w:styleId="Section1">
    <w:name w:val="Section_1"/>
    <w:basedOn w:val="Normal"/>
    <w:next w:val="Normal"/>
    <w:rsid w:val="00E01045"/>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E01045"/>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E01045"/>
    <w:pPr>
      <w:keepNext/>
      <w:keepLines/>
      <w:spacing w:before="480" w:after="80"/>
      <w:jc w:val="center"/>
    </w:pPr>
    <w:rPr>
      <w:caps/>
      <w:sz w:val="28"/>
    </w:rPr>
  </w:style>
  <w:style w:type="paragraph" w:customStyle="1" w:styleId="Sectiontitle">
    <w:name w:val="Section_title"/>
    <w:basedOn w:val="Normal"/>
    <w:next w:val="Normalaftertitle"/>
    <w:rsid w:val="00E01045"/>
    <w:pPr>
      <w:keepNext/>
      <w:keepLines/>
      <w:spacing w:before="480" w:after="280"/>
      <w:jc w:val="center"/>
    </w:pPr>
    <w:rPr>
      <w:b/>
      <w:sz w:val="28"/>
    </w:rPr>
  </w:style>
  <w:style w:type="paragraph" w:customStyle="1" w:styleId="Source">
    <w:name w:val="Source"/>
    <w:basedOn w:val="Normal"/>
    <w:next w:val="Normalaftertitle"/>
    <w:rsid w:val="00E01045"/>
    <w:pPr>
      <w:spacing w:before="840" w:after="200"/>
      <w:jc w:val="center"/>
    </w:pPr>
    <w:rPr>
      <w:b/>
      <w:sz w:val="28"/>
    </w:rPr>
  </w:style>
  <w:style w:type="paragraph" w:customStyle="1" w:styleId="SpecialFooter">
    <w:name w:val="Special Footer"/>
    <w:basedOn w:val="Footer"/>
    <w:rsid w:val="00E01045"/>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E01045"/>
    <w:rPr>
      <w:b/>
      <w:color w:val="auto"/>
    </w:rPr>
  </w:style>
  <w:style w:type="paragraph" w:customStyle="1" w:styleId="Artheading">
    <w:name w:val="Art_heading"/>
    <w:basedOn w:val="Normal"/>
    <w:next w:val="Normalaftertitle"/>
    <w:rsid w:val="00E01045"/>
    <w:pPr>
      <w:spacing w:before="480"/>
      <w:jc w:val="center"/>
    </w:pPr>
    <w:rPr>
      <w:b/>
      <w:sz w:val="28"/>
    </w:rPr>
  </w:style>
  <w:style w:type="paragraph" w:styleId="BodyText">
    <w:name w:val="Body Text"/>
    <w:basedOn w:val="Normal"/>
    <w:link w:val="BodyTextChar"/>
    <w:uiPriority w:val="1"/>
    <w:qFormat/>
    <w:rsid w:val="00E01045"/>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E01045"/>
    <w:rPr>
      <w:rFonts w:ascii="Avenir Next W1G Medium" w:eastAsia="Avenir Next W1G Medium" w:hAnsi="Avenir Next W1G Medium" w:cs="Avenir Next W1G Medium"/>
      <w:b/>
      <w:bCs/>
      <w:sz w:val="48"/>
      <w:szCs w:val="48"/>
      <w:lang w:eastAsia="en-US"/>
    </w:rPr>
  </w:style>
  <w:style w:type="paragraph" w:customStyle="1" w:styleId="Default">
    <w:name w:val="Default"/>
    <w:rsid w:val="00E01045"/>
    <w:pPr>
      <w:autoSpaceDE w:val="0"/>
      <w:autoSpaceDN w:val="0"/>
      <w:adjustRightInd w:val="0"/>
    </w:pPr>
    <w:rPr>
      <w:color w:val="000000"/>
      <w:sz w:val="24"/>
      <w:szCs w:val="24"/>
      <w:lang w:val="en-GB"/>
    </w:rPr>
  </w:style>
  <w:style w:type="paragraph" w:customStyle="1" w:styleId="Reasons">
    <w:name w:val="Reasons"/>
    <w:basedOn w:val="Normal"/>
    <w:qFormat/>
    <w:rsid w:val="00863A53"/>
    <w:pPr>
      <w:tabs>
        <w:tab w:val="clear" w:pos="794"/>
        <w:tab w:val="clear" w:pos="1191"/>
        <w:tab w:val="clear" w:pos="1588"/>
        <w:tab w:val="clear" w:pos="1985"/>
      </w:tabs>
      <w:overflowPunct/>
      <w:autoSpaceDE/>
      <w:autoSpaceDN/>
      <w:adjustRightInd/>
      <w:spacing w:before="0"/>
      <w:jc w:val="left"/>
      <w:textAlignment w:val="auto"/>
    </w:pPr>
    <w:rPr>
      <w:lang w:val="en-US"/>
    </w:rPr>
  </w:style>
  <w:style w:type="character" w:styleId="BookTitle">
    <w:name w:val="Book Title"/>
    <w:basedOn w:val="DefaultParagraphFont"/>
    <w:uiPriority w:val="33"/>
    <w:qFormat/>
    <w:rsid w:val="007020CE"/>
    <w:rPr>
      <w:b/>
      <w:bCs/>
      <w:i/>
      <w:iCs/>
      <w:spacing w:val="5"/>
    </w:rPr>
  </w:style>
  <w:style w:type="paragraph" w:styleId="Caption">
    <w:name w:val="caption"/>
    <w:basedOn w:val="Normal"/>
    <w:next w:val="Normal"/>
    <w:semiHidden/>
    <w:unhideWhenUsed/>
    <w:qFormat/>
    <w:rsid w:val="007020CE"/>
    <w:pPr>
      <w:spacing w:before="0" w:after="200"/>
    </w:pPr>
    <w:rPr>
      <w:i/>
      <w:iCs/>
      <w:color w:val="44546A" w:themeColor="text2"/>
      <w:sz w:val="18"/>
      <w:szCs w:val="18"/>
    </w:rPr>
  </w:style>
  <w:style w:type="character" w:styleId="Emphasis">
    <w:name w:val="Emphasis"/>
    <w:basedOn w:val="DefaultParagraphFont"/>
    <w:qFormat/>
    <w:rsid w:val="007020CE"/>
    <w:rPr>
      <w:i/>
      <w:iCs/>
    </w:rPr>
  </w:style>
  <w:style w:type="character" w:styleId="IntenseEmphasis">
    <w:name w:val="Intense Emphasis"/>
    <w:basedOn w:val="DefaultParagraphFont"/>
    <w:uiPriority w:val="21"/>
    <w:qFormat/>
    <w:rsid w:val="007020CE"/>
    <w:rPr>
      <w:i/>
      <w:iCs/>
      <w:color w:val="5B9BD5" w:themeColor="accent1"/>
    </w:rPr>
  </w:style>
  <w:style w:type="paragraph" w:styleId="IntenseQuote">
    <w:name w:val="Intense Quote"/>
    <w:basedOn w:val="Normal"/>
    <w:next w:val="Normal"/>
    <w:link w:val="IntenseQuoteChar"/>
    <w:uiPriority w:val="30"/>
    <w:qFormat/>
    <w:rsid w:val="007020C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020CE"/>
    <w:rPr>
      <w:i/>
      <w:iCs/>
      <w:color w:val="5B9BD5" w:themeColor="accent1"/>
      <w:sz w:val="24"/>
      <w:lang w:val="en-GB" w:eastAsia="en-US"/>
    </w:rPr>
  </w:style>
  <w:style w:type="character" w:styleId="IntenseReference">
    <w:name w:val="Intense Reference"/>
    <w:basedOn w:val="DefaultParagraphFont"/>
    <w:uiPriority w:val="32"/>
    <w:qFormat/>
    <w:rsid w:val="007020CE"/>
    <w:rPr>
      <w:b/>
      <w:bCs/>
      <w:smallCaps/>
      <w:color w:val="5B9BD5" w:themeColor="accent1"/>
      <w:spacing w:val="5"/>
    </w:rPr>
  </w:style>
  <w:style w:type="paragraph" w:styleId="NoSpacing">
    <w:name w:val="No Spacing"/>
    <w:uiPriority w:val="1"/>
    <w:qFormat/>
    <w:rsid w:val="007020CE"/>
    <w:pPr>
      <w:tabs>
        <w:tab w:val="left" w:pos="794"/>
        <w:tab w:val="left" w:pos="1191"/>
        <w:tab w:val="left" w:pos="1588"/>
        <w:tab w:val="left" w:pos="1985"/>
      </w:tabs>
      <w:overflowPunct w:val="0"/>
      <w:autoSpaceDE w:val="0"/>
      <w:autoSpaceDN w:val="0"/>
      <w:adjustRightInd w:val="0"/>
      <w:jc w:val="both"/>
      <w:textAlignment w:val="baseline"/>
    </w:pPr>
    <w:rPr>
      <w:sz w:val="24"/>
      <w:lang w:val="en-GB" w:eastAsia="en-US"/>
    </w:rPr>
  </w:style>
  <w:style w:type="paragraph" w:styleId="Quote">
    <w:name w:val="Quote"/>
    <w:basedOn w:val="Normal"/>
    <w:next w:val="Normal"/>
    <w:link w:val="QuoteChar"/>
    <w:uiPriority w:val="29"/>
    <w:qFormat/>
    <w:rsid w:val="007020C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020CE"/>
    <w:rPr>
      <w:i/>
      <w:iCs/>
      <w:color w:val="404040" w:themeColor="text1" w:themeTint="BF"/>
      <w:sz w:val="24"/>
      <w:lang w:val="en-GB" w:eastAsia="en-US"/>
    </w:rPr>
  </w:style>
  <w:style w:type="character" w:styleId="Strong">
    <w:name w:val="Strong"/>
    <w:basedOn w:val="DefaultParagraphFont"/>
    <w:qFormat/>
    <w:rsid w:val="007020CE"/>
    <w:rPr>
      <w:b/>
      <w:bCs/>
    </w:rPr>
  </w:style>
  <w:style w:type="paragraph" w:styleId="Subtitle">
    <w:name w:val="Subtitle"/>
    <w:basedOn w:val="Normal"/>
    <w:next w:val="Normal"/>
    <w:link w:val="SubtitleChar"/>
    <w:qFormat/>
    <w:rsid w:val="007020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020CE"/>
    <w:rPr>
      <w:rFonts w:asciiTheme="minorHAnsi" w:eastAsiaTheme="minorEastAsia" w:hAnsiTheme="minorHAnsi" w:cstheme="minorBidi"/>
      <w:color w:val="5A5A5A" w:themeColor="text1" w:themeTint="A5"/>
      <w:spacing w:val="15"/>
      <w:sz w:val="22"/>
      <w:szCs w:val="22"/>
      <w:lang w:val="en-GB" w:eastAsia="en-US"/>
    </w:rPr>
  </w:style>
  <w:style w:type="character" w:styleId="SubtleEmphasis">
    <w:name w:val="Subtle Emphasis"/>
    <w:basedOn w:val="DefaultParagraphFont"/>
    <w:uiPriority w:val="19"/>
    <w:qFormat/>
    <w:rsid w:val="007020CE"/>
    <w:rPr>
      <w:i/>
      <w:iCs/>
      <w:color w:val="404040" w:themeColor="text1" w:themeTint="BF"/>
    </w:rPr>
  </w:style>
  <w:style w:type="character" w:styleId="SubtleReference">
    <w:name w:val="Subtle Reference"/>
    <w:basedOn w:val="DefaultParagraphFont"/>
    <w:uiPriority w:val="31"/>
    <w:qFormat/>
    <w:rsid w:val="007020CE"/>
    <w:rPr>
      <w:smallCaps/>
      <w:color w:val="5A5A5A" w:themeColor="text1" w:themeTint="A5"/>
    </w:rPr>
  </w:style>
  <w:style w:type="paragraph" w:styleId="Title">
    <w:name w:val="Title"/>
    <w:basedOn w:val="Normal"/>
    <w:next w:val="Normal"/>
    <w:link w:val="TitleChar"/>
    <w:qFormat/>
    <w:rsid w:val="007020CE"/>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020CE"/>
    <w:rPr>
      <w:rFonts w:asciiTheme="majorHAnsi" w:eastAsiaTheme="majorEastAsia" w:hAnsiTheme="majorHAnsi" w:cstheme="majorBidi"/>
      <w:spacing w:val="-10"/>
      <w:kern w:val="28"/>
      <w:sz w:val="56"/>
      <w:szCs w:val="56"/>
      <w:lang w:val="en-GB" w:eastAsia="en-US"/>
    </w:rPr>
  </w:style>
  <w:style w:type="paragraph" w:styleId="TOCHeading">
    <w:name w:val="TOC Heading"/>
    <w:basedOn w:val="Heading1"/>
    <w:next w:val="Normal"/>
    <w:uiPriority w:val="39"/>
    <w:semiHidden/>
    <w:unhideWhenUsed/>
    <w:qFormat/>
    <w:rsid w:val="007020CE"/>
    <w:pPr>
      <w:spacing w:before="240"/>
      <w:ind w:left="0" w:firstLine="0"/>
      <w:jc w:val="both"/>
      <w:outlineLvl w:val="9"/>
    </w:pPr>
    <w:rPr>
      <w:rFonts w:asciiTheme="majorHAnsi" w:eastAsiaTheme="majorEastAsia" w:hAnsiTheme="majorHAnsi" w:cstheme="majorBidi"/>
      <w:b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3910">
      <w:bodyDiv w:val="1"/>
      <w:marLeft w:val="0"/>
      <w:marRight w:val="0"/>
      <w:marTop w:val="0"/>
      <w:marBottom w:val="0"/>
      <w:divBdr>
        <w:top w:val="none" w:sz="0" w:space="0" w:color="auto"/>
        <w:left w:val="none" w:sz="0" w:space="0" w:color="auto"/>
        <w:bottom w:val="none" w:sz="0" w:space="0" w:color="auto"/>
        <w:right w:val="none" w:sz="0" w:space="0" w:color="auto"/>
      </w:divBdr>
    </w:div>
    <w:div w:id="82066718">
      <w:bodyDiv w:val="1"/>
      <w:marLeft w:val="0"/>
      <w:marRight w:val="0"/>
      <w:marTop w:val="0"/>
      <w:marBottom w:val="0"/>
      <w:divBdr>
        <w:top w:val="none" w:sz="0" w:space="0" w:color="auto"/>
        <w:left w:val="none" w:sz="0" w:space="0" w:color="auto"/>
        <w:bottom w:val="none" w:sz="0" w:space="0" w:color="auto"/>
        <w:right w:val="none" w:sz="0" w:space="0" w:color="auto"/>
      </w:divBdr>
    </w:div>
    <w:div w:id="94641804">
      <w:bodyDiv w:val="1"/>
      <w:marLeft w:val="0"/>
      <w:marRight w:val="0"/>
      <w:marTop w:val="0"/>
      <w:marBottom w:val="0"/>
      <w:divBdr>
        <w:top w:val="none" w:sz="0" w:space="0" w:color="auto"/>
        <w:left w:val="none" w:sz="0" w:space="0" w:color="auto"/>
        <w:bottom w:val="none" w:sz="0" w:space="0" w:color="auto"/>
        <w:right w:val="none" w:sz="0" w:space="0" w:color="auto"/>
      </w:divBdr>
    </w:div>
    <w:div w:id="113596962">
      <w:bodyDiv w:val="1"/>
      <w:marLeft w:val="0"/>
      <w:marRight w:val="0"/>
      <w:marTop w:val="0"/>
      <w:marBottom w:val="0"/>
      <w:divBdr>
        <w:top w:val="none" w:sz="0" w:space="0" w:color="auto"/>
        <w:left w:val="none" w:sz="0" w:space="0" w:color="auto"/>
        <w:bottom w:val="none" w:sz="0" w:space="0" w:color="auto"/>
        <w:right w:val="none" w:sz="0" w:space="0" w:color="auto"/>
      </w:divBdr>
    </w:div>
    <w:div w:id="168373268">
      <w:bodyDiv w:val="1"/>
      <w:marLeft w:val="0"/>
      <w:marRight w:val="0"/>
      <w:marTop w:val="0"/>
      <w:marBottom w:val="0"/>
      <w:divBdr>
        <w:top w:val="none" w:sz="0" w:space="0" w:color="auto"/>
        <w:left w:val="none" w:sz="0" w:space="0" w:color="auto"/>
        <w:bottom w:val="none" w:sz="0" w:space="0" w:color="auto"/>
        <w:right w:val="none" w:sz="0" w:space="0" w:color="auto"/>
      </w:divBdr>
    </w:div>
    <w:div w:id="200362391">
      <w:bodyDiv w:val="1"/>
      <w:marLeft w:val="0"/>
      <w:marRight w:val="0"/>
      <w:marTop w:val="0"/>
      <w:marBottom w:val="0"/>
      <w:divBdr>
        <w:top w:val="none" w:sz="0" w:space="0" w:color="auto"/>
        <w:left w:val="none" w:sz="0" w:space="0" w:color="auto"/>
        <w:bottom w:val="none" w:sz="0" w:space="0" w:color="auto"/>
        <w:right w:val="none" w:sz="0" w:space="0" w:color="auto"/>
      </w:divBdr>
    </w:div>
    <w:div w:id="206527453">
      <w:bodyDiv w:val="1"/>
      <w:marLeft w:val="0"/>
      <w:marRight w:val="0"/>
      <w:marTop w:val="0"/>
      <w:marBottom w:val="0"/>
      <w:divBdr>
        <w:top w:val="none" w:sz="0" w:space="0" w:color="auto"/>
        <w:left w:val="none" w:sz="0" w:space="0" w:color="auto"/>
        <w:bottom w:val="none" w:sz="0" w:space="0" w:color="auto"/>
        <w:right w:val="none" w:sz="0" w:space="0" w:color="auto"/>
      </w:divBdr>
    </w:div>
    <w:div w:id="212811212">
      <w:bodyDiv w:val="1"/>
      <w:marLeft w:val="0"/>
      <w:marRight w:val="0"/>
      <w:marTop w:val="0"/>
      <w:marBottom w:val="0"/>
      <w:divBdr>
        <w:top w:val="none" w:sz="0" w:space="0" w:color="auto"/>
        <w:left w:val="none" w:sz="0" w:space="0" w:color="auto"/>
        <w:bottom w:val="none" w:sz="0" w:space="0" w:color="auto"/>
        <w:right w:val="none" w:sz="0" w:space="0" w:color="auto"/>
      </w:divBdr>
      <w:divsChild>
        <w:div w:id="712391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7768717">
      <w:bodyDiv w:val="1"/>
      <w:marLeft w:val="0"/>
      <w:marRight w:val="0"/>
      <w:marTop w:val="0"/>
      <w:marBottom w:val="0"/>
      <w:divBdr>
        <w:top w:val="none" w:sz="0" w:space="0" w:color="auto"/>
        <w:left w:val="none" w:sz="0" w:space="0" w:color="auto"/>
        <w:bottom w:val="none" w:sz="0" w:space="0" w:color="auto"/>
        <w:right w:val="none" w:sz="0" w:space="0" w:color="auto"/>
      </w:divBdr>
    </w:div>
    <w:div w:id="345794556">
      <w:bodyDiv w:val="1"/>
      <w:marLeft w:val="0"/>
      <w:marRight w:val="0"/>
      <w:marTop w:val="0"/>
      <w:marBottom w:val="0"/>
      <w:divBdr>
        <w:top w:val="none" w:sz="0" w:space="0" w:color="auto"/>
        <w:left w:val="none" w:sz="0" w:space="0" w:color="auto"/>
        <w:bottom w:val="none" w:sz="0" w:space="0" w:color="auto"/>
        <w:right w:val="none" w:sz="0" w:space="0" w:color="auto"/>
      </w:divBdr>
    </w:div>
    <w:div w:id="364719338">
      <w:bodyDiv w:val="1"/>
      <w:marLeft w:val="0"/>
      <w:marRight w:val="0"/>
      <w:marTop w:val="0"/>
      <w:marBottom w:val="0"/>
      <w:divBdr>
        <w:top w:val="none" w:sz="0" w:space="0" w:color="auto"/>
        <w:left w:val="none" w:sz="0" w:space="0" w:color="auto"/>
        <w:bottom w:val="none" w:sz="0" w:space="0" w:color="auto"/>
        <w:right w:val="none" w:sz="0" w:space="0" w:color="auto"/>
      </w:divBdr>
    </w:div>
    <w:div w:id="545604805">
      <w:bodyDiv w:val="1"/>
      <w:marLeft w:val="0"/>
      <w:marRight w:val="0"/>
      <w:marTop w:val="0"/>
      <w:marBottom w:val="0"/>
      <w:divBdr>
        <w:top w:val="none" w:sz="0" w:space="0" w:color="auto"/>
        <w:left w:val="none" w:sz="0" w:space="0" w:color="auto"/>
        <w:bottom w:val="none" w:sz="0" w:space="0" w:color="auto"/>
        <w:right w:val="none" w:sz="0" w:space="0" w:color="auto"/>
      </w:divBdr>
    </w:div>
    <w:div w:id="550268390">
      <w:bodyDiv w:val="1"/>
      <w:marLeft w:val="0"/>
      <w:marRight w:val="0"/>
      <w:marTop w:val="0"/>
      <w:marBottom w:val="0"/>
      <w:divBdr>
        <w:top w:val="none" w:sz="0" w:space="0" w:color="auto"/>
        <w:left w:val="none" w:sz="0" w:space="0" w:color="auto"/>
        <w:bottom w:val="none" w:sz="0" w:space="0" w:color="auto"/>
        <w:right w:val="none" w:sz="0" w:space="0" w:color="auto"/>
      </w:divBdr>
    </w:div>
    <w:div w:id="603076226">
      <w:bodyDiv w:val="1"/>
      <w:marLeft w:val="0"/>
      <w:marRight w:val="0"/>
      <w:marTop w:val="0"/>
      <w:marBottom w:val="0"/>
      <w:divBdr>
        <w:top w:val="none" w:sz="0" w:space="0" w:color="auto"/>
        <w:left w:val="none" w:sz="0" w:space="0" w:color="auto"/>
        <w:bottom w:val="none" w:sz="0" w:space="0" w:color="auto"/>
        <w:right w:val="none" w:sz="0" w:space="0" w:color="auto"/>
      </w:divBdr>
      <w:divsChild>
        <w:div w:id="219757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3143336">
      <w:bodyDiv w:val="1"/>
      <w:marLeft w:val="0"/>
      <w:marRight w:val="0"/>
      <w:marTop w:val="0"/>
      <w:marBottom w:val="0"/>
      <w:divBdr>
        <w:top w:val="none" w:sz="0" w:space="0" w:color="auto"/>
        <w:left w:val="none" w:sz="0" w:space="0" w:color="auto"/>
        <w:bottom w:val="none" w:sz="0" w:space="0" w:color="auto"/>
        <w:right w:val="none" w:sz="0" w:space="0" w:color="auto"/>
      </w:divBdr>
    </w:div>
    <w:div w:id="684477238">
      <w:bodyDiv w:val="1"/>
      <w:marLeft w:val="0"/>
      <w:marRight w:val="0"/>
      <w:marTop w:val="0"/>
      <w:marBottom w:val="0"/>
      <w:divBdr>
        <w:top w:val="none" w:sz="0" w:space="0" w:color="auto"/>
        <w:left w:val="none" w:sz="0" w:space="0" w:color="auto"/>
        <w:bottom w:val="none" w:sz="0" w:space="0" w:color="auto"/>
        <w:right w:val="none" w:sz="0" w:space="0" w:color="auto"/>
      </w:divBdr>
    </w:div>
    <w:div w:id="700936916">
      <w:bodyDiv w:val="1"/>
      <w:marLeft w:val="0"/>
      <w:marRight w:val="0"/>
      <w:marTop w:val="0"/>
      <w:marBottom w:val="0"/>
      <w:divBdr>
        <w:top w:val="none" w:sz="0" w:space="0" w:color="auto"/>
        <w:left w:val="none" w:sz="0" w:space="0" w:color="auto"/>
        <w:bottom w:val="none" w:sz="0" w:space="0" w:color="auto"/>
        <w:right w:val="none" w:sz="0" w:space="0" w:color="auto"/>
      </w:divBdr>
    </w:div>
    <w:div w:id="730034893">
      <w:bodyDiv w:val="1"/>
      <w:marLeft w:val="0"/>
      <w:marRight w:val="0"/>
      <w:marTop w:val="0"/>
      <w:marBottom w:val="0"/>
      <w:divBdr>
        <w:top w:val="none" w:sz="0" w:space="0" w:color="auto"/>
        <w:left w:val="none" w:sz="0" w:space="0" w:color="auto"/>
        <w:bottom w:val="none" w:sz="0" w:space="0" w:color="auto"/>
        <w:right w:val="none" w:sz="0" w:space="0" w:color="auto"/>
      </w:divBdr>
    </w:div>
    <w:div w:id="794447794">
      <w:bodyDiv w:val="1"/>
      <w:marLeft w:val="0"/>
      <w:marRight w:val="0"/>
      <w:marTop w:val="0"/>
      <w:marBottom w:val="0"/>
      <w:divBdr>
        <w:top w:val="none" w:sz="0" w:space="0" w:color="auto"/>
        <w:left w:val="none" w:sz="0" w:space="0" w:color="auto"/>
        <w:bottom w:val="none" w:sz="0" w:space="0" w:color="auto"/>
        <w:right w:val="none" w:sz="0" w:space="0" w:color="auto"/>
      </w:divBdr>
    </w:div>
    <w:div w:id="802116326">
      <w:bodyDiv w:val="1"/>
      <w:marLeft w:val="0"/>
      <w:marRight w:val="0"/>
      <w:marTop w:val="0"/>
      <w:marBottom w:val="0"/>
      <w:divBdr>
        <w:top w:val="none" w:sz="0" w:space="0" w:color="auto"/>
        <w:left w:val="none" w:sz="0" w:space="0" w:color="auto"/>
        <w:bottom w:val="none" w:sz="0" w:space="0" w:color="auto"/>
        <w:right w:val="none" w:sz="0" w:space="0" w:color="auto"/>
      </w:divBdr>
    </w:div>
    <w:div w:id="889195232">
      <w:bodyDiv w:val="1"/>
      <w:marLeft w:val="0"/>
      <w:marRight w:val="0"/>
      <w:marTop w:val="0"/>
      <w:marBottom w:val="0"/>
      <w:divBdr>
        <w:top w:val="none" w:sz="0" w:space="0" w:color="auto"/>
        <w:left w:val="none" w:sz="0" w:space="0" w:color="auto"/>
        <w:bottom w:val="none" w:sz="0" w:space="0" w:color="auto"/>
        <w:right w:val="none" w:sz="0" w:space="0" w:color="auto"/>
      </w:divBdr>
    </w:div>
    <w:div w:id="913587364">
      <w:bodyDiv w:val="1"/>
      <w:marLeft w:val="0"/>
      <w:marRight w:val="0"/>
      <w:marTop w:val="0"/>
      <w:marBottom w:val="0"/>
      <w:divBdr>
        <w:top w:val="none" w:sz="0" w:space="0" w:color="auto"/>
        <w:left w:val="none" w:sz="0" w:space="0" w:color="auto"/>
        <w:bottom w:val="none" w:sz="0" w:space="0" w:color="auto"/>
        <w:right w:val="none" w:sz="0" w:space="0" w:color="auto"/>
      </w:divBdr>
      <w:divsChild>
        <w:div w:id="677079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3385550">
      <w:bodyDiv w:val="1"/>
      <w:marLeft w:val="0"/>
      <w:marRight w:val="0"/>
      <w:marTop w:val="0"/>
      <w:marBottom w:val="0"/>
      <w:divBdr>
        <w:top w:val="none" w:sz="0" w:space="0" w:color="auto"/>
        <w:left w:val="none" w:sz="0" w:space="0" w:color="auto"/>
        <w:bottom w:val="none" w:sz="0" w:space="0" w:color="auto"/>
        <w:right w:val="none" w:sz="0" w:space="0" w:color="auto"/>
      </w:divBdr>
    </w:div>
    <w:div w:id="1058822089">
      <w:bodyDiv w:val="1"/>
      <w:marLeft w:val="0"/>
      <w:marRight w:val="0"/>
      <w:marTop w:val="0"/>
      <w:marBottom w:val="0"/>
      <w:divBdr>
        <w:top w:val="none" w:sz="0" w:space="0" w:color="auto"/>
        <w:left w:val="none" w:sz="0" w:space="0" w:color="auto"/>
        <w:bottom w:val="none" w:sz="0" w:space="0" w:color="auto"/>
        <w:right w:val="none" w:sz="0" w:space="0" w:color="auto"/>
      </w:divBdr>
    </w:div>
    <w:div w:id="1067722967">
      <w:bodyDiv w:val="1"/>
      <w:marLeft w:val="0"/>
      <w:marRight w:val="0"/>
      <w:marTop w:val="0"/>
      <w:marBottom w:val="0"/>
      <w:divBdr>
        <w:top w:val="none" w:sz="0" w:space="0" w:color="auto"/>
        <w:left w:val="none" w:sz="0" w:space="0" w:color="auto"/>
        <w:bottom w:val="none" w:sz="0" w:space="0" w:color="auto"/>
        <w:right w:val="none" w:sz="0" w:space="0" w:color="auto"/>
      </w:divBdr>
    </w:div>
    <w:div w:id="1088775570">
      <w:bodyDiv w:val="1"/>
      <w:marLeft w:val="0"/>
      <w:marRight w:val="0"/>
      <w:marTop w:val="0"/>
      <w:marBottom w:val="0"/>
      <w:divBdr>
        <w:top w:val="none" w:sz="0" w:space="0" w:color="auto"/>
        <w:left w:val="none" w:sz="0" w:space="0" w:color="auto"/>
        <w:bottom w:val="none" w:sz="0" w:space="0" w:color="auto"/>
        <w:right w:val="none" w:sz="0" w:space="0" w:color="auto"/>
      </w:divBdr>
    </w:div>
    <w:div w:id="1090614635">
      <w:bodyDiv w:val="1"/>
      <w:marLeft w:val="0"/>
      <w:marRight w:val="0"/>
      <w:marTop w:val="0"/>
      <w:marBottom w:val="0"/>
      <w:divBdr>
        <w:top w:val="none" w:sz="0" w:space="0" w:color="auto"/>
        <w:left w:val="none" w:sz="0" w:space="0" w:color="auto"/>
        <w:bottom w:val="none" w:sz="0" w:space="0" w:color="auto"/>
        <w:right w:val="none" w:sz="0" w:space="0" w:color="auto"/>
      </w:divBdr>
    </w:div>
    <w:div w:id="1178035866">
      <w:bodyDiv w:val="1"/>
      <w:marLeft w:val="0"/>
      <w:marRight w:val="0"/>
      <w:marTop w:val="0"/>
      <w:marBottom w:val="0"/>
      <w:divBdr>
        <w:top w:val="none" w:sz="0" w:space="0" w:color="auto"/>
        <w:left w:val="none" w:sz="0" w:space="0" w:color="auto"/>
        <w:bottom w:val="none" w:sz="0" w:space="0" w:color="auto"/>
        <w:right w:val="none" w:sz="0" w:space="0" w:color="auto"/>
      </w:divBdr>
    </w:div>
    <w:div w:id="1288854737">
      <w:bodyDiv w:val="1"/>
      <w:marLeft w:val="0"/>
      <w:marRight w:val="0"/>
      <w:marTop w:val="0"/>
      <w:marBottom w:val="0"/>
      <w:divBdr>
        <w:top w:val="none" w:sz="0" w:space="0" w:color="auto"/>
        <w:left w:val="none" w:sz="0" w:space="0" w:color="auto"/>
        <w:bottom w:val="none" w:sz="0" w:space="0" w:color="auto"/>
        <w:right w:val="none" w:sz="0" w:space="0" w:color="auto"/>
      </w:divBdr>
    </w:div>
    <w:div w:id="1479608643">
      <w:bodyDiv w:val="1"/>
      <w:marLeft w:val="0"/>
      <w:marRight w:val="0"/>
      <w:marTop w:val="0"/>
      <w:marBottom w:val="0"/>
      <w:divBdr>
        <w:top w:val="none" w:sz="0" w:space="0" w:color="auto"/>
        <w:left w:val="none" w:sz="0" w:space="0" w:color="auto"/>
        <w:bottom w:val="none" w:sz="0" w:space="0" w:color="auto"/>
        <w:right w:val="none" w:sz="0" w:space="0" w:color="auto"/>
      </w:divBdr>
    </w:div>
    <w:div w:id="1485470571">
      <w:bodyDiv w:val="1"/>
      <w:marLeft w:val="0"/>
      <w:marRight w:val="0"/>
      <w:marTop w:val="0"/>
      <w:marBottom w:val="0"/>
      <w:divBdr>
        <w:top w:val="none" w:sz="0" w:space="0" w:color="auto"/>
        <w:left w:val="none" w:sz="0" w:space="0" w:color="auto"/>
        <w:bottom w:val="none" w:sz="0" w:space="0" w:color="auto"/>
        <w:right w:val="none" w:sz="0" w:space="0" w:color="auto"/>
      </w:divBdr>
    </w:div>
    <w:div w:id="1511142149">
      <w:bodyDiv w:val="1"/>
      <w:marLeft w:val="0"/>
      <w:marRight w:val="0"/>
      <w:marTop w:val="0"/>
      <w:marBottom w:val="0"/>
      <w:divBdr>
        <w:top w:val="none" w:sz="0" w:space="0" w:color="auto"/>
        <w:left w:val="none" w:sz="0" w:space="0" w:color="auto"/>
        <w:bottom w:val="none" w:sz="0" w:space="0" w:color="auto"/>
        <w:right w:val="none" w:sz="0" w:space="0" w:color="auto"/>
      </w:divBdr>
    </w:div>
    <w:div w:id="1517695883">
      <w:bodyDiv w:val="1"/>
      <w:marLeft w:val="0"/>
      <w:marRight w:val="0"/>
      <w:marTop w:val="0"/>
      <w:marBottom w:val="0"/>
      <w:divBdr>
        <w:top w:val="none" w:sz="0" w:space="0" w:color="auto"/>
        <w:left w:val="none" w:sz="0" w:space="0" w:color="auto"/>
        <w:bottom w:val="none" w:sz="0" w:space="0" w:color="auto"/>
        <w:right w:val="none" w:sz="0" w:space="0" w:color="auto"/>
      </w:divBdr>
    </w:div>
    <w:div w:id="1586958955">
      <w:bodyDiv w:val="1"/>
      <w:marLeft w:val="0"/>
      <w:marRight w:val="0"/>
      <w:marTop w:val="0"/>
      <w:marBottom w:val="0"/>
      <w:divBdr>
        <w:top w:val="none" w:sz="0" w:space="0" w:color="auto"/>
        <w:left w:val="none" w:sz="0" w:space="0" w:color="auto"/>
        <w:bottom w:val="none" w:sz="0" w:space="0" w:color="auto"/>
        <w:right w:val="none" w:sz="0" w:space="0" w:color="auto"/>
      </w:divBdr>
    </w:div>
    <w:div w:id="1681155422">
      <w:bodyDiv w:val="1"/>
      <w:marLeft w:val="0"/>
      <w:marRight w:val="0"/>
      <w:marTop w:val="0"/>
      <w:marBottom w:val="0"/>
      <w:divBdr>
        <w:top w:val="none" w:sz="0" w:space="0" w:color="auto"/>
        <w:left w:val="none" w:sz="0" w:space="0" w:color="auto"/>
        <w:bottom w:val="none" w:sz="0" w:space="0" w:color="auto"/>
        <w:right w:val="none" w:sz="0" w:space="0" w:color="auto"/>
      </w:divBdr>
    </w:div>
    <w:div w:id="1698696829">
      <w:bodyDiv w:val="1"/>
      <w:marLeft w:val="0"/>
      <w:marRight w:val="0"/>
      <w:marTop w:val="0"/>
      <w:marBottom w:val="0"/>
      <w:divBdr>
        <w:top w:val="none" w:sz="0" w:space="0" w:color="auto"/>
        <w:left w:val="none" w:sz="0" w:space="0" w:color="auto"/>
        <w:bottom w:val="none" w:sz="0" w:space="0" w:color="auto"/>
        <w:right w:val="none" w:sz="0" w:space="0" w:color="auto"/>
      </w:divBdr>
    </w:div>
    <w:div w:id="1744834169">
      <w:bodyDiv w:val="1"/>
      <w:marLeft w:val="0"/>
      <w:marRight w:val="0"/>
      <w:marTop w:val="0"/>
      <w:marBottom w:val="0"/>
      <w:divBdr>
        <w:top w:val="none" w:sz="0" w:space="0" w:color="auto"/>
        <w:left w:val="none" w:sz="0" w:space="0" w:color="auto"/>
        <w:bottom w:val="none" w:sz="0" w:space="0" w:color="auto"/>
        <w:right w:val="none" w:sz="0" w:space="0" w:color="auto"/>
      </w:divBdr>
      <w:divsChild>
        <w:div w:id="1424034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7843984">
      <w:bodyDiv w:val="1"/>
      <w:marLeft w:val="0"/>
      <w:marRight w:val="0"/>
      <w:marTop w:val="0"/>
      <w:marBottom w:val="0"/>
      <w:divBdr>
        <w:top w:val="none" w:sz="0" w:space="0" w:color="auto"/>
        <w:left w:val="none" w:sz="0" w:space="0" w:color="auto"/>
        <w:bottom w:val="none" w:sz="0" w:space="0" w:color="auto"/>
        <w:right w:val="none" w:sz="0" w:space="0" w:color="auto"/>
      </w:divBdr>
    </w:div>
    <w:div w:id="1953395857">
      <w:bodyDiv w:val="1"/>
      <w:marLeft w:val="0"/>
      <w:marRight w:val="0"/>
      <w:marTop w:val="0"/>
      <w:marBottom w:val="0"/>
      <w:divBdr>
        <w:top w:val="none" w:sz="0" w:space="0" w:color="auto"/>
        <w:left w:val="none" w:sz="0" w:space="0" w:color="auto"/>
        <w:bottom w:val="none" w:sz="0" w:space="0" w:color="auto"/>
        <w:right w:val="none" w:sz="0" w:space="0" w:color="auto"/>
      </w:divBdr>
    </w:div>
    <w:div w:id="1985431195">
      <w:bodyDiv w:val="1"/>
      <w:marLeft w:val="0"/>
      <w:marRight w:val="0"/>
      <w:marTop w:val="0"/>
      <w:marBottom w:val="0"/>
      <w:divBdr>
        <w:top w:val="none" w:sz="0" w:space="0" w:color="auto"/>
        <w:left w:val="none" w:sz="0" w:space="0" w:color="auto"/>
        <w:bottom w:val="none" w:sz="0" w:space="0" w:color="auto"/>
        <w:right w:val="none" w:sz="0" w:space="0" w:color="auto"/>
      </w:divBdr>
    </w:div>
    <w:div w:id="1994790142">
      <w:bodyDiv w:val="1"/>
      <w:marLeft w:val="0"/>
      <w:marRight w:val="0"/>
      <w:marTop w:val="0"/>
      <w:marBottom w:val="0"/>
      <w:divBdr>
        <w:top w:val="none" w:sz="0" w:space="0" w:color="auto"/>
        <w:left w:val="none" w:sz="0" w:space="0" w:color="auto"/>
        <w:bottom w:val="none" w:sz="0" w:space="0" w:color="auto"/>
        <w:right w:val="none" w:sz="0" w:space="0" w:color="auto"/>
      </w:divBdr>
    </w:div>
    <w:div w:id="2000838690">
      <w:bodyDiv w:val="1"/>
      <w:marLeft w:val="0"/>
      <w:marRight w:val="0"/>
      <w:marTop w:val="0"/>
      <w:marBottom w:val="0"/>
      <w:divBdr>
        <w:top w:val="none" w:sz="0" w:space="0" w:color="auto"/>
        <w:left w:val="none" w:sz="0" w:space="0" w:color="auto"/>
        <w:bottom w:val="none" w:sz="0" w:space="0" w:color="auto"/>
        <w:right w:val="none" w:sz="0" w:space="0" w:color="auto"/>
      </w:divBdr>
    </w:div>
    <w:div w:id="2029484422">
      <w:bodyDiv w:val="1"/>
      <w:marLeft w:val="0"/>
      <w:marRight w:val="0"/>
      <w:marTop w:val="0"/>
      <w:marBottom w:val="0"/>
      <w:divBdr>
        <w:top w:val="none" w:sz="0" w:space="0" w:color="auto"/>
        <w:left w:val="none" w:sz="0" w:space="0" w:color="auto"/>
        <w:bottom w:val="none" w:sz="0" w:space="0" w:color="auto"/>
        <w:right w:val="none" w:sz="0" w:space="0" w:color="auto"/>
      </w:divBdr>
    </w:div>
    <w:div w:id="2048483944">
      <w:bodyDiv w:val="1"/>
      <w:marLeft w:val="0"/>
      <w:marRight w:val="0"/>
      <w:marTop w:val="0"/>
      <w:marBottom w:val="0"/>
      <w:divBdr>
        <w:top w:val="none" w:sz="0" w:space="0" w:color="auto"/>
        <w:left w:val="none" w:sz="0" w:space="0" w:color="auto"/>
        <w:bottom w:val="none" w:sz="0" w:space="0" w:color="auto"/>
        <w:right w:val="none" w:sz="0" w:space="0" w:color="auto"/>
      </w:divBdr>
    </w:div>
    <w:div w:id="213883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tsbfgcd@itu.int" TargetMode="Externa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yperlink" Target="https://creativecommons.org/licenses/by-nc-sa/3.0/igo"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Ashutosh.Rai1@in.ey.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c.sathish@gov.i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TSBmail@itu.int" TargetMode="External"/><Relationship Id="rId27"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gis\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ource xmlns="334a01d7-b565-4edd-92e5-cca83928c361">Editor</Source>
    <Meeting xmlns="334a01d7-b565-4edd-92e5-cca83928c361">Online, 1 October 2025</Meeting>
    <Latest_x0020_Version xmlns="b500f77b-6e1f-400b-8fa1-7178c52610ee"/>
    <Meeting_x0020_document_x0020_number xmlns="334a01d7-b565-4edd-92e5-cca83928c361">112</Meeting_x0020_document_x0020_numb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8EF4B8B1B8E3F439EA8FDA7FD7D5D5F" ma:contentTypeVersion="4" ma:contentTypeDescription="Create a new document." ma:contentTypeScope="" ma:versionID="503e3d07b1a9d5e33fa5d737791e3539">
  <xsd:schema xmlns:xsd="http://www.w3.org/2001/XMLSchema" xmlns:xs="http://www.w3.org/2001/XMLSchema" xmlns:p="http://schemas.microsoft.com/office/2006/metadata/properties" xmlns:ns2="334a01d7-b565-4edd-92e5-cca83928c361" xmlns:ns3="b500f77b-6e1f-400b-8fa1-7178c52610ee" targetNamespace="http://schemas.microsoft.com/office/2006/metadata/properties" ma:root="true" ma:fieldsID="d4e56034b748e6a550d236e6f0cef963" ns2:_="" ns3:_="">
    <xsd:import namespace="334a01d7-b565-4edd-92e5-cca83928c361"/>
    <xsd:import namespace="b500f77b-6e1f-400b-8fa1-7178c52610ee"/>
    <xsd:element name="properties">
      <xsd:complexType>
        <xsd:sequence>
          <xsd:element name="documentManagement">
            <xsd:complexType>
              <xsd:all>
                <xsd:element ref="ns2:Meeting"/>
                <xsd:element ref="ns2:Source"/>
                <xsd:element ref="ns2:Meeting_x0020_document_x0020_number"/>
                <xsd:element ref="ns3:Latest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a01d7-b565-4edd-92e5-cca83928c361" elementFormDefault="qualified">
    <xsd:import namespace="http://schemas.microsoft.com/office/2006/documentManagement/types"/>
    <xsd:import namespace="http://schemas.microsoft.com/office/infopath/2007/PartnerControls"/>
    <xsd:element name="Meeting" ma:index="8" ma:displayName="Meeting" ma:default="Online, 1 October 2025" ma:description="Meeting location and date." ma:format="Dropdown" ma:internalName="Meeting">
      <xsd:simpleType>
        <xsd:restriction base="dms:Choice">
          <xsd:enumeration value="Online, 1 October 2025"/>
          <xsd:enumeration value="Online, 26 August 2025"/>
          <xsd:enumeration value="Online, 25 June 2025"/>
          <xsd:enumeration value="Libreville, 18 February 2025"/>
          <xsd:enumeration value="Online, 26 November 2024"/>
          <xsd:enumeration value="Online, 29 August 2024"/>
          <xsd:enumeration value="Lilongwe, 8-10 April 2024"/>
          <xsd:enumeration value="New Delhi, 5-6 October 2023"/>
        </xsd:restriction>
      </xsd:simpleType>
    </xsd:element>
    <xsd:element name="Source" ma:index="9" ma:displayName="Source" ma:description="Source of the document." ma:internalName="Source">
      <xsd:simpleType>
        <xsd:restriction base="dms:Text">
          <xsd:maxLength value="255"/>
        </xsd:restriction>
      </xsd:simpleType>
    </xsd:element>
    <xsd:element name="Meeting_x0020_document_x0020_number" ma:index="10" ma:displayName="Meeting document number" ma:default="###" ma:description="Meeting document number - Format (###) Example: 001" ma:internalName="Meeting_x0020_document_x0020_number">
      <xsd:simpleType>
        <xsd:restriction base="dms:Text">
          <xsd:maxLength value="3"/>
        </xsd:restriction>
      </xsd:simpleType>
    </xsd:element>
  </xsd:schema>
  <xsd:schema xmlns:xsd="http://www.w3.org/2001/XMLSchema" xmlns:xs="http://www.w3.org/2001/XMLSchema" xmlns:dms="http://schemas.microsoft.com/office/2006/documentManagement/types" xmlns:pc="http://schemas.microsoft.com/office/infopath/2007/PartnerControls" targetNamespace="b500f77b-6e1f-400b-8fa1-7178c52610ee" elementFormDefault="qualified">
    <xsd:import namespace="http://schemas.microsoft.com/office/2006/documentManagement/types"/>
    <xsd:import namespace="http://schemas.microsoft.com/office/infopath/2007/PartnerControls"/>
    <xsd:element name="Latest_x0020_Version" ma:index="11" nillable="true" ma:displayName="Latest Version" ma:description="Click on No if this is not the latest version of the document." ma:internalName="Latest_x0020_Version">
      <xsd:complexType>
        <xsd:complexContent>
          <xsd:extension base="dms:MultiChoice">
            <xsd:sequence>
              <xsd:element name="Value" maxOccurs="unbounded" minOccurs="0" nillable="true">
                <xsd:simpleType>
                  <xsd:restriction base="dms:Choice">
                    <xsd:enumeration value="No"/>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490876-62A1-40BC-8624-2A8D03EB6E7F}">
  <ds:schemaRefs>
    <ds:schemaRef ds:uri="http://schemas.openxmlformats.org/officeDocument/2006/bibliography"/>
  </ds:schemaRefs>
</ds:datastoreItem>
</file>

<file path=customXml/itemProps2.xml><?xml version="1.0" encoding="utf-8"?>
<ds:datastoreItem xmlns:ds="http://schemas.openxmlformats.org/officeDocument/2006/customXml" ds:itemID="{9EF561ED-57AB-4E4B-8887-0B8769730D96}">
  <ds:schemaRefs>
    <ds:schemaRef ds:uri="http://schemas.microsoft.com/office/2006/metadata/properties"/>
    <ds:schemaRef ds:uri="http://schemas.microsoft.com/office/infopath/2007/PartnerControls"/>
    <ds:schemaRef ds:uri="334a01d7-b565-4edd-92e5-cca83928c361"/>
    <ds:schemaRef ds:uri="b500f77b-6e1f-400b-8fa1-7178c52610ee"/>
  </ds:schemaRefs>
</ds:datastoreItem>
</file>

<file path=customXml/itemProps3.xml><?xml version="1.0" encoding="utf-8"?>
<ds:datastoreItem xmlns:ds="http://schemas.openxmlformats.org/officeDocument/2006/customXml" ds:itemID="{F7CA4B30-CACD-4912-856F-AEEF8A2DA84B}">
  <ds:schemaRefs>
    <ds:schemaRef ds:uri="http://schemas.microsoft.com/sharepoint/v3/contenttype/forms"/>
  </ds:schemaRefs>
</ds:datastoreItem>
</file>

<file path=customXml/itemProps4.xml><?xml version="1.0" encoding="utf-8"?>
<ds:datastoreItem xmlns:ds="http://schemas.openxmlformats.org/officeDocument/2006/customXml" ds:itemID="{3E206A90-31D0-4976-9BD9-854617801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a01d7-b565-4edd-92e5-cca83928c361"/>
    <ds:schemaRef ds:uri="b500f77b-6e1f-400b-8fa1-7178c52610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T-TUT-REPORT-E.dotm</Template>
  <TotalTime>371</TotalTime>
  <Pages>17</Pages>
  <Words>5802</Words>
  <Characters>39106</Characters>
  <Application>Microsoft Office Word</Application>
  <DocSecurity>0</DocSecurity>
  <Lines>662</Lines>
  <Paragraphs>335</Paragraphs>
  <ScaleCrop>false</ScaleCrop>
  <HeadingPairs>
    <vt:vector size="2" baseType="variant">
      <vt:variant>
        <vt:lpstr>Title</vt:lpstr>
      </vt:variant>
      <vt:variant>
        <vt:i4>1</vt:i4>
      </vt:variant>
    </vt:vector>
  </HeadingPairs>
  <TitlesOfParts>
    <vt:vector size="1" baseType="lpstr">
      <vt:lpstr>ITU Focus Group Technical Report</vt:lpstr>
    </vt:vector>
  </TitlesOfParts>
  <Company/>
  <LinksUpToDate>false</LinksUpToDate>
  <CharactersWithSpaces>44573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Report (10/2025) -  Supply chain of telecom/ICT infrastructure related to international Internet connectivity costs enabling affordable data services</dc:title>
  <dc:subject/>
  <dc:creator>Venkatesen Mauree</dc:creator>
  <cp:keywords>Competition, infrastructure sharing, interconnection and exchange infrastructure, international Internet connectivity cost, last-mile access network, metro and middle-mile networks, national backbone, supply chain of telecom/ICT infrastructure.</cp:keywords>
  <dc:description/>
  <cp:lastModifiedBy>TSB(AC)</cp:lastModifiedBy>
  <cp:revision>174</cp:revision>
  <cp:lastPrinted>2026-09-10T11:29:00Z</cp:lastPrinted>
  <dcterms:created xsi:type="dcterms:W3CDTF">2025-10-01T20:12:00Z</dcterms:created>
  <dcterms:modified xsi:type="dcterms:W3CDTF">2026-09-10T18:17:00Z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0x01010008EF4B8B1B8E3F439EA8FDA7FD7D5D5F</vt:lpwstr>
  </property>
</Properties>
</file>