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horzAnchor="margin" w:tblpYSpec="top"/>
        <w:tblOverlap w:val="never"/>
        <w:tblW w:w="10740" w:type="dxa"/>
        <w:tblLayout w:type="fixed"/>
        <w:tblLook w:val="0020" w:firstRow="1" w:lastRow="0" w:firstColumn="0" w:lastColumn="0" w:noHBand="0" w:noVBand="0"/>
      </w:tblPr>
      <w:tblGrid>
        <w:gridCol w:w="817"/>
        <w:gridCol w:w="4253"/>
        <w:gridCol w:w="5670"/>
      </w:tblGrid>
      <w:tr w:rsidR="007E45C3" w:rsidRPr="00446FEC" w14:paraId="05EE175C" w14:textId="77777777" w:rsidTr="00AD4570">
        <w:trPr>
          <w:trHeight w:hRule="exact" w:val="992"/>
        </w:trPr>
        <w:tc>
          <w:tcPr>
            <w:tcW w:w="5070" w:type="dxa"/>
            <w:gridSpan w:val="2"/>
          </w:tcPr>
          <w:bookmarkStart w:id="0" w:name="_Hlk182916436"/>
          <w:bookmarkStart w:id="1" w:name="_Hlk200790286"/>
          <w:bookmarkStart w:id="2" w:name="OLE_LINK234"/>
          <w:bookmarkStart w:id="3" w:name="OLE_LINK235"/>
          <w:bookmarkStart w:id="4" w:name="OLE_LINK236"/>
          <w:bookmarkStart w:id="5" w:name="OLE_LINK237"/>
          <w:bookmarkStart w:id="6" w:name="OLE_LINK28"/>
          <w:bookmarkStart w:id="7" w:name="OLE_LINK29"/>
          <w:bookmarkStart w:id="8" w:name="OLE_LINK39"/>
          <w:bookmarkStart w:id="9" w:name="OLE_LINK170"/>
          <w:p w14:paraId="691D5EC1" w14:textId="77777777" w:rsidR="007E45C3" w:rsidRPr="00446FEC" w:rsidRDefault="007E45C3" w:rsidP="00FE5235">
            <w:pPr>
              <w:spacing w:before="0"/>
              <w:rPr>
                <w:rFonts w:ascii="Arial" w:eastAsia="Avenir Next W1G Medium" w:hAnsi="Arial" w:cs="Arial"/>
                <w:szCs w:val="24"/>
              </w:rPr>
            </w:pPr>
            <w:r w:rsidRPr="00446FEC">
              <w:rPr>
                <w:rFonts w:ascii="Arial" w:eastAsia="Avenir Next W1G Medium" w:hAnsi="Arial" w:cs="Arial"/>
                <w:szCs w:val="24"/>
              </w:rPr>
              <mc:AlternateContent>
                <mc:Choice Requires="wpg">
                  <w:drawing>
                    <wp:anchor distT="0" distB="0" distL="114300" distR="114300" simplePos="0" relativeHeight="251660288" behindDoc="1" locked="0" layoutInCell="1" allowOverlap="1" wp14:anchorId="734BE45C" wp14:editId="20606547">
                      <wp:simplePos x="0" y="0"/>
                      <wp:positionH relativeFrom="page">
                        <wp:posOffset>-381000</wp:posOffset>
                      </wp:positionH>
                      <wp:positionV relativeFrom="page">
                        <wp:posOffset>317500</wp:posOffset>
                      </wp:positionV>
                      <wp:extent cx="7772400" cy="229870"/>
                      <wp:effectExtent l="0" t="5080" r="0" b="3175"/>
                      <wp:wrapNone/>
                      <wp:docPr id="2" name="docshapegroup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229870"/>
                                <a:chOff x="0" y="1784"/>
                                <a:chExt cx="11906" cy="362"/>
                              </a:xfrm>
                            </wpg:grpSpPr>
                            <wps:wsp>
                              <wps:cNvPr id="3" name="docshape8"/>
                              <wps:cNvSpPr>
                                <a:spLocks noChangeArrowheads="1"/>
                              </wps:cNvSpPr>
                              <wps:spPr bwMode="auto">
                                <a:xfrm>
                                  <a:off x="0" y="1817"/>
                                  <a:ext cx="11906" cy="329"/>
                                </a:xfrm>
                                <a:prstGeom prst="rect">
                                  <a:avLst/>
                                </a:prstGeom>
                                <a:solidFill>
                                  <a:srgbClr val="D749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docshape9"/>
                              <wps:cNvSpPr>
                                <a:spLocks/>
                              </wps:cNvSpPr>
                              <wps:spPr bwMode="auto">
                                <a:xfrm>
                                  <a:off x="1109" y="1784"/>
                                  <a:ext cx="627" cy="314"/>
                                </a:xfrm>
                                <a:custGeom>
                                  <a:avLst/>
                                  <a:gdLst>
                                    <a:gd name="T0" fmla="+- 0 1736 1109"/>
                                    <a:gd name="T1" fmla="*/ T0 w 627"/>
                                    <a:gd name="T2" fmla="+- 0 1784 1784"/>
                                    <a:gd name="T3" fmla="*/ 1784 h 314"/>
                                    <a:gd name="T4" fmla="+- 0 1109 1109"/>
                                    <a:gd name="T5" fmla="*/ T4 w 627"/>
                                    <a:gd name="T6" fmla="+- 0 1784 1784"/>
                                    <a:gd name="T7" fmla="*/ 1784 h 314"/>
                                    <a:gd name="T8" fmla="+- 0 1423 1109"/>
                                    <a:gd name="T9" fmla="*/ T8 w 627"/>
                                    <a:gd name="T10" fmla="+- 0 2097 1784"/>
                                    <a:gd name="T11" fmla="*/ 2097 h 314"/>
                                    <a:gd name="T12" fmla="+- 0 1736 1109"/>
                                    <a:gd name="T13" fmla="*/ T12 w 627"/>
                                    <a:gd name="T14" fmla="+- 0 1784 1784"/>
                                    <a:gd name="T15" fmla="*/ 1784 h 314"/>
                                  </a:gdLst>
                                  <a:ahLst/>
                                  <a:cxnLst>
                                    <a:cxn ang="0">
                                      <a:pos x="T1" y="T3"/>
                                    </a:cxn>
                                    <a:cxn ang="0">
                                      <a:pos x="T5" y="T7"/>
                                    </a:cxn>
                                    <a:cxn ang="0">
                                      <a:pos x="T9" y="T11"/>
                                    </a:cxn>
                                    <a:cxn ang="0">
                                      <a:pos x="T13" y="T15"/>
                                    </a:cxn>
                                  </a:cxnLst>
                                  <a:rect l="0" t="0" r="r" b="b"/>
                                  <a:pathLst>
                                    <a:path w="627" h="314">
                                      <a:moveTo>
                                        <a:pt x="627" y="0"/>
                                      </a:moveTo>
                                      <a:lnTo>
                                        <a:pt x="0" y="0"/>
                                      </a:lnTo>
                                      <a:lnTo>
                                        <a:pt x="314" y="313"/>
                                      </a:lnTo>
                                      <a:lnTo>
                                        <a:pt x="62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11E57D" id="docshapegroup7" o:spid="_x0000_s1026" alt="&quot;&quot;" style="position:absolute;margin-left:-30pt;margin-top:25pt;width:612pt;height:18.1pt;z-index:-251656192;mso-position-horizontal-relative:page;mso-position-vertical-relative:page" coordorigin=",1784" coordsize="11906,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">
                      <v:rect id="docshape8" o:spid="_x0000_s1027" style="position:absolute;top:1817;width:11906;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" fillcolor="#d74900" stroked="f"/>
                      <v:shape id="docshape9" o:spid="_x0000_s1028" style="position:absolute;left:1109;top:1784;width:627;height:314;visibility:visible;mso-wrap-style:square;v-text-anchor:top" coordsize="62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" path="m627,l,,314,313,627,xe" stroked="f">
                        <v:path arrowok="t" o:connecttype="custom" o:connectlocs="627,1784;0,1784;314,2097;627,1784" o:connectangles="0,0,0,0"/>
                      </v:shape>
                      <w10:wrap anchorx="page" anchory="page"/>
                    </v:group>
                  </w:pict>
                </mc:Fallback>
              </mc:AlternateContent>
            </w:r>
          </w:p>
        </w:tc>
        <w:tc>
          <w:tcPr>
            <w:tcW w:w="5670" w:type="dxa"/>
          </w:tcPr>
          <w:p w14:paraId="26C8F1B9" w14:textId="77777777" w:rsidR="007E45C3" w:rsidRPr="00446FEC" w:rsidRDefault="007E45C3" w:rsidP="00FE5235">
            <w:pPr>
              <w:spacing w:before="0"/>
              <w:jc w:val="right"/>
              <w:rPr>
                <w:rFonts w:ascii="Arial" w:eastAsia="Avenir Next W1G Medium" w:hAnsi="Arial" w:cs="Arial"/>
                <w:szCs w:val="24"/>
              </w:rPr>
            </w:pPr>
            <w:r w:rsidRPr="00446FEC">
              <w:rPr>
                <w:rFonts w:ascii="Arial" w:eastAsia="Avenir Next W1G Medium" w:hAnsi="Arial" w:cs="Arial"/>
                <w:szCs w:val="24"/>
              </w:rPr>
              <w:t>Standardization Sector</w:t>
            </w:r>
          </w:p>
        </w:tc>
      </w:tr>
      <w:tr w:rsidR="007E45C3" w:rsidRPr="00446FEC" w14:paraId="788096FA" w14:textId="77777777" w:rsidTr="00AD4570">
        <w:tblPrEx>
          <w:tblCellMar>
            <w:left w:w="85" w:type="dxa"/>
            <w:right w:w="85" w:type="dxa"/>
          </w:tblCellMar>
        </w:tblPrEx>
        <w:trPr>
          <w:gridBefore w:val="1"/>
          <w:wBefore w:w="817" w:type="dxa"/>
          <w:trHeight w:val="709"/>
        </w:trPr>
        <w:tc>
          <w:tcPr>
            <w:tcW w:w="9923" w:type="dxa"/>
            <w:gridSpan w:val="2"/>
          </w:tcPr>
          <w:p w14:paraId="1A02CD09" w14:textId="62471776" w:rsidR="007E45C3" w:rsidRPr="00446FEC" w:rsidRDefault="00DF5ABA" w:rsidP="00FE5235">
            <w:pPr>
              <w:pStyle w:val="BodyText"/>
              <w:spacing w:before="440"/>
              <w:rPr>
                <w:rFonts w:ascii="Arial" w:hAnsi="Arial" w:cs="Arial"/>
                <w:spacing w:val="-6"/>
                <w:sz w:val="44"/>
                <w:szCs w:val="44"/>
                <w:lang w:val="en-GB"/>
              </w:rPr>
            </w:pPr>
            <w:bookmarkStart w:id="10" w:name="dnume"/>
            <w:r w:rsidRPr="00446FEC">
              <w:rPr>
                <w:rFonts w:ascii="Arial" w:hAnsi="Arial" w:cs="Arial"/>
                <w:spacing w:val="-6"/>
                <w:sz w:val="44"/>
                <w:szCs w:val="44"/>
                <w:lang w:val="en-GB"/>
              </w:rPr>
              <w:t>ITU Focus Group Technical Report</w:t>
            </w:r>
          </w:p>
        </w:tc>
      </w:tr>
      <w:tr w:rsidR="007E45C3" w:rsidRPr="00446FEC" w14:paraId="6D3FB5B0" w14:textId="77777777" w:rsidTr="00AD4570">
        <w:tblPrEx>
          <w:tblCellMar>
            <w:left w:w="85" w:type="dxa"/>
            <w:right w:w="85" w:type="dxa"/>
          </w:tblCellMar>
        </w:tblPrEx>
        <w:trPr>
          <w:gridBefore w:val="1"/>
          <w:wBefore w:w="817" w:type="dxa"/>
          <w:trHeight w:val="129"/>
        </w:trPr>
        <w:tc>
          <w:tcPr>
            <w:tcW w:w="9923" w:type="dxa"/>
            <w:gridSpan w:val="2"/>
          </w:tcPr>
          <w:p w14:paraId="782CE44F" w14:textId="3DF81898" w:rsidR="007E45C3" w:rsidRPr="00446FEC" w:rsidRDefault="007E45C3" w:rsidP="00FE5235">
            <w:pPr>
              <w:pStyle w:val="BodyText"/>
              <w:spacing w:before="120" w:after="240"/>
              <w:jc w:val="right"/>
              <w:rPr>
                <w:rFonts w:ascii="Arial" w:hAnsi="Arial" w:cs="Arial"/>
                <w:spacing w:val="-6"/>
                <w:sz w:val="28"/>
                <w:szCs w:val="28"/>
                <w:lang w:val="en-GB"/>
              </w:rPr>
            </w:pPr>
            <w:bookmarkStart w:id="11" w:name="dnume2"/>
            <w:bookmarkEnd w:id="10"/>
            <w:r w:rsidRPr="00446FEC">
              <w:rPr>
                <w:rFonts w:ascii="Arial" w:hAnsi="Arial" w:cs="Arial"/>
                <w:spacing w:val="-6"/>
                <w:sz w:val="28"/>
                <w:szCs w:val="28"/>
                <w:lang w:val="en-GB"/>
              </w:rPr>
              <w:t>(</w:t>
            </w:r>
            <w:r w:rsidR="00F8673B" w:rsidRPr="00446FEC">
              <w:rPr>
                <w:rFonts w:ascii="Arial" w:hAnsi="Arial" w:cs="Arial"/>
                <w:spacing w:val="-6"/>
                <w:sz w:val="28"/>
                <w:szCs w:val="28"/>
                <w:lang w:val="en-GB"/>
              </w:rPr>
              <w:t>10/2025</w:t>
            </w:r>
            <w:r w:rsidRPr="00446FEC">
              <w:rPr>
                <w:rFonts w:ascii="Arial" w:hAnsi="Arial" w:cs="Arial"/>
                <w:spacing w:val="-6"/>
                <w:sz w:val="28"/>
                <w:szCs w:val="28"/>
                <w:lang w:val="en-GB"/>
              </w:rPr>
              <w:t>)</w:t>
            </w:r>
          </w:p>
        </w:tc>
      </w:tr>
      <w:tr w:rsidR="007E45C3" w:rsidRPr="00446FEC" w14:paraId="2F8B7113" w14:textId="77777777" w:rsidTr="00AD4570">
        <w:trPr>
          <w:trHeight w:val="80"/>
        </w:trPr>
        <w:tc>
          <w:tcPr>
            <w:tcW w:w="817" w:type="dxa"/>
          </w:tcPr>
          <w:p w14:paraId="402A1F0B" w14:textId="77777777" w:rsidR="007E45C3" w:rsidRPr="00446FEC" w:rsidRDefault="007E45C3" w:rsidP="00FE5235">
            <w:pPr>
              <w:tabs>
                <w:tab w:val="right" w:pos="9639"/>
              </w:tabs>
              <w:rPr>
                <w:rFonts w:ascii="Arial" w:hAnsi="Arial" w:cs="Arial"/>
                <w:sz w:val="44"/>
                <w:szCs w:val="44"/>
              </w:rPr>
            </w:pPr>
            <w:bookmarkStart w:id="12" w:name="dsece" w:colFirst="1" w:colLast="1"/>
            <w:bookmarkEnd w:id="11"/>
          </w:p>
        </w:tc>
        <w:tc>
          <w:tcPr>
            <w:tcW w:w="9923" w:type="dxa"/>
            <w:gridSpan w:val="2"/>
            <w:tcBorders>
              <w:bottom w:val="single" w:sz="8" w:space="0" w:color="auto"/>
            </w:tcBorders>
          </w:tcPr>
          <w:p w14:paraId="2AF5B773" w14:textId="08DE05F6" w:rsidR="007E45C3" w:rsidRPr="00446FEC" w:rsidRDefault="00DF5ABA" w:rsidP="001048B7">
            <w:pPr>
              <w:widowControl w:val="0"/>
              <w:tabs>
                <w:tab w:val="clear" w:pos="794"/>
                <w:tab w:val="clear" w:pos="1191"/>
                <w:tab w:val="clear" w:pos="1588"/>
                <w:tab w:val="clear" w:pos="1985"/>
              </w:tabs>
              <w:overflowPunct/>
              <w:adjustRightInd/>
              <w:spacing w:before="276" w:after="120" w:line="175" w:lineRule="auto"/>
              <w:jc w:val="left"/>
              <w:textAlignment w:val="auto"/>
              <w:rPr>
                <w:rFonts w:ascii="Arial" w:hAnsi="Arial" w:cs="Arial"/>
                <w:sz w:val="44"/>
                <w:szCs w:val="44"/>
              </w:rPr>
            </w:pPr>
            <w:r w:rsidRPr="00446FEC">
              <w:rPr>
                <w:rFonts w:ascii="Arial" w:hAnsi="Arial" w:cs="Arial"/>
                <w:sz w:val="44"/>
                <w:szCs w:val="44"/>
              </w:rPr>
              <w:t>ITU Focus Group on cost models for affordable data services</w:t>
            </w:r>
          </w:p>
        </w:tc>
      </w:tr>
      <w:tr w:rsidR="007E45C3" w:rsidRPr="00446FEC" w14:paraId="64B2C357" w14:textId="77777777" w:rsidTr="00AD4570">
        <w:trPr>
          <w:trHeight w:val="743"/>
        </w:trPr>
        <w:tc>
          <w:tcPr>
            <w:tcW w:w="817" w:type="dxa"/>
          </w:tcPr>
          <w:p w14:paraId="137DA585" w14:textId="77777777" w:rsidR="007E45C3" w:rsidRPr="00446FEC" w:rsidRDefault="007E45C3" w:rsidP="00FE5235">
            <w:pPr>
              <w:tabs>
                <w:tab w:val="right" w:pos="9639"/>
              </w:tabs>
              <w:rPr>
                <w:rFonts w:ascii="Arial" w:hAnsi="Arial" w:cs="Arial"/>
                <w:sz w:val="48"/>
                <w:szCs w:val="48"/>
              </w:rPr>
            </w:pPr>
            <w:bookmarkStart w:id="13" w:name="c1tite" w:colFirst="1" w:colLast="1"/>
            <w:bookmarkEnd w:id="12"/>
          </w:p>
        </w:tc>
        <w:tc>
          <w:tcPr>
            <w:tcW w:w="9923" w:type="dxa"/>
            <w:gridSpan w:val="2"/>
            <w:tcBorders>
              <w:top w:val="single" w:sz="8" w:space="0" w:color="auto"/>
            </w:tcBorders>
          </w:tcPr>
          <w:p w14:paraId="56439AF5" w14:textId="77777777" w:rsidR="007E45C3" w:rsidRPr="00446FEC" w:rsidRDefault="007E45C3" w:rsidP="00FE5235">
            <w:pPr>
              <w:pStyle w:val="BodyText"/>
              <w:spacing w:before="440"/>
              <w:rPr>
                <w:rFonts w:ascii="Arial" w:hAnsi="Arial" w:cs="Arial"/>
                <w:spacing w:val="-6"/>
                <w:sz w:val="44"/>
                <w:szCs w:val="44"/>
                <w:lang w:val="en-GB"/>
              </w:rPr>
            </w:pPr>
            <w:r w:rsidRPr="00446FEC">
              <w:rPr>
                <w:rFonts w:ascii="Arial" w:hAnsi="Arial" w:cs="Arial"/>
                <w:spacing w:val="-6"/>
                <w:sz w:val="44"/>
                <w:szCs w:val="44"/>
                <w:lang w:val="en-GB"/>
              </w:rPr>
              <w:t>Best practices of cost assessment methodologies, regulatory and standardization aspects related to cost models for affordable data services</w:t>
            </w:r>
          </w:p>
          <w:p w14:paraId="7A9C9951" w14:textId="77777777" w:rsidR="007E45C3" w:rsidRPr="00446FEC" w:rsidRDefault="007E45C3" w:rsidP="00FE5235">
            <w:pPr>
              <w:pStyle w:val="BodyText"/>
              <w:spacing w:before="440"/>
              <w:rPr>
                <w:rFonts w:ascii="Arial" w:hAnsi="Arial" w:cs="Arial"/>
                <w:b w:val="0"/>
                <w:bCs w:val="0"/>
                <w:spacing w:val="-6"/>
                <w:sz w:val="44"/>
                <w:szCs w:val="44"/>
                <w:lang w:val="en-GB"/>
              </w:rPr>
            </w:pPr>
            <w:r w:rsidRPr="00446FEC">
              <w:rPr>
                <w:rFonts w:ascii="Arial" w:hAnsi="Arial" w:cs="Arial"/>
                <w:b w:val="0"/>
                <w:bCs w:val="0"/>
                <w:i/>
                <w:iCs/>
                <w:spacing w:val="-6"/>
                <w:sz w:val="44"/>
                <w:szCs w:val="44"/>
                <w:lang w:val="en-GB"/>
              </w:rPr>
              <w:t>Working Group 1: Cost models for domestic data services</w:t>
            </w:r>
          </w:p>
        </w:tc>
      </w:tr>
    </w:tbl>
    <w:tbl>
      <w:tblPr>
        <w:tblStyle w:val="TableGrid"/>
        <w:tblpPr w:leftFromText="181" w:rightFromText="181" w:vertAnchor="page" w:horzAnchor="margin" w:tblpY="506"/>
        <w:tblW w:w="10739"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070"/>
        <w:gridCol w:w="5669"/>
      </w:tblGrid>
      <w:tr w:rsidR="007E45C3" w:rsidRPr="00446FEC" w14:paraId="5AC93F85" w14:textId="77777777" w:rsidTr="00FE5235">
        <w:tc>
          <w:tcPr>
            <w:tcW w:w="5070" w:type="dxa"/>
            <w:vAlign w:val="center"/>
          </w:tcPr>
          <w:bookmarkEnd w:id="13"/>
          <w:p w14:paraId="38FCD7D1" w14:textId="77777777" w:rsidR="007E45C3" w:rsidRPr="00446FEC" w:rsidRDefault="007E45C3" w:rsidP="00FE5235">
            <w:pPr>
              <w:jc w:val="left"/>
              <w:rPr>
                <w:rFonts w:ascii="Arial" w:hAnsi="Arial" w:cs="Arial"/>
                <w:sz w:val="32"/>
                <w:szCs w:val="32"/>
              </w:rPr>
            </w:pPr>
            <w:proofErr w:type="spellStart"/>
            <w:r w:rsidRPr="00446FEC">
              <w:rPr>
                <w:rFonts w:ascii="Arial" w:hAnsi="Arial" w:cs="Arial"/>
                <w:b/>
                <w:color w:val="009CD6"/>
                <w:spacing w:val="-4"/>
                <w:sz w:val="32"/>
                <w:szCs w:val="32"/>
              </w:rPr>
              <w:t>ITU</w:t>
            </w:r>
            <w:r w:rsidRPr="00446FEC">
              <w:rPr>
                <w:rFonts w:ascii="Arial" w:hAnsi="Arial" w:cs="Arial"/>
                <w:b/>
                <w:color w:val="292829"/>
                <w:spacing w:val="-4"/>
                <w:sz w:val="32"/>
                <w:szCs w:val="32"/>
              </w:rPr>
              <w:t>Publications</w:t>
            </w:r>
            <w:proofErr w:type="spellEnd"/>
          </w:p>
        </w:tc>
        <w:tc>
          <w:tcPr>
            <w:tcW w:w="5669" w:type="dxa"/>
            <w:vAlign w:val="center"/>
          </w:tcPr>
          <w:p w14:paraId="56F04664" w14:textId="77777777" w:rsidR="007E45C3" w:rsidRPr="00446FEC" w:rsidRDefault="007E45C3" w:rsidP="00FE5235">
            <w:pPr>
              <w:jc w:val="right"/>
              <w:rPr>
                <w:rFonts w:ascii="Arial" w:hAnsi="Arial" w:cs="Arial"/>
                <w:szCs w:val="24"/>
              </w:rPr>
            </w:pPr>
            <w:r w:rsidRPr="00446FEC">
              <w:rPr>
                <w:rFonts w:ascii="Arial" w:eastAsia="Avenir Next W1G Medium" w:hAnsi="Arial" w:cs="Arial"/>
                <w:b/>
                <w:spacing w:val="-4"/>
                <w:szCs w:val="24"/>
              </w:rPr>
              <w:t>International Telecommunication Union</w:t>
            </w:r>
          </w:p>
        </w:tc>
      </w:tr>
    </w:tbl>
    <w:p w14:paraId="7596BF4F" w14:textId="77777777" w:rsidR="007E45C3" w:rsidRPr="00446FEC" w:rsidRDefault="007E45C3" w:rsidP="007E45C3">
      <w:pPr>
        <w:pStyle w:val="Default"/>
      </w:pPr>
      <w:r w:rsidRPr="00446FEC">
        <w:drawing>
          <wp:anchor distT="0" distB="0" distL="0" distR="0" simplePos="0" relativeHeight="251659264" behindDoc="1" locked="0" layoutInCell="1" allowOverlap="1" wp14:anchorId="1666830C" wp14:editId="786A71BD">
            <wp:simplePos x="0" y="0"/>
            <wp:positionH relativeFrom="page">
              <wp:posOffset>6355080</wp:posOffset>
            </wp:positionH>
            <wp:positionV relativeFrom="page">
              <wp:posOffset>9591675</wp:posOffset>
            </wp:positionV>
            <wp:extent cx="737870" cy="813435"/>
            <wp:effectExtent l="0" t="0" r="0" b="0"/>
            <wp:wrapNone/>
            <wp:docPr id="1" name="image1.png" descr="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ITU Logo"/>
                    <pic:cNvPicPr/>
                  </pic:nvPicPr>
                  <pic:blipFill>
                    <a:blip r:embed="rId11" cstate="print"/>
                    <a:stretch>
                      <a:fillRect/>
                    </a:stretch>
                  </pic:blipFill>
                  <pic:spPr>
                    <a:xfrm>
                      <a:off x="0" y="0"/>
                      <a:ext cx="737870" cy="813435"/>
                    </a:xfrm>
                    <a:prstGeom prst="rect">
                      <a:avLst/>
                    </a:prstGeom>
                  </pic:spPr>
                </pic:pic>
              </a:graphicData>
            </a:graphic>
            <wp14:sizeRelH relativeFrom="margin">
              <wp14:pctWidth>0</wp14:pctWidth>
            </wp14:sizeRelH>
            <wp14:sizeRelV relativeFrom="margin">
              <wp14:pctHeight>0</wp14:pctHeight>
            </wp14:sizeRelV>
          </wp:anchor>
        </w:drawing>
      </w:r>
      <w:bookmarkStart w:id="14" w:name="c2tope"/>
      <w:bookmarkEnd w:id="14"/>
      <w:r w:rsidRPr="00446FEC">
        <w:t xml:space="preserve"> </w:t>
      </w:r>
    </w:p>
    <w:p w14:paraId="33362C6A" w14:textId="77777777" w:rsidR="007E45C3" w:rsidRPr="00446FEC" w:rsidRDefault="007E45C3" w:rsidP="007E45C3">
      <w:pPr>
        <w:spacing w:before="80"/>
        <w:jc w:val="left"/>
        <w:rPr>
          <w:i/>
          <w:sz w:val="20"/>
        </w:rPr>
      </w:pPr>
    </w:p>
    <w:p w14:paraId="4052BBF2" w14:textId="77777777" w:rsidR="007E45C3" w:rsidRPr="00446FEC" w:rsidRDefault="007E45C3" w:rsidP="007E45C3">
      <w:pPr>
        <w:jc w:val="left"/>
        <w:sectPr w:rsidR="007E45C3" w:rsidRPr="00446FEC" w:rsidSect="007E45C3">
          <w:headerReference w:type="even" r:id="rId12"/>
          <w:headerReference w:type="default" r:id="rId13"/>
          <w:footerReference w:type="default" r:id="rId14"/>
          <w:pgSz w:w="11907" w:h="16840" w:code="9"/>
          <w:pgMar w:top="1038" w:right="601" w:bottom="1860" w:left="618" w:header="567" w:footer="284" w:gutter="0"/>
          <w:pgNumType w:start="1"/>
          <w:cols w:space="720"/>
          <w:docGrid w:linePitch="326"/>
        </w:sectPr>
      </w:pPr>
    </w:p>
    <w:tbl>
      <w:tblPr>
        <w:tblW w:w="9945" w:type="dxa"/>
        <w:tblLayout w:type="fixed"/>
        <w:tblLook w:val="0020" w:firstRow="1" w:lastRow="0" w:firstColumn="0" w:lastColumn="0" w:noHBand="0" w:noVBand="0"/>
      </w:tblPr>
      <w:tblGrid>
        <w:gridCol w:w="9945"/>
      </w:tblGrid>
      <w:tr w:rsidR="007E45C3" w:rsidRPr="00446FEC" w14:paraId="737A6712" w14:textId="77777777" w:rsidTr="00AD4570">
        <w:tc>
          <w:tcPr>
            <w:tcW w:w="9945" w:type="dxa"/>
          </w:tcPr>
          <w:p w14:paraId="4100F9CC" w14:textId="77777777" w:rsidR="007E45C3" w:rsidRPr="00446FEC" w:rsidRDefault="007E45C3" w:rsidP="00FE5235">
            <w:pPr>
              <w:pStyle w:val="RecNo"/>
            </w:pPr>
            <w:bookmarkStart w:id="15" w:name="irecnoe"/>
            <w:bookmarkEnd w:id="15"/>
            <w:r w:rsidRPr="00446FEC">
              <w:lastRenderedPageBreak/>
              <w:t>Technical Report ITU-T FG-CD-D2</w:t>
            </w:r>
          </w:p>
          <w:p w14:paraId="5D7BDA81" w14:textId="77777777" w:rsidR="007E45C3" w:rsidRPr="00446FEC" w:rsidRDefault="007E45C3" w:rsidP="00DF5ABA">
            <w:pPr>
              <w:pStyle w:val="Rectitle"/>
              <w:spacing w:before="240"/>
            </w:pPr>
            <w:r w:rsidRPr="00446FEC">
              <w:t>Best practices of cost assessment methodologies, regulatory and standardization aspects related to cost models for affordable data services</w:t>
            </w:r>
          </w:p>
        </w:tc>
      </w:tr>
      <w:tr w:rsidR="007E45C3" w:rsidRPr="00446FEC" w14:paraId="6FD34038" w14:textId="77777777" w:rsidTr="00AD4570">
        <w:tc>
          <w:tcPr>
            <w:tcW w:w="9945" w:type="dxa"/>
          </w:tcPr>
          <w:p w14:paraId="46430E16" w14:textId="77777777" w:rsidR="000E03E7" w:rsidRPr="00446FEC" w:rsidRDefault="000E03E7" w:rsidP="00DF5ABA">
            <w:pPr>
              <w:pStyle w:val="Headingb"/>
              <w:spacing w:before="120"/>
            </w:pPr>
            <w:bookmarkStart w:id="16" w:name="isume"/>
          </w:p>
          <w:p w14:paraId="713126D2" w14:textId="77777777" w:rsidR="000E03E7" w:rsidRPr="00446FEC" w:rsidRDefault="000E03E7" w:rsidP="00DF5ABA">
            <w:pPr>
              <w:pStyle w:val="Headingb"/>
              <w:spacing w:before="120"/>
            </w:pPr>
          </w:p>
          <w:p w14:paraId="39D10012" w14:textId="15802C53" w:rsidR="007E45C3" w:rsidRPr="00446FEC" w:rsidRDefault="007E45C3" w:rsidP="00DF5ABA">
            <w:pPr>
              <w:pStyle w:val="Headingb"/>
              <w:spacing w:before="120"/>
            </w:pPr>
            <w:r w:rsidRPr="00446FEC">
              <w:t>Summary</w:t>
            </w:r>
          </w:p>
          <w:p w14:paraId="21FC86FC" w14:textId="77777777" w:rsidR="007E45C3" w:rsidRPr="00446FEC" w:rsidRDefault="007E45C3" w:rsidP="00DF5ABA">
            <w:r w:rsidRPr="00446FEC">
              <w:rPr>
                <w:lang w:bidi="ar-DZ"/>
              </w:rPr>
              <w:t>This Technical Report examines international best practices in cost assessment methodologies, regulatory frameworks and standardization approaches relevant to ensuring affordable data services. It provides an overview of key cost modelling techniques – such as long-run incremental cost (LRIC), fully allocated cost (FAC) and hybrid models – and their application in different regulatory contexts. The report highlights how accurate cost accounting, supported by transparent and standardized practices, can help balance affordability for consumers with the financial sustainability of service providers. It further emphasizes the need for ongoing research and cross-sector collaboration to adapt cost models to technological advancements and evolving market dynamics, ultimately promoting universal access to affordable data services.</w:t>
            </w:r>
            <w:bookmarkEnd w:id="16"/>
          </w:p>
        </w:tc>
      </w:tr>
      <w:tr w:rsidR="007E45C3" w:rsidRPr="00446FEC" w14:paraId="73643E30" w14:textId="77777777" w:rsidTr="00AD4570">
        <w:tc>
          <w:tcPr>
            <w:tcW w:w="9945" w:type="dxa"/>
          </w:tcPr>
          <w:p w14:paraId="289C1E82" w14:textId="77777777" w:rsidR="000E03E7" w:rsidRPr="00446FEC" w:rsidRDefault="000E03E7" w:rsidP="00DF5ABA">
            <w:pPr>
              <w:pStyle w:val="Headingb"/>
              <w:spacing w:before="120"/>
            </w:pPr>
            <w:bookmarkStart w:id="17" w:name="ikeye"/>
          </w:p>
          <w:p w14:paraId="165399E9" w14:textId="1F700C7F" w:rsidR="007E45C3" w:rsidRPr="00446FEC" w:rsidRDefault="007E45C3" w:rsidP="00DF5ABA">
            <w:pPr>
              <w:pStyle w:val="Headingb"/>
              <w:spacing w:before="120"/>
            </w:pPr>
            <w:r w:rsidRPr="00446FEC">
              <w:t>Keywords</w:t>
            </w:r>
          </w:p>
          <w:bookmarkEnd w:id="17"/>
          <w:p w14:paraId="204432F9" w14:textId="01D1A9D9" w:rsidR="007E45C3" w:rsidRPr="00446FEC" w:rsidRDefault="007E45C3" w:rsidP="00DF5ABA">
            <w:pPr>
              <w:rPr>
                <w:bCs/>
              </w:rPr>
            </w:pPr>
            <w:r w:rsidRPr="00446FEC">
              <w:rPr>
                <w:lang w:bidi="ar-DZ"/>
              </w:rPr>
              <w:t xml:space="preserve">Activity-based costing (ABC), affordable data services, benchmarking, bill-and-keep (BAK), bottom-up (BU) models, capacity-based costing (CBC), convergence, cost models, cost orientation, fully allocated cost/fully distributed cost (FAC/FDC), </w:t>
            </w:r>
            <w:proofErr w:type="spellStart"/>
            <w:r w:rsidRPr="00446FEC">
              <w:rPr>
                <w:lang w:bidi="ar-DZ"/>
              </w:rPr>
              <w:t>herfindahl</w:t>
            </w:r>
            <w:proofErr w:type="spellEnd"/>
            <w:r w:rsidRPr="00446FEC">
              <w:rPr>
                <w:lang w:bidi="ar-DZ"/>
              </w:rPr>
              <w:t>–</w:t>
            </w:r>
            <w:proofErr w:type="spellStart"/>
            <w:r w:rsidRPr="00446FEC">
              <w:rPr>
                <w:lang w:bidi="ar-DZ"/>
              </w:rPr>
              <w:t>hirschman</w:t>
            </w:r>
            <w:proofErr w:type="spellEnd"/>
            <w:r w:rsidRPr="00446FEC">
              <w:rPr>
                <w:lang w:bidi="ar-DZ"/>
              </w:rPr>
              <w:t xml:space="preserve"> index (HHI), hybrid models, infrastructure sharing, interconnection, life-cycle costing (LCC), long-run average incremental cost (LRAIC), long-run incremental cost (LRIC), LRIC-plus (LRIC+), margin squeeze, </w:t>
            </w:r>
            <w:r w:rsidR="00F8673B" w:rsidRPr="00446FEC">
              <w:rPr>
                <w:lang w:bidi="ar-DZ"/>
              </w:rPr>
              <w:t xml:space="preserve">significant </w:t>
            </w:r>
            <w:r w:rsidRPr="00446FEC">
              <w:rPr>
                <w:lang w:bidi="ar-DZ"/>
              </w:rPr>
              <w:t>market power (SMP), network function virtualization (NFV), network slicing, price caps/ceilings, real-time cost attribution (RTCA), reference access offer (RAO), reference interconnection offer (RIO), retail-minus, scorched-node, service-level agreement (SLA), software-defined networking (SDN), spectrum policy, top-down (TD) models, total service LRIC (TSLRIC/TSLRIC+), universal service</w:t>
            </w:r>
            <w:r w:rsidR="00F8673B" w:rsidRPr="00446FEC">
              <w:rPr>
                <w:lang w:bidi="ar-DZ"/>
              </w:rPr>
              <w:t xml:space="preserve"> fund </w:t>
            </w:r>
            <w:r w:rsidRPr="00446FEC">
              <w:rPr>
                <w:lang w:bidi="ar-DZ"/>
              </w:rPr>
              <w:t xml:space="preserve"> (USF), weighted average cost of capital (WACC), wholesale access.</w:t>
            </w:r>
          </w:p>
        </w:tc>
      </w:tr>
    </w:tbl>
    <w:p w14:paraId="5EC49C70" w14:textId="77777777" w:rsidR="000E03E7" w:rsidRPr="00446FEC" w:rsidRDefault="000E03E7" w:rsidP="00DF5ABA">
      <w:pPr>
        <w:pStyle w:val="Headingb"/>
        <w:spacing w:before="120"/>
      </w:pPr>
    </w:p>
    <w:p w14:paraId="67B2BF6E" w14:textId="10CE8B59" w:rsidR="007E45C3" w:rsidRPr="00446FEC" w:rsidRDefault="007E45C3" w:rsidP="00DF5ABA">
      <w:pPr>
        <w:pStyle w:val="Headingb"/>
        <w:spacing w:before="120"/>
        <w:rPr>
          <w:bCs/>
          <w:sz w:val="22"/>
        </w:rPr>
      </w:pPr>
      <w:r w:rsidRPr="00446FEC">
        <w:t>Note</w:t>
      </w:r>
    </w:p>
    <w:p w14:paraId="4F66D2E0" w14:textId="77777777" w:rsidR="007E45C3" w:rsidRPr="00446FEC" w:rsidRDefault="007E45C3" w:rsidP="00DF5ABA">
      <w:pPr>
        <w:pStyle w:val="Note"/>
      </w:pPr>
      <w:r w:rsidRPr="00446FEC">
        <w:t>This is an informative ITU-T publication. Mandatory provisions, such as those found in ITU-T Recommendations, are outside the scope of this publication. This publication should only be referenced bibliographically in ITU-T Recommendations.</w:t>
      </w:r>
    </w:p>
    <w:p w14:paraId="50A629C1" w14:textId="77777777" w:rsidR="000E03E7" w:rsidRPr="00446FEC" w:rsidRDefault="000E03E7" w:rsidP="00DF5ABA">
      <w:pPr>
        <w:pStyle w:val="Headingb"/>
        <w:spacing w:before="120"/>
        <w:jc w:val="both"/>
      </w:pPr>
    </w:p>
    <w:p w14:paraId="36B4B524" w14:textId="37B25CFD" w:rsidR="007E45C3" w:rsidRPr="00446FEC" w:rsidRDefault="007E45C3" w:rsidP="00DF5ABA">
      <w:pPr>
        <w:pStyle w:val="Headingb"/>
        <w:spacing w:before="120"/>
        <w:jc w:val="both"/>
      </w:pPr>
      <w:r w:rsidRPr="00446FEC">
        <w:t>Change Log</w:t>
      </w:r>
    </w:p>
    <w:p w14:paraId="4D95F0C8" w14:textId="316DF4F4" w:rsidR="007E45C3" w:rsidRPr="00446FEC" w:rsidRDefault="007E45C3" w:rsidP="00DF5ABA">
      <w:pPr>
        <w:spacing w:before="100"/>
        <w:rPr>
          <w:bCs/>
          <w:i/>
          <w:iCs/>
        </w:rPr>
      </w:pPr>
      <w:r w:rsidRPr="00446FEC">
        <w:t xml:space="preserve">This document contains Version 1.0 of the ITU-T Technical Report on </w:t>
      </w:r>
      <w:r w:rsidR="00296649" w:rsidRPr="00446FEC">
        <w:t>"</w:t>
      </w:r>
      <w:r w:rsidRPr="00446FEC">
        <w:rPr>
          <w:i/>
          <w:iCs/>
        </w:rPr>
        <w:t xml:space="preserve">Best practices of cost assessment </w:t>
      </w:r>
      <w:proofErr w:type="gramStart"/>
      <w:r w:rsidRPr="00446FEC">
        <w:rPr>
          <w:i/>
          <w:iCs/>
        </w:rPr>
        <w:t>methodologies,</w:t>
      </w:r>
      <w:proofErr w:type="gramEnd"/>
      <w:r w:rsidRPr="00446FEC">
        <w:rPr>
          <w:i/>
          <w:iCs/>
        </w:rPr>
        <w:t xml:space="preserve"> regulatory and standardization aspects related to cost models for affordable data services</w:t>
      </w:r>
      <w:r w:rsidR="00296649" w:rsidRPr="00446FEC">
        <w:rPr>
          <w:bCs/>
        </w:rPr>
        <w:t>"</w:t>
      </w:r>
      <w:r w:rsidRPr="00446FEC">
        <w:rPr>
          <w:i/>
          <w:iCs/>
        </w:rPr>
        <w:t xml:space="preserve"> </w:t>
      </w:r>
      <w:r w:rsidRPr="00446FEC">
        <w:t xml:space="preserve">approved at the FG-CD meeting held online </w:t>
      </w:r>
      <w:r w:rsidR="00DF5ABA" w:rsidRPr="00446FEC">
        <w:rPr>
          <w:rFonts w:eastAsia="Calibri"/>
          <w:lang w:eastAsia="ja-JP"/>
        </w:rPr>
        <w:t>on 1</w:t>
      </w:r>
      <w:r w:rsidR="00DF5ABA" w:rsidRPr="00446FEC">
        <w:rPr>
          <w:rFonts w:eastAsia="Calibri"/>
          <w:vertAlign w:val="superscript"/>
          <w:lang w:eastAsia="ja-JP"/>
        </w:rPr>
        <w:t>st</w:t>
      </w:r>
      <w:r w:rsidR="00DF5ABA" w:rsidRPr="00446FEC">
        <w:rPr>
          <w:rFonts w:eastAsia="Calibri"/>
          <w:lang w:eastAsia="ja-JP"/>
        </w:rPr>
        <w:t xml:space="preserve"> </w:t>
      </w:r>
      <w:r w:rsidRPr="00446FEC">
        <w:rPr>
          <w:bCs/>
        </w:rPr>
        <w:t>October 2025</w:t>
      </w:r>
      <w:r w:rsidRPr="00446FEC">
        <w:rPr>
          <w:i/>
          <w:iCs/>
        </w:rPr>
        <w:t>.</w:t>
      </w:r>
    </w:p>
    <w:p w14:paraId="43CFB35F" w14:textId="77777777" w:rsidR="000E03E7" w:rsidRPr="00446FEC" w:rsidRDefault="000E03E7" w:rsidP="00DF5ABA">
      <w:pPr>
        <w:pStyle w:val="Headingb"/>
        <w:spacing w:before="120"/>
        <w:rPr>
          <w:lang w:bidi="ar-DZ"/>
        </w:rPr>
      </w:pPr>
    </w:p>
    <w:p w14:paraId="0C43062C" w14:textId="119CB4C5" w:rsidR="007E45C3" w:rsidRPr="00446FEC" w:rsidRDefault="007E45C3" w:rsidP="00DF5ABA">
      <w:pPr>
        <w:pStyle w:val="Headingb"/>
        <w:spacing w:before="120"/>
        <w:rPr>
          <w:lang w:bidi="ar-DZ"/>
        </w:rPr>
      </w:pPr>
      <w:r w:rsidRPr="00446FEC">
        <w:rPr>
          <w:lang w:bidi="ar-DZ"/>
        </w:rPr>
        <w:t>Acknowledgements</w:t>
      </w:r>
    </w:p>
    <w:p w14:paraId="02506D7A" w14:textId="1B60E0D7" w:rsidR="007E45C3" w:rsidRPr="00446FEC" w:rsidRDefault="007E45C3" w:rsidP="00DF5ABA">
      <w:pPr>
        <w:spacing w:after="120"/>
      </w:pPr>
      <w:r w:rsidRPr="00446FEC">
        <w:t>This Technical Report was written by the Editors below as a contribution to the ITU Focus Group on cost models for affordable data services (FG</w:t>
      </w:r>
      <w:r w:rsidR="00F8673B" w:rsidRPr="00446FEC">
        <w:t>-</w:t>
      </w:r>
      <w:r w:rsidRPr="00446FEC">
        <w:t xml:space="preserve">CD). If you would like to provide any additional information, please contact Vijay Mauree at </w:t>
      </w:r>
      <w:hyperlink r:id="rId15" w:history="1">
        <w:r w:rsidRPr="00446FEC">
          <w:rPr>
            <w:rStyle w:val="Hyperlink"/>
          </w:rPr>
          <w:t>tsbfgcd@itu.int</w:t>
        </w:r>
      </w:hyperlink>
    </w:p>
    <w:p w14:paraId="4A77F5D9" w14:textId="771F67AF" w:rsidR="000E03E7" w:rsidRPr="00446FEC" w:rsidRDefault="000E03E7">
      <w:pPr>
        <w:tabs>
          <w:tab w:val="clear" w:pos="794"/>
          <w:tab w:val="clear" w:pos="1191"/>
          <w:tab w:val="clear" w:pos="1588"/>
          <w:tab w:val="clear" w:pos="1985"/>
        </w:tabs>
        <w:overflowPunct/>
        <w:autoSpaceDE/>
        <w:autoSpaceDN/>
        <w:adjustRightInd/>
        <w:spacing w:before="0"/>
        <w:jc w:val="left"/>
        <w:textAlignment w:val="auto"/>
      </w:pPr>
      <w:r w:rsidRPr="00446FEC">
        <w:br w:type="page"/>
      </w:r>
    </w:p>
    <w:tbl>
      <w:tblPr>
        <w:tblW w:w="5000" w:type="pct"/>
        <w:jc w:val="center"/>
        <w:tblCellMar>
          <w:left w:w="57" w:type="dxa"/>
          <w:right w:w="57" w:type="dxa"/>
        </w:tblCellMar>
        <w:tblLook w:val="0020" w:firstRow="1" w:lastRow="0" w:firstColumn="0" w:lastColumn="0" w:noHBand="0" w:noVBand="0"/>
      </w:tblPr>
      <w:tblGrid>
        <w:gridCol w:w="1571"/>
        <w:gridCol w:w="4268"/>
        <w:gridCol w:w="3800"/>
      </w:tblGrid>
      <w:tr w:rsidR="007E45C3" w:rsidRPr="00446FEC" w14:paraId="65BB5455" w14:textId="77777777" w:rsidTr="00AD4570">
        <w:trPr>
          <w:cantSplit/>
          <w:trHeight w:val="204"/>
          <w:jc w:val="center"/>
        </w:trPr>
        <w:tc>
          <w:tcPr>
            <w:tcW w:w="815" w:type="pct"/>
          </w:tcPr>
          <w:p w14:paraId="62848A3B" w14:textId="579E0F48" w:rsidR="007E45C3" w:rsidRPr="00446FEC" w:rsidRDefault="007E45C3" w:rsidP="00DF5ABA">
            <w:pPr>
              <w:spacing w:before="0"/>
              <w:rPr>
                <w:b/>
                <w:bCs/>
                <w:sz w:val="22"/>
                <w:szCs w:val="22"/>
              </w:rPr>
            </w:pPr>
            <w:r w:rsidRPr="00446FEC">
              <w:rPr>
                <w:b/>
                <w:bCs/>
                <w:sz w:val="22"/>
                <w:szCs w:val="22"/>
              </w:rPr>
              <w:lastRenderedPageBreak/>
              <w:t>Editor</w:t>
            </w:r>
            <w:r w:rsidRPr="00446FEC">
              <w:rPr>
                <w:sz w:val="22"/>
                <w:szCs w:val="22"/>
              </w:rPr>
              <w:t>:</w:t>
            </w:r>
          </w:p>
        </w:tc>
        <w:tc>
          <w:tcPr>
            <w:tcW w:w="2214" w:type="pct"/>
          </w:tcPr>
          <w:p w14:paraId="1DCA3AA7" w14:textId="05981B65" w:rsidR="007E45C3" w:rsidRPr="00446FEC" w:rsidRDefault="007E45C3" w:rsidP="00DF5ABA">
            <w:pPr>
              <w:keepNext/>
              <w:keepLines/>
              <w:spacing w:before="0"/>
              <w:jc w:val="left"/>
            </w:pPr>
            <w:r w:rsidRPr="00446FEC">
              <w:t>MC Sathish Kumar</w:t>
            </w:r>
            <w:r w:rsidR="00DF5ABA" w:rsidRPr="00446FEC">
              <w:br/>
            </w:r>
            <w:r w:rsidRPr="00446FEC">
              <w:t>Ministry of Communications</w:t>
            </w:r>
            <w:r w:rsidR="00DF5ABA" w:rsidRPr="00446FEC">
              <w:br/>
            </w:r>
            <w:r w:rsidRPr="00446FEC">
              <w:t>INDIA</w:t>
            </w:r>
          </w:p>
        </w:tc>
        <w:tc>
          <w:tcPr>
            <w:tcW w:w="1971" w:type="pct"/>
          </w:tcPr>
          <w:p w14:paraId="7238DA4D" w14:textId="43BC1CBA" w:rsidR="007E45C3" w:rsidRPr="00446FEC" w:rsidRDefault="007E45C3" w:rsidP="00DF5ABA">
            <w:pPr>
              <w:keepNext/>
              <w:keepLines/>
              <w:spacing w:before="0"/>
            </w:pPr>
            <w:r w:rsidRPr="00446FEC">
              <w:t>Tel:</w:t>
            </w:r>
            <w:r w:rsidR="00DF5ABA" w:rsidRPr="00446FEC">
              <w:tab/>
            </w:r>
            <w:r w:rsidRPr="00446FEC">
              <w:t>+91 9444044400</w:t>
            </w:r>
          </w:p>
          <w:p w14:paraId="0A1BC0AD" w14:textId="51D0AD02" w:rsidR="007E45C3" w:rsidRPr="00446FEC" w:rsidRDefault="007E45C3" w:rsidP="00DF5ABA">
            <w:pPr>
              <w:tabs>
                <w:tab w:val="clear" w:pos="794"/>
                <w:tab w:val="clear" w:pos="1191"/>
                <w:tab w:val="left" w:pos="911"/>
              </w:tabs>
              <w:spacing w:before="0"/>
              <w:jc w:val="left"/>
              <w:rPr>
                <w:sz w:val="22"/>
                <w:szCs w:val="22"/>
              </w:rPr>
            </w:pPr>
            <w:r w:rsidRPr="00446FEC">
              <w:t>Email:</w:t>
            </w:r>
            <w:r w:rsidR="00DF5ABA" w:rsidRPr="00446FEC">
              <w:rPr>
                <w:b/>
                <w:bCs/>
              </w:rPr>
              <w:tab/>
            </w:r>
            <w:hyperlink r:id="rId16" w:history="1">
              <w:r w:rsidRPr="00446FEC">
                <w:rPr>
                  <w:rStyle w:val="Hyperlink"/>
                </w:rPr>
                <w:t>mc.sathish@gov.in</w:t>
              </w:r>
            </w:hyperlink>
          </w:p>
        </w:tc>
      </w:tr>
      <w:tr w:rsidR="007E45C3" w:rsidRPr="00446FEC" w14:paraId="1B8CA783" w14:textId="77777777" w:rsidTr="00AD4570">
        <w:trPr>
          <w:cantSplit/>
          <w:trHeight w:val="204"/>
          <w:jc w:val="center"/>
        </w:trPr>
        <w:tc>
          <w:tcPr>
            <w:tcW w:w="815" w:type="pct"/>
          </w:tcPr>
          <w:p w14:paraId="5E9F3684" w14:textId="77777777" w:rsidR="007E45C3" w:rsidRPr="00446FEC" w:rsidRDefault="007E45C3" w:rsidP="00DF5ABA">
            <w:pPr>
              <w:spacing w:before="0"/>
              <w:rPr>
                <w:b/>
                <w:bCs/>
                <w:sz w:val="22"/>
                <w:szCs w:val="22"/>
              </w:rPr>
            </w:pPr>
          </w:p>
        </w:tc>
        <w:tc>
          <w:tcPr>
            <w:tcW w:w="2214" w:type="pct"/>
          </w:tcPr>
          <w:p w14:paraId="6ECDD4C7" w14:textId="1CD49ABC" w:rsidR="007E45C3" w:rsidRPr="00446FEC" w:rsidRDefault="007E45C3" w:rsidP="00DF5ABA">
            <w:pPr>
              <w:keepNext/>
              <w:keepLines/>
              <w:spacing w:before="0"/>
              <w:jc w:val="left"/>
            </w:pPr>
            <w:r w:rsidRPr="00446FEC">
              <w:t>Annie Baldeo</w:t>
            </w:r>
            <w:r w:rsidR="00DF5ABA" w:rsidRPr="00446FEC">
              <w:br/>
            </w:r>
            <w:r w:rsidRPr="00446FEC">
              <w:t>Telecommunications Authority of Trinidad and Tobago</w:t>
            </w:r>
          </w:p>
        </w:tc>
        <w:tc>
          <w:tcPr>
            <w:tcW w:w="1971" w:type="pct"/>
          </w:tcPr>
          <w:p w14:paraId="6968BC6B" w14:textId="22A6D2FB" w:rsidR="007E45C3" w:rsidRPr="00446FEC" w:rsidRDefault="007E45C3" w:rsidP="00DF5ABA">
            <w:pPr>
              <w:keepNext/>
              <w:keepLines/>
              <w:spacing w:before="0"/>
            </w:pPr>
            <w:r w:rsidRPr="00446FEC">
              <w:t>Tel:</w:t>
            </w:r>
            <w:r w:rsidR="00DF5ABA" w:rsidRPr="00446FEC">
              <w:tab/>
            </w:r>
            <w:r w:rsidRPr="00446FEC">
              <w:rPr>
                <w:b/>
                <w:bCs/>
              </w:rPr>
              <w:t>+</w:t>
            </w:r>
            <w:r w:rsidRPr="00446FEC">
              <w:t>18686758288</w:t>
            </w:r>
          </w:p>
          <w:p w14:paraId="721144E3" w14:textId="00EA7037" w:rsidR="007E45C3" w:rsidRPr="00446FEC" w:rsidRDefault="007E45C3" w:rsidP="00DF5ABA">
            <w:pPr>
              <w:keepNext/>
              <w:keepLines/>
              <w:spacing w:before="0"/>
            </w:pPr>
            <w:r w:rsidRPr="00446FEC">
              <w:t>Email:</w:t>
            </w:r>
            <w:r w:rsidR="00DF5ABA" w:rsidRPr="00446FEC">
              <w:tab/>
            </w:r>
            <w:hyperlink r:id="rId17" w:history="1">
              <w:r w:rsidR="00DF5ABA" w:rsidRPr="00446FEC">
                <w:rPr>
                  <w:rStyle w:val="Hyperlink"/>
                </w:rPr>
                <w:t>abaldeo@tatt.org.tt</w:t>
              </w:r>
            </w:hyperlink>
          </w:p>
        </w:tc>
      </w:tr>
    </w:tbl>
    <w:p w14:paraId="7E03078E" w14:textId="77777777" w:rsidR="007E45C3" w:rsidRPr="00446FEC" w:rsidRDefault="007E45C3" w:rsidP="007E45C3">
      <w:pPr>
        <w:jc w:val="center"/>
        <w:rPr>
          <w:sz w:val="22"/>
        </w:rPr>
      </w:pPr>
    </w:p>
    <w:p w14:paraId="5545D0EA" w14:textId="77777777" w:rsidR="007E45C3" w:rsidRPr="00446FEC" w:rsidRDefault="007E45C3" w:rsidP="007E45C3">
      <w:pPr>
        <w:jc w:val="center"/>
        <w:rPr>
          <w:sz w:val="22"/>
        </w:rPr>
      </w:pPr>
      <w:r w:rsidRPr="00446FEC">
        <w:rPr>
          <w:sz w:val="22"/>
        </w:rPr>
        <w:sym w:font="Symbol" w:char="F0E3"/>
      </w:r>
      <w:r w:rsidRPr="00446FEC">
        <w:rPr>
          <w:sz w:val="22"/>
        </w:rPr>
        <w:t> ITU </w:t>
      </w:r>
      <w:bookmarkStart w:id="18" w:name="iiannee"/>
      <w:bookmarkEnd w:id="18"/>
      <w:r w:rsidRPr="00446FEC">
        <w:rPr>
          <w:sz w:val="22"/>
        </w:rPr>
        <w:t>2026</w:t>
      </w:r>
    </w:p>
    <w:p w14:paraId="21C1CF90" w14:textId="77777777" w:rsidR="001A39CB" w:rsidRPr="00446FEC" w:rsidRDefault="001A39CB" w:rsidP="001A39CB">
      <w:pPr>
        <w:rPr>
          <w:sz w:val="22"/>
          <w:szCs w:val="22"/>
        </w:rPr>
      </w:pPr>
      <w:r w:rsidRPr="00446FEC">
        <w:rPr>
          <w:sz w:val="22"/>
          <w:szCs w:val="22"/>
        </w:rPr>
        <w:t>Some rights reserved.</w:t>
      </w:r>
      <w:r w:rsidRPr="00446FEC">
        <w:rPr>
          <w:i/>
          <w:iCs/>
          <w:sz w:val="22"/>
          <w:szCs w:val="22"/>
        </w:rPr>
        <w:t xml:space="preserve"> </w:t>
      </w:r>
      <w:r w:rsidRPr="00446FEC">
        <w:rPr>
          <w:sz w:val="22"/>
          <w:szCs w:val="22"/>
        </w:rPr>
        <w:t xml:space="preserve">This publication is available under the Creative Commons Attribution-Non Commercial-Share Alike 3.0 IGO licence (CC BY-NC-SA 3.0 IGO; </w:t>
      </w:r>
      <w:hyperlink r:id="rId18" w:history="1">
        <w:r w:rsidRPr="00446FEC">
          <w:rPr>
            <w:rStyle w:val="Hyperlink"/>
            <w:color w:val="auto"/>
            <w:sz w:val="22"/>
            <w:szCs w:val="22"/>
          </w:rPr>
          <w:t>https://creativecommons.org/licenses/by-nc-sa/3.0/igo</w:t>
        </w:r>
      </w:hyperlink>
      <w:r w:rsidRPr="00446FEC">
        <w:rPr>
          <w:sz w:val="22"/>
          <w:szCs w:val="22"/>
        </w:rPr>
        <w:t xml:space="preserve">). </w:t>
      </w:r>
    </w:p>
    <w:p w14:paraId="3588B01A" w14:textId="7E69D735" w:rsidR="00DF5ABA" w:rsidRPr="00446FEC" w:rsidRDefault="001A39CB" w:rsidP="00DF5ABA">
      <w:pPr>
        <w:rPr>
          <w:sz w:val="22"/>
          <w:szCs w:val="22"/>
        </w:rPr>
      </w:pPr>
      <w:r w:rsidRPr="00446FEC">
        <w:rPr>
          <w:sz w:val="22"/>
          <w:szCs w:val="22"/>
        </w:rPr>
        <w:t xml:space="preserve">For any uses of this publication that are not included in this licence, please seek permission from ITU by contacting </w:t>
      </w:r>
      <w:hyperlink r:id="rId19" w:history="1">
        <w:r w:rsidRPr="00446FEC">
          <w:rPr>
            <w:rStyle w:val="Hyperlink"/>
            <w:color w:val="auto"/>
            <w:sz w:val="22"/>
            <w:szCs w:val="22"/>
          </w:rPr>
          <w:t>TSBmail@itu.int</w:t>
        </w:r>
      </w:hyperlink>
      <w:r w:rsidRPr="00446FEC">
        <w:rPr>
          <w:sz w:val="22"/>
          <w:szCs w:val="22"/>
        </w:rPr>
        <w:t>.</w:t>
      </w:r>
      <w:r w:rsidR="00DF5ABA" w:rsidRPr="00446FEC">
        <w:rPr>
          <w:sz w:val="22"/>
        </w:rPr>
        <w:br w:type="page"/>
      </w:r>
    </w:p>
    <w:p w14:paraId="482197F3" w14:textId="62A37336" w:rsidR="007E45C3" w:rsidRPr="00446FEC" w:rsidRDefault="007E45C3" w:rsidP="00DF5ABA">
      <w:pPr>
        <w:jc w:val="center"/>
        <w:rPr>
          <w:b/>
        </w:rPr>
      </w:pPr>
      <w:r w:rsidRPr="00446FEC">
        <w:rPr>
          <w:b/>
        </w:rPr>
        <w:lastRenderedPageBreak/>
        <w:t>Table of Contents</w:t>
      </w:r>
    </w:p>
    <w:p w14:paraId="51758759" w14:textId="6977CB4E" w:rsidR="004C18C0" w:rsidRPr="00446FEC" w:rsidRDefault="004C18C0" w:rsidP="004C18C0">
      <w:pPr>
        <w:pStyle w:val="toc0"/>
        <w:ind w:right="992"/>
      </w:pPr>
      <w:r w:rsidRPr="00446FEC">
        <w:tab/>
        <w:t>Page</w:t>
      </w:r>
    </w:p>
    <w:p w14:paraId="5ABC0B86" w14:textId="689C6080" w:rsidR="00894C51" w:rsidRPr="00446FEC" w:rsidRDefault="00894C51">
      <w:pPr>
        <w:pStyle w:val="TOC1"/>
        <w:rPr>
          <w:rFonts w:asciiTheme="minorHAnsi" w:eastAsiaTheme="minorEastAsia" w:hAnsiTheme="minorHAnsi" w:cstheme="minorBidi"/>
          <w:kern w:val="2"/>
          <w:szCs w:val="24"/>
          <w:lang w:eastAsia="en-GB"/>
          <w14:ligatures w14:val="standardContextual"/>
        </w:rPr>
      </w:pPr>
      <w:r w:rsidRPr="00446FEC">
        <w:rPr>
          <w:rStyle w:val="Hyperlink"/>
          <w:bCs/>
          <w:color w:val="auto"/>
          <w:u w:val="none"/>
          <w:lang w:bidi="ar-DZ"/>
        </w:rPr>
        <w:t>1</w:t>
      </w:r>
      <w:r w:rsidRPr="00446FEC">
        <w:rPr>
          <w:rFonts w:asciiTheme="minorHAnsi" w:eastAsiaTheme="minorEastAsia" w:hAnsiTheme="minorHAnsi" w:cstheme="minorBidi"/>
          <w:kern w:val="2"/>
          <w:szCs w:val="24"/>
          <w:lang w:eastAsia="en-GB"/>
          <w14:ligatures w14:val="standardContextual"/>
        </w:rPr>
        <w:tab/>
      </w:r>
      <w:r w:rsidRPr="00446FEC">
        <w:rPr>
          <w:rStyle w:val="Hyperlink"/>
          <w:color w:val="auto"/>
          <w:u w:val="none"/>
          <w:lang w:bidi="ar-DZ"/>
        </w:rPr>
        <w:t>Scope</w:t>
      </w:r>
      <w:r w:rsidRPr="00446FEC">
        <w:rPr>
          <w:webHidden/>
        </w:rPr>
        <w:tab/>
      </w:r>
      <w:r w:rsidRPr="00446FEC">
        <w:rPr>
          <w:webHidden/>
        </w:rPr>
        <w:tab/>
        <w:t>1</w:t>
      </w:r>
    </w:p>
    <w:p w14:paraId="7B12FDDA" w14:textId="0BCEB94B" w:rsidR="00894C51" w:rsidRPr="00446FEC" w:rsidRDefault="00894C51">
      <w:pPr>
        <w:pStyle w:val="TOC1"/>
        <w:rPr>
          <w:rFonts w:asciiTheme="minorHAnsi" w:eastAsiaTheme="minorEastAsia" w:hAnsiTheme="minorHAnsi" w:cstheme="minorBidi"/>
          <w:kern w:val="2"/>
          <w:szCs w:val="24"/>
          <w:lang w:eastAsia="en-GB"/>
          <w14:ligatures w14:val="standardContextual"/>
        </w:rPr>
      </w:pPr>
      <w:r w:rsidRPr="00446FEC">
        <w:rPr>
          <w:rStyle w:val="Hyperlink"/>
          <w:bCs/>
          <w:color w:val="auto"/>
          <w:u w:val="none"/>
          <w:lang w:bidi="ar-DZ"/>
        </w:rPr>
        <w:t>2</w:t>
      </w:r>
      <w:r w:rsidRPr="00446FEC">
        <w:rPr>
          <w:rFonts w:asciiTheme="minorHAnsi" w:eastAsiaTheme="minorEastAsia" w:hAnsiTheme="minorHAnsi" w:cstheme="minorBidi"/>
          <w:kern w:val="2"/>
          <w:szCs w:val="24"/>
          <w:lang w:eastAsia="en-GB"/>
          <w14:ligatures w14:val="standardContextual"/>
        </w:rPr>
        <w:tab/>
      </w:r>
      <w:r w:rsidRPr="00446FEC">
        <w:rPr>
          <w:rStyle w:val="Hyperlink"/>
          <w:color w:val="auto"/>
          <w:u w:val="none"/>
          <w:lang w:bidi="ar-DZ"/>
        </w:rPr>
        <w:t>References</w:t>
      </w:r>
      <w:r w:rsidRPr="00446FEC">
        <w:rPr>
          <w:webHidden/>
        </w:rPr>
        <w:tab/>
      </w:r>
      <w:r w:rsidRPr="00446FEC">
        <w:rPr>
          <w:webHidden/>
        </w:rPr>
        <w:tab/>
        <w:t>1</w:t>
      </w:r>
    </w:p>
    <w:p w14:paraId="22A193CD" w14:textId="318E19B6" w:rsidR="00894C51" w:rsidRPr="00446FEC" w:rsidRDefault="00894C51">
      <w:pPr>
        <w:pStyle w:val="TOC1"/>
        <w:rPr>
          <w:rFonts w:asciiTheme="minorHAnsi" w:eastAsiaTheme="minorEastAsia" w:hAnsiTheme="minorHAnsi" w:cstheme="minorBidi"/>
          <w:kern w:val="2"/>
          <w:szCs w:val="24"/>
          <w:lang w:eastAsia="en-GB"/>
          <w14:ligatures w14:val="standardContextual"/>
        </w:rPr>
      </w:pPr>
      <w:r w:rsidRPr="00446FEC">
        <w:rPr>
          <w:rStyle w:val="Hyperlink"/>
          <w:bCs/>
          <w:color w:val="auto"/>
          <w:u w:val="none"/>
          <w:lang w:bidi="ar-DZ"/>
        </w:rPr>
        <w:t>3</w:t>
      </w:r>
      <w:r w:rsidRPr="00446FEC">
        <w:rPr>
          <w:rFonts w:asciiTheme="minorHAnsi" w:eastAsiaTheme="minorEastAsia" w:hAnsiTheme="minorHAnsi" w:cstheme="minorBidi"/>
          <w:kern w:val="2"/>
          <w:szCs w:val="24"/>
          <w:lang w:eastAsia="en-GB"/>
          <w14:ligatures w14:val="standardContextual"/>
        </w:rPr>
        <w:tab/>
      </w:r>
      <w:r w:rsidRPr="00446FEC">
        <w:rPr>
          <w:rStyle w:val="Hyperlink"/>
          <w:color w:val="auto"/>
          <w:u w:val="none"/>
          <w:lang w:bidi="ar-DZ"/>
        </w:rPr>
        <w:t>Terms and definitions</w:t>
      </w:r>
      <w:r w:rsidRPr="00446FEC">
        <w:rPr>
          <w:webHidden/>
        </w:rPr>
        <w:tab/>
      </w:r>
      <w:r w:rsidRPr="00446FEC">
        <w:rPr>
          <w:webHidden/>
        </w:rPr>
        <w:tab/>
        <w:t>1</w:t>
      </w:r>
    </w:p>
    <w:p w14:paraId="2BAFDFD6" w14:textId="13B2DF74" w:rsidR="00894C51" w:rsidRPr="00446FEC" w:rsidRDefault="00894C51">
      <w:pPr>
        <w:pStyle w:val="TOC2"/>
        <w:rPr>
          <w:rFonts w:asciiTheme="minorHAnsi" w:eastAsiaTheme="minorEastAsia" w:hAnsiTheme="minorHAnsi" w:cstheme="minorBidi"/>
          <w:kern w:val="2"/>
          <w:szCs w:val="24"/>
          <w:lang w:eastAsia="en-GB"/>
          <w14:ligatures w14:val="standardContextual"/>
        </w:rPr>
      </w:pPr>
      <w:r w:rsidRPr="00446FEC">
        <w:rPr>
          <w:rStyle w:val="Hyperlink"/>
          <w:color w:val="auto"/>
          <w:u w:val="none"/>
          <w:lang w:bidi="ar-DZ"/>
        </w:rPr>
        <w:t>3.1</w:t>
      </w:r>
      <w:r w:rsidRPr="00446FEC">
        <w:rPr>
          <w:rFonts w:asciiTheme="minorHAnsi" w:eastAsiaTheme="minorEastAsia" w:hAnsiTheme="minorHAnsi" w:cstheme="minorBidi"/>
          <w:kern w:val="2"/>
          <w:szCs w:val="24"/>
          <w:lang w:eastAsia="en-GB"/>
          <w14:ligatures w14:val="standardContextual"/>
        </w:rPr>
        <w:tab/>
      </w:r>
      <w:r w:rsidRPr="00446FEC">
        <w:rPr>
          <w:rStyle w:val="Hyperlink"/>
          <w:color w:val="auto"/>
          <w:u w:val="none"/>
        </w:rPr>
        <w:t>Terms defined elsewhere</w:t>
      </w:r>
      <w:r w:rsidRPr="00446FEC">
        <w:rPr>
          <w:webHidden/>
        </w:rPr>
        <w:tab/>
      </w:r>
      <w:r w:rsidRPr="00446FEC">
        <w:rPr>
          <w:webHidden/>
        </w:rPr>
        <w:tab/>
        <w:t>1</w:t>
      </w:r>
    </w:p>
    <w:p w14:paraId="152AEFB5" w14:textId="3BE3BD70" w:rsidR="00894C51" w:rsidRPr="00446FEC" w:rsidRDefault="00894C51">
      <w:pPr>
        <w:pStyle w:val="TOC2"/>
        <w:rPr>
          <w:rFonts w:asciiTheme="minorHAnsi" w:eastAsiaTheme="minorEastAsia" w:hAnsiTheme="minorHAnsi" w:cstheme="minorBidi"/>
          <w:kern w:val="2"/>
          <w:szCs w:val="24"/>
          <w:lang w:eastAsia="en-GB"/>
          <w14:ligatures w14:val="standardContextual"/>
        </w:rPr>
      </w:pPr>
      <w:r w:rsidRPr="00446FEC">
        <w:rPr>
          <w:rStyle w:val="Hyperlink"/>
          <w:color w:val="auto"/>
          <w:u w:val="none"/>
        </w:rPr>
        <w:t>3.2</w:t>
      </w:r>
      <w:r w:rsidRPr="00446FEC">
        <w:rPr>
          <w:rFonts w:asciiTheme="minorHAnsi" w:eastAsiaTheme="minorEastAsia" w:hAnsiTheme="minorHAnsi" w:cstheme="minorBidi"/>
          <w:kern w:val="2"/>
          <w:szCs w:val="24"/>
          <w:lang w:eastAsia="en-GB"/>
          <w14:ligatures w14:val="standardContextual"/>
        </w:rPr>
        <w:tab/>
      </w:r>
      <w:r w:rsidRPr="00446FEC">
        <w:rPr>
          <w:rStyle w:val="Hyperlink"/>
          <w:color w:val="auto"/>
          <w:u w:val="none"/>
        </w:rPr>
        <w:t>Terms defined in this Technical Report</w:t>
      </w:r>
      <w:r w:rsidRPr="00446FEC">
        <w:rPr>
          <w:webHidden/>
        </w:rPr>
        <w:tab/>
      </w:r>
      <w:r w:rsidRPr="00446FEC">
        <w:rPr>
          <w:webHidden/>
        </w:rPr>
        <w:tab/>
        <w:t>1</w:t>
      </w:r>
    </w:p>
    <w:p w14:paraId="2B3AB9DD" w14:textId="4870413A" w:rsidR="00894C51" w:rsidRPr="00446FEC" w:rsidRDefault="00894C51">
      <w:pPr>
        <w:pStyle w:val="TOC1"/>
        <w:rPr>
          <w:rFonts w:asciiTheme="minorHAnsi" w:eastAsiaTheme="minorEastAsia" w:hAnsiTheme="minorHAnsi" w:cstheme="minorBidi"/>
          <w:kern w:val="2"/>
          <w:szCs w:val="24"/>
          <w:lang w:eastAsia="en-GB"/>
          <w14:ligatures w14:val="standardContextual"/>
        </w:rPr>
      </w:pPr>
      <w:r w:rsidRPr="00446FEC">
        <w:rPr>
          <w:rStyle w:val="Hyperlink"/>
          <w:color w:val="auto"/>
          <w:u w:val="none"/>
          <w:lang w:bidi="ar-DZ"/>
        </w:rPr>
        <w:t>4</w:t>
      </w:r>
      <w:r w:rsidRPr="00446FEC">
        <w:rPr>
          <w:rFonts w:asciiTheme="minorHAnsi" w:eastAsiaTheme="minorEastAsia" w:hAnsiTheme="minorHAnsi" w:cstheme="minorBidi"/>
          <w:kern w:val="2"/>
          <w:szCs w:val="24"/>
          <w:lang w:eastAsia="en-GB"/>
          <w14:ligatures w14:val="standardContextual"/>
        </w:rPr>
        <w:tab/>
      </w:r>
      <w:r w:rsidRPr="00446FEC">
        <w:rPr>
          <w:rStyle w:val="Hyperlink"/>
          <w:color w:val="auto"/>
          <w:u w:val="none"/>
          <w:lang w:bidi="ar-DZ"/>
        </w:rPr>
        <w:t>Abbreviations</w:t>
      </w:r>
      <w:r w:rsidRPr="00446FEC">
        <w:rPr>
          <w:webHidden/>
        </w:rPr>
        <w:tab/>
      </w:r>
      <w:r w:rsidRPr="00446FEC">
        <w:rPr>
          <w:webHidden/>
        </w:rPr>
        <w:tab/>
        <w:t>3</w:t>
      </w:r>
    </w:p>
    <w:p w14:paraId="06F9153A" w14:textId="69067100" w:rsidR="00894C51" w:rsidRPr="00446FEC" w:rsidRDefault="00894C51">
      <w:pPr>
        <w:pStyle w:val="TOC1"/>
        <w:rPr>
          <w:rFonts w:asciiTheme="minorHAnsi" w:eastAsiaTheme="minorEastAsia" w:hAnsiTheme="minorHAnsi" w:cstheme="minorBidi"/>
          <w:kern w:val="2"/>
          <w:szCs w:val="24"/>
          <w:lang w:eastAsia="en-GB"/>
          <w14:ligatures w14:val="standardContextual"/>
        </w:rPr>
      </w:pPr>
      <w:r w:rsidRPr="00446FEC">
        <w:rPr>
          <w:rStyle w:val="Hyperlink"/>
          <w:color w:val="auto"/>
          <w:u w:val="none"/>
        </w:rPr>
        <w:t>5</w:t>
      </w:r>
      <w:r w:rsidRPr="00446FEC">
        <w:rPr>
          <w:rFonts w:asciiTheme="minorHAnsi" w:eastAsiaTheme="minorEastAsia" w:hAnsiTheme="minorHAnsi" w:cstheme="minorBidi"/>
          <w:kern w:val="2"/>
          <w:szCs w:val="24"/>
          <w:lang w:eastAsia="en-GB"/>
          <w14:ligatures w14:val="standardContextual"/>
        </w:rPr>
        <w:tab/>
      </w:r>
      <w:r w:rsidRPr="00446FEC">
        <w:rPr>
          <w:rStyle w:val="Hyperlink"/>
          <w:color w:val="auto"/>
          <w:u w:val="none"/>
        </w:rPr>
        <w:t>Introduction</w:t>
      </w:r>
      <w:r w:rsidRPr="00446FEC">
        <w:rPr>
          <w:webHidden/>
        </w:rPr>
        <w:tab/>
      </w:r>
      <w:r w:rsidRPr="00446FEC">
        <w:rPr>
          <w:webHidden/>
        </w:rPr>
        <w:tab/>
        <w:t>5</w:t>
      </w:r>
    </w:p>
    <w:p w14:paraId="1CAFFF8E" w14:textId="4B226241" w:rsidR="00894C51" w:rsidRPr="00446FEC" w:rsidRDefault="00894C51">
      <w:pPr>
        <w:pStyle w:val="TOC1"/>
        <w:rPr>
          <w:rFonts w:asciiTheme="minorHAnsi" w:eastAsiaTheme="minorEastAsia" w:hAnsiTheme="minorHAnsi" w:cstheme="minorBidi"/>
          <w:kern w:val="2"/>
          <w:szCs w:val="24"/>
          <w:lang w:eastAsia="en-GB"/>
          <w14:ligatures w14:val="standardContextual"/>
        </w:rPr>
      </w:pPr>
      <w:r w:rsidRPr="00446FEC">
        <w:rPr>
          <w:rStyle w:val="Hyperlink"/>
          <w:color w:val="auto"/>
          <w:u w:val="none"/>
        </w:rPr>
        <w:t>6</w:t>
      </w:r>
      <w:r w:rsidRPr="00446FEC">
        <w:rPr>
          <w:rFonts w:asciiTheme="minorHAnsi" w:eastAsiaTheme="minorEastAsia" w:hAnsiTheme="minorHAnsi" w:cstheme="minorBidi"/>
          <w:kern w:val="2"/>
          <w:szCs w:val="24"/>
          <w:lang w:eastAsia="en-GB"/>
          <w14:ligatures w14:val="standardContextual"/>
        </w:rPr>
        <w:tab/>
      </w:r>
      <w:r w:rsidRPr="00446FEC">
        <w:rPr>
          <w:rStyle w:val="Hyperlink"/>
          <w:color w:val="auto"/>
          <w:u w:val="none"/>
        </w:rPr>
        <w:t>Importance of cost models for enabling affordable data services</w:t>
      </w:r>
      <w:r w:rsidRPr="00446FEC">
        <w:rPr>
          <w:webHidden/>
        </w:rPr>
        <w:tab/>
      </w:r>
      <w:r w:rsidRPr="00446FEC">
        <w:rPr>
          <w:webHidden/>
        </w:rPr>
        <w:tab/>
        <w:t>6</w:t>
      </w:r>
    </w:p>
    <w:p w14:paraId="26EBA7E1" w14:textId="10FFFAA3" w:rsidR="00894C51" w:rsidRPr="00446FEC" w:rsidRDefault="00894C51">
      <w:pPr>
        <w:pStyle w:val="TOC1"/>
        <w:rPr>
          <w:rFonts w:asciiTheme="minorHAnsi" w:eastAsiaTheme="minorEastAsia" w:hAnsiTheme="minorHAnsi" w:cstheme="minorBidi"/>
          <w:kern w:val="2"/>
          <w:szCs w:val="24"/>
          <w:lang w:eastAsia="en-GB"/>
          <w14:ligatures w14:val="standardContextual"/>
        </w:rPr>
      </w:pPr>
      <w:r w:rsidRPr="00446FEC">
        <w:rPr>
          <w:rStyle w:val="Hyperlink"/>
          <w:color w:val="auto"/>
          <w:u w:val="none"/>
        </w:rPr>
        <w:t>7</w:t>
      </w:r>
      <w:r w:rsidRPr="00446FEC">
        <w:rPr>
          <w:rFonts w:asciiTheme="minorHAnsi" w:eastAsiaTheme="minorEastAsia" w:hAnsiTheme="minorHAnsi" w:cstheme="minorBidi"/>
          <w:kern w:val="2"/>
          <w:szCs w:val="24"/>
          <w:lang w:eastAsia="en-GB"/>
          <w14:ligatures w14:val="standardContextual"/>
        </w:rPr>
        <w:tab/>
      </w:r>
      <w:r w:rsidRPr="00446FEC">
        <w:rPr>
          <w:rStyle w:val="Hyperlink"/>
          <w:color w:val="auto"/>
          <w:u w:val="none"/>
        </w:rPr>
        <w:t>Development of cost models</w:t>
      </w:r>
      <w:r w:rsidRPr="00446FEC">
        <w:rPr>
          <w:webHidden/>
        </w:rPr>
        <w:tab/>
      </w:r>
      <w:r w:rsidRPr="00446FEC">
        <w:rPr>
          <w:webHidden/>
        </w:rPr>
        <w:tab/>
        <w:t>6</w:t>
      </w:r>
    </w:p>
    <w:p w14:paraId="39942C8B" w14:textId="4D484181" w:rsidR="00894C51" w:rsidRPr="00446FEC" w:rsidRDefault="00894C51">
      <w:pPr>
        <w:pStyle w:val="TOC1"/>
        <w:rPr>
          <w:rFonts w:asciiTheme="minorHAnsi" w:eastAsiaTheme="minorEastAsia" w:hAnsiTheme="minorHAnsi" w:cstheme="minorBidi"/>
          <w:kern w:val="2"/>
          <w:szCs w:val="24"/>
          <w:lang w:eastAsia="en-GB"/>
          <w14:ligatures w14:val="standardContextual"/>
        </w:rPr>
      </w:pPr>
      <w:r w:rsidRPr="00446FEC">
        <w:rPr>
          <w:rStyle w:val="Hyperlink"/>
          <w:color w:val="auto"/>
          <w:u w:val="none"/>
        </w:rPr>
        <w:t>8</w:t>
      </w:r>
      <w:r w:rsidRPr="00446FEC">
        <w:rPr>
          <w:rFonts w:asciiTheme="minorHAnsi" w:eastAsiaTheme="minorEastAsia" w:hAnsiTheme="minorHAnsi" w:cstheme="minorBidi"/>
          <w:kern w:val="2"/>
          <w:szCs w:val="24"/>
          <w:lang w:eastAsia="en-GB"/>
          <w14:ligatures w14:val="standardContextual"/>
        </w:rPr>
        <w:tab/>
      </w:r>
      <w:r w:rsidRPr="00446FEC">
        <w:rPr>
          <w:rStyle w:val="Hyperlink"/>
          <w:color w:val="auto"/>
          <w:u w:val="none"/>
        </w:rPr>
        <w:t>Costing approaches</w:t>
      </w:r>
      <w:r w:rsidRPr="00446FEC">
        <w:rPr>
          <w:webHidden/>
        </w:rPr>
        <w:tab/>
      </w:r>
      <w:r w:rsidRPr="00446FEC">
        <w:rPr>
          <w:webHidden/>
        </w:rPr>
        <w:tab/>
        <w:t>7</w:t>
      </w:r>
    </w:p>
    <w:p w14:paraId="047DA71E" w14:textId="21E166F4" w:rsidR="00894C51" w:rsidRPr="00446FEC" w:rsidRDefault="00894C51">
      <w:pPr>
        <w:pStyle w:val="TOC1"/>
        <w:rPr>
          <w:rFonts w:asciiTheme="minorHAnsi" w:eastAsiaTheme="minorEastAsia" w:hAnsiTheme="minorHAnsi" w:cstheme="minorBidi"/>
          <w:kern w:val="2"/>
          <w:szCs w:val="24"/>
          <w:lang w:eastAsia="en-GB"/>
          <w14:ligatures w14:val="standardContextual"/>
        </w:rPr>
      </w:pPr>
      <w:r w:rsidRPr="00446FEC">
        <w:rPr>
          <w:rStyle w:val="Hyperlink"/>
          <w:color w:val="auto"/>
          <w:u w:val="none"/>
        </w:rPr>
        <w:t>9</w:t>
      </w:r>
      <w:r w:rsidRPr="00446FEC">
        <w:rPr>
          <w:rFonts w:asciiTheme="minorHAnsi" w:eastAsiaTheme="minorEastAsia" w:hAnsiTheme="minorHAnsi" w:cstheme="minorBidi"/>
          <w:kern w:val="2"/>
          <w:szCs w:val="24"/>
          <w:lang w:eastAsia="en-GB"/>
          <w14:ligatures w14:val="standardContextual"/>
        </w:rPr>
        <w:tab/>
      </w:r>
      <w:r w:rsidRPr="00446FEC">
        <w:rPr>
          <w:rStyle w:val="Hyperlink"/>
          <w:color w:val="auto"/>
          <w:u w:val="none"/>
        </w:rPr>
        <w:t>Cost standards</w:t>
      </w:r>
      <w:r w:rsidRPr="00446FEC">
        <w:rPr>
          <w:webHidden/>
        </w:rPr>
        <w:tab/>
      </w:r>
      <w:r w:rsidRPr="00446FEC">
        <w:rPr>
          <w:webHidden/>
        </w:rPr>
        <w:tab/>
        <w:t>8</w:t>
      </w:r>
    </w:p>
    <w:p w14:paraId="6380DC79" w14:textId="1C2F8173" w:rsidR="00894C51" w:rsidRPr="00446FEC" w:rsidRDefault="00894C51">
      <w:pPr>
        <w:pStyle w:val="TOC1"/>
        <w:rPr>
          <w:rFonts w:asciiTheme="minorHAnsi" w:eastAsiaTheme="minorEastAsia" w:hAnsiTheme="minorHAnsi" w:cstheme="minorBidi"/>
          <w:kern w:val="2"/>
          <w:szCs w:val="24"/>
          <w:lang w:eastAsia="en-GB"/>
          <w14:ligatures w14:val="standardContextual"/>
        </w:rPr>
      </w:pPr>
      <w:r w:rsidRPr="00446FEC">
        <w:rPr>
          <w:rStyle w:val="Hyperlink"/>
          <w:bCs/>
          <w:color w:val="auto"/>
          <w:u w:val="none"/>
        </w:rPr>
        <w:t>10</w:t>
      </w:r>
      <w:r w:rsidRPr="00446FEC">
        <w:rPr>
          <w:rFonts w:asciiTheme="minorHAnsi" w:eastAsiaTheme="minorEastAsia" w:hAnsiTheme="minorHAnsi" w:cstheme="minorBidi"/>
          <w:kern w:val="2"/>
          <w:szCs w:val="24"/>
          <w:lang w:eastAsia="en-GB"/>
          <w14:ligatures w14:val="standardContextual"/>
        </w:rPr>
        <w:tab/>
      </w:r>
      <w:r w:rsidRPr="00446FEC">
        <w:rPr>
          <w:rStyle w:val="Hyperlink"/>
          <w:color w:val="auto"/>
          <w:u w:val="none"/>
        </w:rPr>
        <w:t>Cost elements</w:t>
      </w:r>
      <w:r w:rsidRPr="00446FEC">
        <w:rPr>
          <w:webHidden/>
        </w:rPr>
        <w:tab/>
      </w:r>
      <w:r w:rsidRPr="00446FEC">
        <w:rPr>
          <w:webHidden/>
        </w:rPr>
        <w:tab/>
        <w:t>11</w:t>
      </w:r>
    </w:p>
    <w:p w14:paraId="6196FF19" w14:textId="072D0A28" w:rsidR="00894C51" w:rsidRPr="00446FEC" w:rsidRDefault="00894C51">
      <w:pPr>
        <w:pStyle w:val="TOC2"/>
        <w:rPr>
          <w:rFonts w:asciiTheme="minorHAnsi" w:eastAsiaTheme="minorEastAsia" w:hAnsiTheme="minorHAnsi" w:cstheme="minorBidi"/>
          <w:kern w:val="2"/>
          <w:szCs w:val="24"/>
          <w:lang w:eastAsia="en-GB"/>
          <w14:ligatures w14:val="standardContextual"/>
        </w:rPr>
      </w:pPr>
      <w:r w:rsidRPr="00446FEC">
        <w:rPr>
          <w:rStyle w:val="Hyperlink"/>
          <w:color w:val="auto"/>
          <w:u w:val="none"/>
        </w:rPr>
        <w:t>10.1</w:t>
      </w:r>
      <w:r w:rsidRPr="00446FEC">
        <w:rPr>
          <w:rFonts w:asciiTheme="minorHAnsi" w:eastAsiaTheme="minorEastAsia" w:hAnsiTheme="minorHAnsi" w:cstheme="minorBidi"/>
          <w:kern w:val="2"/>
          <w:szCs w:val="24"/>
          <w:lang w:eastAsia="en-GB"/>
          <w14:ligatures w14:val="standardContextual"/>
        </w:rPr>
        <w:tab/>
      </w:r>
      <w:r w:rsidRPr="00446FEC">
        <w:rPr>
          <w:rStyle w:val="Hyperlink"/>
          <w:color w:val="auto"/>
          <w:u w:val="none"/>
        </w:rPr>
        <w:t>Network costs</w:t>
      </w:r>
      <w:r w:rsidRPr="00446FEC">
        <w:rPr>
          <w:webHidden/>
        </w:rPr>
        <w:tab/>
      </w:r>
      <w:r w:rsidRPr="00446FEC">
        <w:rPr>
          <w:webHidden/>
        </w:rPr>
        <w:tab/>
        <w:t>11</w:t>
      </w:r>
    </w:p>
    <w:p w14:paraId="78C5468F" w14:textId="26E1D3F1" w:rsidR="00894C51" w:rsidRPr="00446FEC" w:rsidRDefault="00894C51">
      <w:pPr>
        <w:pStyle w:val="TOC2"/>
        <w:rPr>
          <w:rFonts w:asciiTheme="minorHAnsi" w:eastAsiaTheme="minorEastAsia" w:hAnsiTheme="minorHAnsi" w:cstheme="minorBidi"/>
          <w:kern w:val="2"/>
          <w:szCs w:val="24"/>
          <w:lang w:eastAsia="en-GB"/>
          <w14:ligatures w14:val="standardContextual"/>
        </w:rPr>
      </w:pPr>
      <w:r w:rsidRPr="00446FEC">
        <w:rPr>
          <w:rStyle w:val="Hyperlink"/>
          <w:color w:val="auto"/>
          <w:u w:val="none"/>
        </w:rPr>
        <w:t>10.2</w:t>
      </w:r>
      <w:r w:rsidRPr="00446FEC">
        <w:rPr>
          <w:rFonts w:asciiTheme="minorHAnsi" w:eastAsiaTheme="minorEastAsia" w:hAnsiTheme="minorHAnsi" w:cstheme="minorBidi"/>
          <w:kern w:val="2"/>
          <w:szCs w:val="24"/>
          <w:lang w:eastAsia="en-GB"/>
          <w14:ligatures w14:val="standardContextual"/>
        </w:rPr>
        <w:tab/>
      </w:r>
      <w:r w:rsidRPr="00446FEC">
        <w:rPr>
          <w:rStyle w:val="Hyperlink"/>
          <w:color w:val="auto"/>
          <w:u w:val="none"/>
        </w:rPr>
        <w:t>Licence and spectrum fees</w:t>
      </w:r>
      <w:r w:rsidRPr="00446FEC">
        <w:rPr>
          <w:webHidden/>
        </w:rPr>
        <w:tab/>
      </w:r>
      <w:r w:rsidRPr="00446FEC">
        <w:rPr>
          <w:webHidden/>
        </w:rPr>
        <w:tab/>
        <w:t>12</w:t>
      </w:r>
    </w:p>
    <w:p w14:paraId="4330CC0B" w14:textId="511F794C" w:rsidR="00894C51" w:rsidRPr="00446FEC" w:rsidRDefault="00894C51">
      <w:pPr>
        <w:pStyle w:val="TOC2"/>
        <w:rPr>
          <w:rFonts w:asciiTheme="minorHAnsi" w:eastAsiaTheme="minorEastAsia" w:hAnsiTheme="minorHAnsi" w:cstheme="minorBidi"/>
          <w:kern w:val="2"/>
          <w:szCs w:val="24"/>
          <w:lang w:eastAsia="en-GB"/>
          <w14:ligatures w14:val="standardContextual"/>
        </w:rPr>
      </w:pPr>
      <w:r w:rsidRPr="00446FEC">
        <w:rPr>
          <w:rStyle w:val="Hyperlink"/>
          <w:color w:val="auto"/>
          <w:u w:val="none"/>
        </w:rPr>
        <w:t>10.3</w:t>
      </w:r>
      <w:r w:rsidRPr="00446FEC">
        <w:rPr>
          <w:rFonts w:asciiTheme="minorHAnsi" w:eastAsiaTheme="minorEastAsia" w:hAnsiTheme="minorHAnsi" w:cstheme="minorBidi"/>
          <w:kern w:val="2"/>
          <w:szCs w:val="24"/>
          <w:lang w:eastAsia="en-GB"/>
          <w14:ligatures w14:val="standardContextual"/>
        </w:rPr>
        <w:tab/>
      </w:r>
      <w:r w:rsidRPr="00446FEC">
        <w:rPr>
          <w:rStyle w:val="Hyperlink"/>
          <w:color w:val="auto"/>
          <w:u w:val="none"/>
        </w:rPr>
        <w:t>Retail costs</w:t>
      </w:r>
      <w:r w:rsidRPr="00446FEC">
        <w:rPr>
          <w:webHidden/>
        </w:rPr>
        <w:tab/>
      </w:r>
      <w:r w:rsidRPr="00446FEC">
        <w:rPr>
          <w:webHidden/>
        </w:rPr>
        <w:tab/>
        <w:t>12</w:t>
      </w:r>
    </w:p>
    <w:p w14:paraId="421091A5" w14:textId="12606A5A" w:rsidR="00894C51" w:rsidRPr="00446FEC" w:rsidRDefault="00894C51">
      <w:pPr>
        <w:pStyle w:val="TOC2"/>
        <w:rPr>
          <w:rFonts w:asciiTheme="minorHAnsi" w:eastAsiaTheme="minorEastAsia" w:hAnsiTheme="minorHAnsi" w:cstheme="minorBidi"/>
          <w:kern w:val="2"/>
          <w:szCs w:val="24"/>
          <w:lang w:eastAsia="en-GB"/>
          <w14:ligatures w14:val="standardContextual"/>
        </w:rPr>
      </w:pPr>
      <w:r w:rsidRPr="00446FEC">
        <w:rPr>
          <w:rStyle w:val="Hyperlink"/>
          <w:color w:val="auto"/>
          <w:u w:val="none"/>
        </w:rPr>
        <w:t>10.4</w:t>
      </w:r>
      <w:r w:rsidRPr="00446FEC">
        <w:rPr>
          <w:rFonts w:asciiTheme="minorHAnsi" w:eastAsiaTheme="minorEastAsia" w:hAnsiTheme="minorHAnsi" w:cstheme="minorBidi"/>
          <w:kern w:val="2"/>
          <w:szCs w:val="24"/>
          <w:lang w:eastAsia="en-GB"/>
          <w14:ligatures w14:val="standardContextual"/>
        </w:rPr>
        <w:tab/>
      </w:r>
      <w:r w:rsidRPr="00446FEC">
        <w:rPr>
          <w:rStyle w:val="Hyperlink"/>
          <w:color w:val="auto"/>
          <w:u w:val="none"/>
        </w:rPr>
        <w:t>General and administrative costs (G&amp;A)</w:t>
      </w:r>
      <w:r w:rsidRPr="00446FEC">
        <w:rPr>
          <w:webHidden/>
        </w:rPr>
        <w:tab/>
      </w:r>
      <w:r w:rsidRPr="00446FEC">
        <w:rPr>
          <w:webHidden/>
        </w:rPr>
        <w:tab/>
        <w:t>12</w:t>
      </w:r>
    </w:p>
    <w:p w14:paraId="10B04401" w14:textId="49207FE8" w:rsidR="00894C51" w:rsidRPr="00446FEC" w:rsidRDefault="00894C51">
      <w:pPr>
        <w:pStyle w:val="TOC1"/>
        <w:rPr>
          <w:rFonts w:asciiTheme="minorHAnsi" w:eastAsiaTheme="minorEastAsia" w:hAnsiTheme="minorHAnsi" w:cstheme="minorBidi"/>
          <w:kern w:val="2"/>
          <w:szCs w:val="24"/>
          <w:lang w:eastAsia="en-GB"/>
          <w14:ligatures w14:val="standardContextual"/>
        </w:rPr>
      </w:pPr>
      <w:r w:rsidRPr="00446FEC">
        <w:rPr>
          <w:rStyle w:val="Hyperlink"/>
          <w:color w:val="auto"/>
          <w:u w:val="none"/>
        </w:rPr>
        <w:t>11</w:t>
      </w:r>
      <w:r w:rsidRPr="00446FEC">
        <w:rPr>
          <w:rFonts w:asciiTheme="minorHAnsi" w:eastAsiaTheme="minorEastAsia" w:hAnsiTheme="minorHAnsi" w:cstheme="minorBidi"/>
          <w:kern w:val="2"/>
          <w:szCs w:val="24"/>
          <w:lang w:eastAsia="en-GB"/>
          <w14:ligatures w14:val="standardContextual"/>
        </w:rPr>
        <w:tab/>
      </w:r>
      <w:r w:rsidRPr="00446FEC">
        <w:rPr>
          <w:rStyle w:val="Hyperlink"/>
          <w:color w:val="auto"/>
          <w:u w:val="none"/>
        </w:rPr>
        <w:t>Current trends in cost modelling</w:t>
      </w:r>
      <w:r w:rsidRPr="00446FEC">
        <w:rPr>
          <w:webHidden/>
        </w:rPr>
        <w:tab/>
      </w:r>
      <w:r w:rsidRPr="00446FEC">
        <w:rPr>
          <w:webHidden/>
        </w:rPr>
        <w:tab/>
        <w:t>13</w:t>
      </w:r>
    </w:p>
    <w:p w14:paraId="552DA4C4" w14:textId="2FA2A823" w:rsidR="00894C51" w:rsidRPr="00446FEC" w:rsidRDefault="00894C51">
      <w:pPr>
        <w:pStyle w:val="TOC1"/>
        <w:rPr>
          <w:rFonts w:asciiTheme="minorHAnsi" w:eastAsiaTheme="minorEastAsia" w:hAnsiTheme="minorHAnsi" w:cstheme="minorBidi"/>
          <w:kern w:val="2"/>
          <w:szCs w:val="24"/>
          <w:lang w:eastAsia="en-GB"/>
          <w14:ligatures w14:val="standardContextual"/>
        </w:rPr>
      </w:pPr>
      <w:r w:rsidRPr="00446FEC">
        <w:rPr>
          <w:rStyle w:val="Hyperlink"/>
          <w:color w:val="auto"/>
          <w:u w:val="none"/>
        </w:rPr>
        <w:t>12</w:t>
      </w:r>
      <w:r w:rsidRPr="00446FEC">
        <w:rPr>
          <w:rFonts w:asciiTheme="minorHAnsi" w:eastAsiaTheme="minorEastAsia" w:hAnsiTheme="minorHAnsi" w:cstheme="minorBidi"/>
          <w:kern w:val="2"/>
          <w:szCs w:val="24"/>
          <w:lang w:eastAsia="en-GB"/>
          <w14:ligatures w14:val="standardContextual"/>
        </w:rPr>
        <w:tab/>
      </w:r>
      <w:r w:rsidRPr="00446FEC">
        <w:rPr>
          <w:rStyle w:val="Hyperlink"/>
          <w:color w:val="auto"/>
          <w:u w:val="none"/>
        </w:rPr>
        <w:t>Analysis of the various cost models</w:t>
      </w:r>
      <w:r w:rsidRPr="00446FEC">
        <w:rPr>
          <w:webHidden/>
        </w:rPr>
        <w:tab/>
      </w:r>
      <w:r w:rsidRPr="00446FEC">
        <w:rPr>
          <w:webHidden/>
        </w:rPr>
        <w:tab/>
        <w:t>14</w:t>
      </w:r>
    </w:p>
    <w:p w14:paraId="5316DB34" w14:textId="1DACC6D5" w:rsidR="00894C51" w:rsidRPr="00446FEC" w:rsidRDefault="00894C51">
      <w:pPr>
        <w:pStyle w:val="TOC1"/>
        <w:rPr>
          <w:rFonts w:asciiTheme="minorHAnsi" w:eastAsiaTheme="minorEastAsia" w:hAnsiTheme="minorHAnsi" w:cstheme="minorBidi"/>
          <w:kern w:val="2"/>
          <w:szCs w:val="24"/>
          <w:lang w:eastAsia="en-GB"/>
          <w14:ligatures w14:val="standardContextual"/>
        </w:rPr>
      </w:pPr>
      <w:r w:rsidRPr="00446FEC">
        <w:rPr>
          <w:rStyle w:val="Hyperlink"/>
          <w:color w:val="auto"/>
          <w:u w:val="none"/>
        </w:rPr>
        <w:t>13</w:t>
      </w:r>
      <w:r w:rsidRPr="00446FEC">
        <w:rPr>
          <w:rFonts w:asciiTheme="minorHAnsi" w:eastAsiaTheme="minorEastAsia" w:hAnsiTheme="minorHAnsi" w:cstheme="minorBidi"/>
          <w:kern w:val="2"/>
          <w:szCs w:val="24"/>
          <w:lang w:eastAsia="en-GB"/>
          <w14:ligatures w14:val="standardContextual"/>
        </w:rPr>
        <w:tab/>
      </w:r>
      <w:r w:rsidRPr="00446FEC">
        <w:rPr>
          <w:rStyle w:val="Hyperlink"/>
          <w:color w:val="auto"/>
          <w:u w:val="none"/>
        </w:rPr>
        <w:t>Impact of convergence in the telecommunication/ICT domain on the costing of data services</w:t>
      </w:r>
      <w:r w:rsidRPr="00446FEC">
        <w:rPr>
          <w:webHidden/>
        </w:rPr>
        <w:tab/>
      </w:r>
      <w:r w:rsidRPr="00446FEC">
        <w:rPr>
          <w:webHidden/>
        </w:rPr>
        <w:tab/>
        <w:t>15</w:t>
      </w:r>
    </w:p>
    <w:p w14:paraId="2EE4383A" w14:textId="0008120B" w:rsidR="00894C51" w:rsidRPr="00446FEC" w:rsidRDefault="00894C51">
      <w:pPr>
        <w:pStyle w:val="TOC1"/>
        <w:rPr>
          <w:rFonts w:asciiTheme="minorHAnsi" w:eastAsiaTheme="minorEastAsia" w:hAnsiTheme="minorHAnsi" w:cstheme="minorBidi"/>
          <w:kern w:val="2"/>
          <w:szCs w:val="24"/>
          <w:lang w:eastAsia="en-GB"/>
          <w14:ligatures w14:val="standardContextual"/>
        </w:rPr>
      </w:pPr>
      <w:r w:rsidRPr="00446FEC">
        <w:rPr>
          <w:rStyle w:val="Hyperlink"/>
          <w:color w:val="auto"/>
          <w:u w:val="none"/>
        </w:rPr>
        <w:t>14</w:t>
      </w:r>
      <w:r w:rsidRPr="00446FEC">
        <w:rPr>
          <w:rFonts w:asciiTheme="minorHAnsi" w:eastAsiaTheme="minorEastAsia" w:hAnsiTheme="minorHAnsi" w:cstheme="minorBidi"/>
          <w:kern w:val="2"/>
          <w:szCs w:val="24"/>
          <w:lang w:eastAsia="en-GB"/>
          <w14:ligatures w14:val="standardContextual"/>
        </w:rPr>
        <w:tab/>
      </w:r>
      <w:r w:rsidRPr="00446FEC">
        <w:rPr>
          <w:rStyle w:val="Hyperlink"/>
          <w:color w:val="auto"/>
          <w:u w:val="none"/>
        </w:rPr>
        <w:t>Country and regional case studies and innovative practices</w:t>
      </w:r>
      <w:r w:rsidRPr="00446FEC">
        <w:rPr>
          <w:webHidden/>
        </w:rPr>
        <w:tab/>
      </w:r>
      <w:r w:rsidRPr="00446FEC">
        <w:rPr>
          <w:webHidden/>
        </w:rPr>
        <w:tab/>
        <w:t>16</w:t>
      </w:r>
    </w:p>
    <w:p w14:paraId="044DD6DA" w14:textId="3B30E9C9" w:rsidR="00894C51" w:rsidRPr="00446FEC" w:rsidRDefault="00894C51">
      <w:pPr>
        <w:pStyle w:val="TOC1"/>
        <w:rPr>
          <w:rFonts w:asciiTheme="minorHAnsi" w:eastAsiaTheme="minorEastAsia" w:hAnsiTheme="minorHAnsi" w:cstheme="minorBidi"/>
          <w:kern w:val="2"/>
          <w:szCs w:val="24"/>
          <w:lang w:eastAsia="en-GB"/>
          <w14:ligatures w14:val="standardContextual"/>
        </w:rPr>
      </w:pPr>
      <w:r w:rsidRPr="00446FEC">
        <w:rPr>
          <w:rStyle w:val="Hyperlink"/>
          <w:color w:val="auto"/>
          <w:u w:val="none"/>
        </w:rPr>
        <w:t>15</w:t>
      </w:r>
      <w:r w:rsidRPr="00446FEC">
        <w:rPr>
          <w:rFonts w:asciiTheme="minorHAnsi" w:eastAsiaTheme="minorEastAsia" w:hAnsiTheme="minorHAnsi" w:cstheme="minorBidi"/>
          <w:kern w:val="2"/>
          <w:szCs w:val="24"/>
          <w:lang w:eastAsia="en-GB"/>
          <w14:ligatures w14:val="standardContextual"/>
        </w:rPr>
        <w:tab/>
      </w:r>
      <w:r w:rsidRPr="00446FEC">
        <w:rPr>
          <w:rStyle w:val="Hyperlink"/>
          <w:color w:val="auto"/>
          <w:u w:val="none"/>
        </w:rPr>
        <w:t>Recommendations and conclusion</w:t>
      </w:r>
      <w:r w:rsidRPr="00446FEC">
        <w:rPr>
          <w:webHidden/>
        </w:rPr>
        <w:tab/>
      </w:r>
      <w:r w:rsidRPr="00446FEC">
        <w:rPr>
          <w:webHidden/>
        </w:rPr>
        <w:tab/>
        <w:t>16</w:t>
      </w:r>
    </w:p>
    <w:p w14:paraId="39380B23" w14:textId="609B7F50" w:rsidR="00894C51" w:rsidRPr="00446FEC" w:rsidRDefault="00894C51">
      <w:pPr>
        <w:pStyle w:val="TOC1"/>
        <w:rPr>
          <w:rFonts w:asciiTheme="minorHAnsi" w:eastAsiaTheme="minorEastAsia" w:hAnsiTheme="minorHAnsi" w:cstheme="minorBidi"/>
          <w:kern w:val="2"/>
          <w:szCs w:val="24"/>
          <w:lang w:eastAsia="en-GB"/>
          <w14:ligatures w14:val="standardContextual"/>
        </w:rPr>
      </w:pPr>
      <w:r w:rsidRPr="00446FEC">
        <w:rPr>
          <w:rStyle w:val="Hyperlink"/>
          <w:color w:val="auto"/>
          <w:u w:val="none"/>
        </w:rPr>
        <w:t xml:space="preserve">Annex A </w:t>
      </w:r>
      <w:r w:rsidR="00F05C9F" w:rsidRPr="00446FEC">
        <w:rPr>
          <w:rStyle w:val="Hyperlink"/>
          <w:color w:val="auto"/>
          <w:u w:val="none"/>
        </w:rPr>
        <w:t>–</w:t>
      </w:r>
      <w:r w:rsidRPr="00446FEC">
        <w:rPr>
          <w:rStyle w:val="Hyperlink"/>
          <w:color w:val="auto"/>
          <w:u w:val="none"/>
        </w:rPr>
        <w:t xml:space="preserve"> Additional costing approaches</w:t>
      </w:r>
      <w:r w:rsidRPr="00446FEC">
        <w:rPr>
          <w:webHidden/>
        </w:rPr>
        <w:tab/>
      </w:r>
      <w:r w:rsidRPr="00446FEC">
        <w:rPr>
          <w:webHidden/>
        </w:rPr>
        <w:tab/>
        <w:t>20</w:t>
      </w:r>
    </w:p>
    <w:p w14:paraId="3610226B" w14:textId="23B6DE73" w:rsidR="00894C51" w:rsidRPr="00446FEC" w:rsidRDefault="00894C51">
      <w:pPr>
        <w:pStyle w:val="TOC1"/>
        <w:rPr>
          <w:rFonts w:asciiTheme="minorHAnsi" w:eastAsiaTheme="minorEastAsia" w:hAnsiTheme="minorHAnsi" w:cstheme="minorBidi"/>
          <w:kern w:val="2"/>
          <w:szCs w:val="24"/>
          <w:lang w:eastAsia="en-GB"/>
          <w14:ligatures w14:val="standardContextual"/>
        </w:rPr>
      </w:pPr>
      <w:r w:rsidRPr="00446FEC">
        <w:rPr>
          <w:rStyle w:val="Hyperlink"/>
          <w:color w:val="auto"/>
          <w:u w:val="none"/>
        </w:rPr>
        <w:t xml:space="preserve">Annex B </w:t>
      </w:r>
      <w:r w:rsidR="00F05C9F" w:rsidRPr="00446FEC">
        <w:rPr>
          <w:rStyle w:val="Hyperlink"/>
          <w:color w:val="auto"/>
          <w:u w:val="none"/>
        </w:rPr>
        <w:t>–</w:t>
      </w:r>
      <w:r w:rsidRPr="00446FEC">
        <w:rPr>
          <w:rStyle w:val="Hyperlink"/>
          <w:color w:val="auto"/>
          <w:u w:val="none"/>
        </w:rPr>
        <w:t xml:space="preserve"> Cost models statistics</w:t>
      </w:r>
      <w:r w:rsidRPr="00446FEC">
        <w:rPr>
          <w:webHidden/>
        </w:rPr>
        <w:tab/>
      </w:r>
      <w:r w:rsidRPr="00446FEC">
        <w:rPr>
          <w:webHidden/>
        </w:rPr>
        <w:tab/>
        <w:t>22</w:t>
      </w:r>
    </w:p>
    <w:p w14:paraId="24054182" w14:textId="165D7F9B" w:rsidR="00894C51" w:rsidRPr="00446FEC" w:rsidRDefault="00894C51">
      <w:pPr>
        <w:pStyle w:val="TOC1"/>
        <w:rPr>
          <w:rFonts w:asciiTheme="minorHAnsi" w:eastAsiaTheme="minorEastAsia" w:hAnsiTheme="minorHAnsi" w:cstheme="minorBidi"/>
          <w:kern w:val="2"/>
          <w:szCs w:val="24"/>
          <w:lang w:eastAsia="en-GB"/>
          <w14:ligatures w14:val="standardContextual"/>
        </w:rPr>
      </w:pPr>
      <w:r w:rsidRPr="00446FEC">
        <w:rPr>
          <w:rStyle w:val="Hyperlink"/>
          <w:color w:val="auto"/>
          <w:u w:val="none"/>
        </w:rPr>
        <w:t xml:space="preserve">Annex C </w:t>
      </w:r>
      <w:r w:rsidR="00F05C9F" w:rsidRPr="00446FEC">
        <w:rPr>
          <w:rStyle w:val="Hyperlink"/>
          <w:color w:val="auto"/>
          <w:u w:val="none"/>
        </w:rPr>
        <w:t>–</w:t>
      </w:r>
      <w:r w:rsidRPr="00446FEC">
        <w:rPr>
          <w:rStyle w:val="Hyperlink"/>
          <w:color w:val="auto"/>
          <w:u w:val="none"/>
        </w:rPr>
        <w:t xml:space="preserve"> Country and regional case studies and innovative practices</w:t>
      </w:r>
      <w:r w:rsidRPr="00446FEC">
        <w:rPr>
          <w:webHidden/>
        </w:rPr>
        <w:tab/>
      </w:r>
      <w:r w:rsidRPr="00446FEC">
        <w:rPr>
          <w:webHidden/>
        </w:rPr>
        <w:tab/>
        <w:t>24</w:t>
      </w:r>
    </w:p>
    <w:p w14:paraId="78AEDB82" w14:textId="4F980B53" w:rsidR="00894C51" w:rsidRPr="00446FEC" w:rsidRDefault="00894C51">
      <w:pPr>
        <w:pStyle w:val="TOC2"/>
        <w:rPr>
          <w:rFonts w:asciiTheme="minorHAnsi" w:eastAsiaTheme="minorEastAsia" w:hAnsiTheme="minorHAnsi" w:cstheme="minorBidi"/>
          <w:kern w:val="2"/>
          <w:szCs w:val="24"/>
          <w:lang w:eastAsia="en-GB"/>
          <w14:ligatures w14:val="standardContextual"/>
        </w:rPr>
      </w:pPr>
      <w:r w:rsidRPr="00446FEC">
        <w:rPr>
          <w:rStyle w:val="Hyperlink"/>
          <w:color w:val="auto"/>
          <w:u w:val="none"/>
          <w:lang w:bidi="ar-DZ"/>
        </w:rPr>
        <w:t>C.1</w:t>
      </w:r>
      <w:r w:rsidRPr="00446FEC">
        <w:rPr>
          <w:rFonts w:asciiTheme="minorHAnsi" w:eastAsiaTheme="minorEastAsia" w:hAnsiTheme="minorHAnsi" w:cstheme="minorBidi"/>
          <w:kern w:val="2"/>
          <w:szCs w:val="24"/>
          <w:lang w:eastAsia="en-GB"/>
          <w14:ligatures w14:val="standardContextual"/>
        </w:rPr>
        <w:tab/>
      </w:r>
      <w:r w:rsidRPr="00446FEC">
        <w:rPr>
          <w:rStyle w:val="Hyperlink"/>
          <w:color w:val="auto"/>
          <w:u w:val="none"/>
          <w:lang w:bidi="ar-DZ"/>
        </w:rPr>
        <w:t>AFRICA – Case study on costing strategies for digital services [b</w:t>
      </w:r>
      <w:r w:rsidRPr="00446FEC">
        <w:rPr>
          <w:rStyle w:val="Hyperlink"/>
          <w:color w:val="auto"/>
          <w:u w:val="none"/>
          <w:lang w:bidi="ar-DZ"/>
        </w:rPr>
        <w:noBreakHyphen/>
        <w:t>Regulatory]</w:t>
      </w:r>
      <w:r w:rsidRPr="00446FEC">
        <w:rPr>
          <w:webHidden/>
        </w:rPr>
        <w:tab/>
      </w:r>
      <w:r w:rsidRPr="00446FEC">
        <w:rPr>
          <w:webHidden/>
        </w:rPr>
        <w:tab/>
        <w:t>24</w:t>
      </w:r>
    </w:p>
    <w:p w14:paraId="67280EC6" w14:textId="1FCA9FB7" w:rsidR="00894C51" w:rsidRPr="00446FEC" w:rsidRDefault="00894C51">
      <w:pPr>
        <w:pStyle w:val="TOC2"/>
        <w:rPr>
          <w:rFonts w:asciiTheme="minorHAnsi" w:eastAsiaTheme="minorEastAsia" w:hAnsiTheme="minorHAnsi" w:cstheme="minorBidi"/>
          <w:kern w:val="2"/>
          <w:szCs w:val="24"/>
          <w:lang w:eastAsia="en-GB"/>
          <w14:ligatures w14:val="standardContextual"/>
        </w:rPr>
      </w:pPr>
      <w:r w:rsidRPr="00446FEC">
        <w:rPr>
          <w:rStyle w:val="Hyperlink"/>
          <w:color w:val="auto"/>
          <w:u w:val="none"/>
        </w:rPr>
        <w:t>C.2</w:t>
      </w:r>
      <w:r w:rsidRPr="00446FEC">
        <w:rPr>
          <w:rFonts w:asciiTheme="minorHAnsi" w:eastAsiaTheme="minorEastAsia" w:hAnsiTheme="minorHAnsi" w:cstheme="minorBidi"/>
          <w:kern w:val="2"/>
          <w:szCs w:val="24"/>
          <w:lang w:eastAsia="en-GB"/>
          <w14:ligatures w14:val="standardContextual"/>
        </w:rPr>
        <w:tab/>
      </w:r>
      <w:r w:rsidRPr="00446FEC">
        <w:rPr>
          <w:rStyle w:val="Hyperlink"/>
          <w:color w:val="auto"/>
          <w:u w:val="none"/>
        </w:rPr>
        <w:t>BARBADOS – A case on cost modelling using the LRIC for fixed and mobile networks</w:t>
      </w:r>
      <w:r w:rsidRPr="00446FEC">
        <w:rPr>
          <w:webHidden/>
        </w:rPr>
        <w:tab/>
      </w:r>
      <w:r w:rsidRPr="00446FEC">
        <w:rPr>
          <w:webHidden/>
        </w:rPr>
        <w:tab/>
        <w:t>25</w:t>
      </w:r>
    </w:p>
    <w:p w14:paraId="06CBA836" w14:textId="0230181A" w:rsidR="00894C51" w:rsidRPr="00446FEC" w:rsidRDefault="00894C51">
      <w:pPr>
        <w:pStyle w:val="TOC2"/>
        <w:rPr>
          <w:rFonts w:asciiTheme="minorHAnsi" w:eastAsiaTheme="minorEastAsia" w:hAnsiTheme="minorHAnsi" w:cstheme="minorBidi"/>
          <w:kern w:val="2"/>
          <w:szCs w:val="24"/>
          <w:lang w:eastAsia="en-GB"/>
          <w14:ligatures w14:val="standardContextual"/>
        </w:rPr>
      </w:pPr>
      <w:r w:rsidRPr="00446FEC">
        <w:rPr>
          <w:rStyle w:val="Hyperlink"/>
          <w:color w:val="auto"/>
          <w:u w:val="none"/>
        </w:rPr>
        <w:t>C.3</w:t>
      </w:r>
      <w:r w:rsidRPr="00446FEC">
        <w:rPr>
          <w:rFonts w:asciiTheme="minorHAnsi" w:eastAsiaTheme="minorEastAsia" w:hAnsiTheme="minorHAnsi" w:cstheme="minorBidi"/>
          <w:kern w:val="2"/>
          <w:szCs w:val="24"/>
          <w:lang w:eastAsia="en-GB"/>
          <w14:ligatures w14:val="standardContextual"/>
        </w:rPr>
        <w:tab/>
      </w:r>
      <w:r w:rsidRPr="00446FEC">
        <w:rPr>
          <w:rStyle w:val="Hyperlink"/>
          <w:color w:val="auto"/>
          <w:u w:val="none"/>
        </w:rPr>
        <w:t>BAHRAIN – A case on understanding telecommunications cost drivers via BU-LRIC</w:t>
      </w:r>
      <w:r w:rsidRPr="00446FEC">
        <w:rPr>
          <w:webHidden/>
        </w:rPr>
        <w:tab/>
      </w:r>
      <w:r w:rsidRPr="00446FEC">
        <w:rPr>
          <w:webHidden/>
        </w:rPr>
        <w:tab/>
        <w:t>2</w:t>
      </w:r>
      <w:r w:rsidR="00FD6949">
        <w:rPr>
          <w:webHidden/>
        </w:rPr>
        <w:t>5</w:t>
      </w:r>
    </w:p>
    <w:p w14:paraId="4E00D0C5" w14:textId="6C8F0B36" w:rsidR="00894C51" w:rsidRPr="00446FEC" w:rsidRDefault="00894C51">
      <w:pPr>
        <w:pStyle w:val="TOC2"/>
        <w:rPr>
          <w:rFonts w:asciiTheme="minorHAnsi" w:eastAsiaTheme="minorEastAsia" w:hAnsiTheme="minorHAnsi" w:cstheme="minorBidi"/>
          <w:kern w:val="2"/>
          <w:szCs w:val="24"/>
          <w:lang w:eastAsia="en-GB"/>
          <w14:ligatures w14:val="standardContextual"/>
        </w:rPr>
      </w:pPr>
      <w:r w:rsidRPr="00446FEC">
        <w:rPr>
          <w:rStyle w:val="Hyperlink"/>
          <w:color w:val="auto"/>
          <w:u w:val="none"/>
        </w:rPr>
        <w:t>C.4</w:t>
      </w:r>
      <w:r w:rsidRPr="00446FEC">
        <w:rPr>
          <w:rFonts w:asciiTheme="minorHAnsi" w:eastAsiaTheme="minorEastAsia" w:hAnsiTheme="minorHAnsi" w:cstheme="minorBidi"/>
          <w:kern w:val="2"/>
          <w:szCs w:val="24"/>
          <w:lang w:eastAsia="en-GB"/>
          <w14:ligatures w14:val="standardContextual"/>
        </w:rPr>
        <w:tab/>
      </w:r>
      <w:r w:rsidRPr="00446FEC">
        <w:rPr>
          <w:rStyle w:val="Hyperlink"/>
          <w:color w:val="auto"/>
          <w:u w:val="none"/>
        </w:rPr>
        <w:t>BRAZIL – The usage of cost models for data services</w:t>
      </w:r>
      <w:r w:rsidRPr="00446FEC">
        <w:rPr>
          <w:webHidden/>
        </w:rPr>
        <w:tab/>
      </w:r>
      <w:r w:rsidRPr="00446FEC">
        <w:rPr>
          <w:webHidden/>
        </w:rPr>
        <w:tab/>
        <w:t>26</w:t>
      </w:r>
    </w:p>
    <w:p w14:paraId="1055F567" w14:textId="2AFE40FC" w:rsidR="00894C51" w:rsidRPr="00446FEC" w:rsidRDefault="00894C51">
      <w:pPr>
        <w:pStyle w:val="TOC2"/>
        <w:rPr>
          <w:rFonts w:asciiTheme="minorHAnsi" w:eastAsiaTheme="minorEastAsia" w:hAnsiTheme="minorHAnsi" w:cstheme="minorBidi"/>
          <w:kern w:val="2"/>
          <w:szCs w:val="24"/>
          <w:lang w:eastAsia="en-GB"/>
          <w14:ligatures w14:val="standardContextual"/>
        </w:rPr>
      </w:pPr>
      <w:r w:rsidRPr="00446FEC">
        <w:rPr>
          <w:rStyle w:val="Hyperlink"/>
          <w:color w:val="auto"/>
          <w:u w:val="none"/>
        </w:rPr>
        <w:t>C.5</w:t>
      </w:r>
      <w:r w:rsidRPr="00446FEC">
        <w:rPr>
          <w:rFonts w:asciiTheme="minorHAnsi" w:eastAsiaTheme="minorEastAsia" w:hAnsiTheme="minorHAnsi" w:cstheme="minorBidi"/>
          <w:kern w:val="2"/>
          <w:szCs w:val="24"/>
          <w:lang w:eastAsia="en-GB"/>
          <w14:ligatures w14:val="standardContextual"/>
        </w:rPr>
        <w:tab/>
      </w:r>
      <w:r w:rsidRPr="00446FEC">
        <w:rPr>
          <w:rStyle w:val="Hyperlink"/>
          <w:color w:val="auto"/>
          <w:u w:val="none"/>
        </w:rPr>
        <w:t>Democratic Republic of Congo (DRC) – Affordability challenges and emerging approaches in data pricing</w:t>
      </w:r>
      <w:r w:rsidRPr="00446FEC">
        <w:rPr>
          <w:webHidden/>
        </w:rPr>
        <w:tab/>
      </w:r>
      <w:r w:rsidRPr="00446FEC">
        <w:rPr>
          <w:webHidden/>
        </w:rPr>
        <w:tab/>
        <w:t>27</w:t>
      </w:r>
    </w:p>
    <w:p w14:paraId="4CB4301B" w14:textId="6ED35998" w:rsidR="00894C51" w:rsidRPr="00446FEC" w:rsidRDefault="00894C51">
      <w:pPr>
        <w:pStyle w:val="TOC2"/>
        <w:rPr>
          <w:rFonts w:asciiTheme="minorHAnsi" w:eastAsiaTheme="minorEastAsia" w:hAnsiTheme="minorHAnsi" w:cstheme="minorBidi"/>
          <w:kern w:val="2"/>
          <w:szCs w:val="24"/>
          <w:lang w:eastAsia="en-GB"/>
          <w14:ligatures w14:val="standardContextual"/>
        </w:rPr>
      </w:pPr>
      <w:r w:rsidRPr="00446FEC">
        <w:rPr>
          <w:rStyle w:val="Hyperlink"/>
          <w:color w:val="auto"/>
          <w:u w:val="none"/>
          <w:lang w:bidi="ar-DZ"/>
        </w:rPr>
        <w:t>C.6</w:t>
      </w:r>
      <w:r w:rsidRPr="00446FEC">
        <w:rPr>
          <w:rFonts w:asciiTheme="minorHAnsi" w:eastAsiaTheme="minorEastAsia" w:hAnsiTheme="minorHAnsi" w:cstheme="minorBidi"/>
          <w:kern w:val="2"/>
          <w:szCs w:val="24"/>
          <w:lang w:eastAsia="en-GB"/>
          <w14:ligatures w14:val="standardContextual"/>
        </w:rPr>
        <w:tab/>
      </w:r>
      <w:r w:rsidRPr="00446FEC">
        <w:rPr>
          <w:rStyle w:val="Hyperlink"/>
          <w:color w:val="auto"/>
          <w:u w:val="none"/>
          <w:lang w:bidi="ar-DZ"/>
        </w:rPr>
        <w:t>COSTA RICA – The case of utilising cost models that make provision for the evolution of telecommunications networks technologies</w:t>
      </w:r>
      <w:r w:rsidRPr="00446FEC">
        <w:rPr>
          <w:webHidden/>
        </w:rPr>
        <w:tab/>
      </w:r>
      <w:r w:rsidRPr="00446FEC">
        <w:rPr>
          <w:webHidden/>
        </w:rPr>
        <w:tab/>
        <w:t>28</w:t>
      </w:r>
    </w:p>
    <w:p w14:paraId="37A664C9" w14:textId="2174FC54" w:rsidR="00894C51" w:rsidRPr="00446FEC" w:rsidRDefault="00894C51">
      <w:pPr>
        <w:pStyle w:val="TOC2"/>
        <w:rPr>
          <w:rFonts w:asciiTheme="minorHAnsi" w:eastAsiaTheme="minorEastAsia" w:hAnsiTheme="minorHAnsi" w:cstheme="minorBidi"/>
          <w:kern w:val="2"/>
          <w:szCs w:val="24"/>
          <w:lang w:eastAsia="en-GB"/>
          <w14:ligatures w14:val="standardContextual"/>
        </w:rPr>
      </w:pPr>
      <w:r w:rsidRPr="00446FEC">
        <w:rPr>
          <w:rStyle w:val="Hyperlink"/>
          <w:color w:val="auto"/>
          <w:u w:val="none"/>
          <w:lang w:bidi="ar-DZ"/>
        </w:rPr>
        <w:t>C.7</w:t>
      </w:r>
      <w:r w:rsidRPr="00446FEC">
        <w:rPr>
          <w:rFonts w:asciiTheme="minorHAnsi" w:eastAsiaTheme="minorEastAsia" w:hAnsiTheme="minorHAnsi" w:cstheme="minorBidi"/>
          <w:kern w:val="2"/>
          <w:szCs w:val="24"/>
          <w:lang w:eastAsia="en-GB"/>
          <w14:ligatures w14:val="standardContextual"/>
        </w:rPr>
        <w:tab/>
      </w:r>
      <w:r w:rsidRPr="00446FEC">
        <w:rPr>
          <w:rStyle w:val="Hyperlink"/>
          <w:color w:val="auto"/>
          <w:u w:val="none"/>
          <w:lang w:bidi="ar-DZ"/>
        </w:rPr>
        <w:t>ECTEL – The case on utilising cost modelling for network dimension optimization</w:t>
      </w:r>
      <w:r w:rsidRPr="00446FEC">
        <w:rPr>
          <w:webHidden/>
        </w:rPr>
        <w:tab/>
      </w:r>
      <w:r w:rsidRPr="00446FEC">
        <w:rPr>
          <w:webHidden/>
        </w:rPr>
        <w:tab/>
        <w:t>28</w:t>
      </w:r>
    </w:p>
    <w:p w14:paraId="365ED54F" w14:textId="77777777" w:rsidR="00894C51" w:rsidRPr="00446FEC" w:rsidRDefault="00894C51" w:rsidP="00894C51">
      <w:pPr>
        <w:pStyle w:val="toc0"/>
        <w:ind w:right="992"/>
      </w:pPr>
      <w:r w:rsidRPr="00446FEC">
        <w:lastRenderedPageBreak/>
        <w:tab/>
        <w:t>Page</w:t>
      </w:r>
    </w:p>
    <w:p w14:paraId="057538DB" w14:textId="0FF33390" w:rsidR="00894C51" w:rsidRPr="00446FEC" w:rsidRDefault="00894C51">
      <w:pPr>
        <w:pStyle w:val="TOC2"/>
        <w:rPr>
          <w:rFonts w:asciiTheme="minorHAnsi" w:eastAsiaTheme="minorEastAsia" w:hAnsiTheme="minorHAnsi" w:cstheme="minorBidi"/>
          <w:kern w:val="2"/>
          <w:szCs w:val="24"/>
          <w:lang w:eastAsia="en-GB"/>
          <w14:ligatures w14:val="standardContextual"/>
        </w:rPr>
      </w:pPr>
      <w:r w:rsidRPr="00446FEC">
        <w:rPr>
          <w:rStyle w:val="Hyperlink"/>
          <w:color w:val="auto"/>
          <w:u w:val="none"/>
          <w:lang w:bidi="ar-DZ"/>
        </w:rPr>
        <w:t>C.8</w:t>
      </w:r>
      <w:r w:rsidRPr="00446FEC">
        <w:rPr>
          <w:rFonts w:asciiTheme="minorHAnsi" w:eastAsiaTheme="minorEastAsia" w:hAnsiTheme="minorHAnsi" w:cstheme="minorBidi"/>
          <w:kern w:val="2"/>
          <w:szCs w:val="24"/>
          <w:lang w:eastAsia="en-GB"/>
          <w14:ligatures w14:val="standardContextual"/>
        </w:rPr>
        <w:tab/>
      </w:r>
      <w:r w:rsidRPr="00446FEC">
        <w:rPr>
          <w:rStyle w:val="Hyperlink"/>
          <w:color w:val="auto"/>
          <w:u w:val="none"/>
          <w:lang w:bidi="ar-DZ"/>
        </w:rPr>
        <w:t>THE EUROPEAN UNION (EU) – The case on the need for regulating cost-based access</w:t>
      </w:r>
      <w:r w:rsidRPr="00446FEC">
        <w:rPr>
          <w:webHidden/>
        </w:rPr>
        <w:tab/>
      </w:r>
      <w:r w:rsidRPr="00446FEC">
        <w:rPr>
          <w:webHidden/>
        </w:rPr>
        <w:tab/>
        <w:t>28</w:t>
      </w:r>
    </w:p>
    <w:p w14:paraId="7D12E81F" w14:textId="2583EA9C" w:rsidR="00894C51" w:rsidRPr="00446FEC" w:rsidRDefault="00894C51">
      <w:pPr>
        <w:pStyle w:val="TOC2"/>
        <w:rPr>
          <w:rFonts w:asciiTheme="minorHAnsi" w:eastAsiaTheme="minorEastAsia" w:hAnsiTheme="minorHAnsi" w:cstheme="minorBidi"/>
          <w:kern w:val="2"/>
          <w:szCs w:val="24"/>
          <w:lang w:eastAsia="en-GB"/>
          <w14:ligatures w14:val="standardContextual"/>
        </w:rPr>
      </w:pPr>
      <w:r w:rsidRPr="00446FEC">
        <w:rPr>
          <w:rStyle w:val="Hyperlink"/>
          <w:color w:val="auto"/>
          <w:u w:val="none"/>
          <w:lang w:bidi="ar-DZ"/>
        </w:rPr>
        <w:t>C.9</w:t>
      </w:r>
      <w:r w:rsidRPr="00446FEC">
        <w:rPr>
          <w:rFonts w:asciiTheme="minorHAnsi" w:eastAsiaTheme="minorEastAsia" w:hAnsiTheme="minorHAnsi" w:cstheme="minorBidi"/>
          <w:kern w:val="2"/>
          <w:szCs w:val="24"/>
          <w:lang w:eastAsia="en-GB"/>
          <w14:ligatures w14:val="standardContextual"/>
        </w:rPr>
        <w:tab/>
      </w:r>
      <w:r w:rsidRPr="00446FEC">
        <w:rPr>
          <w:rStyle w:val="Hyperlink"/>
          <w:color w:val="auto"/>
          <w:u w:val="none"/>
          <w:lang w:bidi="ar-DZ"/>
        </w:rPr>
        <w:t>FCC/USA [b-Crowe] – The case of encourage operators to compete on service and price</w:t>
      </w:r>
      <w:r w:rsidRPr="00446FEC">
        <w:rPr>
          <w:webHidden/>
        </w:rPr>
        <w:tab/>
      </w:r>
      <w:r w:rsidRPr="00446FEC">
        <w:rPr>
          <w:webHidden/>
        </w:rPr>
        <w:tab/>
        <w:t>29</w:t>
      </w:r>
    </w:p>
    <w:p w14:paraId="595FE0CD" w14:textId="17823E8F" w:rsidR="00894C51" w:rsidRPr="00446FEC" w:rsidRDefault="00894C51">
      <w:pPr>
        <w:pStyle w:val="TOC2"/>
        <w:rPr>
          <w:rFonts w:asciiTheme="minorHAnsi" w:eastAsiaTheme="minorEastAsia" w:hAnsiTheme="minorHAnsi" w:cstheme="minorBidi"/>
          <w:kern w:val="2"/>
          <w:szCs w:val="24"/>
          <w:lang w:eastAsia="en-GB"/>
          <w14:ligatures w14:val="standardContextual"/>
        </w:rPr>
      </w:pPr>
      <w:r w:rsidRPr="00446FEC">
        <w:rPr>
          <w:rStyle w:val="Hyperlink"/>
          <w:color w:val="auto"/>
          <w:u w:val="none"/>
        </w:rPr>
        <w:t>C.10</w:t>
      </w:r>
      <w:r w:rsidRPr="00446FEC">
        <w:rPr>
          <w:rFonts w:asciiTheme="minorHAnsi" w:eastAsiaTheme="minorEastAsia" w:hAnsiTheme="minorHAnsi" w:cstheme="minorBidi"/>
          <w:kern w:val="2"/>
          <w:szCs w:val="24"/>
          <w:lang w:eastAsia="en-GB"/>
          <w14:ligatures w14:val="standardContextual"/>
        </w:rPr>
        <w:tab/>
      </w:r>
      <w:r w:rsidRPr="00446FEC">
        <w:rPr>
          <w:rStyle w:val="Hyperlink"/>
          <w:color w:val="auto"/>
          <w:u w:val="none"/>
        </w:rPr>
        <w:t>INDIA</w:t>
      </w:r>
      <w:r w:rsidRPr="00446FEC">
        <w:rPr>
          <w:webHidden/>
        </w:rPr>
        <w:tab/>
      </w:r>
      <w:r w:rsidRPr="00446FEC">
        <w:rPr>
          <w:webHidden/>
        </w:rPr>
        <w:tab/>
        <w:t>30</w:t>
      </w:r>
    </w:p>
    <w:p w14:paraId="4E3FF5E8" w14:textId="3496721F" w:rsidR="00894C51" w:rsidRPr="00446FEC" w:rsidRDefault="00894C51">
      <w:pPr>
        <w:pStyle w:val="TOC2"/>
        <w:rPr>
          <w:rFonts w:asciiTheme="minorHAnsi" w:eastAsiaTheme="minorEastAsia" w:hAnsiTheme="minorHAnsi" w:cstheme="minorBidi"/>
          <w:kern w:val="2"/>
          <w:szCs w:val="24"/>
          <w:lang w:eastAsia="en-GB"/>
          <w14:ligatures w14:val="standardContextual"/>
        </w:rPr>
      </w:pPr>
      <w:r w:rsidRPr="00446FEC">
        <w:rPr>
          <w:rStyle w:val="Hyperlink"/>
          <w:color w:val="auto"/>
          <w:u w:val="none"/>
        </w:rPr>
        <w:t>C.11</w:t>
      </w:r>
      <w:r w:rsidRPr="00446FEC">
        <w:rPr>
          <w:rFonts w:asciiTheme="minorHAnsi" w:eastAsiaTheme="minorEastAsia" w:hAnsiTheme="minorHAnsi" w:cstheme="minorBidi"/>
          <w:kern w:val="2"/>
          <w:szCs w:val="24"/>
          <w:lang w:eastAsia="en-GB"/>
          <w14:ligatures w14:val="standardContextual"/>
        </w:rPr>
        <w:tab/>
      </w:r>
      <w:r w:rsidRPr="00446FEC">
        <w:rPr>
          <w:rStyle w:val="Hyperlink"/>
          <w:color w:val="auto"/>
          <w:u w:val="none"/>
        </w:rPr>
        <w:t>JAMAICA – The case on the implementation of LRIC, LRIC+ and SAC for cost-based termination rates</w:t>
      </w:r>
      <w:r w:rsidRPr="00446FEC">
        <w:rPr>
          <w:webHidden/>
        </w:rPr>
        <w:tab/>
      </w:r>
      <w:r w:rsidRPr="00446FEC">
        <w:rPr>
          <w:webHidden/>
        </w:rPr>
        <w:tab/>
        <w:t>3</w:t>
      </w:r>
      <w:r w:rsidR="00E050C4">
        <w:rPr>
          <w:webHidden/>
        </w:rPr>
        <w:t>1</w:t>
      </w:r>
    </w:p>
    <w:p w14:paraId="06C9B288" w14:textId="0CE4345A" w:rsidR="00894C51" w:rsidRPr="00446FEC" w:rsidRDefault="00894C51">
      <w:pPr>
        <w:pStyle w:val="TOC2"/>
        <w:rPr>
          <w:rFonts w:asciiTheme="minorHAnsi" w:eastAsiaTheme="minorEastAsia" w:hAnsiTheme="minorHAnsi" w:cstheme="minorBidi"/>
          <w:kern w:val="2"/>
          <w:szCs w:val="24"/>
          <w:lang w:eastAsia="en-GB"/>
          <w14:ligatures w14:val="standardContextual"/>
        </w:rPr>
      </w:pPr>
      <w:r w:rsidRPr="00446FEC">
        <w:rPr>
          <w:rStyle w:val="Hyperlink"/>
          <w:color w:val="auto"/>
          <w:u w:val="none"/>
        </w:rPr>
        <w:t>C.12</w:t>
      </w:r>
      <w:r w:rsidRPr="00446FEC">
        <w:rPr>
          <w:rFonts w:asciiTheme="minorHAnsi" w:eastAsiaTheme="minorEastAsia" w:hAnsiTheme="minorHAnsi" w:cstheme="minorBidi"/>
          <w:kern w:val="2"/>
          <w:szCs w:val="24"/>
          <w:lang w:eastAsia="en-GB"/>
          <w14:ligatures w14:val="standardContextual"/>
        </w:rPr>
        <w:tab/>
      </w:r>
      <w:r w:rsidRPr="00446FEC">
        <w:rPr>
          <w:rStyle w:val="Hyperlink"/>
          <w:color w:val="auto"/>
          <w:u w:val="none"/>
        </w:rPr>
        <w:t>Jordan – The case on the implementation of LRIC and its ability to support the financial performance in companies</w:t>
      </w:r>
      <w:r w:rsidRPr="00446FEC">
        <w:rPr>
          <w:webHidden/>
        </w:rPr>
        <w:tab/>
      </w:r>
      <w:r w:rsidRPr="00446FEC">
        <w:rPr>
          <w:webHidden/>
        </w:rPr>
        <w:tab/>
        <w:t>32</w:t>
      </w:r>
    </w:p>
    <w:p w14:paraId="02D2B871" w14:textId="1C8DCD20" w:rsidR="00894C51" w:rsidRPr="00446FEC" w:rsidRDefault="00894C51">
      <w:pPr>
        <w:pStyle w:val="TOC2"/>
        <w:rPr>
          <w:rFonts w:asciiTheme="minorHAnsi" w:eastAsiaTheme="minorEastAsia" w:hAnsiTheme="minorHAnsi" w:cstheme="minorBidi"/>
          <w:kern w:val="2"/>
          <w:szCs w:val="24"/>
          <w:lang w:eastAsia="en-GB"/>
          <w14:ligatures w14:val="standardContextual"/>
        </w:rPr>
      </w:pPr>
      <w:r w:rsidRPr="00446FEC">
        <w:rPr>
          <w:rStyle w:val="Hyperlink"/>
          <w:color w:val="auto"/>
          <w:u w:val="none"/>
          <w:lang w:bidi="ar-DZ"/>
        </w:rPr>
        <w:t>C.13</w:t>
      </w:r>
      <w:r w:rsidRPr="00446FEC">
        <w:rPr>
          <w:rFonts w:asciiTheme="minorHAnsi" w:eastAsiaTheme="minorEastAsia" w:hAnsiTheme="minorHAnsi" w:cstheme="minorBidi"/>
          <w:kern w:val="2"/>
          <w:szCs w:val="24"/>
          <w:lang w:eastAsia="en-GB"/>
          <w14:ligatures w14:val="standardContextual"/>
        </w:rPr>
        <w:tab/>
      </w:r>
      <w:r w:rsidRPr="00446FEC">
        <w:rPr>
          <w:rStyle w:val="Hyperlink"/>
          <w:color w:val="auto"/>
          <w:u w:val="none"/>
          <w:lang w:bidi="ar-DZ"/>
        </w:rPr>
        <w:t>Case study of RJio in India and other global case studies of revolutionary changes by the TSPs within the telecommunication sector</w:t>
      </w:r>
      <w:r w:rsidRPr="00446FEC">
        <w:rPr>
          <w:webHidden/>
        </w:rPr>
        <w:tab/>
      </w:r>
      <w:r w:rsidRPr="00446FEC">
        <w:rPr>
          <w:webHidden/>
        </w:rPr>
        <w:tab/>
        <w:t>32</w:t>
      </w:r>
    </w:p>
    <w:p w14:paraId="68FA80E5" w14:textId="2BF39939" w:rsidR="00894C51" w:rsidRPr="00446FEC" w:rsidRDefault="00894C51">
      <w:pPr>
        <w:pStyle w:val="TOC2"/>
        <w:rPr>
          <w:rFonts w:asciiTheme="minorHAnsi" w:eastAsiaTheme="minorEastAsia" w:hAnsiTheme="minorHAnsi" w:cstheme="minorBidi"/>
          <w:kern w:val="2"/>
          <w:szCs w:val="24"/>
          <w:lang w:eastAsia="en-GB"/>
          <w14:ligatures w14:val="standardContextual"/>
        </w:rPr>
      </w:pPr>
      <w:r w:rsidRPr="00446FEC">
        <w:rPr>
          <w:rStyle w:val="Hyperlink"/>
          <w:color w:val="auto"/>
          <w:u w:val="none"/>
          <w:lang w:bidi="ar-DZ"/>
        </w:rPr>
        <w:t>C.14</w:t>
      </w:r>
      <w:r w:rsidRPr="00446FEC">
        <w:rPr>
          <w:rFonts w:asciiTheme="minorHAnsi" w:eastAsiaTheme="minorEastAsia" w:hAnsiTheme="minorHAnsi" w:cstheme="minorBidi"/>
          <w:kern w:val="2"/>
          <w:szCs w:val="24"/>
          <w:lang w:eastAsia="en-GB"/>
          <w14:ligatures w14:val="standardContextual"/>
        </w:rPr>
        <w:tab/>
      </w:r>
      <w:r w:rsidRPr="00446FEC">
        <w:rPr>
          <w:rStyle w:val="Hyperlink"/>
          <w:color w:val="auto"/>
          <w:u w:val="none"/>
          <w:lang w:bidi="ar-DZ"/>
        </w:rPr>
        <w:t>EACO guidelines on costing methodologies</w:t>
      </w:r>
      <w:r w:rsidRPr="00446FEC">
        <w:rPr>
          <w:webHidden/>
        </w:rPr>
        <w:tab/>
      </w:r>
      <w:r w:rsidRPr="00446FEC">
        <w:rPr>
          <w:webHidden/>
        </w:rPr>
        <w:tab/>
        <w:t>35</w:t>
      </w:r>
    </w:p>
    <w:p w14:paraId="6D2FB3B9" w14:textId="19E9A43C" w:rsidR="00894C51" w:rsidRPr="00446FEC" w:rsidRDefault="00894C51">
      <w:pPr>
        <w:pStyle w:val="TOC1"/>
        <w:rPr>
          <w:rFonts w:asciiTheme="minorHAnsi" w:eastAsiaTheme="minorEastAsia" w:hAnsiTheme="minorHAnsi" w:cstheme="minorBidi"/>
          <w:kern w:val="2"/>
          <w:szCs w:val="24"/>
          <w:lang w:eastAsia="en-GB"/>
          <w14:ligatures w14:val="standardContextual"/>
        </w:rPr>
      </w:pPr>
      <w:r w:rsidRPr="00446FEC">
        <w:rPr>
          <w:rStyle w:val="Hyperlink"/>
          <w:color w:val="auto"/>
          <w:u w:val="none"/>
          <w:lang w:bidi="ar-DZ"/>
        </w:rPr>
        <w:t>Bibliography</w:t>
      </w:r>
      <w:r w:rsidRPr="00446FEC">
        <w:rPr>
          <w:webHidden/>
        </w:rPr>
        <w:tab/>
      </w:r>
      <w:r w:rsidRPr="00446FEC">
        <w:rPr>
          <w:webHidden/>
        </w:rPr>
        <w:tab/>
      </w:r>
      <w:r w:rsidR="00082495">
        <w:rPr>
          <w:webHidden/>
        </w:rPr>
        <w:t>39</w:t>
      </w:r>
    </w:p>
    <w:p w14:paraId="27CA1083" w14:textId="77777777" w:rsidR="00894C51" w:rsidRPr="00446FEC" w:rsidRDefault="00894C51" w:rsidP="007E45C3"/>
    <w:p w14:paraId="48392054" w14:textId="77777777" w:rsidR="007E45C3" w:rsidRPr="00446FEC" w:rsidRDefault="007E45C3" w:rsidP="007E45C3">
      <w:pPr>
        <w:rPr>
          <w:b/>
          <w:bCs/>
        </w:rPr>
        <w:sectPr w:rsidR="007E45C3" w:rsidRPr="00446FEC" w:rsidSect="007E45C3">
          <w:headerReference w:type="default" r:id="rId20"/>
          <w:footerReference w:type="even" r:id="rId21"/>
          <w:footerReference w:type="default" r:id="rId22"/>
          <w:type w:val="oddPage"/>
          <w:pgSz w:w="11907" w:h="16834"/>
          <w:pgMar w:top="1134" w:right="1134" w:bottom="1134" w:left="1134" w:header="567" w:footer="567" w:gutter="0"/>
          <w:paperSrc w:first="15" w:other="15"/>
          <w:pgNumType w:fmt="lowerRoman" w:start="1"/>
          <w:cols w:space="720"/>
          <w:docGrid w:linePitch="326"/>
        </w:sectPr>
      </w:pPr>
    </w:p>
    <w:p w14:paraId="529A19F2" w14:textId="77777777" w:rsidR="007E45C3" w:rsidRPr="00446FEC" w:rsidRDefault="007E45C3" w:rsidP="007E45C3">
      <w:pPr>
        <w:pStyle w:val="RecNo"/>
      </w:pPr>
      <w:bookmarkStart w:id="19" w:name="p1rectexte"/>
      <w:bookmarkEnd w:id="19"/>
      <w:r w:rsidRPr="00446FEC">
        <w:lastRenderedPageBreak/>
        <w:t>Technical Report ITU-T FG-CD-D2</w:t>
      </w:r>
    </w:p>
    <w:p w14:paraId="7CE2342C" w14:textId="77777777" w:rsidR="007E45C3" w:rsidRPr="00446FEC" w:rsidRDefault="007E45C3" w:rsidP="007E45C3">
      <w:pPr>
        <w:pStyle w:val="Rectitle"/>
      </w:pPr>
      <w:r w:rsidRPr="00446FEC">
        <w:rPr>
          <w:bCs/>
        </w:rPr>
        <w:t>Best practices of cost assessment methodologies, regulatory and standardization aspects related to cost models for affordable data services</w:t>
      </w:r>
    </w:p>
    <w:p w14:paraId="351FBF68" w14:textId="77777777" w:rsidR="007E45C3" w:rsidRPr="00446FEC" w:rsidRDefault="007E45C3" w:rsidP="007E45C3">
      <w:pPr>
        <w:pStyle w:val="Heading1"/>
        <w:rPr>
          <w:bCs/>
          <w:lang w:bidi="ar-DZ"/>
        </w:rPr>
      </w:pPr>
      <w:bookmarkStart w:id="20" w:name="_Toc189663685"/>
      <w:bookmarkStart w:id="21" w:name="_Toc189664806"/>
      <w:bookmarkStart w:id="22" w:name="_Toc189665355"/>
      <w:bookmarkStart w:id="23" w:name="_Toc189665770"/>
      <w:bookmarkStart w:id="24" w:name="_Toc209722308"/>
      <w:bookmarkStart w:id="25" w:name="_Toc239193531"/>
      <w:bookmarkStart w:id="26" w:name="_Toc239232775"/>
      <w:bookmarkStart w:id="27" w:name="_Toc239240542"/>
      <w:bookmarkEnd w:id="20"/>
      <w:bookmarkEnd w:id="21"/>
      <w:bookmarkEnd w:id="22"/>
      <w:bookmarkEnd w:id="23"/>
      <w:r w:rsidRPr="00446FEC">
        <w:rPr>
          <w:bCs/>
          <w:lang w:bidi="ar-DZ"/>
        </w:rPr>
        <w:t>1</w:t>
      </w:r>
      <w:r w:rsidRPr="00446FEC">
        <w:rPr>
          <w:bCs/>
          <w:lang w:bidi="ar-DZ"/>
        </w:rPr>
        <w:tab/>
      </w:r>
      <w:r w:rsidRPr="00446FEC">
        <w:rPr>
          <w:lang w:bidi="ar-DZ"/>
        </w:rPr>
        <w:t>Scope</w:t>
      </w:r>
      <w:bookmarkEnd w:id="24"/>
      <w:bookmarkEnd w:id="25"/>
      <w:bookmarkEnd w:id="26"/>
      <w:bookmarkEnd w:id="27"/>
    </w:p>
    <w:p w14:paraId="1DFED518" w14:textId="77777777" w:rsidR="007E45C3" w:rsidRPr="00446FEC" w:rsidRDefault="007E45C3" w:rsidP="007E45C3">
      <w:pPr>
        <w:rPr>
          <w:lang w:bidi="ar-DZ"/>
        </w:rPr>
      </w:pPr>
      <w:r w:rsidRPr="00446FEC">
        <w:rPr>
          <w:lang w:bidi="ar-DZ"/>
        </w:rPr>
        <w:t>This Technical Report examines the evolution, relevance and best practices of cost models applied by telecommunication operators, regulators and other stakeholders across regulatory and market environments. It explores how cost models, including traditional approaches such as fully allocated cost (FAC) and long-run incremental cost (LRIC), as well as hybrid and emerging methodologies, inform tariff regulation, investment decisions and affordability strategies.</w:t>
      </w:r>
    </w:p>
    <w:p w14:paraId="5441CB2A" w14:textId="77777777" w:rsidR="007E45C3" w:rsidRPr="00446FEC" w:rsidRDefault="007E45C3" w:rsidP="007E45C3">
      <w:pPr>
        <w:rPr>
          <w:lang w:bidi="ar-DZ"/>
        </w:rPr>
      </w:pPr>
      <w:r w:rsidRPr="00446FEC">
        <w:rPr>
          <w:lang w:bidi="ar-DZ"/>
        </w:rPr>
        <w:t>Cost models were originally developed for telecom markets that were capital-intensive, monopolistic and infrastructure scarce. In that context, they served as essential tools to ensure fair pricing, cost recovery and universal access. However, telecom markets have matured, competition has intensified and technologies like 5G, satellite broadband and network virtualization have changed the economics of service delivery. These shifts have raised fundamental questions about the continuing role and relevance of cost models.</w:t>
      </w:r>
    </w:p>
    <w:p w14:paraId="7B1BF51A" w14:textId="77777777" w:rsidR="007E45C3" w:rsidRPr="00446FEC" w:rsidRDefault="007E45C3" w:rsidP="007E45C3">
      <w:pPr>
        <w:rPr>
          <w:lang w:bidi="ar-DZ"/>
        </w:rPr>
      </w:pPr>
      <w:r w:rsidRPr="00446FEC">
        <w:rPr>
          <w:lang w:bidi="ar-DZ"/>
        </w:rPr>
        <w:t>The report seeks to address this changing landscape by examining how cost models are applied in both retail and wholesale segments, assessing how regulatory choices depend on market structures and identifying how new services and dominant player behaviour may influence cost modelling practices. At the same time, it highlights the need for innovation in cost modelling to better reflect emerging technologies and support policy objectives of affordability.</w:t>
      </w:r>
    </w:p>
    <w:p w14:paraId="7A96E765" w14:textId="77777777" w:rsidR="007E45C3" w:rsidRPr="00446FEC" w:rsidRDefault="007E45C3" w:rsidP="007E45C3">
      <w:pPr>
        <w:pStyle w:val="Heading1"/>
        <w:rPr>
          <w:bCs/>
          <w:lang w:bidi="ar-DZ"/>
        </w:rPr>
      </w:pPr>
      <w:bookmarkStart w:id="28" w:name="_Toc209722309"/>
      <w:bookmarkStart w:id="29" w:name="_Toc239193532"/>
      <w:bookmarkStart w:id="30" w:name="_Toc239232776"/>
      <w:bookmarkStart w:id="31" w:name="_Toc239240543"/>
      <w:r w:rsidRPr="00446FEC">
        <w:rPr>
          <w:bCs/>
          <w:lang w:bidi="ar-DZ"/>
        </w:rPr>
        <w:t>2</w:t>
      </w:r>
      <w:r w:rsidRPr="00446FEC">
        <w:rPr>
          <w:bCs/>
          <w:lang w:bidi="ar-DZ"/>
        </w:rPr>
        <w:tab/>
      </w:r>
      <w:r w:rsidRPr="00446FEC">
        <w:rPr>
          <w:lang w:bidi="ar-DZ"/>
        </w:rPr>
        <w:t>References</w:t>
      </w:r>
      <w:bookmarkEnd w:id="28"/>
      <w:bookmarkEnd w:id="29"/>
      <w:bookmarkEnd w:id="30"/>
      <w:bookmarkEnd w:id="31"/>
    </w:p>
    <w:p w14:paraId="0A37FEC3" w14:textId="77777777" w:rsidR="007E45C3" w:rsidRPr="00446FEC" w:rsidRDefault="007E45C3" w:rsidP="007E45C3">
      <w:r w:rsidRPr="00446FEC">
        <w:t>None.</w:t>
      </w:r>
    </w:p>
    <w:p w14:paraId="21353610" w14:textId="77777777" w:rsidR="007E45C3" w:rsidRPr="00446FEC" w:rsidRDefault="007E45C3" w:rsidP="007E45C3">
      <w:pPr>
        <w:pStyle w:val="Heading1"/>
        <w:rPr>
          <w:lang w:bidi="ar-DZ"/>
        </w:rPr>
      </w:pPr>
      <w:bookmarkStart w:id="32" w:name="_Toc209722310"/>
      <w:bookmarkStart w:id="33" w:name="_Toc239193533"/>
      <w:bookmarkStart w:id="34" w:name="_Toc239232777"/>
      <w:bookmarkStart w:id="35" w:name="_Toc239240544"/>
      <w:r w:rsidRPr="00446FEC">
        <w:rPr>
          <w:bCs/>
          <w:lang w:bidi="ar-DZ"/>
        </w:rPr>
        <w:t>3</w:t>
      </w:r>
      <w:r w:rsidRPr="00446FEC">
        <w:rPr>
          <w:bCs/>
          <w:lang w:bidi="ar-DZ"/>
        </w:rPr>
        <w:tab/>
      </w:r>
      <w:r w:rsidRPr="00446FEC">
        <w:rPr>
          <w:lang w:bidi="ar-DZ"/>
        </w:rPr>
        <w:t>Terms and definitions</w:t>
      </w:r>
      <w:bookmarkEnd w:id="32"/>
      <w:bookmarkEnd w:id="33"/>
      <w:bookmarkEnd w:id="34"/>
      <w:bookmarkEnd w:id="35"/>
    </w:p>
    <w:p w14:paraId="1167D8A2" w14:textId="77777777" w:rsidR="007E45C3" w:rsidRPr="00446FEC" w:rsidRDefault="007E45C3" w:rsidP="007E45C3">
      <w:pPr>
        <w:pStyle w:val="Heading2"/>
        <w:rPr>
          <w:lang w:bidi="ar-DZ"/>
        </w:rPr>
      </w:pPr>
      <w:bookmarkStart w:id="36" w:name="_Toc239193534"/>
      <w:bookmarkStart w:id="37" w:name="_Toc239232778"/>
      <w:bookmarkStart w:id="38" w:name="_Toc239240545"/>
      <w:r w:rsidRPr="00446FEC">
        <w:rPr>
          <w:lang w:bidi="ar-DZ"/>
        </w:rPr>
        <w:t>3.1</w:t>
      </w:r>
      <w:r w:rsidRPr="00446FEC">
        <w:rPr>
          <w:lang w:bidi="ar-DZ"/>
        </w:rPr>
        <w:tab/>
      </w:r>
      <w:r w:rsidRPr="00446FEC">
        <w:t>Terms defined elsewhere</w:t>
      </w:r>
      <w:bookmarkEnd w:id="36"/>
      <w:bookmarkEnd w:id="37"/>
      <w:bookmarkEnd w:id="38"/>
    </w:p>
    <w:p w14:paraId="75312951" w14:textId="77777777" w:rsidR="007E45C3" w:rsidRPr="00446FEC" w:rsidRDefault="007E45C3" w:rsidP="007E45C3">
      <w:r w:rsidRPr="00446FEC">
        <w:t>None.</w:t>
      </w:r>
    </w:p>
    <w:p w14:paraId="7A0B0A46" w14:textId="77777777" w:rsidR="007E45C3" w:rsidRPr="00446FEC" w:rsidRDefault="007E45C3" w:rsidP="007E45C3">
      <w:pPr>
        <w:pStyle w:val="Heading2"/>
      </w:pPr>
      <w:bookmarkStart w:id="39" w:name="_Toc239193535"/>
      <w:bookmarkStart w:id="40" w:name="_Toc239232779"/>
      <w:bookmarkStart w:id="41" w:name="_Toc239240546"/>
      <w:r w:rsidRPr="00446FEC">
        <w:t>3.2</w:t>
      </w:r>
      <w:r w:rsidRPr="00446FEC">
        <w:tab/>
        <w:t>Terms defined in this Technical Report</w:t>
      </w:r>
      <w:bookmarkEnd w:id="39"/>
      <w:bookmarkEnd w:id="40"/>
      <w:bookmarkEnd w:id="41"/>
    </w:p>
    <w:p w14:paraId="14961765" w14:textId="77777777" w:rsidR="007E45C3" w:rsidRPr="00446FEC" w:rsidRDefault="007E45C3" w:rsidP="007E45C3">
      <w:r w:rsidRPr="00446FEC">
        <w:t>This Technical Report defines the following terms:</w:t>
      </w:r>
    </w:p>
    <w:p w14:paraId="5D0C29D3" w14:textId="77777777" w:rsidR="007E45C3" w:rsidRPr="00446FEC" w:rsidRDefault="007E45C3" w:rsidP="007E45C3">
      <w:r w:rsidRPr="00446FEC">
        <w:rPr>
          <w:b/>
          <w:bCs/>
        </w:rPr>
        <w:t>3.2.1</w:t>
      </w:r>
      <w:r w:rsidRPr="00446FEC">
        <w:rPr>
          <w:b/>
          <w:bCs/>
        </w:rPr>
        <w:tab/>
        <w:t>activity-based costing (ABC)</w:t>
      </w:r>
      <w:r w:rsidRPr="00446FEC">
        <w:t>: Costing method that attributes costs to services based on activities and their causal drivers.</w:t>
      </w:r>
    </w:p>
    <w:p w14:paraId="36AD5CF8" w14:textId="77777777" w:rsidR="007E45C3" w:rsidRPr="00446FEC" w:rsidRDefault="007E45C3" w:rsidP="007E45C3">
      <w:r w:rsidRPr="00446FEC">
        <w:rPr>
          <w:b/>
          <w:bCs/>
        </w:rPr>
        <w:t>3.2.2</w:t>
      </w:r>
      <w:r w:rsidRPr="00446FEC">
        <w:tab/>
      </w:r>
      <w:r w:rsidRPr="00446FEC">
        <w:rPr>
          <w:b/>
          <w:bCs/>
        </w:rPr>
        <w:t>affordable data services</w:t>
      </w:r>
      <w:r w:rsidRPr="00446FEC">
        <w:t>: Data connectivity priced and provisioned so typical users can adopt and sustain adequate quality without sacrificing essential expenditures.</w:t>
      </w:r>
    </w:p>
    <w:p w14:paraId="33D45D5A" w14:textId="77777777" w:rsidR="007E45C3" w:rsidRPr="00446FEC" w:rsidRDefault="007E45C3" w:rsidP="007E45C3">
      <w:r w:rsidRPr="00446FEC">
        <w:rPr>
          <w:b/>
          <w:bCs/>
        </w:rPr>
        <w:t>3.2.3</w:t>
      </w:r>
      <w:r w:rsidRPr="00446FEC">
        <w:rPr>
          <w:b/>
          <w:bCs/>
        </w:rPr>
        <w:tab/>
        <w:t>benchmarking</w:t>
      </w:r>
      <w:r w:rsidRPr="00446FEC">
        <w:t>: Use of external price or cost comparators (national or international) to inform or set regulated charges.</w:t>
      </w:r>
    </w:p>
    <w:p w14:paraId="750E1591" w14:textId="77777777" w:rsidR="007E45C3" w:rsidRPr="00446FEC" w:rsidRDefault="007E45C3" w:rsidP="007E45C3">
      <w:r w:rsidRPr="00446FEC">
        <w:rPr>
          <w:b/>
          <w:bCs/>
        </w:rPr>
        <w:t>3.2.4</w:t>
      </w:r>
      <w:r w:rsidRPr="00446FEC">
        <w:rPr>
          <w:b/>
          <w:bCs/>
        </w:rPr>
        <w:tab/>
        <w:t>bill-and-keep (BAK)</w:t>
      </w:r>
      <w:r w:rsidRPr="00446FEC">
        <w:t>: Settlement regime where operators recover termination costs from their own customers and do not exchange termination payments.</w:t>
      </w:r>
    </w:p>
    <w:p w14:paraId="385E4DA4" w14:textId="77777777" w:rsidR="007E45C3" w:rsidRPr="00446FEC" w:rsidRDefault="007E45C3" w:rsidP="007E45C3">
      <w:pPr>
        <w:pStyle w:val="Note"/>
      </w:pPr>
      <w:r w:rsidRPr="00446FEC">
        <w:t xml:space="preserve">NOTE </w:t>
      </w:r>
      <w:r w:rsidRPr="00446FEC">
        <w:sym w:font="Symbol" w:char="F02D"/>
      </w:r>
      <w:r w:rsidRPr="00446FEC">
        <w:t xml:space="preserve"> This definition is based on [b-ITU-D Q4/1].</w:t>
      </w:r>
    </w:p>
    <w:p w14:paraId="14D5710F" w14:textId="77777777" w:rsidR="007E45C3" w:rsidRPr="00446FEC" w:rsidRDefault="007E45C3" w:rsidP="007E45C3">
      <w:r w:rsidRPr="00446FEC">
        <w:rPr>
          <w:b/>
          <w:bCs/>
        </w:rPr>
        <w:t>3.2.5</w:t>
      </w:r>
      <w:r w:rsidRPr="00446FEC">
        <w:rPr>
          <w:b/>
          <w:bCs/>
        </w:rPr>
        <w:tab/>
        <w:t>bottom-up (BU) cost model</w:t>
      </w:r>
      <w:r w:rsidRPr="00446FEC">
        <w:t>: Engineering model that estimates forward-looking costs by designing an efficient network from demand, coverage, topology and technology inputs.</w:t>
      </w:r>
    </w:p>
    <w:p w14:paraId="5B5F162D" w14:textId="77777777" w:rsidR="007E45C3" w:rsidRPr="00446FEC" w:rsidRDefault="007E45C3" w:rsidP="007E45C3">
      <w:pPr>
        <w:pStyle w:val="Note"/>
      </w:pPr>
      <w:r w:rsidRPr="00446FEC">
        <w:t xml:space="preserve">NOTE </w:t>
      </w:r>
      <w:r w:rsidRPr="00446FEC">
        <w:sym w:font="Symbol" w:char="F02D"/>
      </w:r>
      <w:r w:rsidRPr="00446FEC">
        <w:t xml:space="preserve"> This definition is based on [b-ITU-D Q4/1].</w:t>
      </w:r>
    </w:p>
    <w:p w14:paraId="109C2B95" w14:textId="5A784A60" w:rsidR="008804EB" w:rsidRPr="00446FEC" w:rsidRDefault="007E45C3" w:rsidP="007E45C3">
      <w:r w:rsidRPr="00446FEC">
        <w:rPr>
          <w:b/>
          <w:bCs/>
        </w:rPr>
        <w:lastRenderedPageBreak/>
        <w:t>3.2.6</w:t>
      </w:r>
      <w:r w:rsidR="008804EB" w:rsidRPr="00446FEC">
        <w:rPr>
          <w:b/>
          <w:bCs/>
        </w:rPr>
        <w:tab/>
        <w:t>c</w:t>
      </w:r>
      <w:r w:rsidRPr="00446FEC">
        <w:rPr>
          <w:b/>
          <w:bCs/>
        </w:rPr>
        <w:t>apacity-based costing (CBC)</w:t>
      </w:r>
      <w:r w:rsidRPr="00446FEC">
        <w:t>: Attribution and recovery of costs according to provisioned or reserved capacity (e.g., Mbit/s), rather than solely according to traffic volumes.</w:t>
      </w:r>
    </w:p>
    <w:p w14:paraId="2EB76E65" w14:textId="77777777" w:rsidR="00CF732D" w:rsidRPr="00446FEC" w:rsidRDefault="007E45C3" w:rsidP="007E45C3">
      <w:r w:rsidRPr="00446FEC">
        <w:rPr>
          <w:b/>
          <w:bCs/>
        </w:rPr>
        <w:t>3.2.7</w:t>
      </w:r>
      <w:r w:rsidR="00CF732D" w:rsidRPr="00446FEC">
        <w:rPr>
          <w:b/>
          <w:bCs/>
        </w:rPr>
        <w:tab/>
        <w:t>c</w:t>
      </w:r>
      <w:r w:rsidRPr="00446FEC">
        <w:rPr>
          <w:b/>
          <w:bCs/>
        </w:rPr>
        <w:t>onvergence</w:t>
      </w:r>
      <w:r w:rsidRPr="00446FEC">
        <w:t>: Delivery of multiple services over a shared, all-IP, often virtualized infrastructure.</w:t>
      </w:r>
    </w:p>
    <w:p w14:paraId="69E2B25C" w14:textId="3CC4DD7E" w:rsidR="007E45C3" w:rsidRPr="00446FEC" w:rsidRDefault="007E45C3" w:rsidP="007E45C3">
      <w:r w:rsidRPr="00446FEC">
        <w:rPr>
          <w:b/>
          <w:bCs/>
        </w:rPr>
        <w:t>3.2.8</w:t>
      </w:r>
      <w:r w:rsidR="00CF732D" w:rsidRPr="00446FEC">
        <w:rPr>
          <w:b/>
          <w:bCs/>
        </w:rPr>
        <w:tab/>
        <w:t>c</w:t>
      </w:r>
      <w:r w:rsidRPr="00446FEC">
        <w:rPr>
          <w:b/>
          <w:bCs/>
        </w:rPr>
        <w:t>ost model</w:t>
      </w:r>
      <w:r w:rsidRPr="00446FEC">
        <w:t>: Structured model that estimates, allocates and annualizes costs by service and network element for pricing and regulation.</w:t>
      </w:r>
    </w:p>
    <w:p w14:paraId="38E1507C" w14:textId="7240E0B6" w:rsidR="007E45C3" w:rsidRPr="00446FEC" w:rsidRDefault="007E45C3" w:rsidP="007E45C3">
      <w:r w:rsidRPr="00446FEC">
        <w:rPr>
          <w:b/>
          <w:bCs/>
        </w:rPr>
        <w:t>3.2.9</w:t>
      </w:r>
      <w:r w:rsidR="00CF732D" w:rsidRPr="00446FEC">
        <w:rPr>
          <w:b/>
          <w:bCs/>
        </w:rPr>
        <w:tab/>
        <w:t>c</w:t>
      </w:r>
      <w:r w:rsidRPr="00446FEC">
        <w:rPr>
          <w:b/>
          <w:bCs/>
        </w:rPr>
        <w:t>ost orientation</w:t>
      </w:r>
      <w:r w:rsidRPr="00446FEC">
        <w:t>: Regulatory principle that charges should reflect efficiently incurred costs of providing the service.</w:t>
      </w:r>
    </w:p>
    <w:p w14:paraId="60E8D7AD" w14:textId="77777777" w:rsidR="00CF732D" w:rsidRPr="00446FEC" w:rsidRDefault="007E45C3" w:rsidP="00CF732D">
      <w:pPr>
        <w:pStyle w:val="Note"/>
      </w:pPr>
      <w:r w:rsidRPr="00446FEC">
        <w:t xml:space="preserve">NOTE </w:t>
      </w:r>
      <w:r w:rsidRPr="00446FEC">
        <w:sym w:font="Symbol" w:char="F02D"/>
      </w:r>
      <w:r w:rsidRPr="00446FEC">
        <w:t xml:space="preserve"> This definition is based on [b-ITU-D Q4/1].</w:t>
      </w:r>
    </w:p>
    <w:p w14:paraId="36D96F74" w14:textId="38610718" w:rsidR="007E45C3" w:rsidRPr="00446FEC" w:rsidRDefault="007E45C3" w:rsidP="007E45C3">
      <w:r w:rsidRPr="00446FEC">
        <w:rPr>
          <w:b/>
          <w:bCs/>
        </w:rPr>
        <w:t>3.2.10</w:t>
      </w:r>
      <w:r w:rsidR="00CF732D" w:rsidRPr="00446FEC">
        <w:rPr>
          <w:b/>
          <w:bCs/>
        </w:rPr>
        <w:tab/>
        <w:t>f</w:t>
      </w:r>
      <w:r w:rsidRPr="00446FEC">
        <w:rPr>
          <w:b/>
          <w:bCs/>
        </w:rPr>
        <w:t xml:space="preserve">ully </w:t>
      </w:r>
      <w:r w:rsidR="00CF732D" w:rsidRPr="00446FEC">
        <w:rPr>
          <w:b/>
          <w:bCs/>
        </w:rPr>
        <w:t>a</w:t>
      </w:r>
      <w:r w:rsidRPr="00446FEC">
        <w:rPr>
          <w:b/>
          <w:bCs/>
        </w:rPr>
        <w:t>llocated/</w:t>
      </w:r>
      <w:r w:rsidR="00CF732D" w:rsidRPr="00446FEC">
        <w:rPr>
          <w:b/>
          <w:bCs/>
        </w:rPr>
        <w:t>d</w:t>
      </w:r>
      <w:r w:rsidRPr="00446FEC">
        <w:rPr>
          <w:b/>
          <w:bCs/>
        </w:rPr>
        <w:t xml:space="preserve">istributed </w:t>
      </w:r>
      <w:r w:rsidR="00CF732D" w:rsidRPr="00446FEC">
        <w:rPr>
          <w:b/>
          <w:bCs/>
        </w:rPr>
        <w:t>c</w:t>
      </w:r>
      <w:r w:rsidRPr="00446FEC">
        <w:rPr>
          <w:b/>
          <w:bCs/>
        </w:rPr>
        <w:t>ost (FAC/FDC)</w:t>
      </w:r>
      <w:r w:rsidRPr="00446FEC">
        <w:t>: Accounting approach allocating all costs</w:t>
      </w:r>
      <w:r w:rsidR="00CF732D" w:rsidRPr="00446FEC">
        <w:t xml:space="preserve"> – </w:t>
      </w:r>
      <w:r w:rsidRPr="00446FEC">
        <w:t>including shared and common</w:t>
      </w:r>
      <w:r w:rsidR="00CF732D" w:rsidRPr="00446FEC">
        <w:t xml:space="preserve"> – </w:t>
      </w:r>
      <w:r w:rsidRPr="00446FEC">
        <w:t>to services using defined allocation drivers.</w:t>
      </w:r>
    </w:p>
    <w:p w14:paraId="6816A109" w14:textId="6A93B9BD" w:rsidR="00654F09" w:rsidRPr="00446FEC" w:rsidRDefault="007E45C3" w:rsidP="00654F09">
      <w:pPr>
        <w:pStyle w:val="Note"/>
      </w:pPr>
      <w:r w:rsidRPr="00446FEC">
        <w:t xml:space="preserve">NOTE </w:t>
      </w:r>
      <w:r w:rsidRPr="00446FEC">
        <w:sym w:font="Symbol" w:char="F02D"/>
      </w:r>
      <w:r w:rsidRPr="00446FEC">
        <w:t xml:space="preserve"> This definition is based on [</w:t>
      </w:r>
      <w:r w:rsidR="00F8673B" w:rsidRPr="00446FEC">
        <w:t>b-</w:t>
      </w:r>
      <w:r w:rsidRPr="00446FEC">
        <w:t>ITU-D Regulatory].</w:t>
      </w:r>
    </w:p>
    <w:p w14:paraId="5B328AE4" w14:textId="77777777" w:rsidR="00E023A0" w:rsidRPr="00446FEC" w:rsidRDefault="007E45C3" w:rsidP="00771223">
      <w:r w:rsidRPr="00446FEC">
        <w:rPr>
          <w:b/>
          <w:bCs/>
        </w:rPr>
        <w:t>3.2.11</w:t>
      </w:r>
      <w:r w:rsidR="00E023A0" w:rsidRPr="00446FEC">
        <w:rPr>
          <w:b/>
          <w:bCs/>
        </w:rPr>
        <w:tab/>
      </w:r>
      <w:proofErr w:type="spellStart"/>
      <w:r w:rsidR="00E023A0" w:rsidRPr="00446FEC">
        <w:rPr>
          <w:b/>
          <w:bCs/>
        </w:rPr>
        <w:t>h</w:t>
      </w:r>
      <w:r w:rsidRPr="00446FEC">
        <w:rPr>
          <w:b/>
          <w:bCs/>
        </w:rPr>
        <w:t>erfindahl</w:t>
      </w:r>
      <w:proofErr w:type="spellEnd"/>
      <w:r w:rsidRPr="00446FEC">
        <w:rPr>
          <w:b/>
          <w:bCs/>
        </w:rPr>
        <w:t>–</w:t>
      </w:r>
      <w:proofErr w:type="spellStart"/>
      <w:r w:rsidR="00E023A0" w:rsidRPr="00446FEC">
        <w:rPr>
          <w:b/>
          <w:bCs/>
        </w:rPr>
        <w:t>h</w:t>
      </w:r>
      <w:r w:rsidRPr="00446FEC">
        <w:rPr>
          <w:b/>
          <w:bCs/>
        </w:rPr>
        <w:t>irschman</w:t>
      </w:r>
      <w:proofErr w:type="spellEnd"/>
      <w:r w:rsidRPr="00446FEC">
        <w:rPr>
          <w:b/>
          <w:bCs/>
        </w:rPr>
        <w:t xml:space="preserve"> </w:t>
      </w:r>
      <w:r w:rsidR="00E023A0" w:rsidRPr="00446FEC">
        <w:rPr>
          <w:b/>
          <w:bCs/>
        </w:rPr>
        <w:t>i</w:t>
      </w:r>
      <w:r w:rsidRPr="00446FEC">
        <w:rPr>
          <w:b/>
          <w:bCs/>
        </w:rPr>
        <w:t>ndex (HHI)</w:t>
      </w:r>
      <w:r w:rsidRPr="00446FEC">
        <w:t>: Measure of market concentration used to assess potential market power.</w:t>
      </w:r>
    </w:p>
    <w:p w14:paraId="3D6DC9CE" w14:textId="6649A860" w:rsidR="00E023A0" w:rsidRPr="00446FEC" w:rsidRDefault="007E45C3" w:rsidP="00771223">
      <w:r w:rsidRPr="00446FEC">
        <w:rPr>
          <w:b/>
          <w:bCs/>
        </w:rPr>
        <w:t>3.2.12</w:t>
      </w:r>
      <w:r w:rsidR="00E023A0" w:rsidRPr="00446FEC">
        <w:rPr>
          <w:b/>
          <w:bCs/>
        </w:rPr>
        <w:tab/>
      </w:r>
      <w:r w:rsidR="00771223" w:rsidRPr="00446FEC">
        <w:rPr>
          <w:b/>
          <w:bCs/>
        </w:rPr>
        <w:t>h</w:t>
      </w:r>
      <w:r w:rsidRPr="00446FEC">
        <w:rPr>
          <w:b/>
          <w:bCs/>
        </w:rPr>
        <w:t>ybrid model</w:t>
      </w:r>
      <w:r w:rsidRPr="00446FEC">
        <w:t>: Approach that reconciles bottom-up results with top-down accounts to improve realism, transparency and auditability.</w:t>
      </w:r>
    </w:p>
    <w:p w14:paraId="4E9576C7" w14:textId="594B3150" w:rsidR="007E45C3" w:rsidRPr="00446FEC" w:rsidRDefault="007E45C3" w:rsidP="00771223">
      <w:r w:rsidRPr="00446FEC">
        <w:rPr>
          <w:b/>
          <w:bCs/>
        </w:rPr>
        <w:t>3.2.13</w:t>
      </w:r>
      <w:r w:rsidR="00771223" w:rsidRPr="00446FEC">
        <w:rPr>
          <w:b/>
          <w:bCs/>
        </w:rPr>
        <w:tab/>
        <w:t>i</w:t>
      </w:r>
      <w:r w:rsidRPr="00446FEC">
        <w:rPr>
          <w:b/>
          <w:bCs/>
        </w:rPr>
        <w:t>nfrastructure sharing</w:t>
      </w:r>
      <w:r w:rsidRPr="00446FEC">
        <w:t>: Use of passive and/or active network elements by multiple operators to reduce cost and accelerate rollout.</w:t>
      </w:r>
    </w:p>
    <w:p w14:paraId="56FA8EA0" w14:textId="7AD6C3E7" w:rsidR="007E45C3" w:rsidRPr="00446FEC" w:rsidRDefault="007E45C3" w:rsidP="007E45C3">
      <w:r w:rsidRPr="00446FEC">
        <w:rPr>
          <w:b/>
          <w:bCs/>
        </w:rPr>
        <w:t>3.2.14</w:t>
      </w:r>
      <w:r w:rsidR="00771223" w:rsidRPr="00446FEC">
        <w:rPr>
          <w:b/>
          <w:bCs/>
        </w:rPr>
        <w:tab/>
        <w:t>i</w:t>
      </w:r>
      <w:r w:rsidRPr="00446FEC">
        <w:rPr>
          <w:b/>
          <w:bCs/>
        </w:rPr>
        <w:t>nterconnection</w:t>
      </w:r>
      <w:r w:rsidRPr="00446FEC">
        <w:t>: Physical and logical linking of networks to enable end-to-end communication between users of different networks.</w:t>
      </w:r>
    </w:p>
    <w:p w14:paraId="6D3247AB" w14:textId="77777777" w:rsidR="00E023A0" w:rsidRPr="00446FEC" w:rsidRDefault="007E45C3" w:rsidP="00771223">
      <w:pPr>
        <w:pStyle w:val="Note"/>
      </w:pPr>
      <w:r w:rsidRPr="00446FEC">
        <w:t xml:space="preserve">NOTE </w:t>
      </w:r>
      <w:r w:rsidRPr="00446FEC">
        <w:sym w:font="Symbol" w:char="F02D"/>
      </w:r>
      <w:r w:rsidRPr="00446FEC">
        <w:t xml:space="preserve"> This definition is based on [b-ITU-D Q4/1].</w:t>
      </w:r>
    </w:p>
    <w:p w14:paraId="653E8443" w14:textId="25A8792B" w:rsidR="007E45C3" w:rsidRPr="00446FEC" w:rsidRDefault="007E45C3" w:rsidP="007E45C3">
      <w:r w:rsidRPr="00446FEC">
        <w:rPr>
          <w:b/>
          <w:bCs/>
        </w:rPr>
        <w:t>3.2.15</w:t>
      </w:r>
      <w:r w:rsidR="00771223" w:rsidRPr="00446FEC">
        <w:rPr>
          <w:b/>
          <w:bCs/>
        </w:rPr>
        <w:tab/>
        <w:t>l</w:t>
      </w:r>
      <w:r w:rsidRPr="00446FEC">
        <w:rPr>
          <w:b/>
          <w:bCs/>
        </w:rPr>
        <w:t>ife-cycle costing (LCC)</w:t>
      </w:r>
      <w:r w:rsidRPr="00446FEC">
        <w:t>: Accounting for total costs over an asset</w:t>
      </w:r>
      <w:r w:rsidR="006E6D1D" w:rsidRPr="00446FEC">
        <w:t>'</w:t>
      </w:r>
      <w:r w:rsidRPr="00446FEC">
        <w:t>s or service</w:t>
      </w:r>
      <w:r w:rsidR="006E6D1D" w:rsidRPr="00446FEC">
        <w:t>'</w:t>
      </w:r>
      <w:r w:rsidRPr="00446FEC">
        <w:t>s life, including capital, operating and renewal costs.</w:t>
      </w:r>
    </w:p>
    <w:p w14:paraId="2A64ED03" w14:textId="6839E201" w:rsidR="007E45C3" w:rsidRPr="00446FEC" w:rsidRDefault="007E45C3" w:rsidP="007E45C3">
      <w:r w:rsidRPr="00446FEC">
        <w:rPr>
          <w:b/>
          <w:bCs/>
        </w:rPr>
        <w:t>3.2.16</w:t>
      </w:r>
      <w:r w:rsidR="00771223" w:rsidRPr="00446FEC">
        <w:rPr>
          <w:b/>
          <w:bCs/>
        </w:rPr>
        <w:tab/>
        <w:t>l</w:t>
      </w:r>
      <w:r w:rsidRPr="00446FEC">
        <w:rPr>
          <w:b/>
          <w:bCs/>
        </w:rPr>
        <w:t>ong-run incremental cost (LRIC)</w:t>
      </w:r>
      <w:r w:rsidRPr="00446FEC">
        <w:t>: Change in long-run cost from supplying (or removing) a defined increment of output or a service.</w:t>
      </w:r>
    </w:p>
    <w:p w14:paraId="0257EB95" w14:textId="5FB75D6A" w:rsidR="00E023A0" w:rsidRPr="00446FEC" w:rsidRDefault="007E45C3" w:rsidP="005E4224">
      <w:pPr>
        <w:pStyle w:val="Note"/>
      </w:pPr>
      <w:r w:rsidRPr="00446FEC">
        <w:t xml:space="preserve">NOTE </w:t>
      </w:r>
      <w:r w:rsidRPr="00446FEC">
        <w:sym w:font="Symbol" w:char="F02D"/>
      </w:r>
      <w:r w:rsidRPr="00446FEC">
        <w:t xml:space="preserve"> This definition is based on [</w:t>
      </w:r>
      <w:r w:rsidR="00F8673B" w:rsidRPr="00446FEC">
        <w:t>b-</w:t>
      </w:r>
      <w:r w:rsidRPr="00446FEC">
        <w:t>ITU-D Regulatory].</w:t>
      </w:r>
    </w:p>
    <w:p w14:paraId="7CE54A6D" w14:textId="0106CCD0" w:rsidR="007E45C3" w:rsidRPr="00446FEC" w:rsidRDefault="007E45C3" w:rsidP="007E45C3">
      <w:r w:rsidRPr="00446FEC">
        <w:rPr>
          <w:b/>
          <w:bCs/>
        </w:rPr>
        <w:t>3.2.17</w:t>
      </w:r>
      <w:r w:rsidR="005E4224" w:rsidRPr="00446FEC">
        <w:rPr>
          <w:b/>
          <w:bCs/>
        </w:rPr>
        <w:tab/>
        <w:t>l</w:t>
      </w:r>
      <w:r w:rsidRPr="00446FEC">
        <w:rPr>
          <w:b/>
          <w:bCs/>
        </w:rPr>
        <w:t>ong-run average incremental cost (LRAIC)</w:t>
      </w:r>
      <w:r w:rsidRPr="00446FEC">
        <w:t>: Average of incremental costs over a long-run horizon for a defined increment.</w:t>
      </w:r>
    </w:p>
    <w:p w14:paraId="5FF4308A" w14:textId="18878679" w:rsidR="00E023A0" w:rsidRPr="00446FEC" w:rsidRDefault="007E45C3" w:rsidP="005E4224">
      <w:pPr>
        <w:pStyle w:val="Note"/>
      </w:pPr>
      <w:r w:rsidRPr="00446FEC">
        <w:t xml:space="preserve">NOTE </w:t>
      </w:r>
      <w:r w:rsidRPr="00446FEC">
        <w:sym w:font="Symbol" w:char="F02D"/>
      </w:r>
      <w:r w:rsidRPr="00446FEC">
        <w:t xml:space="preserve"> This definition is based on [</w:t>
      </w:r>
      <w:r w:rsidR="00F8673B" w:rsidRPr="00446FEC">
        <w:t>b-</w:t>
      </w:r>
      <w:r w:rsidRPr="00446FEC">
        <w:t>ITU-D Regulatory].</w:t>
      </w:r>
    </w:p>
    <w:p w14:paraId="03653C99" w14:textId="1AAA3944" w:rsidR="007E45C3" w:rsidRPr="00446FEC" w:rsidRDefault="007E45C3" w:rsidP="007E45C3">
      <w:r w:rsidRPr="00446FEC">
        <w:rPr>
          <w:b/>
          <w:bCs/>
        </w:rPr>
        <w:t>3.2.18</w:t>
      </w:r>
      <w:r w:rsidR="005E4224" w:rsidRPr="00446FEC">
        <w:rPr>
          <w:b/>
          <w:bCs/>
        </w:rPr>
        <w:tab/>
      </w:r>
      <w:r w:rsidRPr="00446FEC">
        <w:rPr>
          <w:b/>
          <w:bCs/>
        </w:rPr>
        <w:t>LRIC-plus (LRIC+)</w:t>
      </w:r>
      <w:r w:rsidRPr="00446FEC">
        <w:t>: LRIC with an allocation/markup for shared and common costs to ensure full cost recovery.</w:t>
      </w:r>
    </w:p>
    <w:p w14:paraId="5DB14791" w14:textId="223E9711" w:rsidR="00E023A0" w:rsidRPr="00446FEC" w:rsidRDefault="007E45C3" w:rsidP="005E4224">
      <w:pPr>
        <w:pStyle w:val="Note"/>
      </w:pPr>
      <w:r w:rsidRPr="00446FEC">
        <w:t xml:space="preserve">NOTE </w:t>
      </w:r>
      <w:r w:rsidRPr="00446FEC">
        <w:sym w:font="Symbol" w:char="F02D"/>
      </w:r>
      <w:r w:rsidRPr="00446FEC">
        <w:t xml:space="preserve"> This definition is based on [</w:t>
      </w:r>
      <w:r w:rsidR="00F8673B" w:rsidRPr="00446FEC">
        <w:t>b-</w:t>
      </w:r>
      <w:r w:rsidRPr="00446FEC">
        <w:t>ITU-D Regulatory].</w:t>
      </w:r>
    </w:p>
    <w:p w14:paraId="66EBE27B" w14:textId="106FA370" w:rsidR="00E023A0" w:rsidRPr="00446FEC" w:rsidRDefault="007E45C3" w:rsidP="007E45C3">
      <w:r w:rsidRPr="00446FEC">
        <w:rPr>
          <w:b/>
          <w:bCs/>
        </w:rPr>
        <w:t>3.2.19</w:t>
      </w:r>
      <w:r w:rsidR="005E4224" w:rsidRPr="00446FEC">
        <w:rPr>
          <w:b/>
          <w:bCs/>
        </w:rPr>
        <w:tab/>
        <w:t>m</w:t>
      </w:r>
      <w:r w:rsidRPr="00446FEC">
        <w:rPr>
          <w:b/>
          <w:bCs/>
        </w:rPr>
        <w:t>argin squeeze (test)</w:t>
      </w:r>
      <w:r w:rsidRPr="00446FEC">
        <w:t>: Assessment of whether wholesale and retail price levels allow an efficient retailer to operate profitably.</w:t>
      </w:r>
    </w:p>
    <w:p w14:paraId="4F6B9F55" w14:textId="71B12BD3" w:rsidR="00E023A0" w:rsidRPr="00446FEC" w:rsidRDefault="007E45C3" w:rsidP="007E45C3">
      <w:r w:rsidRPr="00446FEC">
        <w:rPr>
          <w:b/>
          <w:bCs/>
        </w:rPr>
        <w:t>3.2.20</w:t>
      </w:r>
      <w:r w:rsidR="005E4224" w:rsidRPr="00446FEC">
        <w:rPr>
          <w:b/>
          <w:bCs/>
        </w:rPr>
        <w:tab/>
        <w:t>m</w:t>
      </w:r>
      <w:r w:rsidRPr="00446FEC">
        <w:rPr>
          <w:b/>
          <w:bCs/>
        </w:rPr>
        <w:t>arket power (SMP)</w:t>
      </w:r>
      <w:r w:rsidRPr="00446FEC">
        <w:t>: Ability of a firm to act to an appreciable extent independently of competitors and customers.</w:t>
      </w:r>
    </w:p>
    <w:p w14:paraId="01D14BF7" w14:textId="61316764" w:rsidR="00E023A0" w:rsidRPr="00446FEC" w:rsidRDefault="007E45C3" w:rsidP="007E45C3">
      <w:r w:rsidRPr="00446FEC">
        <w:rPr>
          <w:b/>
          <w:bCs/>
        </w:rPr>
        <w:t>3.2.21</w:t>
      </w:r>
      <w:r w:rsidR="0005055C" w:rsidRPr="00446FEC">
        <w:tab/>
      </w:r>
      <w:r w:rsidR="0005055C" w:rsidRPr="00446FEC">
        <w:rPr>
          <w:b/>
          <w:bCs/>
        </w:rPr>
        <w:t>n</w:t>
      </w:r>
      <w:r w:rsidRPr="00446FEC">
        <w:rPr>
          <w:b/>
          <w:bCs/>
        </w:rPr>
        <w:t>etwork function virtualization (NFV)</w:t>
      </w:r>
      <w:r w:rsidRPr="00446FEC">
        <w:t>: Implementation of network functions in software running on general-purpose hardware.</w:t>
      </w:r>
    </w:p>
    <w:p w14:paraId="353A8303" w14:textId="4AA62E66" w:rsidR="00E023A0" w:rsidRPr="00446FEC" w:rsidRDefault="007E45C3" w:rsidP="007E45C3">
      <w:r w:rsidRPr="00446FEC">
        <w:rPr>
          <w:b/>
          <w:bCs/>
        </w:rPr>
        <w:t>3.2.22</w:t>
      </w:r>
      <w:r w:rsidR="0005055C" w:rsidRPr="00446FEC">
        <w:tab/>
      </w:r>
      <w:r w:rsidR="0005055C" w:rsidRPr="00446FEC">
        <w:rPr>
          <w:b/>
          <w:bCs/>
        </w:rPr>
        <w:t>n</w:t>
      </w:r>
      <w:r w:rsidRPr="00446FEC">
        <w:rPr>
          <w:b/>
          <w:bCs/>
        </w:rPr>
        <w:t>etwork slicing</w:t>
      </w:r>
      <w:r w:rsidRPr="00446FEC">
        <w:t>: Creation of virtual networks on a common infrastructure with specific performance targets and SLAs.</w:t>
      </w:r>
    </w:p>
    <w:p w14:paraId="5FC96F7F" w14:textId="5C08E8A6" w:rsidR="00E023A0" w:rsidRPr="00446FEC" w:rsidRDefault="007E45C3" w:rsidP="007E45C3">
      <w:r w:rsidRPr="00446FEC">
        <w:rPr>
          <w:b/>
          <w:bCs/>
        </w:rPr>
        <w:t>3.2.23</w:t>
      </w:r>
      <w:r w:rsidR="0005055C" w:rsidRPr="00446FEC">
        <w:tab/>
      </w:r>
      <w:r w:rsidR="0005055C" w:rsidRPr="00446FEC">
        <w:rPr>
          <w:b/>
          <w:bCs/>
        </w:rPr>
        <w:t>p</w:t>
      </w:r>
      <w:r w:rsidRPr="00446FEC">
        <w:rPr>
          <w:b/>
          <w:bCs/>
        </w:rPr>
        <w:t>rice caps/ceilings</w:t>
      </w:r>
      <w:r w:rsidRPr="00446FEC">
        <w:t>: Regulatory controls that limit price levels or their growth over time.</w:t>
      </w:r>
    </w:p>
    <w:p w14:paraId="5DD27CF1" w14:textId="2A9E1976" w:rsidR="007E45C3" w:rsidRPr="00446FEC" w:rsidRDefault="007E45C3" w:rsidP="007E45C3">
      <w:r w:rsidRPr="00446FEC">
        <w:rPr>
          <w:b/>
          <w:bCs/>
        </w:rPr>
        <w:t>3.2.24</w:t>
      </w:r>
      <w:r w:rsidR="0005055C" w:rsidRPr="00446FEC">
        <w:tab/>
      </w:r>
      <w:r w:rsidR="0005055C" w:rsidRPr="00446FEC">
        <w:rPr>
          <w:b/>
          <w:bCs/>
        </w:rPr>
        <w:t>r</w:t>
      </w:r>
      <w:r w:rsidRPr="00446FEC">
        <w:rPr>
          <w:b/>
          <w:bCs/>
        </w:rPr>
        <w:t>eal-time cost attribution (RTCA)</w:t>
      </w:r>
      <w:r w:rsidRPr="00446FEC">
        <w:t>: Dynamic assignment of costs using live network/usage data and analytics.</w:t>
      </w:r>
    </w:p>
    <w:p w14:paraId="6F100EB4" w14:textId="20441D8A" w:rsidR="007E45C3" w:rsidRPr="00446FEC" w:rsidRDefault="007E45C3" w:rsidP="007E45C3">
      <w:r w:rsidRPr="00446FEC">
        <w:rPr>
          <w:b/>
          <w:bCs/>
        </w:rPr>
        <w:lastRenderedPageBreak/>
        <w:t>3.2.25</w:t>
      </w:r>
      <w:r w:rsidR="0005055C" w:rsidRPr="00446FEC">
        <w:tab/>
      </w:r>
      <w:r w:rsidR="0005055C" w:rsidRPr="00446FEC">
        <w:rPr>
          <w:b/>
          <w:bCs/>
        </w:rPr>
        <w:t>r</w:t>
      </w:r>
      <w:r w:rsidRPr="00446FEC">
        <w:rPr>
          <w:b/>
          <w:bCs/>
        </w:rPr>
        <w:t xml:space="preserve">eference </w:t>
      </w:r>
      <w:r w:rsidR="0005055C" w:rsidRPr="00446FEC">
        <w:rPr>
          <w:b/>
          <w:bCs/>
        </w:rPr>
        <w:t>a</w:t>
      </w:r>
      <w:r w:rsidRPr="00446FEC">
        <w:rPr>
          <w:b/>
          <w:bCs/>
        </w:rPr>
        <w:t xml:space="preserve">ccess </w:t>
      </w:r>
      <w:r w:rsidR="0005055C" w:rsidRPr="00446FEC">
        <w:rPr>
          <w:b/>
          <w:bCs/>
        </w:rPr>
        <w:t>o</w:t>
      </w:r>
      <w:r w:rsidRPr="00446FEC">
        <w:rPr>
          <w:b/>
          <w:bCs/>
        </w:rPr>
        <w:t>ffer (RAO)</w:t>
      </w:r>
      <w:r w:rsidRPr="00446FEC">
        <w:t>: Published terms and prices for wholesale access to facilities/services on a non-discriminatory basis.</w:t>
      </w:r>
    </w:p>
    <w:p w14:paraId="500703F2" w14:textId="77777777" w:rsidR="00E023A0" w:rsidRPr="00446FEC" w:rsidRDefault="007E45C3" w:rsidP="0005055C">
      <w:pPr>
        <w:pStyle w:val="Note"/>
      </w:pPr>
      <w:r w:rsidRPr="00446FEC">
        <w:t xml:space="preserve">NOTE </w:t>
      </w:r>
      <w:r w:rsidRPr="00446FEC">
        <w:sym w:font="Symbol" w:char="F02D"/>
      </w:r>
      <w:r w:rsidRPr="00446FEC">
        <w:t xml:space="preserve"> This definition is based on [b-ITU-D Q4/1].</w:t>
      </w:r>
    </w:p>
    <w:p w14:paraId="5610F179" w14:textId="0F10FC6E" w:rsidR="007E45C3" w:rsidRPr="00446FEC" w:rsidRDefault="007E45C3" w:rsidP="007E45C3">
      <w:r w:rsidRPr="00446FEC">
        <w:rPr>
          <w:b/>
          <w:bCs/>
        </w:rPr>
        <w:t>3.2.26</w:t>
      </w:r>
      <w:r w:rsidR="00F8673B" w:rsidRPr="00446FEC">
        <w:rPr>
          <w:b/>
          <w:bCs/>
        </w:rPr>
        <w:tab/>
        <w:t xml:space="preserve">reference </w:t>
      </w:r>
      <w:r w:rsidRPr="00446FEC">
        <w:rPr>
          <w:b/>
          <w:bCs/>
        </w:rPr>
        <w:t xml:space="preserve">Interconnection </w:t>
      </w:r>
      <w:r w:rsidR="00F8673B" w:rsidRPr="00446FEC">
        <w:rPr>
          <w:b/>
          <w:bCs/>
        </w:rPr>
        <w:t xml:space="preserve">offer </w:t>
      </w:r>
      <w:r w:rsidRPr="00446FEC">
        <w:rPr>
          <w:b/>
          <w:bCs/>
        </w:rPr>
        <w:t>(RIO)</w:t>
      </w:r>
      <w:r w:rsidRPr="00446FEC">
        <w:t>: Published terms and prices for interconnection on a non-discriminatory basis.</w:t>
      </w:r>
    </w:p>
    <w:p w14:paraId="3E3F422B" w14:textId="77777777" w:rsidR="00E023A0" w:rsidRPr="00446FEC" w:rsidRDefault="007E45C3" w:rsidP="00F8673B">
      <w:pPr>
        <w:pStyle w:val="Note"/>
      </w:pPr>
      <w:r w:rsidRPr="00446FEC">
        <w:t xml:space="preserve">NOTE </w:t>
      </w:r>
      <w:r w:rsidRPr="00446FEC">
        <w:sym w:font="Symbol" w:char="F02D"/>
      </w:r>
      <w:r w:rsidRPr="00446FEC">
        <w:t xml:space="preserve"> This definition is based on [b-ITU-D Q4/1].</w:t>
      </w:r>
    </w:p>
    <w:p w14:paraId="630C7FF4" w14:textId="2C76C986" w:rsidR="007E45C3" w:rsidRPr="00446FEC" w:rsidRDefault="007E45C3" w:rsidP="007E45C3">
      <w:r w:rsidRPr="00446FEC">
        <w:rPr>
          <w:b/>
          <w:bCs/>
        </w:rPr>
        <w:t>3.2.27</w:t>
      </w:r>
      <w:r w:rsidR="0005055C" w:rsidRPr="00446FEC">
        <w:tab/>
      </w:r>
      <w:r w:rsidR="0005055C" w:rsidRPr="00446FEC">
        <w:rPr>
          <w:b/>
          <w:bCs/>
        </w:rPr>
        <w:t>r</w:t>
      </w:r>
      <w:r w:rsidRPr="00446FEC">
        <w:rPr>
          <w:b/>
          <w:bCs/>
        </w:rPr>
        <w:t>etail-minus</w:t>
      </w:r>
      <w:r w:rsidRPr="00446FEC">
        <w:t>: Wholesale pricing set as the retail price minus avoidable retailing costs.</w:t>
      </w:r>
    </w:p>
    <w:p w14:paraId="2E498737" w14:textId="77777777" w:rsidR="00E023A0" w:rsidRPr="00446FEC" w:rsidRDefault="007E45C3" w:rsidP="0005055C">
      <w:pPr>
        <w:pStyle w:val="Note"/>
      </w:pPr>
      <w:r w:rsidRPr="00446FEC">
        <w:t xml:space="preserve">NOTE </w:t>
      </w:r>
      <w:r w:rsidRPr="00446FEC">
        <w:sym w:font="Symbol" w:char="F02D"/>
      </w:r>
      <w:r w:rsidRPr="00446FEC">
        <w:t xml:space="preserve"> This definition is based on [b-ITU-D Q4/1].</w:t>
      </w:r>
    </w:p>
    <w:p w14:paraId="71959B0A" w14:textId="5ADB9B9D" w:rsidR="007E45C3" w:rsidRPr="00446FEC" w:rsidRDefault="007E45C3" w:rsidP="007E45C3">
      <w:r w:rsidRPr="00446FEC">
        <w:rPr>
          <w:b/>
          <w:bCs/>
        </w:rPr>
        <w:t>3.2.28</w:t>
      </w:r>
      <w:r w:rsidR="0005055C" w:rsidRPr="00446FEC">
        <w:tab/>
      </w:r>
      <w:r w:rsidR="0005055C" w:rsidRPr="00446FEC">
        <w:rPr>
          <w:b/>
          <w:bCs/>
        </w:rPr>
        <w:t>s</w:t>
      </w:r>
      <w:r w:rsidRPr="00446FEC">
        <w:rPr>
          <w:b/>
          <w:bCs/>
        </w:rPr>
        <w:t>corched-node assumption</w:t>
      </w:r>
      <w:r w:rsidRPr="00446FEC">
        <w:t>: Bottom-up modelling assumption that retains existing node locations while allowing technology upgrades.</w:t>
      </w:r>
    </w:p>
    <w:p w14:paraId="0E34C639" w14:textId="77777777" w:rsidR="00E023A0" w:rsidRPr="00446FEC" w:rsidRDefault="007E45C3" w:rsidP="0005055C">
      <w:pPr>
        <w:pStyle w:val="Note"/>
      </w:pPr>
      <w:r w:rsidRPr="00446FEC">
        <w:t xml:space="preserve">NOTE </w:t>
      </w:r>
      <w:r w:rsidRPr="00446FEC">
        <w:sym w:font="Symbol" w:char="F02D"/>
      </w:r>
      <w:r w:rsidRPr="00446FEC">
        <w:t xml:space="preserve"> This definition is based on [b-ITU-D Q4/1].</w:t>
      </w:r>
    </w:p>
    <w:p w14:paraId="06B807FB" w14:textId="314FF96C" w:rsidR="00E023A0" w:rsidRPr="00446FEC" w:rsidRDefault="007E45C3" w:rsidP="007E45C3">
      <w:r w:rsidRPr="00446FEC">
        <w:rPr>
          <w:b/>
          <w:bCs/>
        </w:rPr>
        <w:t>3.2.29</w:t>
      </w:r>
      <w:r w:rsidR="0005055C" w:rsidRPr="00446FEC">
        <w:tab/>
      </w:r>
      <w:r w:rsidR="0005055C" w:rsidRPr="00446FEC">
        <w:rPr>
          <w:b/>
          <w:bCs/>
        </w:rPr>
        <w:t>s</w:t>
      </w:r>
      <w:r w:rsidRPr="00446FEC">
        <w:rPr>
          <w:b/>
          <w:bCs/>
        </w:rPr>
        <w:t>ervice-level agreement (SLA)</w:t>
      </w:r>
      <w:r w:rsidRPr="00446FEC">
        <w:t>: Contractual performance commitments (e.g., latency, uptime), often linked to pricing or penalties.</w:t>
      </w:r>
    </w:p>
    <w:p w14:paraId="24C73257" w14:textId="7335EA0F" w:rsidR="00E023A0" w:rsidRPr="00446FEC" w:rsidRDefault="007E45C3" w:rsidP="007E45C3">
      <w:r w:rsidRPr="00446FEC">
        <w:rPr>
          <w:b/>
          <w:bCs/>
        </w:rPr>
        <w:t>3.2.30</w:t>
      </w:r>
      <w:r w:rsidR="0005055C" w:rsidRPr="00446FEC">
        <w:tab/>
      </w:r>
      <w:r w:rsidR="0005055C" w:rsidRPr="00446FEC">
        <w:rPr>
          <w:b/>
          <w:bCs/>
        </w:rPr>
        <w:t>s</w:t>
      </w:r>
      <w:r w:rsidRPr="00446FEC">
        <w:rPr>
          <w:b/>
          <w:bCs/>
        </w:rPr>
        <w:t>oftware-defined networking (SDN)</w:t>
      </w:r>
      <w:r w:rsidRPr="00446FEC">
        <w:t>: Architecture separating control and forwarding planes to enable programmable networks.</w:t>
      </w:r>
    </w:p>
    <w:p w14:paraId="1369C1F3" w14:textId="44357EA9" w:rsidR="007E45C3" w:rsidRPr="00446FEC" w:rsidRDefault="007E45C3" w:rsidP="007E45C3">
      <w:r w:rsidRPr="00446FEC">
        <w:rPr>
          <w:b/>
          <w:bCs/>
        </w:rPr>
        <w:t>3.2.31</w:t>
      </w:r>
      <w:r w:rsidR="002172E5" w:rsidRPr="00446FEC">
        <w:tab/>
      </w:r>
      <w:r w:rsidR="002172E5" w:rsidRPr="00446FEC">
        <w:rPr>
          <w:b/>
          <w:bCs/>
        </w:rPr>
        <w:t>s</w:t>
      </w:r>
      <w:r w:rsidRPr="00446FEC">
        <w:rPr>
          <w:b/>
          <w:bCs/>
        </w:rPr>
        <w:t>pectrum policy</w:t>
      </w:r>
      <w:r w:rsidRPr="00446FEC">
        <w:t>: Rules for assignment, pricing, sharing and trading of spectrum to promote efficiency and competition.</w:t>
      </w:r>
    </w:p>
    <w:p w14:paraId="5B424FBB" w14:textId="3014C1BE" w:rsidR="007E45C3" w:rsidRPr="00446FEC" w:rsidRDefault="007E45C3" w:rsidP="007E45C3">
      <w:r w:rsidRPr="00446FEC">
        <w:rPr>
          <w:b/>
          <w:bCs/>
        </w:rPr>
        <w:t>3.2.32</w:t>
      </w:r>
      <w:r w:rsidR="002172E5" w:rsidRPr="00446FEC">
        <w:rPr>
          <w:b/>
          <w:bCs/>
        </w:rPr>
        <w:tab/>
        <w:t>t</w:t>
      </w:r>
      <w:r w:rsidRPr="00446FEC">
        <w:rPr>
          <w:b/>
          <w:bCs/>
        </w:rPr>
        <w:t>op-down (TD) cost model</w:t>
      </w:r>
      <w:r w:rsidRPr="00446FEC">
        <w:t>: Model that allocates audited financial accounts to services using routing/allocation keys, with efficiency adjustments where appropriate.</w:t>
      </w:r>
    </w:p>
    <w:p w14:paraId="4ECDC43D" w14:textId="5636291D" w:rsidR="00E023A0" w:rsidRPr="00446FEC" w:rsidRDefault="007E45C3" w:rsidP="002172E5">
      <w:pPr>
        <w:pStyle w:val="Note"/>
      </w:pPr>
      <w:r w:rsidRPr="00446FEC">
        <w:t xml:space="preserve">NOTE </w:t>
      </w:r>
      <w:r w:rsidRPr="00446FEC">
        <w:sym w:font="Symbol" w:char="F02D"/>
      </w:r>
      <w:r w:rsidRPr="00446FEC">
        <w:t xml:space="preserve"> This definition is based on [</w:t>
      </w:r>
      <w:r w:rsidR="00F8673B" w:rsidRPr="00446FEC">
        <w:t>b-</w:t>
      </w:r>
      <w:r w:rsidRPr="00446FEC">
        <w:t>ITU-D Regulatory].</w:t>
      </w:r>
    </w:p>
    <w:p w14:paraId="19F9AB94" w14:textId="511F0504" w:rsidR="007E45C3" w:rsidRPr="00446FEC" w:rsidRDefault="007E45C3" w:rsidP="007E45C3">
      <w:r w:rsidRPr="00446FEC">
        <w:rPr>
          <w:b/>
          <w:bCs/>
        </w:rPr>
        <w:t>3.2.33</w:t>
      </w:r>
      <w:r w:rsidR="001E7321" w:rsidRPr="00446FEC">
        <w:rPr>
          <w:b/>
          <w:bCs/>
        </w:rPr>
        <w:tab/>
        <w:t>t</w:t>
      </w:r>
      <w:r w:rsidRPr="00446FEC">
        <w:rPr>
          <w:b/>
          <w:bCs/>
        </w:rPr>
        <w:t>otal service LRIC (TSLRIC/TSLRIC+)</w:t>
      </w:r>
      <w:r w:rsidRPr="00446FEC">
        <w:t>: LRIC calculated at the whole-service level, optionally including common-cost markups.</w:t>
      </w:r>
    </w:p>
    <w:p w14:paraId="1A37FCCC" w14:textId="77777777" w:rsidR="007E45C3" w:rsidRPr="00446FEC" w:rsidRDefault="007E45C3" w:rsidP="001E7321">
      <w:pPr>
        <w:pStyle w:val="Note"/>
      </w:pPr>
      <w:r w:rsidRPr="00446FEC">
        <w:t xml:space="preserve">NOTE </w:t>
      </w:r>
      <w:r w:rsidRPr="00446FEC">
        <w:sym w:font="Symbol" w:char="F02D"/>
      </w:r>
      <w:r w:rsidRPr="00446FEC">
        <w:t xml:space="preserve"> This definition is based on [b-ITU-D Q4/1].</w:t>
      </w:r>
    </w:p>
    <w:p w14:paraId="70E9E224" w14:textId="2E3F65FC" w:rsidR="007E45C3" w:rsidRPr="00446FEC" w:rsidRDefault="007E45C3" w:rsidP="007E45C3">
      <w:r w:rsidRPr="00446FEC">
        <w:rPr>
          <w:b/>
          <w:bCs/>
        </w:rPr>
        <w:t>3.2.34</w:t>
      </w:r>
      <w:r w:rsidR="001E7321" w:rsidRPr="00446FEC">
        <w:rPr>
          <w:b/>
          <w:bCs/>
        </w:rPr>
        <w:tab/>
        <w:t>u</w:t>
      </w:r>
      <w:r w:rsidRPr="00446FEC">
        <w:rPr>
          <w:b/>
          <w:bCs/>
        </w:rPr>
        <w:t xml:space="preserve">niversal </w:t>
      </w:r>
      <w:r w:rsidR="001E7321" w:rsidRPr="00446FEC">
        <w:rPr>
          <w:b/>
          <w:bCs/>
        </w:rPr>
        <w:t>s</w:t>
      </w:r>
      <w:r w:rsidRPr="00446FEC">
        <w:rPr>
          <w:b/>
          <w:bCs/>
        </w:rPr>
        <w:t xml:space="preserve">ervice </w:t>
      </w:r>
      <w:r w:rsidR="001E7321" w:rsidRPr="00446FEC">
        <w:rPr>
          <w:b/>
          <w:bCs/>
        </w:rPr>
        <w:t>f</w:t>
      </w:r>
      <w:r w:rsidRPr="00446FEC">
        <w:rPr>
          <w:b/>
          <w:bCs/>
        </w:rPr>
        <w:t>und (USF)</w:t>
      </w:r>
      <w:r w:rsidRPr="00446FEC">
        <w:t>: Fund ensuring access to communications services for all users.</w:t>
      </w:r>
    </w:p>
    <w:p w14:paraId="57957C95" w14:textId="15F78AF1" w:rsidR="007E45C3" w:rsidRPr="00446FEC" w:rsidRDefault="007E45C3" w:rsidP="007E45C3">
      <w:r w:rsidRPr="00446FEC">
        <w:rPr>
          <w:b/>
          <w:bCs/>
        </w:rPr>
        <w:t>3.2.35</w:t>
      </w:r>
      <w:r w:rsidR="001E7321" w:rsidRPr="00446FEC">
        <w:rPr>
          <w:b/>
          <w:bCs/>
        </w:rPr>
        <w:tab/>
        <w:t>w</w:t>
      </w:r>
      <w:r w:rsidRPr="00446FEC">
        <w:rPr>
          <w:b/>
          <w:bCs/>
        </w:rPr>
        <w:t>eighted average cost of capital (WACC)</w:t>
      </w:r>
      <w:r w:rsidRPr="00446FEC">
        <w:t>: Blended cost of equity and debt used to annualize capital and set allowed returns.</w:t>
      </w:r>
    </w:p>
    <w:p w14:paraId="67952BDE" w14:textId="76D41160" w:rsidR="00E023A0" w:rsidRPr="00446FEC" w:rsidRDefault="007E45C3" w:rsidP="001E7321">
      <w:pPr>
        <w:pStyle w:val="Note"/>
      </w:pPr>
      <w:r w:rsidRPr="00446FEC">
        <w:t xml:space="preserve">NOTE </w:t>
      </w:r>
      <w:r w:rsidRPr="00446FEC">
        <w:sym w:font="Symbol" w:char="F02D"/>
      </w:r>
      <w:r w:rsidRPr="00446FEC">
        <w:t xml:space="preserve"> This definition is based on [</w:t>
      </w:r>
      <w:r w:rsidR="00F8673B" w:rsidRPr="00446FEC">
        <w:t>b-</w:t>
      </w:r>
      <w:r w:rsidRPr="00446FEC">
        <w:t>ITU-D Regulatory].</w:t>
      </w:r>
    </w:p>
    <w:p w14:paraId="1CD94390" w14:textId="5EF73421" w:rsidR="007E45C3" w:rsidRPr="00446FEC" w:rsidRDefault="007E45C3" w:rsidP="007E45C3">
      <w:r w:rsidRPr="00446FEC">
        <w:rPr>
          <w:b/>
          <w:bCs/>
        </w:rPr>
        <w:t>3.2.36</w:t>
      </w:r>
      <w:r w:rsidR="001E7321" w:rsidRPr="00446FEC">
        <w:rPr>
          <w:b/>
          <w:bCs/>
        </w:rPr>
        <w:tab/>
        <w:t>w</w:t>
      </w:r>
      <w:r w:rsidRPr="00446FEC">
        <w:rPr>
          <w:b/>
          <w:bCs/>
        </w:rPr>
        <w:t>holesale access</w:t>
      </w:r>
      <w:r w:rsidRPr="00446FEC">
        <w:t>: Third-party access to essential facilities/services to enable downstream competition.</w:t>
      </w:r>
    </w:p>
    <w:p w14:paraId="5601A036" w14:textId="40AB99E5" w:rsidR="007E45C3" w:rsidRPr="00446FEC" w:rsidRDefault="007E45C3" w:rsidP="001E7321">
      <w:pPr>
        <w:pStyle w:val="Note"/>
      </w:pPr>
      <w:r w:rsidRPr="00446FEC">
        <w:t xml:space="preserve">NOTE </w:t>
      </w:r>
      <w:r w:rsidRPr="00446FEC">
        <w:sym w:font="Symbol" w:char="F02D"/>
      </w:r>
      <w:r w:rsidRPr="00446FEC">
        <w:t xml:space="preserve"> This definition is based on [</w:t>
      </w:r>
      <w:r w:rsidR="00F8673B" w:rsidRPr="00446FEC">
        <w:t>b-</w:t>
      </w:r>
      <w:r w:rsidRPr="00446FEC">
        <w:t>ITU-D Regulatory].</w:t>
      </w:r>
    </w:p>
    <w:p w14:paraId="5F6B1965" w14:textId="77777777" w:rsidR="007E45C3" w:rsidRPr="00446FEC" w:rsidRDefault="007E45C3" w:rsidP="0071365C">
      <w:pPr>
        <w:pStyle w:val="Heading1"/>
        <w:rPr>
          <w:lang w:bidi="ar-DZ"/>
        </w:rPr>
      </w:pPr>
      <w:bookmarkStart w:id="42" w:name="_Toc209722311"/>
      <w:bookmarkStart w:id="43" w:name="_Toc239193536"/>
      <w:bookmarkStart w:id="44" w:name="_Toc239232780"/>
      <w:bookmarkStart w:id="45" w:name="_Toc239240547"/>
      <w:r w:rsidRPr="00446FEC">
        <w:rPr>
          <w:lang w:bidi="ar-DZ"/>
        </w:rPr>
        <w:t>4</w:t>
      </w:r>
      <w:r w:rsidRPr="00446FEC">
        <w:rPr>
          <w:lang w:bidi="ar-DZ"/>
        </w:rPr>
        <w:tab/>
        <w:t>Abbreviations</w:t>
      </w:r>
      <w:bookmarkEnd w:id="42"/>
      <w:bookmarkEnd w:id="43"/>
      <w:bookmarkEnd w:id="44"/>
      <w:bookmarkEnd w:id="45"/>
    </w:p>
    <w:p w14:paraId="2ABA33A0" w14:textId="77777777" w:rsidR="007E45C3" w:rsidRPr="00446FEC" w:rsidRDefault="007E45C3" w:rsidP="0071365C">
      <w:pPr>
        <w:rPr>
          <w:lang w:bidi="ar-DZ"/>
        </w:rPr>
      </w:pPr>
      <w:r w:rsidRPr="00446FEC">
        <w:rPr>
          <w:lang w:bidi="ar-DZ"/>
        </w:rPr>
        <w:t>This Technical Report uses the following abbreviations and acronyms:</w:t>
      </w:r>
    </w:p>
    <w:p w14:paraId="054F01D2" w14:textId="77777777" w:rsidR="0071365C" w:rsidRPr="00446FEC" w:rsidRDefault="0071365C" w:rsidP="0071365C">
      <w:pPr>
        <w:tabs>
          <w:tab w:val="clear" w:pos="794"/>
          <w:tab w:val="clear" w:pos="1191"/>
        </w:tabs>
        <w:rPr>
          <w:lang w:bidi="ar-DZ"/>
        </w:rPr>
      </w:pPr>
      <w:bookmarkStart w:id="46" w:name="_Toc189663692"/>
      <w:bookmarkStart w:id="47" w:name="_Toc189664813"/>
      <w:bookmarkStart w:id="48" w:name="_Toc189665362"/>
      <w:bookmarkStart w:id="49" w:name="_Toc189665777"/>
      <w:bookmarkStart w:id="50" w:name="_Toc189663695"/>
      <w:bookmarkStart w:id="51" w:name="_Toc189664816"/>
      <w:bookmarkStart w:id="52" w:name="_Toc189665365"/>
      <w:bookmarkStart w:id="53" w:name="_Toc189665780"/>
      <w:bookmarkStart w:id="54" w:name="_Toc189663698"/>
      <w:bookmarkStart w:id="55" w:name="_Toc189664819"/>
      <w:bookmarkStart w:id="56" w:name="_Toc189665368"/>
      <w:bookmarkStart w:id="57" w:name="_Toc189665783"/>
      <w:bookmarkStart w:id="58" w:name="_Toc189663701"/>
      <w:bookmarkStart w:id="59" w:name="_Toc189664822"/>
      <w:bookmarkStart w:id="60" w:name="_Toc189665371"/>
      <w:bookmarkStart w:id="61" w:name="_Toc189665786"/>
      <w:bookmarkStart w:id="62" w:name="_Toc189663704"/>
      <w:bookmarkStart w:id="63" w:name="_Toc189664825"/>
      <w:bookmarkStart w:id="64" w:name="_Toc189665374"/>
      <w:bookmarkStart w:id="65" w:name="_Toc189665789"/>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rsidRPr="00446FEC">
        <w:rPr>
          <w:lang w:bidi="ar-DZ"/>
        </w:rPr>
        <w:t>2G/3G/4G/5G</w:t>
      </w:r>
      <w:r w:rsidRPr="00446FEC">
        <w:rPr>
          <w:lang w:bidi="ar-DZ"/>
        </w:rPr>
        <w:tab/>
        <w:t>Mobile network generations</w:t>
      </w:r>
    </w:p>
    <w:p w14:paraId="4305840B" w14:textId="77777777" w:rsidR="0071365C" w:rsidRPr="00446FEC" w:rsidRDefault="0071365C" w:rsidP="0071365C">
      <w:pPr>
        <w:tabs>
          <w:tab w:val="clear" w:pos="794"/>
          <w:tab w:val="clear" w:pos="1191"/>
        </w:tabs>
        <w:rPr>
          <w:lang w:bidi="ar-DZ"/>
        </w:rPr>
      </w:pPr>
      <w:r w:rsidRPr="00446FEC">
        <w:rPr>
          <w:lang w:bidi="ar-DZ"/>
        </w:rPr>
        <w:t>3GPP</w:t>
      </w:r>
      <w:r w:rsidRPr="00446FEC">
        <w:rPr>
          <w:lang w:bidi="ar-DZ"/>
        </w:rPr>
        <w:tab/>
        <w:t>3rd Generation Partnership Project</w:t>
      </w:r>
    </w:p>
    <w:p w14:paraId="45A78106" w14:textId="77777777" w:rsidR="0071365C" w:rsidRPr="00446FEC" w:rsidRDefault="0071365C" w:rsidP="0071365C">
      <w:pPr>
        <w:tabs>
          <w:tab w:val="clear" w:pos="794"/>
          <w:tab w:val="clear" w:pos="1191"/>
        </w:tabs>
        <w:rPr>
          <w:lang w:bidi="ar-DZ"/>
        </w:rPr>
      </w:pPr>
      <w:r w:rsidRPr="00446FEC">
        <w:rPr>
          <w:lang w:bidi="ar-DZ"/>
        </w:rPr>
        <w:t>ABC</w:t>
      </w:r>
      <w:r w:rsidRPr="00446FEC">
        <w:rPr>
          <w:lang w:bidi="ar-DZ"/>
        </w:rPr>
        <w:tab/>
        <w:t>Activity-Based Costing</w:t>
      </w:r>
    </w:p>
    <w:p w14:paraId="460D93A7" w14:textId="77777777" w:rsidR="0071365C" w:rsidRPr="00446FEC" w:rsidRDefault="0071365C" w:rsidP="0071365C">
      <w:pPr>
        <w:tabs>
          <w:tab w:val="clear" w:pos="794"/>
          <w:tab w:val="clear" w:pos="1191"/>
        </w:tabs>
        <w:rPr>
          <w:lang w:bidi="ar-DZ"/>
        </w:rPr>
      </w:pPr>
      <w:r w:rsidRPr="00446FEC">
        <w:rPr>
          <w:lang w:bidi="ar-DZ"/>
        </w:rPr>
        <w:t>ADSL</w:t>
      </w:r>
      <w:r w:rsidRPr="00446FEC">
        <w:rPr>
          <w:lang w:bidi="ar-DZ"/>
        </w:rPr>
        <w:tab/>
        <w:t>Asymmetric Digital Subscriber Line</w:t>
      </w:r>
    </w:p>
    <w:p w14:paraId="11E64AA8" w14:textId="77777777" w:rsidR="0071365C" w:rsidRPr="00446FEC" w:rsidRDefault="0071365C" w:rsidP="0071365C">
      <w:pPr>
        <w:tabs>
          <w:tab w:val="clear" w:pos="794"/>
          <w:tab w:val="clear" w:pos="1191"/>
        </w:tabs>
        <w:rPr>
          <w:lang w:bidi="ar-DZ"/>
        </w:rPr>
      </w:pPr>
      <w:r w:rsidRPr="00446FEC">
        <w:rPr>
          <w:lang w:bidi="ar-DZ"/>
        </w:rPr>
        <w:t>AI</w:t>
      </w:r>
      <w:r w:rsidRPr="00446FEC">
        <w:rPr>
          <w:lang w:bidi="ar-DZ"/>
        </w:rPr>
        <w:tab/>
        <w:t>Artificial Intelligence</w:t>
      </w:r>
    </w:p>
    <w:p w14:paraId="4ACAD277" w14:textId="77777777" w:rsidR="0071365C" w:rsidRPr="00446FEC" w:rsidRDefault="0071365C" w:rsidP="0071365C">
      <w:pPr>
        <w:tabs>
          <w:tab w:val="clear" w:pos="794"/>
          <w:tab w:val="clear" w:pos="1191"/>
        </w:tabs>
        <w:rPr>
          <w:lang w:bidi="ar-DZ"/>
        </w:rPr>
      </w:pPr>
      <w:r w:rsidRPr="00446FEC">
        <w:rPr>
          <w:lang w:bidi="ar-DZ"/>
        </w:rPr>
        <w:t>ARPU</w:t>
      </w:r>
      <w:r w:rsidRPr="00446FEC">
        <w:rPr>
          <w:lang w:bidi="ar-DZ"/>
        </w:rPr>
        <w:tab/>
        <w:t>Average Revenue Per User</w:t>
      </w:r>
    </w:p>
    <w:p w14:paraId="61F90B5A" w14:textId="77777777" w:rsidR="0071365C" w:rsidRPr="00446FEC" w:rsidRDefault="0071365C" w:rsidP="0071365C">
      <w:pPr>
        <w:tabs>
          <w:tab w:val="clear" w:pos="794"/>
          <w:tab w:val="clear" w:pos="1191"/>
        </w:tabs>
        <w:rPr>
          <w:lang w:bidi="ar-DZ"/>
        </w:rPr>
      </w:pPr>
      <w:r w:rsidRPr="00446FEC">
        <w:rPr>
          <w:lang w:bidi="ar-DZ"/>
        </w:rPr>
        <w:t>BAK</w:t>
      </w:r>
      <w:r w:rsidRPr="00446FEC">
        <w:rPr>
          <w:lang w:bidi="ar-DZ"/>
        </w:rPr>
        <w:tab/>
        <w:t>Bill-and-Keep</w:t>
      </w:r>
    </w:p>
    <w:p w14:paraId="2A3559A8" w14:textId="77777777" w:rsidR="0071365C" w:rsidRPr="00446FEC" w:rsidRDefault="0071365C" w:rsidP="0071365C">
      <w:pPr>
        <w:tabs>
          <w:tab w:val="clear" w:pos="794"/>
          <w:tab w:val="clear" w:pos="1191"/>
        </w:tabs>
        <w:rPr>
          <w:lang w:bidi="ar-DZ"/>
        </w:rPr>
      </w:pPr>
      <w:r w:rsidRPr="00446FEC">
        <w:rPr>
          <w:lang w:bidi="ar-DZ"/>
        </w:rPr>
        <w:lastRenderedPageBreak/>
        <w:t>BSS</w:t>
      </w:r>
      <w:r w:rsidRPr="00446FEC">
        <w:rPr>
          <w:lang w:bidi="ar-DZ"/>
        </w:rPr>
        <w:tab/>
        <w:t>Business Support Systems</w:t>
      </w:r>
    </w:p>
    <w:p w14:paraId="5BBD5354" w14:textId="77777777" w:rsidR="0071365C" w:rsidRPr="00446FEC" w:rsidRDefault="0071365C" w:rsidP="0071365C">
      <w:pPr>
        <w:tabs>
          <w:tab w:val="clear" w:pos="794"/>
          <w:tab w:val="clear" w:pos="1191"/>
        </w:tabs>
        <w:rPr>
          <w:lang w:bidi="ar-DZ"/>
        </w:rPr>
      </w:pPr>
      <w:r w:rsidRPr="00446FEC">
        <w:rPr>
          <w:lang w:bidi="ar-DZ"/>
        </w:rPr>
        <w:t>BU</w:t>
      </w:r>
      <w:r w:rsidRPr="00446FEC">
        <w:rPr>
          <w:lang w:bidi="ar-DZ"/>
        </w:rPr>
        <w:tab/>
        <w:t>Bottom-Up (cost model)</w:t>
      </w:r>
    </w:p>
    <w:p w14:paraId="09329A6E" w14:textId="77777777" w:rsidR="0071365C" w:rsidRPr="00446FEC" w:rsidRDefault="0071365C" w:rsidP="0071365C">
      <w:pPr>
        <w:tabs>
          <w:tab w:val="clear" w:pos="794"/>
          <w:tab w:val="clear" w:pos="1191"/>
        </w:tabs>
        <w:rPr>
          <w:lang w:bidi="ar-DZ"/>
        </w:rPr>
      </w:pPr>
      <w:r w:rsidRPr="00446FEC">
        <w:rPr>
          <w:lang w:bidi="ar-DZ"/>
        </w:rPr>
        <w:t>CAPEX</w:t>
      </w:r>
      <w:r w:rsidRPr="00446FEC">
        <w:rPr>
          <w:lang w:bidi="ar-DZ"/>
        </w:rPr>
        <w:tab/>
        <w:t>Capital Expenditure</w:t>
      </w:r>
    </w:p>
    <w:p w14:paraId="755B2A6D" w14:textId="77777777" w:rsidR="0071365C" w:rsidRPr="00446FEC" w:rsidRDefault="0071365C" w:rsidP="0071365C">
      <w:pPr>
        <w:tabs>
          <w:tab w:val="clear" w:pos="794"/>
          <w:tab w:val="clear" w:pos="1191"/>
        </w:tabs>
        <w:rPr>
          <w:lang w:bidi="ar-DZ"/>
        </w:rPr>
      </w:pPr>
      <w:r w:rsidRPr="00446FEC">
        <w:rPr>
          <w:lang w:bidi="ar-DZ"/>
        </w:rPr>
        <w:t>CBC</w:t>
      </w:r>
      <w:r w:rsidRPr="00446FEC">
        <w:rPr>
          <w:lang w:bidi="ar-DZ"/>
        </w:rPr>
        <w:tab/>
        <w:t>Capacity-Based Costing</w:t>
      </w:r>
    </w:p>
    <w:p w14:paraId="457787D7" w14:textId="77777777" w:rsidR="0071365C" w:rsidRPr="00446FEC" w:rsidRDefault="0071365C" w:rsidP="0071365C">
      <w:pPr>
        <w:tabs>
          <w:tab w:val="clear" w:pos="794"/>
          <w:tab w:val="clear" w:pos="1191"/>
        </w:tabs>
        <w:rPr>
          <w:lang w:bidi="ar-DZ"/>
        </w:rPr>
      </w:pPr>
      <w:r w:rsidRPr="00446FEC">
        <w:rPr>
          <w:lang w:bidi="ar-DZ"/>
        </w:rPr>
        <w:t>CDR</w:t>
      </w:r>
      <w:r w:rsidRPr="00446FEC">
        <w:rPr>
          <w:lang w:bidi="ar-DZ"/>
        </w:rPr>
        <w:tab/>
        <w:t>Call Detail Record</w:t>
      </w:r>
    </w:p>
    <w:p w14:paraId="15A320D8" w14:textId="77777777" w:rsidR="0071365C" w:rsidRPr="00446FEC" w:rsidRDefault="0071365C" w:rsidP="0071365C">
      <w:pPr>
        <w:tabs>
          <w:tab w:val="clear" w:pos="794"/>
          <w:tab w:val="clear" w:pos="1191"/>
        </w:tabs>
        <w:rPr>
          <w:lang w:bidi="ar-DZ"/>
        </w:rPr>
      </w:pPr>
      <w:r w:rsidRPr="00446FEC">
        <w:rPr>
          <w:lang w:bidi="ar-DZ"/>
        </w:rPr>
        <w:t>CPP</w:t>
      </w:r>
      <w:r w:rsidRPr="00446FEC">
        <w:rPr>
          <w:lang w:bidi="ar-DZ"/>
        </w:rPr>
        <w:tab/>
        <w:t>Calling Party Pays</w:t>
      </w:r>
    </w:p>
    <w:p w14:paraId="2E2FBADD" w14:textId="77777777" w:rsidR="0071365C" w:rsidRPr="00446FEC" w:rsidRDefault="0071365C" w:rsidP="0071365C">
      <w:pPr>
        <w:tabs>
          <w:tab w:val="clear" w:pos="794"/>
          <w:tab w:val="clear" w:pos="1191"/>
        </w:tabs>
        <w:rPr>
          <w:lang w:bidi="ar-DZ"/>
        </w:rPr>
      </w:pPr>
      <w:r w:rsidRPr="00446FEC">
        <w:rPr>
          <w:lang w:bidi="ar-DZ"/>
        </w:rPr>
        <w:t>DC</w:t>
      </w:r>
      <w:r w:rsidRPr="00446FEC">
        <w:rPr>
          <w:lang w:bidi="ar-DZ"/>
        </w:rPr>
        <w:tab/>
        <w:t>Data Centre</w:t>
      </w:r>
    </w:p>
    <w:p w14:paraId="78207331" w14:textId="77777777" w:rsidR="0071365C" w:rsidRPr="00446FEC" w:rsidRDefault="0071365C" w:rsidP="0071365C">
      <w:pPr>
        <w:tabs>
          <w:tab w:val="clear" w:pos="794"/>
          <w:tab w:val="clear" w:pos="1191"/>
        </w:tabs>
        <w:rPr>
          <w:lang w:bidi="ar-DZ"/>
        </w:rPr>
      </w:pPr>
      <w:r w:rsidRPr="00446FEC">
        <w:rPr>
          <w:lang w:bidi="ar-DZ"/>
        </w:rPr>
        <w:t>EACO</w:t>
      </w:r>
      <w:r w:rsidRPr="00446FEC">
        <w:rPr>
          <w:lang w:bidi="ar-DZ"/>
        </w:rPr>
        <w:tab/>
        <w:t>East African Communications Organisation</w:t>
      </w:r>
    </w:p>
    <w:p w14:paraId="0FF026E0" w14:textId="77777777" w:rsidR="0071365C" w:rsidRPr="00446FEC" w:rsidRDefault="0071365C" w:rsidP="0071365C">
      <w:pPr>
        <w:tabs>
          <w:tab w:val="clear" w:pos="794"/>
          <w:tab w:val="clear" w:pos="1191"/>
        </w:tabs>
        <w:rPr>
          <w:lang w:bidi="ar-DZ"/>
        </w:rPr>
      </w:pPr>
      <w:r w:rsidRPr="00446FEC">
        <w:rPr>
          <w:lang w:bidi="ar-DZ"/>
        </w:rPr>
        <w:t>EBITDA</w:t>
      </w:r>
      <w:r w:rsidRPr="00446FEC">
        <w:rPr>
          <w:lang w:bidi="ar-DZ"/>
        </w:rPr>
        <w:tab/>
        <w:t>Earnings Before Interest, Taxes, Depreciation and Amortization</w:t>
      </w:r>
    </w:p>
    <w:p w14:paraId="0B100D76" w14:textId="77777777" w:rsidR="0071365C" w:rsidRPr="00446FEC" w:rsidRDefault="0071365C" w:rsidP="0071365C">
      <w:pPr>
        <w:tabs>
          <w:tab w:val="clear" w:pos="794"/>
          <w:tab w:val="clear" w:pos="1191"/>
        </w:tabs>
        <w:rPr>
          <w:lang w:bidi="ar-DZ"/>
        </w:rPr>
      </w:pPr>
      <w:r w:rsidRPr="00446FEC">
        <w:rPr>
          <w:lang w:bidi="ar-DZ"/>
        </w:rPr>
        <w:t>ECTEL</w:t>
      </w:r>
      <w:r w:rsidRPr="00446FEC">
        <w:rPr>
          <w:lang w:bidi="ar-DZ"/>
        </w:rPr>
        <w:tab/>
        <w:t>Eastern Caribbean Telecommunications Authority</w:t>
      </w:r>
    </w:p>
    <w:p w14:paraId="01E1102F" w14:textId="77777777" w:rsidR="0071365C" w:rsidRPr="00446FEC" w:rsidRDefault="0071365C" w:rsidP="0071365C">
      <w:pPr>
        <w:tabs>
          <w:tab w:val="clear" w:pos="794"/>
          <w:tab w:val="clear" w:pos="1191"/>
        </w:tabs>
        <w:rPr>
          <w:lang w:bidi="ar-DZ"/>
        </w:rPr>
      </w:pPr>
      <w:r w:rsidRPr="00446FEC">
        <w:rPr>
          <w:lang w:bidi="ar-DZ"/>
        </w:rPr>
        <w:t>EU</w:t>
      </w:r>
      <w:r w:rsidRPr="00446FEC">
        <w:rPr>
          <w:lang w:bidi="ar-DZ"/>
        </w:rPr>
        <w:tab/>
        <w:t>European Union</w:t>
      </w:r>
    </w:p>
    <w:p w14:paraId="323683E9" w14:textId="77777777" w:rsidR="0071365C" w:rsidRPr="00446FEC" w:rsidRDefault="0071365C" w:rsidP="0071365C">
      <w:pPr>
        <w:tabs>
          <w:tab w:val="clear" w:pos="794"/>
          <w:tab w:val="clear" w:pos="1191"/>
        </w:tabs>
        <w:rPr>
          <w:lang w:bidi="ar-DZ"/>
        </w:rPr>
      </w:pPr>
      <w:r w:rsidRPr="00446FEC">
        <w:rPr>
          <w:lang w:bidi="ar-DZ"/>
        </w:rPr>
        <w:t>FAC</w:t>
      </w:r>
      <w:r w:rsidRPr="00446FEC">
        <w:rPr>
          <w:lang w:bidi="ar-DZ"/>
        </w:rPr>
        <w:tab/>
        <w:t>Fully Allocated Cost</w:t>
      </w:r>
    </w:p>
    <w:p w14:paraId="706F5B42" w14:textId="77777777" w:rsidR="0071365C" w:rsidRPr="00446FEC" w:rsidRDefault="0071365C" w:rsidP="0071365C">
      <w:pPr>
        <w:tabs>
          <w:tab w:val="clear" w:pos="794"/>
          <w:tab w:val="clear" w:pos="1191"/>
        </w:tabs>
        <w:rPr>
          <w:lang w:bidi="ar-DZ"/>
        </w:rPr>
      </w:pPr>
      <w:r w:rsidRPr="00446FEC">
        <w:rPr>
          <w:lang w:bidi="ar-DZ"/>
        </w:rPr>
        <w:t>FCC</w:t>
      </w:r>
      <w:r w:rsidRPr="00446FEC">
        <w:rPr>
          <w:lang w:bidi="ar-DZ"/>
        </w:rPr>
        <w:tab/>
        <w:t>Federal Communications Commission (United States)</w:t>
      </w:r>
    </w:p>
    <w:p w14:paraId="7B0CED1B" w14:textId="77777777" w:rsidR="0071365C" w:rsidRPr="00446FEC" w:rsidRDefault="0071365C" w:rsidP="0071365C">
      <w:pPr>
        <w:tabs>
          <w:tab w:val="clear" w:pos="794"/>
          <w:tab w:val="clear" w:pos="1191"/>
        </w:tabs>
        <w:rPr>
          <w:lang w:bidi="ar-DZ"/>
        </w:rPr>
      </w:pPr>
      <w:r w:rsidRPr="00446FEC">
        <w:rPr>
          <w:lang w:bidi="ar-DZ"/>
        </w:rPr>
        <w:t>FDC</w:t>
      </w:r>
      <w:r w:rsidRPr="00446FEC">
        <w:rPr>
          <w:lang w:bidi="ar-DZ"/>
        </w:rPr>
        <w:tab/>
        <w:t>Fully Distributed Cost</w:t>
      </w:r>
    </w:p>
    <w:p w14:paraId="39F12802" w14:textId="77777777" w:rsidR="0071365C" w:rsidRPr="00446FEC" w:rsidRDefault="0071365C" w:rsidP="0071365C">
      <w:pPr>
        <w:tabs>
          <w:tab w:val="clear" w:pos="794"/>
          <w:tab w:val="clear" w:pos="1191"/>
        </w:tabs>
        <w:rPr>
          <w:lang w:bidi="ar-DZ"/>
        </w:rPr>
      </w:pPr>
      <w:r w:rsidRPr="00446FEC">
        <w:rPr>
          <w:lang w:bidi="ar-DZ"/>
        </w:rPr>
        <w:t>FGCD</w:t>
      </w:r>
      <w:r w:rsidRPr="00446FEC">
        <w:rPr>
          <w:lang w:bidi="ar-DZ"/>
        </w:rPr>
        <w:tab/>
        <w:t>Focus Group on Costing Data Services</w:t>
      </w:r>
    </w:p>
    <w:p w14:paraId="7398B0A9" w14:textId="77777777" w:rsidR="0071365C" w:rsidRPr="00446FEC" w:rsidRDefault="0071365C" w:rsidP="0071365C">
      <w:pPr>
        <w:tabs>
          <w:tab w:val="clear" w:pos="794"/>
          <w:tab w:val="clear" w:pos="1191"/>
        </w:tabs>
        <w:rPr>
          <w:lang w:bidi="ar-DZ"/>
        </w:rPr>
      </w:pPr>
      <w:r w:rsidRPr="00446FEC">
        <w:rPr>
          <w:lang w:bidi="ar-DZ"/>
        </w:rPr>
        <w:t>FSOC</w:t>
      </w:r>
      <w:r w:rsidRPr="00446FEC">
        <w:rPr>
          <w:lang w:bidi="ar-DZ"/>
        </w:rPr>
        <w:tab/>
        <w:t>Free Space Optics</w:t>
      </w:r>
    </w:p>
    <w:p w14:paraId="43BE3EBA" w14:textId="77777777" w:rsidR="0071365C" w:rsidRPr="00446FEC" w:rsidRDefault="0071365C" w:rsidP="0071365C">
      <w:pPr>
        <w:tabs>
          <w:tab w:val="clear" w:pos="794"/>
          <w:tab w:val="clear" w:pos="1191"/>
        </w:tabs>
        <w:rPr>
          <w:lang w:bidi="ar-DZ"/>
        </w:rPr>
      </w:pPr>
      <w:r w:rsidRPr="00446FEC">
        <w:rPr>
          <w:lang w:bidi="ar-DZ"/>
        </w:rPr>
        <w:t>FTTH</w:t>
      </w:r>
      <w:r w:rsidRPr="00446FEC">
        <w:rPr>
          <w:lang w:bidi="ar-DZ"/>
        </w:rPr>
        <w:tab/>
        <w:t>Fibre to the Home</w:t>
      </w:r>
    </w:p>
    <w:p w14:paraId="74793ECF" w14:textId="77777777" w:rsidR="0071365C" w:rsidRPr="00446FEC" w:rsidRDefault="0071365C" w:rsidP="0071365C">
      <w:pPr>
        <w:tabs>
          <w:tab w:val="clear" w:pos="794"/>
          <w:tab w:val="clear" w:pos="1191"/>
        </w:tabs>
        <w:rPr>
          <w:lang w:bidi="ar-DZ"/>
        </w:rPr>
      </w:pPr>
      <w:r w:rsidRPr="00446FEC">
        <w:rPr>
          <w:lang w:bidi="ar-DZ"/>
        </w:rPr>
        <w:t>FWA</w:t>
      </w:r>
      <w:r w:rsidRPr="00446FEC">
        <w:rPr>
          <w:lang w:bidi="ar-DZ"/>
        </w:rPr>
        <w:tab/>
        <w:t>Fixed Wireless Access</w:t>
      </w:r>
    </w:p>
    <w:p w14:paraId="6A6B71D9" w14:textId="77777777" w:rsidR="0071365C" w:rsidRPr="00446FEC" w:rsidRDefault="0071365C" w:rsidP="0071365C">
      <w:pPr>
        <w:tabs>
          <w:tab w:val="clear" w:pos="794"/>
          <w:tab w:val="clear" w:pos="1191"/>
        </w:tabs>
        <w:rPr>
          <w:lang w:bidi="ar-DZ"/>
        </w:rPr>
      </w:pPr>
      <w:r w:rsidRPr="00446FEC">
        <w:rPr>
          <w:lang w:bidi="ar-DZ"/>
        </w:rPr>
        <w:t>G&amp;A</w:t>
      </w:r>
      <w:r w:rsidRPr="00446FEC">
        <w:rPr>
          <w:lang w:bidi="ar-DZ"/>
        </w:rPr>
        <w:tab/>
        <w:t>General and Administrative</w:t>
      </w:r>
    </w:p>
    <w:p w14:paraId="36FB8C57" w14:textId="77777777" w:rsidR="0071365C" w:rsidRPr="00446FEC" w:rsidRDefault="0071365C" w:rsidP="0071365C">
      <w:pPr>
        <w:tabs>
          <w:tab w:val="clear" w:pos="794"/>
          <w:tab w:val="clear" w:pos="1191"/>
        </w:tabs>
        <w:rPr>
          <w:lang w:bidi="ar-DZ"/>
        </w:rPr>
      </w:pPr>
      <w:r w:rsidRPr="00446FEC">
        <w:rPr>
          <w:lang w:bidi="ar-DZ"/>
        </w:rPr>
        <w:t>GPON</w:t>
      </w:r>
      <w:r w:rsidRPr="00446FEC">
        <w:rPr>
          <w:lang w:bidi="ar-DZ"/>
        </w:rPr>
        <w:tab/>
        <w:t>Gigabit-capable Passive Optical Network</w:t>
      </w:r>
    </w:p>
    <w:p w14:paraId="6B43BEC5" w14:textId="77777777" w:rsidR="0071365C" w:rsidRPr="00446FEC" w:rsidRDefault="0071365C" w:rsidP="0071365C">
      <w:pPr>
        <w:tabs>
          <w:tab w:val="clear" w:pos="794"/>
          <w:tab w:val="clear" w:pos="1191"/>
        </w:tabs>
        <w:rPr>
          <w:lang w:bidi="ar-DZ"/>
        </w:rPr>
      </w:pPr>
      <w:r w:rsidRPr="00446FEC">
        <w:rPr>
          <w:lang w:bidi="ar-DZ"/>
        </w:rPr>
        <w:t>HFC</w:t>
      </w:r>
      <w:r w:rsidRPr="00446FEC">
        <w:rPr>
          <w:lang w:bidi="ar-DZ"/>
        </w:rPr>
        <w:tab/>
        <w:t>Hybrid Fibre-Coaxial</w:t>
      </w:r>
    </w:p>
    <w:p w14:paraId="20FA6B41" w14:textId="77777777" w:rsidR="0071365C" w:rsidRPr="00446FEC" w:rsidRDefault="0071365C" w:rsidP="0071365C">
      <w:pPr>
        <w:tabs>
          <w:tab w:val="clear" w:pos="794"/>
          <w:tab w:val="clear" w:pos="1191"/>
        </w:tabs>
        <w:rPr>
          <w:lang w:bidi="ar-DZ"/>
        </w:rPr>
      </w:pPr>
      <w:r w:rsidRPr="00446FEC">
        <w:rPr>
          <w:lang w:bidi="ar-DZ"/>
        </w:rPr>
        <w:t>HHI</w:t>
      </w:r>
      <w:r w:rsidRPr="00446FEC">
        <w:rPr>
          <w:lang w:bidi="ar-DZ"/>
        </w:rPr>
        <w:tab/>
        <w:t>Herfindahl–Hirschman Index</w:t>
      </w:r>
    </w:p>
    <w:p w14:paraId="41F14E71" w14:textId="77777777" w:rsidR="0071365C" w:rsidRPr="00446FEC" w:rsidRDefault="0071365C" w:rsidP="0071365C">
      <w:pPr>
        <w:tabs>
          <w:tab w:val="clear" w:pos="794"/>
          <w:tab w:val="clear" w:pos="1191"/>
        </w:tabs>
        <w:rPr>
          <w:lang w:bidi="ar-DZ"/>
        </w:rPr>
      </w:pPr>
      <w:r w:rsidRPr="00446FEC">
        <w:rPr>
          <w:lang w:bidi="ar-DZ"/>
        </w:rPr>
        <w:t>ICT</w:t>
      </w:r>
      <w:r w:rsidRPr="00446FEC">
        <w:rPr>
          <w:lang w:bidi="ar-DZ"/>
        </w:rPr>
        <w:tab/>
        <w:t>Information and Communication Technology</w:t>
      </w:r>
    </w:p>
    <w:p w14:paraId="615B16DF" w14:textId="77777777" w:rsidR="0071365C" w:rsidRPr="00446FEC" w:rsidRDefault="0071365C" w:rsidP="0071365C">
      <w:pPr>
        <w:tabs>
          <w:tab w:val="clear" w:pos="794"/>
          <w:tab w:val="clear" w:pos="1191"/>
        </w:tabs>
        <w:rPr>
          <w:lang w:bidi="ar-DZ"/>
        </w:rPr>
      </w:pPr>
      <w:r w:rsidRPr="00446FEC">
        <w:rPr>
          <w:lang w:bidi="ar-DZ"/>
        </w:rPr>
        <w:t>IoT</w:t>
      </w:r>
      <w:r w:rsidRPr="00446FEC">
        <w:rPr>
          <w:lang w:bidi="ar-DZ"/>
        </w:rPr>
        <w:tab/>
        <w:t>Internet of Things</w:t>
      </w:r>
    </w:p>
    <w:p w14:paraId="7E895056" w14:textId="77777777" w:rsidR="0071365C" w:rsidRPr="00446FEC" w:rsidRDefault="0071365C" w:rsidP="0071365C">
      <w:pPr>
        <w:tabs>
          <w:tab w:val="clear" w:pos="794"/>
          <w:tab w:val="clear" w:pos="1191"/>
        </w:tabs>
        <w:rPr>
          <w:lang w:bidi="ar-DZ"/>
        </w:rPr>
      </w:pPr>
      <w:r w:rsidRPr="00446FEC">
        <w:rPr>
          <w:lang w:bidi="ar-DZ"/>
        </w:rPr>
        <w:t>IP</w:t>
      </w:r>
      <w:r w:rsidRPr="00446FEC">
        <w:rPr>
          <w:lang w:bidi="ar-DZ"/>
        </w:rPr>
        <w:tab/>
        <w:t>Internet Protocol</w:t>
      </w:r>
    </w:p>
    <w:p w14:paraId="74DBDF96" w14:textId="77777777" w:rsidR="0071365C" w:rsidRPr="00446FEC" w:rsidRDefault="0071365C" w:rsidP="0071365C">
      <w:pPr>
        <w:tabs>
          <w:tab w:val="clear" w:pos="794"/>
          <w:tab w:val="clear" w:pos="1191"/>
        </w:tabs>
        <w:rPr>
          <w:lang w:bidi="ar-DZ"/>
        </w:rPr>
      </w:pPr>
      <w:r w:rsidRPr="00446FEC">
        <w:rPr>
          <w:lang w:bidi="ar-DZ"/>
        </w:rPr>
        <w:t>IP-MPLS</w:t>
      </w:r>
      <w:r w:rsidRPr="00446FEC">
        <w:rPr>
          <w:lang w:bidi="ar-DZ"/>
        </w:rPr>
        <w:tab/>
        <w:t>Internet Protocol - Multiprotocol Label Switching</w:t>
      </w:r>
    </w:p>
    <w:p w14:paraId="321D7082" w14:textId="77777777" w:rsidR="0071365C" w:rsidRPr="00446FEC" w:rsidRDefault="0071365C" w:rsidP="0071365C">
      <w:pPr>
        <w:tabs>
          <w:tab w:val="clear" w:pos="794"/>
          <w:tab w:val="clear" w:pos="1191"/>
        </w:tabs>
        <w:rPr>
          <w:lang w:bidi="ar-DZ"/>
        </w:rPr>
      </w:pPr>
      <w:r w:rsidRPr="00446FEC">
        <w:rPr>
          <w:lang w:bidi="ar-DZ"/>
        </w:rPr>
        <w:t>ISDN</w:t>
      </w:r>
      <w:r w:rsidRPr="00446FEC">
        <w:rPr>
          <w:lang w:bidi="ar-DZ"/>
        </w:rPr>
        <w:tab/>
        <w:t>Integrated Services Digital Network</w:t>
      </w:r>
    </w:p>
    <w:p w14:paraId="2E71FE2C" w14:textId="77777777" w:rsidR="0071365C" w:rsidRPr="00446FEC" w:rsidRDefault="0071365C" w:rsidP="0071365C">
      <w:pPr>
        <w:tabs>
          <w:tab w:val="clear" w:pos="794"/>
          <w:tab w:val="clear" w:pos="1191"/>
        </w:tabs>
        <w:rPr>
          <w:lang w:bidi="ar-DZ"/>
        </w:rPr>
      </w:pPr>
      <w:r w:rsidRPr="00446FEC">
        <w:rPr>
          <w:lang w:bidi="ar-DZ"/>
        </w:rPr>
        <w:t>IXP</w:t>
      </w:r>
      <w:r w:rsidRPr="00446FEC">
        <w:rPr>
          <w:lang w:bidi="ar-DZ"/>
        </w:rPr>
        <w:tab/>
        <w:t>Internet Exchange Point</w:t>
      </w:r>
    </w:p>
    <w:p w14:paraId="6630BABE" w14:textId="77777777" w:rsidR="0071365C" w:rsidRPr="00446FEC" w:rsidRDefault="0071365C" w:rsidP="0071365C">
      <w:pPr>
        <w:tabs>
          <w:tab w:val="clear" w:pos="794"/>
          <w:tab w:val="clear" w:pos="1191"/>
        </w:tabs>
        <w:rPr>
          <w:lang w:bidi="ar-DZ"/>
        </w:rPr>
      </w:pPr>
      <w:r w:rsidRPr="00446FEC">
        <w:rPr>
          <w:lang w:bidi="ar-DZ"/>
        </w:rPr>
        <w:t>KPI</w:t>
      </w:r>
      <w:r w:rsidRPr="00446FEC">
        <w:rPr>
          <w:lang w:bidi="ar-DZ"/>
        </w:rPr>
        <w:tab/>
        <w:t>Key Performance Indicator</w:t>
      </w:r>
    </w:p>
    <w:p w14:paraId="76790647" w14:textId="77777777" w:rsidR="0071365C" w:rsidRPr="00446FEC" w:rsidRDefault="0071365C" w:rsidP="0071365C">
      <w:pPr>
        <w:tabs>
          <w:tab w:val="clear" w:pos="794"/>
          <w:tab w:val="clear" w:pos="1191"/>
        </w:tabs>
        <w:rPr>
          <w:lang w:bidi="ar-DZ"/>
        </w:rPr>
      </w:pPr>
      <w:r w:rsidRPr="00446FEC">
        <w:rPr>
          <w:lang w:bidi="ar-DZ"/>
        </w:rPr>
        <w:t>LCC</w:t>
      </w:r>
      <w:r w:rsidRPr="00446FEC">
        <w:rPr>
          <w:lang w:bidi="ar-DZ"/>
        </w:rPr>
        <w:tab/>
        <w:t>Life-Cycle Costing</w:t>
      </w:r>
    </w:p>
    <w:p w14:paraId="1BF2CA48" w14:textId="77777777" w:rsidR="0071365C" w:rsidRPr="00446FEC" w:rsidRDefault="0071365C" w:rsidP="0071365C">
      <w:pPr>
        <w:tabs>
          <w:tab w:val="clear" w:pos="794"/>
          <w:tab w:val="clear" w:pos="1191"/>
        </w:tabs>
        <w:rPr>
          <w:lang w:bidi="ar-DZ"/>
        </w:rPr>
      </w:pPr>
      <w:r w:rsidRPr="00446FEC">
        <w:rPr>
          <w:lang w:bidi="ar-DZ"/>
        </w:rPr>
        <w:t>LEO</w:t>
      </w:r>
      <w:r w:rsidRPr="00446FEC">
        <w:rPr>
          <w:lang w:bidi="ar-DZ"/>
        </w:rPr>
        <w:tab/>
        <w:t>Low-Earth Orbit</w:t>
      </w:r>
    </w:p>
    <w:p w14:paraId="4C46E2A1" w14:textId="77777777" w:rsidR="0071365C" w:rsidRPr="00446FEC" w:rsidRDefault="0071365C" w:rsidP="0071365C">
      <w:pPr>
        <w:tabs>
          <w:tab w:val="clear" w:pos="794"/>
          <w:tab w:val="clear" w:pos="1191"/>
        </w:tabs>
        <w:rPr>
          <w:lang w:bidi="ar-DZ"/>
        </w:rPr>
      </w:pPr>
      <w:r w:rsidRPr="00446FEC">
        <w:rPr>
          <w:lang w:bidi="ar-DZ"/>
        </w:rPr>
        <w:t>LRAIC</w:t>
      </w:r>
      <w:r w:rsidRPr="00446FEC">
        <w:rPr>
          <w:lang w:bidi="ar-DZ"/>
        </w:rPr>
        <w:tab/>
        <w:t>Long-Run Average Incremental Cost</w:t>
      </w:r>
    </w:p>
    <w:p w14:paraId="56711659" w14:textId="77777777" w:rsidR="0071365C" w:rsidRPr="00446FEC" w:rsidRDefault="0071365C" w:rsidP="0071365C">
      <w:pPr>
        <w:tabs>
          <w:tab w:val="clear" w:pos="794"/>
          <w:tab w:val="clear" w:pos="1191"/>
        </w:tabs>
        <w:rPr>
          <w:lang w:bidi="ar-DZ"/>
        </w:rPr>
      </w:pPr>
      <w:r w:rsidRPr="00446FEC">
        <w:rPr>
          <w:lang w:bidi="ar-DZ"/>
        </w:rPr>
        <w:t>LRIC</w:t>
      </w:r>
      <w:r w:rsidRPr="00446FEC">
        <w:rPr>
          <w:lang w:bidi="ar-DZ"/>
        </w:rPr>
        <w:tab/>
        <w:t>Long-Run Incremental Cost</w:t>
      </w:r>
    </w:p>
    <w:p w14:paraId="4B7348B2" w14:textId="77777777" w:rsidR="0071365C" w:rsidRPr="00446FEC" w:rsidRDefault="0071365C" w:rsidP="0071365C">
      <w:pPr>
        <w:tabs>
          <w:tab w:val="clear" w:pos="794"/>
          <w:tab w:val="clear" w:pos="1191"/>
        </w:tabs>
        <w:rPr>
          <w:lang w:bidi="ar-DZ"/>
        </w:rPr>
      </w:pPr>
      <w:r w:rsidRPr="00446FEC">
        <w:rPr>
          <w:lang w:bidi="ar-DZ"/>
        </w:rPr>
        <w:t>LRIC+</w:t>
      </w:r>
      <w:r w:rsidRPr="00446FEC">
        <w:rPr>
          <w:lang w:bidi="ar-DZ"/>
        </w:rPr>
        <w:tab/>
        <w:t>LRIC plus common-cost markup</w:t>
      </w:r>
    </w:p>
    <w:p w14:paraId="20B8B1E1" w14:textId="77777777" w:rsidR="0071365C" w:rsidRPr="00446FEC" w:rsidRDefault="0071365C" w:rsidP="0071365C">
      <w:pPr>
        <w:tabs>
          <w:tab w:val="clear" w:pos="794"/>
          <w:tab w:val="clear" w:pos="1191"/>
        </w:tabs>
        <w:rPr>
          <w:lang w:bidi="ar-DZ"/>
        </w:rPr>
      </w:pPr>
      <w:r w:rsidRPr="00446FEC">
        <w:rPr>
          <w:lang w:bidi="ar-DZ"/>
        </w:rPr>
        <w:t>M2M</w:t>
      </w:r>
      <w:r w:rsidRPr="00446FEC">
        <w:rPr>
          <w:lang w:bidi="ar-DZ"/>
        </w:rPr>
        <w:tab/>
        <w:t>Machine-to-Machine</w:t>
      </w:r>
    </w:p>
    <w:p w14:paraId="688CB6B7" w14:textId="77777777" w:rsidR="0071365C" w:rsidRPr="00446FEC" w:rsidRDefault="0071365C" w:rsidP="0071365C">
      <w:pPr>
        <w:tabs>
          <w:tab w:val="clear" w:pos="794"/>
          <w:tab w:val="clear" w:pos="1191"/>
        </w:tabs>
        <w:rPr>
          <w:lang w:bidi="ar-DZ"/>
        </w:rPr>
      </w:pPr>
      <w:r w:rsidRPr="00446FEC">
        <w:rPr>
          <w:lang w:bidi="ar-DZ"/>
        </w:rPr>
        <w:t>ML</w:t>
      </w:r>
      <w:r w:rsidRPr="00446FEC">
        <w:rPr>
          <w:lang w:bidi="ar-DZ"/>
        </w:rPr>
        <w:tab/>
        <w:t>Machine Learning</w:t>
      </w:r>
    </w:p>
    <w:p w14:paraId="794A6A3C" w14:textId="77777777" w:rsidR="0071365C" w:rsidRPr="00446FEC" w:rsidRDefault="0071365C" w:rsidP="0071365C">
      <w:pPr>
        <w:tabs>
          <w:tab w:val="clear" w:pos="794"/>
          <w:tab w:val="clear" w:pos="1191"/>
        </w:tabs>
        <w:rPr>
          <w:lang w:bidi="ar-DZ"/>
        </w:rPr>
      </w:pPr>
      <w:r w:rsidRPr="00446FEC">
        <w:rPr>
          <w:lang w:bidi="ar-DZ"/>
        </w:rPr>
        <w:t>MNO</w:t>
      </w:r>
      <w:r w:rsidRPr="00446FEC">
        <w:rPr>
          <w:lang w:bidi="ar-DZ"/>
        </w:rPr>
        <w:tab/>
        <w:t>Mobile Network Operator</w:t>
      </w:r>
    </w:p>
    <w:p w14:paraId="36DA853F" w14:textId="77777777" w:rsidR="0071365C" w:rsidRPr="00446FEC" w:rsidRDefault="0071365C" w:rsidP="0071365C">
      <w:pPr>
        <w:tabs>
          <w:tab w:val="clear" w:pos="794"/>
          <w:tab w:val="clear" w:pos="1191"/>
        </w:tabs>
        <w:rPr>
          <w:lang w:bidi="ar-DZ"/>
        </w:rPr>
      </w:pPr>
      <w:r w:rsidRPr="00446FEC">
        <w:rPr>
          <w:lang w:bidi="ar-DZ"/>
        </w:rPr>
        <w:lastRenderedPageBreak/>
        <w:t>MTC</w:t>
      </w:r>
      <w:r w:rsidRPr="00446FEC">
        <w:rPr>
          <w:lang w:bidi="ar-DZ"/>
        </w:rPr>
        <w:tab/>
        <w:t>Mobile Termination Charge</w:t>
      </w:r>
    </w:p>
    <w:p w14:paraId="783688B1" w14:textId="77777777" w:rsidR="0071365C" w:rsidRPr="00446FEC" w:rsidRDefault="0071365C" w:rsidP="0071365C">
      <w:pPr>
        <w:tabs>
          <w:tab w:val="clear" w:pos="794"/>
          <w:tab w:val="clear" w:pos="1191"/>
        </w:tabs>
        <w:rPr>
          <w:lang w:bidi="ar-DZ"/>
        </w:rPr>
      </w:pPr>
      <w:r w:rsidRPr="00446FEC">
        <w:rPr>
          <w:lang w:bidi="ar-DZ"/>
        </w:rPr>
        <w:t>MVNO</w:t>
      </w:r>
      <w:r w:rsidRPr="00446FEC">
        <w:rPr>
          <w:lang w:bidi="ar-DZ"/>
        </w:rPr>
        <w:tab/>
        <w:t>Mobile Virtual Network Operator</w:t>
      </w:r>
    </w:p>
    <w:p w14:paraId="5F26E117" w14:textId="77777777" w:rsidR="0071365C" w:rsidRPr="00446FEC" w:rsidRDefault="0071365C" w:rsidP="0071365C">
      <w:pPr>
        <w:tabs>
          <w:tab w:val="clear" w:pos="794"/>
          <w:tab w:val="clear" w:pos="1191"/>
        </w:tabs>
        <w:rPr>
          <w:lang w:bidi="ar-DZ"/>
        </w:rPr>
      </w:pPr>
      <w:r w:rsidRPr="00446FEC">
        <w:rPr>
          <w:lang w:bidi="ar-DZ"/>
        </w:rPr>
        <w:t>NFV</w:t>
      </w:r>
      <w:r w:rsidRPr="00446FEC">
        <w:rPr>
          <w:lang w:bidi="ar-DZ"/>
        </w:rPr>
        <w:tab/>
        <w:t>Network Function Virtualization</w:t>
      </w:r>
    </w:p>
    <w:p w14:paraId="719613AF" w14:textId="77777777" w:rsidR="0071365C" w:rsidRPr="00446FEC" w:rsidRDefault="0071365C" w:rsidP="0071365C">
      <w:pPr>
        <w:tabs>
          <w:tab w:val="clear" w:pos="794"/>
          <w:tab w:val="clear" w:pos="1191"/>
        </w:tabs>
        <w:rPr>
          <w:lang w:bidi="ar-DZ"/>
        </w:rPr>
      </w:pPr>
      <w:r w:rsidRPr="00446FEC">
        <w:rPr>
          <w:lang w:bidi="ar-DZ"/>
        </w:rPr>
        <w:t>NTIA</w:t>
      </w:r>
      <w:r w:rsidRPr="00446FEC">
        <w:rPr>
          <w:lang w:bidi="ar-DZ"/>
        </w:rPr>
        <w:tab/>
        <w:t>National Telecommunications and Information Administration (United States)</w:t>
      </w:r>
    </w:p>
    <w:p w14:paraId="257E02BB" w14:textId="77777777" w:rsidR="0071365C" w:rsidRPr="00446FEC" w:rsidRDefault="0071365C" w:rsidP="0071365C">
      <w:pPr>
        <w:tabs>
          <w:tab w:val="clear" w:pos="794"/>
          <w:tab w:val="clear" w:pos="1191"/>
        </w:tabs>
        <w:rPr>
          <w:lang w:bidi="ar-DZ"/>
        </w:rPr>
      </w:pPr>
      <w:r w:rsidRPr="00446FEC">
        <w:rPr>
          <w:lang w:bidi="ar-DZ"/>
        </w:rPr>
        <w:t>O&amp;M</w:t>
      </w:r>
      <w:r w:rsidRPr="00446FEC">
        <w:rPr>
          <w:lang w:bidi="ar-DZ"/>
        </w:rPr>
        <w:tab/>
        <w:t>Operations and Maintenance</w:t>
      </w:r>
    </w:p>
    <w:p w14:paraId="6E3B97F9" w14:textId="77777777" w:rsidR="0071365C" w:rsidRPr="00446FEC" w:rsidRDefault="0071365C" w:rsidP="0071365C">
      <w:pPr>
        <w:tabs>
          <w:tab w:val="clear" w:pos="794"/>
          <w:tab w:val="clear" w:pos="1191"/>
        </w:tabs>
        <w:rPr>
          <w:lang w:bidi="ar-DZ"/>
        </w:rPr>
      </w:pPr>
      <w:r w:rsidRPr="00446FEC">
        <w:rPr>
          <w:lang w:bidi="ar-DZ"/>
        </w:rPr>
        <w:t>OFC</w:t>
      </w:r>
      <w:r w:rsidRPr="00446FEC">
        <w:rPr>
          <w:lang w:bidi="ar-DZ"/>
        </w:rPr>
        <w:tab/>
        <w:t>Optical Fibre Cable</w:t>
      </w:r>
    </w:p>
    <w:p w14:paraId="7F4215B4" w14:textId="77777777" w:rsidR="0071365C" w:rsidRPr="00446FEC" w:rsidRDefault="0071365C" w:rsidP="0071365C">
      <w:pPr>
        <w:tabs>
          <w:tab w:val="clear" w:pos="794"/>
          <w:tab w:val="clear" w:pos="1191"/>
        </w:tabs>
        <w:rPr>
          <w:lang w:bidi="ar-DZ"/>
        </w:rPr>
      </w:pPr>
      <w:r w:rsidRPr="00446FEC">
        <w:rPr>
          <w:lang w:bidi="ar-DZ"/>
        </w:rPr>
        <w:t>OPEX</w:t>
      </w:r>
      <w:r w:rsidRPr="00446FEC">
        <w:rPr>
          <w:lang w:bidi="ar-DZ"/>
        </w:rPr>
        <w:tab/>
        <w:t>Operating Expenditure</w:t>
      </w:r>
    </w:p>
    <w:p w14:paraId="25478A1C" w14:textId="77777777" w:rsidR="0071365C" w:rsidRPr="00446FEC" w:rsidRDefault="0071365C" w:rsidP="0071365C">
      <w:pPr>
        <w:tabs>
          <w:tab w:val="clear" w:pos="794"/>
          <w:tab w:val="clear" w:pos="1191"/>
        </w:tabs>
        <w:rPr>
          <w:lang w:bidi="ar-DZ"/>
        </w:rPr>
      </w:pPr>
      <w:r w:rsidRPr="00446FEC">
        <w:rPr>
          <w:lang w:bidi="ar-DZ"/>
        </w:rPr>
        <w:t>OSS</w:t>
      </w:r>
      <w:r w:rsidRPr="00446FEC">
        <w:rPr>
          <w:lang w:bidi="ar-DZ"/>
        </w:rPr>
        <w:tab/>
        <w:t>Operations Support Systems</w:t>
      </w:r>
    </w:p>
    <w:p w14:paraId="448A276B" w14:textId="77777777" w:rsidR="0071365C" w:rsidRPr="00446FEC" w:rsidRDefault="0071365C" w:rsidP="0071365C">
      <w:pPr>
        <w:tabs>
          <w:tab w:val="clear" w:pos="794"/>
          <w:tab w:val="clear" w:pos="1191"/>
        </w:tabs>
        <w:rPr>
          <w:lang w:bidi="ar-DZ"/>
        </w:rPr>
      </w:pPr>
      <w:r w:rsidRPr="00446FEC">
        <w:rPr>
          <w:lang w:bidi="ar-DZ"/>
        </w:rPr>
        <w:t>PGMC</w:t>
      </w:r>
      <w:r w:rsidRPr="00446FEC">
        <w:rPr>
          <w:lang w:bidi="ar-DZ"/>
        </w:rPr>
        <w:tab/>
        <w:t>General Plan of Competition Goals (Brazil)</w:t>
      </w:r>
    </w:p>
    <w:p w14:paraId="03170625" w14:textId="77777777" w:rsidR="0071365C" w:rsidRPr="00446FEC" w:rsidRDefault="0071365C" w:rsidP="0071365C">
      <w:pPr>
        <w:tabs>
          <w:tab w:val="clear" w:pos="794"/>
          <w:tab w:val="clear" w:pos="1191"/>
        </w:tabs>
        <w:rPr>
          <w:lang w:bidi="ar-DZ"/>
        </w:rPr>
      </w:pPr>
      <w:r w:rsidRPr="00446FEC">
        <w:rPr>
          <w:lang w:bidi="ar-DZ"/>
        </w:rPr>
        <w:t>PSTN</w:t>
      </w:r>
      <w:r w:rsidRPr="00446FEC">
        <w:rPr>
          <w:lang w:bidi="ar-DZ"/>
        </w:rPr>
        <w:tab/>
        <w:t>Public Switched Telephone Network</w:t>
      </w:r>
    </w:p>
    <w:p w14:paraId="25537DDA" w14:textId="77777777" w:rsidR="0071365C" w:rsidRPr="00446FEC" w:rsidRDefault="0071365C" w:rsidP="0071365C">
      <w:pPr>
        <w:tabs>
          <w:tab w:val="clear" w:pos="794"/>
          <w:tab w:val="clear" w:pos="1191"/>
        </w:tabs>
        <w:rPr>
          <w:lang w:bidi="ar-DZ"/>
        </w:rPr>
      </w:pPr>
      <w:r w:rsidRPr="00446FEC">
        <w:rPr>
          <w:lang w:bidi="ar-DZ"/>
        </w:rPr>
        <w:t>QoS</w:t>
      </w:r>
      <w:r w:rsidRPr="00446FEC">
        <w:rPr>
          <w:lang w:bidi="ar-DZ"/>
        </w:rPr>
        <w:tab/>
        <w:t>Quality of Service</w:t>
      </w:r>
    </w:p>
    <w:p w14:paraId="0F0FE7D2" w14:textId="77777777" w:rsidR="0071365C" w:rsidRPr="00446FEC" w:rsidRDefault="0071365C" w:rsidP="0071365C">
      <w:pPr>
        <w:tabs>
          <w:tab w:val="clear" w:pos="794"/>
          <w:tab w:val="clear" w:pos="1191"/>
        </w:tabs>
        <w:rPr>
          <w:lang w:bidi="ar-DZ"/>
        </w:rPr>
      </w:pPr>
      <w:r w:rsidRPr="00446FEC">
        <w:rPr>
          <w:lang w:bidi="ar-DZ"/>
        </w:rPr>
        <w:t>RAO</w:t>
      </w:r>
      <w:r w:rsidRPr="00446FEC">
        <w:rPr>
          <w:lang w:bidi="ar-DZ"/>
        </w:rPr>
        <w:tab/>
        <w:t>Reference Access Offer</w:t>
      </w:r>
    </w:p>
    <w:p w14:paraId="703D22AD" w14:textId="77777777" w:rsidR="0071365C" w:rsidRPr="00446FEC" w:rsidRDefault="0071365C" w:rsidP="0071365C">
      <w:pPr>
        <w:tabs>
          <w:tab w:val="clear" w:pos="794"/>
          <w:tab w:val="clear" w:pos="1191"/>
        </w:tabs>
        <w:rPr>
          <w:lang w:bidi="ar-DZ"/>
        </w:rPr>
      </w:pPr>
      <w:r w:rsidRPr="00446FEC">
        <w:rPr>
          <w:lang w:bidi="ar-DZ"/>
        </w:rPr>
        <w:t>RIO</w:t>
      </w:r>
      <w:r w:rsidRPr="00446FEC">
        <w:rPr>
          <w:lang w:bidi="ar-DZ"/>
        </w:rPr>
        <w:tab/>
        <w:t>Reference Interconnection Offer</w:t>
      </w:r>
    </w:p>
    <w:p w14:paraId="74683A4F" w14:textId="6B2C73C9" w:rsidR="0071365C" w:rsidRPr="00446FEC" w:rsidRDefault="0071365C" w:rsidP="0071365C">
      <w:pPr>
        <w:tabs>
          <w:tab w:val="clear" w:pos="794"/>
          <w:tab w:val="clear" w:pos="1191"/>
        </w:tabs>
        <w:rPr>
          <w:lang w:bidi="ar-DZ"/>
        </w:rPr>
      </w:pPr>
      <w:r w:rsidRPr="00446FEC">
        <w:rPr>
          <w:lang w:bidi="ar-DZ"/>
        </w:rPr>
        <w:t>ROI</w:t>
      </w:r>
      <w:r w:rsidRPr="00446FEC">
        <w:rPr>
          <w:lang w:bidi="ar-DZ"/>
        </w:rPr>
        <w:tab/>
        <w:t xml:space="preserve">Return </w:t>
      </w:r>
      <w:r w:rsidR="00C87687" w:rsidRPr="00446FEC">
        <w:rPr>
          <w:lang w:bidi="ar-DZ"/>
        </w:rPr>
        <w:t xml:space="preserve">on </w:t>
      </w:r>
      <w:r w:rsidRPr="00446FEC">
        <w:rPr>
          <w:lang w:bidi="ar-DZ"/>
        </w:rPr>
        <w:t>Investment</w:t>
      </w:r>
    </w:p>
    <w:p w14:paraId="5D91E574" w14:textId="77777777" w:rsidR="0071365C" w:rsidRPr="00446FEC" w:rsidRDefault="0071365C" w:rsidP="0071365C">
      <w:pPr>
        <w:tabs>
          <w:tab w:val="clear" w:pos="794"/>
          <w:tab w:val="clear" w:pos="1191"/>
        </w:tabs>
        <w:rPr>
          <w:lang w:bidi="ar-DZ"/>
        </w:rPr>
      </w:pPr>
      <w:r w:rsidRPr="00446FEC">
        <w:rPr>
          <w:lang w:bidi="ar-DZ"/>
        </w:rPr>
        <w:t>RTCA</w:t>
      </w:r>
      <w:r w:rsidRPr="00446FEC">
        <w:rPr>
          <w:lang w:bidi="ar-DZ"/>
        </w:rPr>
        <w:tab/>
        <w:t>Real-Time Cost Attribution</w:t>
      </w:r>
    </w:p>
    <w:p w14:paraId="411C7D9D" w14:textId="77777777" w:rsidR="0071365C" w:rsidRPr="00446FEC" w:rsidRDefault="0071365C" w:rsidP="0071365C">
      <w:pPr>
        <w:tabs>
          <w:tab w:val="clear" w:pos="794"/>
          <w:tab w:val="clear" w:pos="1191"/>
        </w:tabs>
        <w:rPr>
          <w:lang w:bidi="ar-DZ"/>
        </w:rPr>
      </w:pPr>
      <w:r w:rsidRPr="00446FEC">
        <w:rPr>
          <w:lang w:bidi="ar-DZ"/>
        </w:rPr>
        <w:t>SAC</w:t>
      </w:r>
      <w:r w:rsidRPr="00446FEC">
        <w:rPr>
          <w:lang w:bidi="ar-DZ"/>
        </w:rPr>
        <w:tab/>
        <w:t>Stand-Alone Cost</w:t>
      </w:r>
    </w:p>
    <w:p w14:paraId="7D0BCE24" w14:textId="77777777" w:rsidR="0071365C" w:rsidRPr="00446FEC" w:rsidRDefault="0071365C" w:rsidP="0071365C">
      <w:pPr>
        <w:tabs>
          <w:tab w:val="clear" w:pos="794"/>
          <w:tab w:val="clear" w:pos="1191"/>
        </w:tabs>
        <w:rPr>
          <w:lang w:bidi="ar-DZ"/>
        </w:rPr>
      </w:pPr>
      <w:r w:rsidRPr="00446FEC">
        <w:rPr>
          <w:lang w:bidi="ar-DZ"/>
        </w:rPr>
        <w:t>SDG 9</w:t>
      </w:r>
      <w:r w:rsidRPr="00446FEC">
        <w:rPr>
          <w:lang w:bidi="ar-DZ"/>
        </w:rPr>
        <w:tab/>
        <w:t>Sustainable Development Goal 9</w:t>
      </w:r>
    </w:p>
    <w:p w14:paraId="48F040AD" w14:textId="77777777" w:rsidR="0071365C" w:rsidRPr="00446FEC" w:rsidRDefault="0071365C" w:rsidP="0071365C">
      <w:pPr>
        <w:tabs>
          <w:tab w:val="clear" w:pos="794"/>
          <w:tab w:val="clear" w:pos="1191"/>
        </w:tabs>
        <w:rPr>
          <w:lang w:bidi="ar-DZ"/>
        </w:rPr>
      </w:pPr>
      <w:r w:rsidRPr="00446FEC">
        <w:rPr>
          <w:lang w:bidi="ar-DZ"/>
        </w:rPr>
        <w:t>SDN</w:t>
      </w:r>
      <w:r w:rsidRPr="00446FEC">
        <w:rPr>
          <w:lang w:bidi="ar-DZ"/>
        </w:rPr>
        <w:tab/>
        <w:t>Software-Defined Networking</w:t>
      </w:r>
    </w:p>
    <w:p w14:paraId="43EE0197" w14:textId="77777777" w:rsidR="0071365C" w:rsidRPr="00446FEC" w:rsidRDefault="0071365C" w:rsidP="0071365C">
      <w:pPr>
        <w:tabs>
          <w:tab w:val="clear" w:pos="794"/>
          <w:tab w:val="clear" w:pos="1191"/>
        </w:tabs>
        <w:rPr>
          <w:lang w:bidi="ar-DZ"/>
        </w:rPr>
      </w:pPr>
      <w:r w:rsidRPr="00446FEC">
        <w:rPr>
          <w:lang w:bidi="ar-DZ"/>
        </w:rPr>
        <w:t>SLA</w:t>
      </w:r>
      <w:r w:rsidRPr="00446FEC">
        <w:rPr>
          <w:lang w:bidi="ar-DZ"/>
        </w:rPr>
        <w:tab/>
        <w:t>Service-Level Agreement</w:t>
      </w:r>
    </w:p>
    <w:p w14:paraId="1CBFE868" w14:textId="77777777" w:rsidR="0071365C" w:rsidRPr="00446FEC" w:rsidRDefault="0071365C" w:rsidP="0071365C">
      <w:pPr>
        <w:tabs>
          <w:tab w:val="clear" w:pos="794"/>
          <w:tab w:val="clear" w:pos="1191"/>
        </w:tabs>
        <w:rPr>
          <w:lang w:bidi="ar-DZ"/>
        </w:rPr>
      </w:pPr>
      <w:r w:rsidRPr="00446FEC">
        <w:rPr>
          <w:lang w:bidi="ar-DZ"/>
        </w:rPr>
        <w:t>SMP</w:t>
      </w:r>
      <w:r w:rsidRPr="00446FEC">
        <w:rPr>
          <w:lang w:bidi="ar-DZ"/>
        </w:rPr>
        <w:tab/>
        <w:t>Significant Market Power</w:t>
      </w:r>
    </w:p>
    <w:p w14:paraId="09439C80" w14:textId="77777777" w:rsidR="0071365C" w:rsidRPr="00446FEC" w:rsidRDefault="0071365C" w:rsidP="0071365C">
      <w:pPr>
        <w:tabs>
          <w:tab w:val="clear" w:pos="794"/>
          <w:tab w:val="clear" w:pos="1191"/>
        </w:tabs>
        <w:rPr>
          <w:lang w:bidi="ar-DZ"/>
        </w:rPr>
      </w:pPr>
      <w:r w:rsidRPr="00446FEC">
        <w:rPr>
          <w:lang w:bidi="ar-DZ"/>
        </w:rPr>
        <w:t>SSNIP</w:t>
      </w:r>
      <w:r w:rsidRPr="00446FEC">
        <w:rPr>
          <w:lang w:bidi="ar-DZ"/>
        </w:rPr>
        <w:tab/>
        <w:t>Small but Significant Non-transitory Increase in Price</w:t>
      </w:r>
    </w:p>
    <w:p w14:paraId="01D78F41" w14:textId="77777777" w:rsidR="0071365C" w:rsidRPr="00446FEC" w:rsidRDefault="0071365C" w:rsidP="0071365C">
      <w:pPr>
        <w:tabs>
          <w:tab w:val="clear" w:pos="794"/>
          <w:tab w:val="clear" w:pos="1191"/>
        </w:tabs>
        <w:rPr>
          <w:lang w:bidi="ar-DZ"/>
        </w:rPr>
      </w:pPr>
      <w:r w:rsidRPr="00446FEC">
        <w:rPr>
          <w:lang w:bidi="ar-DZ"/>
        </w:rPr>
        <w:t>SUTEL</w:t>
      </w:r>
      <w:r w:rsidRPr="00446FEC">
        <w:rPr>
          <w:lang w:bidi="ar-DZ"/>
        </w:rPr>
        <w:tab/>
      </w:r>
      <w:proofErr w:type="spellStart"/>
      <w:r w:rsidRPr="00446FEC">
        <w:rPr>
          <w:lang w:bidi="ar-DZ"/>
        </w:rPr>
        <w:t>Superintendencia</w:t>
      </w:r>
      <w:proofErr w:type="spellEnd"/>
      <w:r w:rsidRPr="00446FEC">
        <w:rPr>
          <w:lang w:bidi="ar-DZ"/>
        </w:rPr>
        <w:t xml:space="preserve"> de Telecomunicaciones (Costa Rica)</w:t>
      </w:r>
    </w:p>
    <w:p w14:paraId="459F5F4B" w14:textId="77777777" w:rsidR="0071365C" w:rsidRPr="00446FEC" w:rsidRDefault="0071365C" w:rsidP="0071365C">
      <w:pPr>
        <w:tabs>
          <w:tab w:val="clear" w:pos="794"/>
          <w:tab w:val="clear" w:pos="1191"/>
        </w:tabs>
        <w:rPr>
          <w:lang w:bidi="ar-DZ"/>
        </w:rPr>
      </w:pPr>
      <w:r w:rsidRPr="00446FEC">
        <w:rPr>
          <w:lang w:bidi="ar-DZ"/>
        </w:rPr>
        <w:t>TD</w:t>
      </w:r>
      <w:r w:rsidRPr="00446FEC">
        <w:rPr>
          <w:lang w:bidi="ar-DZ"/>
        </w:rPr>
        <w:tab/>
        <w:t>Top-Down (cost model)</w:t>
      </w:r>
    </w:p>
    <w:p w14:paraId="0E17A04F" w14:textId="77777777" w:rsidR="0071365C" w:rsidRPr="00446FEC" w:rsidRDefault="0071365C" w:rsidP="0071365C">
      <w:pPr>
        <w:tabs>
          <w:tab w:val="clear" w:pos="794"/>
          <w:tab w:val="clear" w:pos="1191"/>
        </w:tabs>
        <w:rPr>
          <w:lang w:bidi="ar-DZ"/>
        </w:rPr>
      </w:pPr>
      <w:r w:rsidRPr="00446FEC">
        <w:rPr>
          <w:lang w:bidi="ar-DZ"/>
        </w:rPr>
        <w:t>TRAI</w:t>
      </w:r>
      <w:r w:rsidRPr="00446FEC">
        <w:rPr>
          <w:lang w:bidi="ar-DZ"/>
        </w:rPr>
        <w:tab/>
        <w:t>Telecom Regulatory Authority of India</w:t>
      </w:r>
    </w:p>
    <w:p w14:paraId="3B6DBBEF" w14:textId="77777777" w:rsidR="0071365C" w:rsidRPr="00446FEC" w:rsidRDefault="0071365C" w:rsidP="0071365C">
      <w:pPr>
        <w:tabs>
          <w:tab w:val="clear" w:pos="794"/>
          <w:tab w:val="clear" w:pos="1191"/>
        </w:tabs>
        <w:rPr>
          <w:lang w:bidi="ar-DZ"/>
        </w:rPr>
      </w:pPr>
      <w:r w:rsidRPr="00446FEC">
        <w:rPr>
          <w:lang w:bidi="ar-DZ"/>
        </w:rPr>
        <w:t>TRC</w:t>
      </w:r>
      <w:r w:rsidRPr="00446FEC">
        <w:rPr>
          <w:lang w:bidi="ar-DZ"/>
        </w:rPr>
        <w:tab/>
        <w:t>Telecommunications Regulatory Commission (Jordan)</w:t>
      </w:r>
    </w:p>
    <w:p w14:paraId="7BCF935E" w14:textId="77777777" w:rsidR="0071365C" w:rsidRPr="00446FEC" w:rsidRDefault="0071365C" w:rsidP="0071365C">
      <w:pPr>
        <w:tabs>
          <w:tab w:val="clear" w:pos="794"/>
          <w:tab w:val="clear" w:pos="1191"/>
        </w:tabs>
        <w:rPr>
          <w:lang w:bidi="ar-DZ"/>
        </w:rPr>
      </w:pPr>
      <w:r w:rsidRPr="00446FEC">
        <w:rPr>
          <w:lang w:bidi="ar-DZ"/>
        </w:rPr>
        <w:t>TSLRIC</w:t>
      </w:r>
      <w:r w:rsidRPr="00446FEC">
        <w:rPr>
          <w:lang w:bidi="ar-DZ"/>
        </w:rPr>
        <w:tab/>
        <w:t>Total Service Long-Run Incremental Cost</w:t>
      </w:r>
    </w:p>
    <w:p w14:paraId="65556B4B" w14:textId="77777777" w:rsidR="0071365C" w:rsidRPr="00446FEC" w:rsidRDefault="0071365C" w:rsidP="0071365C">
      <w:pPr>
        <w:tabs>
          <w:tab w:val="clear" w:pos="794"/>
          <w:tab w:val="clear" w:pos="1191"/>
        </w:tabs>
        <w:rPr>
          <w:lang w:bidi="ar-DZ"/>
        </w:rPr>
      </w:pPr>
      <w:r w:rsidRPr="00446FEC">
        <w:rPr>
          <w:lang w:bidi="ar-DZ"/>
        </w:rPr>
        <w:t>TSLRIC+</w:t>
      </w:r>
      <w:r w:rsidRPr="00446FEC">
        <w:rPr>
          <w:lang w:bidi="ar-DZ"/>
        </w:rPr>
        <w:tab/>
        <w:t>TSLRIC plus common-cost markup</w:t>
      </w:r>
    </w:p>
    <w:p w14:paraId="1901F6B0" w14:textId="77777777" w:rsidR="0071365C" w:rsidRPr="00446FEC" w:rsidRDefault="0071365C" w:rsidP="0071365C">
      <w:pPr>
        <w:tabs>
          <w:tab w:val="clear" w:pos="794"/>
          <w:tab w:val="clear" w:pos="1191"/>
        </w:tabs>
        <w:rPr>
          <w:lang w:bidi="ar-DZ"/>
        </w:rPr>
      </w:pPr>
      <w:r w:rsidRPr="00446FEC">
        <w:rPr>
          <w:lang w:bidi="ar-DZ"/>
        </w:rPr>
        <w:t>TSP</w:t>
      </w:r>
      <w:r w:rsidRPr="00446FEC">
        <w:rPr>
          <w:lang w:bidi="ar-DZ"/>
        </w:rPr>
        <w:tab/>
      </w:r>
      <w:r w:rsidRPr="00446FEC">
        <w:t>Telecom Service Provider</w:t>
      </w:r>
    </w:p>
    <w:p w14:paraId="7B617AA0" w14:textId="77777777" w:rsidR="0071365C" w:rsidRPr="00446FEC" w:rsidRDefault="0071365C" w:rsidP="0071365C">
      <w:pPr>
        <w:tabs>
          <w:tab w:val="clear" w:pos="794"/>
          <w:tab w:val="clear" w:pos="1191"/>
        </w:tabs>
        <w:rPr>
          <w:lang w:bidi="ar-DZ"/>
        </w:rPr>
      </w:pPr>
      <w:r w:rsidRPr="00446FEC">
        <w:rPr>
          <w:lang w:bidi="ar-DZ"/>
        </w:rPr>
        <w:t>UBR</w:t>
      </w:r>
      <w:r w:rsidRPr="00446FEC">
        <w:rPr>
          <w:lang w:bidi="ar-DZ"/>
        </w:rPr>
        <w:tab/>
        <w:t>Unlicensed Band Radio</w:t>
      </w:r>
    </w:p>
    <w:p w14:paraId="65AA5145" w14:textId="77777777" w:rsidR="0071365C" w:rsidRPr="00446FEC" w:rsidRDefault="0071365C" w:rsidP="0071365C">
      <w:pPr>
        <w:tabs>
          <w:tab w:val="clear" w:pos="794"/>
          <w:tab w:val="clear" w:pos="1191"/>
        </w:tabs>
        <w:rPr>
          <w:lang w:bidi="ar-DZ"/>
        </w:rPr>
      </w:pPr>
      <w:r w:rsidRPr="00446FEC">
        <w:rPr>
          <w:lang w:bidi="ar-DZ"/>
        </w:rPr>
        <w:t>USF</w:t>
      </w:r>
      <w:r w:rsidRPr="00446FEC">
        <w:rPr>
          <w:lang w:bidi="ar-DZ"/>
        </w:rPr>
        <w:tab/>
        <w:t>Universal Service Fund</w:t>
      </w:r>
    </w:p>
    <w:p w14:paraId="51FCBBBA" w14:textId="77777777" w:rsidR="0071365C" w:rsidRPr="00446FEC" w:rsidRDefault="0071365C" w:rsidP="0071365C">
      <w:pPr>
        <w:tabs>
          <w:tab w:val="clear" w:pos="794"/>
          <w:tab w:val="clear" w:pos="1191"/>
        </w:tabs>
        <w:rPr>
          <w:lang w:bidi="ar-DZ"/>
        </w:rPr>
      </w:pPr>
      <w:r w:rsidRPr="00446FEC">
        <w:rPr>
          <w:lang w:bidi="ar-DZ"/>
        </w:rPr>
        <w:t>VSAT</w:t>
      </w:r>
      <w:r w:rsidRPr="00446FEC">
        <w:rPr>
          <w:lang w:bidi="ar-DZ"/>
        </w:rPr>
        <w:tab/>
        <w:t>Very Small Aperture Terminal</w:t>
      </w:r>
    </w:p>
    <w:p w14:paraId="67BAAB7B" w14:textId="77777777" w:rsidR="0071365C" w:rsidRPr="00446FEC" w:rsidRDefault="0071365C" w:rsidP="0071365C">
      <w:pPr>
        <w:tabs>
          <w:tab w:val="clear" w:pos="794"/>
          <w:tab w:val="clear" w:pos="1191"/>
        </w:tabs>
        <w:rPr>
          <w:lang w:bidi="ar-DZ"/>
        </w:rPr>
      </w:pPr>
      <w:r w:rsidRPr="00446FEC">
        <w:rPr>
          <w:lang w:bidi="ar-DZ"/>
        </w:rPr>
        <w:t>WACC</w:t>
      </w:r>
      <w:r w:rsidRPr="00446FEC">
        <w:rPr>
          <w:lang w:bidi="ar-DZ"/>
        </w:rPr>
        <w:tab/>
        <w:t>Weighted Average Cost of Capital</w:t>
      </w:r>
    </w:p>
    <w:p w14:paraId="1AA7755A" w14:textId="61127CFA" w:rsidR="007E45C3" w:rsidRPr="00446FEC" w:rsidRDefault="007E45C3" w:rsidP="00A25BBB">
      <w:pPr>
        <w:pStyle w:val="Heading1"/>
        <w:rPr>
          <w:bCs/>
        </w:rPr>
      </w:pPr>
      <w:bookmarkStart w:id="66" w:name="_Toc209722312"/>
      <w:bookmarkStart w:id="67" w:name="_Toc239193537"/>
      <w:bookmarkStart w:id="68" w:name="_Toc239232781"/>
      <w:bookmarkStart w:id="69" w:name="_Toc239240548"/>
      <w:r w:rsidRPr="00446FEC">
        <w:t>5</w:t>
      </w:r>
      <w:r w:rsidR="007A42A4" w:rsidRPr="00446FEC">
        <w:tab/>
      </w:r>
      <w:r w:rsidRPr="00446FEC">
        <w:t>Introduction</w:t>
      </w:r>
      <w:bookmarkEnd w:id="66"/>
      <w:bookmarkEnd w:id="67"/>
      <w:bookmarkEnd w:id="68"/>
      <w:bookmarkEnd w:id="69"/>
    </w:p>
    <w:p w14:paraId="254DCC26" w14:textId="7C36BB78" w:rsidR="007E45C3" w:rsidRPr="00446FEC" w:rsidRDefault="007E45C3" w:rsidP="007E45C3">
      <w:r w:rsidRPr="00446FEC">
        <w:t xml:space="preserve">Sustainable </w:t>
      </w:r>
      <w:r w:rsidR="00A25BBB" w:rsidRPr="00446FEC">
        <w:t>d</w:t>
      </w:r>
      <w:r w:rsidRPr="00446FEC">
        <w:t xml:space="preserve">evelopment </w:t>
      </w:r>
      <w:r w:rsidR="00A25BBB" w:rsidRPr="00446FEC">
        <w:t>g</w:t>
      </w:r>
      <w:r w:rsidRPr="00446FEC">
        <w:t xml:space="preserve">oal 9 (SDG 9) calls on countries to build resilient infrastructure, promote inclusive and sustainable industrialization and foster innovation. Achieving these ambitions fundamentally depends on robust information and communication technology (ICT) networks. In a </w:t>
      </w:r>
      <w:r w:rsidRPr="00446FEC">
        <w:lastRenderedPageBreak/>
        <w:t>global economy where knowledge exchange is the currency of growth, fast, affordable and equitable access to data services is no longer optional. It is foundational.</w:t>
      </w:r>
    </w:p>
    <w:p w14:paraId="349D881A" w14:textId="4CFCB422" w:rsidR="007E45C3" w:rsidRPr="00446FEC" w:rsidRDefault="007E45C3" w:rsidP="007E45C3">
      <w:r w:rsidRPr="00446FEC">
        <w:t xml:space="preserve">Data is often described as the </w:t>
      </w:r>
      <w:r w:rsidR="00296649" w:rsidRPr="00446FEC">
        <w:t>"</w:t>
      </w:r>
      <w:r w:rsidRPr="00446FEC">
        <w:t>new oil</w:t>
      </w:r>
      <w:r w:rsidR="00296649" w:rsidRPr="00446FEC">
        <w:t>"</w:t>
      </w:r>
      <w:r w:rsidRPr="00446FEC">
        <w:t xml:space="preserve"> because it fuels entire sectors of innovation and future economic models. Artificial intelligence (AI), the Internet of things (IoT), digital finance, e-governance and countless emerging applications rely on the seamless flow of information. Without reliable, affordable connectivity, societies risk exclusion from these opportunities and widening the digital divide.</w:t>
      </w:r>
    </w:p>
    <w:p w14:paraId="1A7B0D10" w14:textId="77777777" w:rsidR="007E45C3" w:rsidRPr="00446FEC" w:rsidRDefault="007E45C3" w:rsidP="007E45C3">
      <w:r w:rsidRPr="00446FEC">
        <w:t>The provision of these services has shifted dramatically over the past two decades. What began as state-driven efforts to extend fixed networks and universal access has, in many countries, given way to competitive markets dominated by private players. This transition has brought efficiency, innovation and investment. It has also created new challenges. Policymakers now face the delicate task of ensuring that services remain affordable for consumers while still sustainable for providers who must invest in ever-evolving infrastructure.</w:t>
      </w:r>
    </w:p>
    <w:p w14:paraId="7DB0DA74" w14:textId="77777777" w:rsidR="007E45C3" w:rsidRPr="00446FEC" w:rsidRDefault="007E45C3" w:rsidP="007E45C3">
      <w:r w:rsidRPr="00446FEC">
        <w:t>Striking this balance requires a clear and structured understanding of the cost structures that underpin service delivery and an ability to translate that understanding into fair, transparent and forward-looking regulatory frameworks.</w:t>
      </w:r>
    </w:p>
    <w:p w14:paraId="04B98476" w14:textId="59687596" w:rsidR="007E45C3" w:rsidRPr="00446FEC" w:rsidRDefault="007E45C3" w:rsidP="00BE1DF9">
      <w:pPr>
        <w:pStyle w:val="Heading1"/>
        <w:rPr>
          <w:lang w:bidi="ar-DZ"/>
        </w:rPr>
      </w:pPr>
      <w:bookmarkStart w:id="70" w:name="_Toc209722313"/>
      <w:bookmarkStart w:id="71" w:name="_Toc239193538"/>
      <w:bookmarkStart w:id="72" w:name="_Toc239232782"/>
      <w:bookmarkStart w:id="73" w:name="_Toc239240549"/>
      <w:r w:rsidRPr="00446FEC">
        <w:t>6</w:t>
      </w:r>
      <w:r w:rsidR="00BE1DF9" w:rsidRPr="00446FEC">
        <w:tab/>
      </w:r>
      <w:r w:rsidRPr="00446FEC">
        <w:t>Importance of cost models for enabling affordable data services</w:t>
      </w:r>
      <w:bookmarkEnd w:id="70"/>
      <w:bookmarkEnd w:id="71"/>
      <w:bookmarkEnd w:id="72"/>
      <w:bookmarkEnd w:id="73"/>
      <w:r w:rsidRPr="00446FEC">
        <w:rPr>
          <w:lang w:bidi="ar-DZ"/>
        </w:rPr>
        <w:t xml:space="preserve"> </w:t>
      </w:r>
    </w:p>
    <w:p w14:paraId="5C1B6122" w14:textId="4273E2ED" w:rsidR="007E45C3" w:rsidRPr="00446FEC" w:rsidRDefault="007E45C3" w:rsidP="007E45C3">
      <w:r w:rsidRPr="00446FEC">
        <w:t>Cost models are the primary tools through which regulators and policymakers gain visibility into how telecommunication services are priced, what drives those costs and where intervention may be necessary. Originally designed as instruments for tariff regulation in capital-intensive and low-competition environments, they ensured that pricing reflected the true costs of service delivery while safeguarding operators</w:t>
      </w:r>
      <w:r w:rsidR="006E6D1D" w:rsidRPr="00446FEC">
        <w:t>'</w:t>
      </w:r>
      <w:r w:rsidRPr="00446FEC">
        <w:t xml:space="preserve"> ability to recover investments.</w:t>
      </w:r>
    </w:p>
    <w:p w14:paraId="216A2D05" w14:textId="77777777" w:rsidR="007E45C3" w:rsidRPr="00446FEC" w:rsidRDefault="007E45C3" w:rsidP="007E45C3">
      <w:r w:rsidRPr="00446FEC">
        <w:t>By breaking down the data delivery chain into international bandwidth, national backbone, last-mile access and customer-facing services, cost models allow regulators to identify cost drivers at each layer and design policies that support fair access and efficient competition. This layered visibility is increasingly critical as networks grow more complex, technologies converge and new services demand differentiated treatment.</w:t>
      </w:r>
    </w:p>
    <w:p w14:paraId="014DE03A" w14:textId="77777777" w:rsidR="007E45C3" w:rsidRPr="00446FEC" w:rsidRDefault="007E45C3" w:rsidP="007E45C3">
      <w:r w:rsidRPr="00446FEC">
        <w:t>While their role has shifted, the importance of cost models has not diminished. On the contrary, their continued evolution is vital in ensuring that the digital ecosystem remains affordable, inclusive and sustainable. They bring clarity to cost structures, discipline to pricing and fairness to access. These are the cornerstones for achieving the ambitions of SDG 9 and enabling the digital transformation of societies.</w:t>
      </w:r>
    </w:p>
    <w:p w14:paraId="239FC885" w14:textId="013EA779" w:rsidR="007E45C3" w:rsidRPr="00446FEC" w:rsidRDefault="007E45C3" w:rsidP="00BE1DF9">
      <w:pPr>
        <w:pStyle w:val="Heading1"/>
      </w:pPr>
      <w:bookmarkStart w:id="74" w:name="_Toc209722314"/>
      <w:bookmarkStart w:id="75" w:name="_Toc239193539"/>
      <w:bookmarkStart w:id="76" w:name="_Toc239232783"/>
      <w:bookmarkStart w:id="77" w:name="_Toc239240550"/>
      <w:r w:rsidRPr="00446FEC">
        <w:t>7</w:t>
      </w:r>
      <w:r w:rsidR="00BE1DF9" w:rsidRPr="00446FEC">
        <w:tab/>
      </w:r>
      <w:r w:rsidRPr="00446FEC">
        <w:t>Development of cost models</w:t>
      </w:r>
      <w:bookmarkEnd w:id="74"/>
      <w:bookmarkEnd w:id="75"/>
      <w:bookmarkEnd w:id="76"/>
      <w:bookmarkEnd w:id="77"/>
    </w:p>
    <w:p w14:paraId="43DC59AE" w14:textId="77777777" w:rsidR="007E45C3" w:rsidRPr="00446FEC" w:rsidRDefault="007E45C3" w:rsidP="00BE1DF9">
      <w:r w:rsidRPr="00446FEC">
        <w:t>Cost models have traditionally played a central role in telecommunication regulation, helping stakeholders understand how services are priced, which network elements drive costs, and where regulatory intervention may be needed. Originally developed to support tariff regulation in capital-intensive, low-competition markets, these models ensured that pricing reflected the true cost of service delivery while allowing operators to recover efficient investment.</w:t>
      </w:r>
    </w:p>
    <w:p w14:paraId="77693280" w14:textId="77777777" w:rsidR="007E45C3" w:rsidRPr="00446FEC" w:rsidRDefault="007E45C3" w:rsidP="00BE1DF9">
      <w:r w:rsidRPr="00446FEC">
        <w:t>As telecommunication markets have matured and become more competitive, the function of cost models has evolved. Their role today is less about strict retail price control and more about providing a structured framework for market oversight, affordability assessment and fair access. While they no longer determine retail tariffs in many countries, they remain critical in wholesale regulation, infrastructure sharing and emerging service areas where pricing risks and bottlenecks persist.</w:t>
      </w:r>
    </w:p>
    <w:p w14:paraId="179CE4A1" w14:textId="77777777" w:rsidR="00BE1DF9" w:rsidRPr="00446FEC" w:rsidRDefault="007E45C3" w:rsidP="00BE1DF9">
      <w:r w:rsidRPr="00446FEC">
        <w:t xml:space="preserve">Developing a cost model requires a detailed understanding of how services are delivered across different layers of the network: international bandwidth, national backbone, last-mile access and customer-facing services. It also requires careful design choices about how costs are measured, </w:t>
      </w:r>
      <w:r w:rsidRPr="00446FEC">
        <w:lastRenderedPageBreak/>
        <w:t>allocated and benchmarked. Drawing from [b-</w:t>
      </w:r>
      <w:r w:rsidRPr="00446FEC">
        <w:rPr>
          <w:rStyle w:val="Hyperlink"/>
          <w:color w:val="000000" w:themeColor="text1"/>
          <w:u w:val="none"/>
        </w:rPr>
        <w:t>ITU-D Q4/1</w:t>
      </w:r>
      <w:r w:rsidRPr="00446FEC">
        <w:t>], key dimensions that influence model design include:</w:t>
      </w:r>
    </w:p>
    <w:p w14:paraId="48EEA85E" w14:textId="055E64DC" w:rsidR="00BE1DF9" w:rsidRPr="00446FEC" w:rsidRDefault="007E45C3" w:rsidP="00BE1DF9">
      <w:pPr>
        <w:pStyle w:val="enumlev1"/>
      </w:pPr>
      <w:r w:rsidRPr="00446FEC">
        <w:t>a)</w:t>
      </w:r>
      <w:r w:rsidR="00BE1DF9" w:rsidRPr="00446FEC">
        <w:tab/>
      </w:r>
      <w:r w:rsidRPr="00446FEC">
        <w:t>Costing approaches</w:t>
      </w:r>
    </w:p>
    <w:p w14:paraId="71686C18" w14:textId="26003700" w:rsidR="00BE1DF9" w:rsidRPr="00446FEC" w:rsidRDefault="007E45C3" w:rsidP="00BE1DF9">
      <w:pPr>
        <w:pStyle w:val="enumlev1"/>
      </w:pPr>
      <w:r w:rsidRPr="00446FEC">
        <w:t>b)</w:t>
      </w:r>
      <w:r w:rsidR="001C72B4" w:rsidRPr="00446FEC">
        <w:tab/>
      </w:r>
      <w:r w:rsidRPr="00446FEC">
        <w:t>Cost standards</w:t>
      </w:r>
    </w:p>
    <w:p w14:paraId="15829BE2" w14:textId="5A4AC206" w:rsidR="00BE1DF9" w:rsidRPr="00446FEC" w:rsidRDefault="007E45C3" w:rsidP="00BE1DF9">
      <w:pPr>
        <w:pStyle w:val="enumlev1"/>
      </w:pPr>
      <w:r w:rsidRPr="00446FEC">
        <w:t>c)</w:t>
      </w:r>
      <w:r w:rsidR="001C72B4" w:rsidRPr="00446FEC">
        <w:tab/>
      </w:r>
      <w:r w:rsidRPr="00446FEC">
        <w:t>Cost elements</w:t>
      </w:r>
    </w:p>
    <w:p w14:paraId="120EB548" w14:textId="4FB7899F" w:rsidR="00BE1DF9" w:rsidRPr="00446FEC" w:rsidRDefault="007E45C3" w:rsidP="00BE1DF9">
      <w:pPr>
        <w:pStyle w:val="enumlev1"/>
      </w:pPr>
      <w:r w:rsidRPr="00446FEC">
        <w:t>d)</w:t>
      </w:r>
      <w:r w:rsidR="001C72B4" w:rsidRPr="00446FEC">
        <w:tab/>
      </w:r>
      <w:r w:rsidRPr="00446FEC">
        <w:t>Treatment of capital-related costs</w:t>
      </w:r>
    </w:p>
    <w:p w14:paraId="7111AFF6" w14:textId="3A49F9B7" w:rsidR="00BE1DF9" w:rsidRPr="00446FEC" w:rsidRDefault="007E45C3" w:rsidP="00BE1DF9">
      <w:pPr>
        <w:pStyle w:val="enumlev1"/>
      </w:pPr>
      <w:r w:rsidRPr="00446FEC">
        <w:t>e)</w:t>
      </w:r>
      <w:r w:rsidR="001C72B4" w:rsidRPr="00446FEC">
        <w:tab/>
      </w:r>
      <w:r w:rsidRPr="00446FEC">
        <w:t>Treatment of revenues</w:t>
      </w:r>
    </w:p>
    <w:p w14:paraId="73847FC8" w14:textId="1B66E632" w:rsidR="00BE1DF9" w:rsidRPr="00446FEC" w:rsidRDefault="007E45C3" w:rsidP="00BE1DF9">
      <w:pPr>
        <w:pStyle w:val="enumlev1"/>
      </w:pPr>
      <w:r w:rsidRPr="00446FEC">
        <w:t>f)</w:t>
      </w:r>
      <w:r w:rsidR="001C72B4" w:rsidRPr="00446FEC">
        <w:tab/>
      </w:r>
      <w:r w:rsidRPr="00446FEC">
        <w:t>Definition of the reference operator</w:t>
      </w:r>
    </w:p>
    <w:p w14:paraId="763D5B77" w14:textId="08E64AE6" w:rsidR="00BE1DF9" w:rsidRPr="00446FEC" w:rsidRDefault="007E45C3" w:rsidP="00BE1DF9">
      <w:pPr>
        <w:pStyle w:val="enumlev1"/>
      </w:pPr>
      <w:r w:rsidRPr="00446FEC">
        <w:t>g)</w:t>
      </w:r>
      <w:r w:rsidR="001C72B4" w:rsidRPr="00446FEC">
        <w:tab/>
      </w:r>
      <w:r w:rsidRPr="00446FEC">
        <w:t>Services and increments</w:t>
      </w:r>
    </w:p>
    <w:p w14:paraId="19C34932" w14:textId="010D3C4C" w:rsidR="007E45C3" w:rsidRPr="00446FEC" w:rsidRDefault="00F8673B" w:rsidP="00BE1DF9">
      <w:pPr>
        <w:pStyle w:val="enumlev1"/>
      </w:pPr>
      <w:r w:rsidRPr="00446FEC">
        <w:t>h</w:t>
      </w:r>
      <w:r w:rsidR="007E45C3" w:rsidRPr="00446FEC">
        <w:t>)</w:t>
      </w:r>
      <w:r w:rsidR="001C72B4" w:rsidRPr="00446FEC">
        <w:tab/>
      </w:r>
      <w:r w:rsidR="007E45C3" w:rsidRPr="00446FEC">
        <w:t>Geographical modelling</w:t>
      </w:r>
      <w:r w:rsidR="006221FB" w:rsidRPr="00446FEC">
        <w:t>.</w:t>
      </w:r>
    </w:p>
    <w:p w14:paraId="73DBBDD5" w14:textId="77777777" w:rsidR="007E45C3" w:rsidRPr="00446FEC" w:rsidRDefault="007E45C3" w:rsidP="006221FB">
      <w:r w:rsidRPr="00446FEC">
        <w:t>While these design elements represent international best practices, their application varies by regulatory context, data availability and capacity. Not all models include every parameter; regulators typically prioritize based on local market needs and available information.</w:t>
      </w:r>
    </w:p>
    <w:p w14:paraId="500E76D6" w14:textId="77777777" w:rsidR="007E45C3" w:rsidRPr="00446FEC" w:rsidRDefault="007E45C3" w:rsidP="006221FB">
      <w:pPr>
        <w:rPr>
          <w:color w:val="000000" w:themeColor="text1"/>
        </w:rPr>
      </w:pPr>
      <w:r w:rsidRPr="00446FEC">
        <w:rPr>
          <w:color w:val="000000" w:themeColor="text1"/>
        </w:rPr>
        <w:t>Regulators may also combine model results with market data, including revenues and retail prices, to perform broader regulatory tests such as margin-squeeze or imputation analysis.</w:t>
      </w:r>
    </w:p>
    <w:p w14:paraId="55F1BD4B" w14:textId="77777777" w:rsidR="007E45C3" w:rsidRPr="00446FEC" w:rsidRDefault="007E45C3" w:rsidP="006221FB">
      <w:pPr>
        <w:rPr>
          <w:color w:val="000000" w:themeColor="text1"/>
        </w:rPr>
      </w:pPr>
      <w:r w:rsidRPr="00446FEC">
        <w:rPr>
          <w:color w:val="000000" w:themeColor="text1"/>
        </w:rPr>
        <w:t>In wholesale markets, where a small number of players may control essential facilities, cost models remain central. They are applied to set access charges, evaluate interconnection disputes and prevent anticompetitive pricing. In this context, cost models provide transparency, ensure discipline in pricing and safeguard investment incentives.</w:t>
      </w:r>
    </w:p>
    <w:p w14:paraId="35F7C003" w14:textId="77777777" w:rsidR="007E45C3" w:rsidRPr="00446FEC" w:rsidRDefault="007E45C3" w:rsidP="006221FB">
      <w:pPr>
        <w:rPr>
          <w:color w:val="000000" w:themeColor="text1"/>
        </w:rPr>
      </w:pPr>
      <w:r w:rsidRPr="00446FEC">
        <w:rPr>
          <w:color w:val="000000" w:themeColor="text1"/>
        </w:rPr>
        <w:t>Given the layered nature of Internet service delivery, spanning international bandwidth, national backbone, last-mile access and customer-facing services, cost models help break down these components to identify key cost drivers and inform pricing strategies appropriate to each level.</w:t>
      </w:r>
    </w:p>
    <w:p w14:paraId="7C8DFDCA" w14:textId="77777777" w:rsidR="007E45C3" w:rsidRPr="00446FEC" w:rsidRDefault="007E45C3" w:rsidP="007E45C3">
      <w:pPr>
        <w:rPr>
          <w:color w:val="000000" w:themeColor="text1"/>
        </w:rPr>
      </w:pPr>
      <w:r w:rsidRPr="00446FEC">
        <w:rPr>
          <w:color w:val="000000" w:themeColor="text1"/>
        </w:rPr>
        <w:t>Cost models are no longer one-size-fits-all tools. Their design and application must be tailored to market maturity, technology evolution and regulatory priorities. Yet their core function remains unchanged: to bring clarity to cost, discipline to pricing and fairness to access.</w:t>
      </w:r>
    </w:p>
    <w:p w14:paraId="6E4E3241" w14:textId="77777777" w:rsidR="007E45C3" w:rsidRPr="00446FEC" w:rsidRDefault="007E45C3" w:rsidP="00E8765D">
      <w:pPr>
        <w:pStyle w:val="Heading1"/>
      </w:pPr>
      <w:bookmarkStart w:id="78" w:name="_Toc209722315"/>
      <w:bookmarkStart w:id="79" w:name="_Toc239193540"/>
      <w:bookmarkStart w:id="80" w:name="_Toc239232784"/>
      <w:bookmarkStart w:id="81" w:name="_Toc239240551"/>
      <w:r w:rsidRPr="00446FEC">
        <w:t>8</w:t>
      </w:r>
      <w:r w:rsidRPr="00446FEC">
        <w:tab/>
        <w:t>Costing approaches</w:t>
      </w:r>
      <w:bookmarkEnd w:id="78"/>
      <w:bookmarkEnd w:id="79"/>
      <w:bookmarkEnd w:id="80"/>
      <w:bookmarkEnd w:id="81"/>
    </w:p>
    <w:p w14:paraId="48EADBD4" w14:textId="77777777" w:rsidR="007E45C3" w:rsidRPr="00446FEC" w:rsidRDefault="007E45C3" w:rsidP="00E8765D">
      <w:r w:rsidRPr="00446FEC">
        <w:t>From a high-level perspective, three main approaches are commonly used for telecommunication cost modelling.</w:t>
      </w:r>
    </w:p>
    <w:p w14:paraId="7500235D" w14:textId="037DD752" w:rsidR="007E45C3" w:rsidRPr="00446FEC" w:rsidRDefault="007E45C3" w:rsidP="00E8765D">
      <w:r w:rsidRPr="00446FEC">
        <w:rPr>
          <w:b/>
          <w:bCs/>
        </w:rPr>
        <w:t>Top-down cost models</w:t>
      </w:r>
      <w:r w:rsidRPr="00446FEC">
        <w:t xml:space="preserve"> are developed using financial data from an operator</w:t>
      </w:r>
      <w:r w:rsidR="006E6D1D" w:rsidRPr="00446FEC">
        <w:t>'</w:t>
      </w:r>
      <w:r w:rsidRPr="00446FEC">
        <w:t>s audited accounts, allocating existing costs across services and network elements. They are relatively quick to implement and provide transparency and auditability, but if not adjusted, they may embed historical inefficiencies.</w:t>
      </w:r>
    </w:p>
    <w:p w14:paraId="21598E57" w14:textId="77777777" w:rsidR="007E45C3" w:rsidRPr="00446FEC" w:rsidRDefault="007E45C3" w:rsidP="007E45C3">
      <w:pPr>
        <w:spacing w:before="0" w:after="160" w:line="259" w:lineRule="auto"/>
      </w:pPr>
      <w:r w:rsidRPr="00446FEC">
        <w:rPr>
          <w:b/>
          <w:bCs/>
        </w:rPr>
        <w:t>Bottom-up cost models</w:t>
      </w:r>
      <w:r w:rsidRPr="00446FEC">
        <w:t xml:space="preserve"> are constructed using engineering and economic inputs such as demand forecasts, coverage targets and technology specifications. They design an efficient network from scratch to meet service requirements, applying algorithms to dimension resources and estimate costs. While more data-intensive, bottom-up models are forward-looking and can simulate optimal network scenarios.</w:t>
      </w:r>
    </w:p>
    <w:p w14:paraId="03B65449" w14:textId="77777777" w:rsidR="007E45C3" w:rsidRPr="00446FEC" w:rsidRDefault="007E45C3" w:rsidP="00DD7E61">
      <w:r w:rsidRPr="00446FEC">
        <w:rPr>
          <w:b/>
          <w:bCs/>
        </w:rPr>
        <w:t>Hybrid cost models</w:t>
      </w:r>
      <w:r w:rsidRPr="00446FEC">
        <w:t xml:space="preserve"> combine elements of both approaches. They draw on the realism of top-down financial data while incorporating the efficiency assumptions of bottom-up network design. Hybrid models are increasingly relevant as telecommunication markets face complexity: the coexistence of multiple access technologies (2G, 3G, 4G, 5G, fibre), the transition from fixed to mobile, the proliferation of Internet protocol (IP)-based applications with diverse resource demands and the rise of infrastructure sharing or national roaming obligations.</w:t>
      </w:r>
    </w:p>
    <w:p w14:paraId="04CC1C3C" w14:textId="77777777" w:rsidR="007E45C3" w:rsidRPr="00446FEC" w:rsidRDefault="007E45C3" w:rsidP="005156D5">
      <w:r w:rsidRPr="00446FEC">
        <w:lastRenderedPageBreak/>
        <w:t>Hybrid models frequently incorporate activity-based costing (ABC) to allocate costs according to actual drivers of resource use. They apply distribution keys and routing factors that capture how services and applications affect capacity across network layers. This allows accurate allocation of capital expenditure (CAPEX), operating expenditure (OPEX) and cost of capital, while also accommodating emerging features such as virtualized network functions. To maintain transparency, regulators may also isolate non-telecommunication services (e.g., cloud, digital payments) from regulated telecommunication costs.</w:t>
      </w:r>
    </w:p>
    <w:p w14:paraId="2563E79D" w14:textId="77777777" w:rsidR="007E45C3" w:rsidRPr="00446FEC" w:rsidRDefault="007E45C3" w:rsidP="005156D5">
      <w:r w:rsidRPr="00446FEC">
        <w:t>To support comparability across multinational operators, some hybrid models use internationally recognized pivot accounting plans, enabling reconciliation across different internal systems. They may also include mechanisms to exclude ineligible costs, revalue assets at current costs and apply scorched-node bottom-up modules to validate network topology and traffic flows.</w:t>
      </w:r>
    </w:p>
    <w:p w14:paraId="04B94642" w14:textId="77777777" w:rsidR="007E45C3" w:rsidRPr="00446FEC" w:rsidRDefault="007E45C3" w:rsidP="005156D5">
      <w:r w:rsidRPr="00446FEC">
        <w:t>Advanced regulatory techniques such as market slicing can also be embedded in hybrid frameworks. By categorizing applications based on bandwidth and quality-of-service requirements, regulators can ensure more cost-reflective allocation and support differentiated consumer offerings.</w:t>
      </w:r>
    </w:p>
    <w:p w14:paraId="52C90BBF" w14:textId="77777777" w:rsidR="007E45C3" w:rsidRPr="00446FEC" w:rsidRDefault="007E45C3" w:rsidP="005156D5">
      <w:r w:rsidRPr="00446FEC">
        <w:t>In summary, top-down, bottom-up and hybrid models each serve different purposes. Hybrid models have gained prominence because they balance financial realism with engineering precision, provide flexibility to adapt to new technologies and offer regulators a sustainable framework to support affordability, competition and fair operator returns.</w:t>
      </w:r>
    </w:p>
    <w:p w14:paraId="05D479F4" w14:textId="1B0A2CFF" w:rsidR="007E45C3" w:rsidRPr="00446FEC" w:rsidRDefault="007E45C3" w:rsidP="002E67C0">
      <w:pPr>
        <w:pStyle w:val="Note"/>
      </w:pPr>
      <w:r w:rsidRPr="00446FEC">
        <w:t>N</w:t>
      </w:r>
      <w:r w:rsidR="002E67C0" w:rsidRPr="00446FEC">
        <w:t>OTE –</w:t>
      </w:r>
      <w:r w:rsidRPr="00446FEC">
        <w:t xml:space="preserve"> Additional costing approaches are detailed in Annex A.</w:t>
      </w:r>
    </w:p>
    <w:p w14:paraId="435737C5" w14:textId="072D919A" w:rsidR="007E45C3" w:rsidRPr="00446FEC" w:rsidRDefault="007E45C3" w:rsidP="007E59C4">
      <w:pPr>
        <w:pStyle w:val="Heading1"/>
      </w:pPr>
      <w:bookmarkStart w:id="82" w:name="_Toc209722316"/>
      <w:bookmarkStart w:id="83" w:name="_Toc239193541"/>
      <w:bookmarkStart w:id="84" w:name="_Toc239232785"/>
      <w:bookmarkStart w:id="85" w:name="_Toc239240552"/>
      <w:r w:rsidRPr="00446FEC">
        <w:t>9</w:t>
      </w:r>
      <w:r w:rsidRPr="00446FEC">
        <w:tab/>
        <w:t>Cost standards</w:t>
      </w:r>
      <w:bookmarkEnd w:id="82"/>
      <w:bookmarkEnd w:id="83"/>
      <w:bookmarkEnd w:id="84"/>
      <w:bookmarkEnd w:id="85"/>
    </w:p>
    <w:p w14:paraId="040347E7" w14:textId="5C5A682B" w:rsidR="007E45C3" w:rsidRPr="00446FEC" w:rsidRDefault="007E45C3" w:rsidP="00DA13F7">
      <w:r w:rsidRPr="00446FEC">
        <w:t xml:space="preserve">Cost standards define how the total costs of running a network are shared across different services such as data, voice, or messaging. They help answer the key question: </w:t>
      </w:r>
      <w:r w:rsidR="00296649" w:rsidRPr="00446FEC">
        <w:t>"</w:t>
      </w:r>
      <w:r w:rsidRPr="00446FEC">
        <w:t>How much does this service really cost the operator?</w:t>
      </w:r>
      <w:r w:rsidR="00296649" w:rsidRPr="00446FEC">
        <w:t>"</w:t>
      </w:r>
      <w:r w:rsidRPr="00446FEC">
        <w:t xml:space="preserve"> A few cost standards are recognized in telecommunication regulation and industry practice, although their actual use varies by country and regulatory objective.</w:t>
      </w:r>
    </w:p>
    <w:p w14:paraId="0CEA1966" w14:textId="77777777" w:rsidR="007E45C3" w:rsidRPr="00446FEC" w:rsidRDefault="007E45C3" w:rsidP="00ED5DF1">
      <w:pPr>
        <w:pStyle w:val="enumlev1"/>
      </w:pPr>
      <w:r w:rsidRPr="00446FEC">
        <w:t>a)</w:t>
      </w:r>
      <w:r w:rsidRPr="00446FEC">
        <w:tab/>
      </w:r>
      <w:r w:rsidRPr="00446FEC">
        <w:rPr>
          <w:b/>
          <w:bCs/>
        </w:rPr>
        <w:t>Fully allocated costs (FAC</w:t>
      </w:r>
      <w:r w:rsidRPr="00446FEC">
        <w:t>): Distributes total business costs, including overheads, across services using allocation factors such as routing tables. Historically valued for its transparency and reliance on audited accounts but rarely used today as a primary regulatory tool because it may embed inefficiencies and outdated expenditures.</w:t>
      </w:r>
    </w:p>
    <w:p w14:paraId="0BDD258A" w14:textId="60AA10FC" w:rsidR="007E45C3" w:rsidRPr="00446FEC" w:rsidRDefault="007E45C3" w:rsidP="00ED5DF1">
      <w:pPr>
        <w:pStyle w:val="enumlev1"/>
      </w:pPr>
      <w:r w:rsidRPr="00446FEC">
        <w:t>b)</w:t>
      </w:r>
      <w:r w:rsidRPr="00446FEC">
        <w:tab/>
      </w:r>
      <w:r w:rsidRPr="00446FEC">
        <w:rPr>
          <w:b/>
          <w:bCs/>
        </w:rPr>
        <w:t>Stand</w:t>
      </w:r>
      <w:r w:rsidR="00F8673B" w:rsidRPr="00446FEC">
        <w:rPr>
          <w:b/>
          <w:bCs/>
        </w:rPr>
        <w:t>-</w:t>
      </w:r>
      <w:r w:rsidRPr="00446FEC">
        <w:rPr>
          <w:b/>
          <w:bCs/>
        </w:rPr>
        <w:t>alone cost (SAC)</w:t>
      </w:r>
      <w:r w:rsidRPr="00446FEC">
        <w:t>: Estimates the cost if an operator provided only one service. Mostly a theoretical ceiling test to guard against monopoly pricing but seldom applied in practice.</w:t>
      </w:r>
    </w:p>
    <w:p w14:paraId="3DF5DD8C" w14:textId="77777777" w:rsidR="007E45C3" w:rsidRPr="00446FEC" w:rsidRDefault="007E45C3" w:rsidP="00ED5DF1">
      <w:pPr>
        <w:pStyle w:val="enumlev1"/>
      </w:pPr>
      <w:r w:rsidRPr="00446FEC">
        <w:t>c)</w:t>
      </w:r>
      <w:r w:rsidRPr="00446FEC">
        <w:tab/>
      </w:r>
      <w:r w:rsidRPr="00446FEC">
        <w:rPr>
          <w:b/>
          <w:bCs/>
        </w:rPr>
        <w:t>Long-run average incremental costs (LRAIC)</w:t>
      </w:r>
      <w:r w:rsidRPr="00446FEC">
        <w:t>: Considers the long-term cost of adjusting capacity as demand rises or falls. Useful in wholesale regulation where forward-looking but practical cost estimates are required.</w:t>
      </w:r>
    </w:p>
    <w:p w14:paraId="1C412977" w14:textId="77777777" w:rsidR="007E45C3" w:rsidRPr="00446FEC" w:rsidRDefault="007E45C3" w:rsidP="00ED5DF1">
      <w:pPr>
        <w:pStyle w:val="enumlev1"/>
      </w:pPr>
      <w:r w:rsidRPr="00446FEC">
        <w:t>d)</w:t>
      </w:r>
      <w:r w:rsidRPr="00446FEC">
        <w:tab/>
      </w:r>
      <w:r w:rsidRPr="00446FEC">
        <w:rPr>
          <w:b/>
          <w:bCs/>
        </w:rPr>
        <w:t>Pure long-run incremental costs (pure LRIC)</w:t>
      </w:r>
      <w:r w:rsidRPr="00446FEC">
        <w:t>: Pure LRIC focuses on the cost savings if a particular service or group of services was not provided. It only includes direct and variable costs, leaving out shared or common costs. This approach is often used to set wholesale prices like termination charges, where the goal is to reflect the lowest sustainable cost.</w:t>
      </w:r>
    </w:p>
    <w:p w14:paraId="0AE07966" w14:textId="77777777" w:rsidR="007E45C3" w:rsidRPr="00446FEC" w:rsidRDefault="007E45C3" w:rsidP="00ED5DF1">
      <w:pPr>
        <w:pStyle w:val="enumlev1"/>
      </w:pPr>
      <w:r w:rsidRPr="00446FEC">
        <w:t>e)</w:t>
      </w:r>
      <w:r w:rsidRPr="00446FEC">
        <w:tab/>
      </w:r>
      <w:r w:rsidRPr="00446FEC">
        <w:rPr>
          <w:b/>
          <w:bCs/>
        </w:rPr>
        <w:t>Long-run incremental costs plus common costs (LRIC</w:t>
      </w:r>
      <w:r w:rsidRPr="00446FEC">
        <w:t>+): LRIC+ starts with the incremental costs, like pure LRIC, but adds a share of common and overhead costs on top. This helps ensure that all costs, including those shared across services, are recovered. Commonly applied in wholesale access pricing and retail contexts where regulators aim to balance efficiency with full cost recovery and continued investment incentives.</w:t>
      </w:r>
    </w:p>
    <w:p w14:paraId="609DF640" w14:textId="77777777" w:rsidR="007E45C3" w:rsidRPr="00446FEC" w:rsidRDefault="007E45C3" w:rsidP="00433B9D">
      <w:pPr>
        <w:pStyle w:val="Headingb"/>
      </w:pPr>
      <w:r w:rsidRPr="00446FEC">
        <w:t>When are these models used?</w:t>
      </w:r>
    </w:p>
    <w:p w14:paraId="26FCD7EF" w14:textId="77777777" w:rsidR="007E45C3" w:rsidRPr="00446FEC" w:rsidRDefault="007E45C3" w:rsidP="00433B9D">
      <w:r w:rsidRPr="00446FEC">
        <w:t>Different cost standards are used based on regulatory objectives. Pure LRIC is generally applied for wholesale interconnection pricing, to promote competition and lower consumer prices. LRIC+ or FAC are typically chosen for retail services or infrastructure sharing, where the goal is to ensure operators can recover their full costs and continue to invest in the network.</w:t>
      </w:r>
    </w:p>
    <w:p w14:paraId="4CF4A7C4" w14:textId="77777777" w:rsidR="007E45C3" w:rsidRPr="00446FEC" w:rsidRDefault="007E45C3" w:rsidP="007E45C3">
      <w:pPr>
        <w:spacing w:before="0" w:after="160" w:line="259" w:lineRule="auto"/>
        <w:rPr>
          <w:b/>
          <w:bCs/>
          <w:szCs w:val="22"/>
        </w:rPr>
      </w:pPr>
      <w:r w:rsidRPr="00446FEC">
        <w:rPr>
          <w:szCs w:val="22"/>
        </w:rPr>
        <w:lastRenderedPageBreak/>
        <w:t>Each cost standard comes with specific trade-offs:</w:t>
      </w:r>
    </w:p>
    <w:p w14:paraId="60D4F007" w14:textId="77B5A65A" w:rsidR="007E45C3" w:rsidRPr="00446FEC" w:rsidRDefault="00BA16AB" w:rsidP="00BA16AB">
      <w:pPr>
        <w:pStyle w:val="enumlev1"/>
      </w:pPr>
      <w:r w:rsidRPr="00446FEC">
        <w:t>•</w:t>
      </w:r>
      <w:r w:rsidRPr="00446FEC">
        <w:tab/>
      </w:r>
      <w:r w:rsidR="007E45C3" w:rsidRPr="00446FEC">
        <w:rPr>
          <w:rFonts w:eastAsia="SimSun"/>
          <w:color w:val="000000" w:themeColor="text1"/>
        </w:rPr>
        <w:t>Fully allocated</w:t>
      </w:r>
      <w:r w:rsidR="007E45C3" w:rsidRPr="00446FEC">
        <w:rPr>
          <w:rFonts w:eastAsia="SimSun"/>
          <w:color w:val="000000" w:themeColor="text1"/>
          <w:spacing w:val="1"/>
        </w:rPr>
        <w:t xml:space="preserve"> </w:t>
      </w:r>
      <w:r w:rsidR="007E45C3" w:rsidRPr="00446FEC">
        <w:rPr>
          <w:rFonts w:eastAsia="SimSun"/>
          <w:color w:val="000000" w:themeColor="text1"/>
        </w:rPr>
        <w:t>costs</w:t>
      </w:r>
      <w:r w:rsidR="007E45C3" w:rsidRPr="00446FEC">
        <w:rPr>
          <w:rFonts w:eastAsia="SimSun"/>
          <w:color w:val="000000" w:themeColor="text1"/>
          <w:spacing w:val="1"/>
        </w:rPr>
        <w:t xml:space="preserve"> (</w:t>
      </w:r>
      <w:r w:rsidR="007E45C3" w:rsidRPr="00446FEC">
        <w:t>FAC) provide high transparency by relying on real financial data but may overstate costs if it includes inefficient or outdated expenditures.</w:t>
      </w:r>
    </w:p>
    <w:p w14:paraId="640936F9" w14:textId="5A29FC88" w:rsidR="007E45C3" w:rsidRPr="00446FEC" w:rsidRDefault="00BA16AB" w:rsidP="00BA16AB">
      <w:pPr>
        <w:pStyle w:val="enumlev1"/>
      </w:pPr>
      <w:r w:rsidRPr="00446FEC">
        <w:t>•</w:t>
      </w:r>
      <w:r w:rsidRPr="00446FEC">
        <w:tab/>
      </w:r>
      <w:r w:rsidR="007E45C3" w:rsidRPr="00446FEC">
        <w:t>Pure LRIC pushes prices closer to marginal cost, benefiting consumers, but may risk under recovery of shared costs, potentially discouraging future investments.</w:t>
      </w:r>
    </w:p>
    <w:p w14:paraId="508EE704" w14:textId="5AC6D584" w:rsidR="007E45C3" w:rsidRPr="00446FEC" w:rsidRDefault="00CB6B5B" w:rsidP="00BA16AB">
      <w:pPr>
        <w:pStyle w:val="enumlev1"/>
      </w:pPr>
      <w:r w:rsidRPr="00446FEC">
        <w:t>•</w:t>
      </w:r>
      <w:r w:rsidRPr="00446FEC">
        <w:tab/>
      </w:r>
      <w:r w:rsidR="007E45C3" w:rsidRPr="00446FEC">
        <w:t>LRIC+ strikes a balance, allowing cost recovery while still promoting competitive pricing, but requires careful regulatory judgement on the level of markup.</w:t>
      </w:r>
    </w:p>
    <w:p w14:paraId="15416843" w14:textId="77777777" w:rsidR="007E45C3" w:rsidRPr="00446FEC" w:rsidRDefault="007E45C3" w:rsidP="00792FC1">
      <w:r w:rsidRPr="00446FEC">
        <w:t>In practice, regulators often use both top-down and bottom-up models together to cross-check results and ensure prices are fair, competitive and sustainable over time.</w:t>
      </w:r>
    </w:p>
    <w:p w14:paraId="094983B9" w14:textId="77777777" w:rsidR="007E45C3" w:rsidRPr="00446FEC" w:rsidRDefault="007E45C3" w:rsidP="00792FC1">
      <w:pPr>
        <w:pStyle w:val="Headingb"/>
      </w:pPr>
      <w:r w:rsidRPr="00446FEC">
        <w:t xml:space="preserve">Emerging challenges with new service models </w:t>
      </w:r>
    </w:p>
    <w:p w14:paraId="644EF838" w14:textId="77777777" w:rsidR="007E45C3" w:rsidRPr="00446FEC" w:rsidRDefault="007E45C3" w:rsidP="0026559A">
      <w:pPr>
        <w:rPr>
          <w:b/>
          <w:bCs/>
        </w:rPr>
      </w:pPr>
      <w:r w:rsidRPr="00446FEC">
        <w:t>While existing cost standards such as LRIC, LRIC+ and FAC have served well for traditional telecom services like voice, messaging and data, they face significant limitations in the context of next-generation network architectures and services.</w:t>
      </w:r>
    </w:p>
    <w:p w14:paraId="44955608" w14:textId="77777777" w:rsidR="007E45C3" w:rsidRPr="00446FEC" w:rsidRDefault="007E45C3" w:rsidP="0026559A">
      <w:r w:rsidRPr="00446FEC">
        <w:t>With the advent of 5G, network/market slicing, IoT, private networks, software-defined networking (SDN) and network function virtualization (NFV), the way services are delivered and monetized is fundamentally changing. Unlike traditional models that allocate costs to broad service categories, 5G network slicing allows operators to offer virtualized, specialized services on the same physical infrastructure such as smart grids, telemedicine, industrial automation, or emergency response networks. These services often share network resources dynamically, making it difficult to allocate costs based on static metrics like traffic volume.</w:t>
      </w:r>
    </w:p>
    <w:p w14:paraId="30125B02" w14:textId="77777777" w:rsidR="007E45C3" w:rsidRPr="00446FEC" w:rsidRDefault="007E45C3" w:rsidP="00D500DA">
      <w:r w:rsidRPr="00446FEC">
        <w:t>In addition, cloud-based and virtualized network functions enable real-time, multiservice use of the same hardware, further complicating cost attribution. Physical network elements such as routers or base stations are no longer dedicated to single services but are dynamically assigned to multiple services through virtual functions.</w:t>
      </w:r>
    </w:p>
    <w:p w14:paraId="4B3A16FF" w14:textId="77777777" w:rsidR="007E45C3" w:rsidRPr="00446FEC" w:rsidRDefault="007E45C3" w:rsidP="00D500DA">
      <w:r w:rsidRPr="00446FEC">
        <w:t>Many emerging services such as ultra-low latency control systems or high-reliability industrial networks are not primarily defined by traffic volume but by performance characteristics like latency, reliability and security. Traditional per-minute or per-gigabyte pricing models fail to capture these dimensions of service value and cost.</w:t>
      </w:r>
    </w:p>
    <w:p w14:paraId="0E91021E" w14:textId="77777777" w:rsidR="007E45C3" w:rsidRPr="00446FEC" w:rsidRDefault="007E45C3" w:rsidP="00D500DA">
      <w:r w:rsidRPr="00446FEC">
        <w:t>Dimensioning the network is also changing. Traditional models dimensioned infrastructure primarily on aggregate traffic volumes. In next-generation networks, however, dimensioning is increasingly determined by the profile of users or applications and their quality-of-service (QoS) constraints. Ultra-low latency industrial control, telemedicine, or high-reliability emergency services require network elements to be engineered for stringent delay, redundancy, or security targets rather than just throughput. These requirements directly influence infrastructure costs and challenge conventional allocation methods.</w:t>
      </w:r>
    </w:p>
    <w:p w14:paraId="6C0AE554" w14:textId="25D2A1E7" w:rsidR="007E45C3" w:rsidRPr="00446FEC" w:rsidRDefault="007E45C3" w:rsidP="00DC1041">
      <w:r w:rsidRPr="00446FEC">
        <w:t xml:space="preserve">Moreover, network slicing introduces multitenant environments where different clients or industries (e.g., enterprises, </w:t>
      </w:r>
      <w:r w:rsidRPr="00446FEC">
        <w:rPr>
          <w:lang w:bidi="ar-DZ"/>
        </w:rPr>
        <w:t>mobile virtual network operator</w:t>
      </w:r>
      <w:r w:rsidRPr="00446FEC">
        <w:t>s (MVNOs), public agencies) share the same infrastructure but require customized service</w:t>
      </w:r>
      <w:r w:rsidR="00C87687" w:rsidRPr="00446FEC">
        <w:t>-</w:t>
      </w:r>
      <w:r w:rsidRPr="00446FEC">
        <w:t>level agreements (SLAs). Existing models such as FAC or LRIC are not designed to allocate costs per slice, per tenant, or per SLA, leaving a gap in cost transparency for these advanced services.</w:t>
      </w:r>
    </w:p>
    <w:p w14:paraId="790CBCB3" w14:textId="77777777" w:rsidR="007E45C3" w:rsidRPr="00446FEC" w:rsidRDefault="007E45C3" w:rsidP="00DC1041">
      <w:r w:rsidRPr="00446FEC">
        <w:t>Finally, global standardization on how to cost these new services remains incomplete, and there is no universally adopted methodology yet for allocating costs in virtualized, multitenant, or SLA-driven service environments.</w:t>
      </w:r>
    </w:p>
    <w:p w14:paraId="78B02286" w14:textId="28F163B2" w:rsidR="007E45C3" w:rsidRPr="00446FEC" w:rsidRDefault="007E45C3" w:rsidP="000223D2">
      <w:r w:rsidRPr="00446FEC">
        <w:t>Addressing these gaps will require new research, industry collaboration and regulatory innovation to develop next-generation cost models that can handle the complexities of dynamic, software-driven and performance-based networks.</w:t>
      </w:r>
    </w:p>
    <w:p w14:paraId="1829667E" w14:textId="77777777" w:rsidR="007E45C3" w:rsidRPr="00446FEC" w:rsidRDefault="007E45C3" w:rsidP="00DC1041">
      <w:r w:rsidRPr="00446FEC">
        <w:lastRenderedPageBreak/>
        <w:t>Figure 1 shows the cost methodologies and the corresponding cost types.</w:t>
      </w:r>
    </w:p>
    <w:p w14:paraId="4B0C026F" w14:textId="77777777" w:rsidR="007E45C3" w:rsidRPr="00446FEC" w:rsidRDefault="007E45C3" w:rsidP="00041B41">
      <w:pPr>
        <w:pStyle w:val="Figure"/>
      </w:pPr>
      <w:r w:rsidRPr="00446FEC">
        <w:drawing>
          <wp:inline distT="0" distB="0" distL="0" distR="0" wp14:anchorId="18D7FD68" wp14:editId="31214B95">
            <wp:extent cx="5943600" cy="3445933"/>
            <wp:effectExtent l="0" t="0" r="0" b="2540"/>
            <wp:docPr id="1030434937" name="Picture 1" descr="Figure 1 shows the cost methodologies and the corresponding cost ty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434937" name="Picture 1" descr="Figure 1 shows the cost methodologies and the corresponding cost types."/>
                    <pic:cNvPicPr/>
                  </pic:nvPicPr>
                  <pic:blipFill rotWithShape="1">
                    <a:blip r:embed="rId23"/>
                    <a:srcRect b="4156"/>
                    <a:stretch>
                      <a:fillRect/>
                    </a:stretch>
                  </pic:blipFill>
                  <pic:spPr bwMode="auto">
                    <a:xfrm>
                      <a:off x="0" y="0"/>
                      <a:ext cx="5943600" cy="3445933"/>
                    </a:xfrm>
                    <a:prstGeom prst="rect">
                      <a:avLst/>
                    </a:prstGeom>
                    <a:ln>
                      <a:noFill/>
                    </a:ln>
                    <a:extLst>
                      <a:ext uri="{53640926-AAD7-44D8-BBD7-CCE9431645EC}">
                        <a14:shadowObscured xmlns:a14="http://schemas.microsoft.com/office/drawing/2010/main"/>
                      </a:ext>
                    </a:extLst>
                  </pic:spPr>
                </pic:pic>
              </a:graphicData>
            </a:graphic>
          </wp:inline>
        </w:drawing>
      </w:r>
    </w:p>
    <w:p w14:paraId="26C64932" w14:textId="0813F5EA" w:rsidR="007E45C3" w:rsidRPr="00446FEC" w:rsidRDefault="00DC1041" w:rsidP="00DC1041">
      <w:pPr>
        <w:pStyle w:val="FigureNoTitle"/>
      </w:pPr>
      <w:bookmarkStart w:id="86" w:name="_Toc209722561"/>
      <w:r w:rsidRPr="00446FEC">
        <w:t xml:space="preserve">Figure 1 </w:t>
      </w:r>
      <w:r w:rsidRPr="00446FEC">
        <w:sym w:font="Symbol" w:char="F02D"/>
      </w:r>
      <w:r w:rsidRPr="00446FEC">
        <w:t xml:space="preserve"> Cost methodologies and corresponding cost types</w:t>
      </w:r>
      <w:bookmarkEnd w:id="86"/>
    </w:p>
    <w:p w14:paraId="42A52614" w14:textId="34C956D4" w:rsidR="007E45C3" w:rsidRPr="00446FEC" w:rsidRDefault="007E45C3" w:rsidP="00DC1041">
      <w:pPr>
        <w:pStyle w:val="Headingb"/>
      </w:pPr>
      <w:r w:rsidRPr="00446FEC">
        <w:t>Case example: Jordan</w:t>
      </w:r>
      <w:r w:rsidR="006E6D1D" w:rsidRPr="00446FEC">
        <w:t>'</w:t>
      </w:r>
      <w:r w:rsidRPr="00446FEC">
        <w:t>s implementation of TSLRIC+ hybrid cost modelling</w:t>
      </w:r>
    </w:p>
    <w:p w14:paraId="54B2ADEC" w14:textId="77777777" w:rsidR="007E45C3" w:rsidRPr="00446FEC" w:rsidRDefault="007E45C3" w:rsidP="000F5467">
      <w:r w:rsidRPr="00446FEC">
        <w:t>A noteworthy example of applied regulatory costing comes from Jordan, where the Telecommunications Regulatory Commission (TRC) has developed and institutionalized a structured cost modelling framework based on the total service long-run incremental cost-plus common costs (TSLRIC+) methodology. Introduced through formal regulatory mandates in 2009, this model reflects international best practices aimed at ensuring cost-oriented, transparent and non-discriminatory wholesale pricing, particularly for interconnection services.</w:t>
      </w:r>
    </w:p>
    <w:p w14:paraId="65C71CB6" w14:textId="583BE852" w:rsidR="007E45C3" w:rsidRPr="00446FEC" w:rsidRDefault="007E45C3" w:rsidP="000F5467">
      <w:r w:rsidRPr="00446FEC">
        <w:t>Jordan</w:t>
      </w:r>
      <w:r w:rsidR="006E6D1D" w:rsidRPr="00446FEC">
        <w:t>'</w:t>
      </w:r>
      <w:r w:rsidRPr="00446FEC">
        <w:t>s framework follows a hybrid modelling approach, combining bottom-up engineering models which estimate the cost of a hypothetically efficient operator based on modern network design and forecasted demand with top-down calibration using actual operator accounting data. This dual approach allows the TRC to balance theoretical efficiency with real-world financial validation. The framework applies to both fixed and mobile network services and models are developed for a generic efficient operator, as well as for specific operators like Orange, Zain and Umniah when sufficient operator-specific data is provided.</w:t>
      </w:r>
    </w:p>
    <w:p w14:paraId="22A55420" w14:textId="46CCDC8A" w:rsidR="007E45C3" w:rsidRPr="00446FEC" w:rsidRDefault="007E45C3" w:rsidP="000F5467">
      <w:r w:rsidRPr="00446FEC">
        <w:t>The TRC</w:t>
      </w:r>
      <w:r w:rsidR="006E6D1D" w:rsidRPr="00446FEC">
        <w:t>'</w:t>
      </w:r>
      <w:r w:rsidRPr="00446FEC">
        <w:t xml:space="preserve">s methodology is based on a scorched-node network design, preserving the physical layout of existing network sites while modelling technology upgrades to reflect modern equivalent assets. For example, the fixed network model assumes the continued use of </w:t>
      </w:r>
      <w:r w:rsidRPr="00446FEC">
        <w:rPr>
          <w:lang w:bidi="ar-DZ"/>
        </w:rPr>
        <w:t>public switched telephone network</w:t>
      </w:r>
      <w:r w:rsidRPr="00446FEC">
        <w:t xml:space="preserve"> (PSTN) for voice services and IP-based technologies for data, while the mobile model focuses on 2G/2.5G capabilities with adaptability for future 3G evolution. The model explicitly incorporates both initial and annual spectrum and licensing fees, ensuring these costs are appropriately recovered across all services.</w:t>
      </w:r>
    </w:p>
    <w:p w14:paraId="3B991994" w14:textId="77777777" w:rsidR="007E45C3" w:rsidRPr="00446FEC" w:rsidRDefault="007E45C3" w:rsidP="007E45C3">
      <w:r w:rsidRPr="00446FEC">
        <w:t xml:space="preserve">The framework also includes mechanisms to manage market impact, such as introducing glide paths to transition from existing tariffs to cost-based rates over time. Additionally, it allows for asymmetric pricing </w:t>
      </w:r>
      <w:proofErr w:type="gramStart"/>
      <w:r w:rsidRPr="00446FEC">
        <w:t>where</w:t>
      </w:r>
      <w:proofErr w:type="gramEnd"/>
      <w:r w:rsidRPr="00446FEC">
        <w:t xml:space="preserve"> justified by demonstrable cost differences between operators, supporting competitive neutrality while preventing market distortions.</w:t>
      </w:r>
    </w:p>
    <w:p w14:paraId="7B772751" w14:textId="716CD55C" w:rsidR="007E45C3" w:rsidRPr="00446FEC" w:rsidRDefault="007E45C3" w:rsidP="007E45C3">
      <w:r w:rsidRPr="00446FEC">
        <w:lastRenderedPageBreak/>
        <w:t>While Jordan</w:t>
      </w:r>
      <w:r w:rsidR="006E6D1D" w:rsidRPr="00446FEC">
        <w:t>'</w:t>
      </w:r>
      <w:r w:rsidRPr="00446FEC">
        <w:t>s model has been successfully applied to traditional wholesale services such as voice termination and origination, its current scope does not extend to more complex, next-generation services such as 5G network slicing, enterprise-specific service levels, or virtualized, multitenant environments. The TRC</w:t>
      </w:r>
      <w:r w:rsidR="006E6D1D" w:rsidRPr="00446FEC">
        <w:t>'</w:t>
      </w:r>
      <w:r w:rsidRPr="00446FEC">
        <w:t>s framework is designed for static tariff setting, based on periodic regulatory reviews with a typical five-year modelling horizon and planned updates after three years. It does not yet address the dynamic, real-time cost allocation required for modern platform-based services or on-demand network slicing.</w:t>
      </w:r>
    </w:p>
    <w:p w14:paraId="252C457D" w14:textId="77777777" w:rsidR="007E45C3" w:rsidRPr="00446FEC" w:rsidRDefault="007E45C3" w:rsidP="007E45C3">
      <w:r w:rsidRPr="00446FEC">
        <w:t>This represents a mature and transparent regulatory costing framework that offers valuable lessons for other markets seeking to institutionalize cost-based pricing practices. Its structured principles, public consultation mechanisms and balanced hybrid modelling approach demonstrate how regulators can build industry trust and establish fair pricing benchmarks.</w:t>
      </w:r>
    </w:p>
    <w:p w14:paraId="2E729804" w14:textId="6CA8F0CE" w:rsidR="007E45C3" w:rsidRPr="00446FEC" w:rsidRDefault="007E45C3" w:rsidP="00561F32">
      <w:pPr>
        <w:pStyle w:val="Heading1"/>
        <w:rPr>
          <w:bCs/>
        </w:rPr>
      </w:pPr>
      <w:bookmarkStart w:id="87" w:name="_Toc189663712"/>
      <w:bookmarkStart w:id="88" w:name="_Toc189664833"/>
      <w:bookmarkStart w:id="89" w:name="_Toc189665382"/>
      <w:bookmarkStart w:id="90" w:name="_Toc189665797"/>
      <w:bookmarkStart w:id="91" w:name="_Toc209722317"/>
      <w:bookmarkStart w:id="92" w:name="_Toc239193542"/>
      <w:bookmarkStart w:id="93" w:name="_Toc239232786"/>
      <w:bookmarkStart w:id="94" w:name="_Toc239240553"/>
      <w:bookmarkEnd w:id="87"/>
      <w:bookmarkEnd w:id="88"/>
      <w:bookmarkEnd w:id="89"/>
      <w:bookmarkEnd w:id="90"/>
      <w:r w:rsidRPr="00446FEC">
        <w:rPr>
          <w:bCs/>
        </w:rPr>
        <w:t>10</w:t>
      </w:r>
      <w:r w:rsidRPr="00446FEC">
        <w:rPr>
          <w:bCs/>
        </w:rPr>
        <w:tab/>
      </w:r>
      <w:r w:rsidRPr="00446FEC">
        <w:t>Cost elements</w:t>
      </w:r>
      <w:bookmarkEnd w:id="91"/>
      <w:bookmarkEnd w:id="92"/>
      <w:bookmarkEnd w:id="93"/>
      <w:bookmarkEnd w:id="94"/>
    </w:p>
    <w:p w14:paraId="7D3E8F7E" w14:textId="77777777" w:rsidR="007E45C3" w:rsidRPr="00446FEC" w:rsidRDefault="007E45C3" w:rsidP="00561F32">
      <w:r w:rsidRPr="00446FEC">
        <w:t xml:space="preserve">The cost elements form the core of the cost modelling as they provide the items which make up the final cost of the service/product. So, to use the concept of cost modelling for aiding affordability, there is a need to delve deeper into the cost elements. The basic step is to identify the cost elements which will impact the costing of a particular service, say data services. This looks simpler, but in </w:t>
      </w:r>
      <w:proofErr w:type="gramStart"/>
      <w:r w:rsidRPr="00446FEC">
        <w:t>actual fact</w:t>
      </w:r>
      <w:proofErr w:type="gramEnd"/>
      <w:r w:rsidRPr="00446FEC">
        <w:t xml:space="preserve"> it can be complex activity, as the delivery of the data-services product can occur through various permutations and combinations which involve multiple players, technologies and user choices. </w:t>
      </w:r>
    </w:p>
    <w:p w14:paraId="6413BDE5" w14:textId="77777777" w:rsidR="007E45C3" w:rsidRPr="00446FEC" w:rsidRDefault="007E45C3" w:rsidP="00561F32">
      <w:r w:rsidRPr="00446FEC">
        <w:t>The most common cost elements can be classified in the following groups:</w:t>
      </w:r>
    </w:p>
    <w:p w14:paraId="6468F466" w14:textId="77777777" w:rsidR="007E45C3" w:rsidRPr="00446FEC" w:rsidRDefault="007E45C3" w:rsidP="00561F32">
      <w:pPr>
        <w:pStyle w:val="enumlev1"/>
      </w:pPr>
      <w:r w:rsidRPr="00446FEC">
        <w:rPr>
          <w:rFonts w:eastAsiaTheme="minorHAnsi"/>
        </w:rPr>
        <w:t>a)</w:t>
      </w:r>
      <w:r w:rsidRPr="00446FEC">
        <w:rPr>
          <w:rFonts w:eastAsiaTheme="minorHAnsi"/>
        </w:rPr>
        <w:tab/>
      </w:r>
      <w:r w:rsidRPr="00446FEC">
        <w:t>Network costs</w:t>
      </w:r>
    </w:p>
    <w:p w14:paraId="2974D0B6" w14:textId="77777777" w:rsidR="007E45C3" w:rsidRPr="00446FEC" w:rsidRDefault="007E45C3" w:rsidP="00561F32">
      <w:pPr>
        <w:pStyle w:val="enumlev1"/>
      </w:pPr>
      <w:r w:rsidRPr="00446FEC">
        <w:rPr>
          <w:rFonts w:eastAsiaTheme="minorHAnsi"/>
        </w:rPr>
        <w:t>b)</w:t>
      </w:r>
      <w:r w:rsidRPr="00446FEC">
        <w:rPr>
          <w:rFonts w:eastAsiaTheme="minorHAnsi"/>
        </w:rPr>
        <w:tab/>
      </w:r>
      <w:r w:rsidRPr="00446FEC">
        <w:t>Licence and spectrum fees</w:t>
      </w:r>
    </w:p>
    <w:p w14:paraId="01779FED" w14:textId="77777777" w:rsidR="007E45C3" w:rsidRPr="00446FEC" w:rsidRDefault="007E45C3" w:rsidP="00561F32">
      <w:pPr>
        <w:pStyle w:val="enumlev1"/>
      </w:pPr>
      <w:r w:rsidRPr="00446FEC">
        <w:rPr>
          <w:rFonts w:eastAsiaTheme="minorHAnsi"/>
        </w:rPr>
        <w:t>c)</w:t>
      </w:r>
      <w:r w:rsidRPr="00446FEC">
        <w:rPr>
          <w:rFonts w:eastAsiaTheme="minorHAnsi"/>
        </w:rPr>
        <w:tab/>
      </w:r>
      <w:r w:rsidRPr="00446FEC">
        <w:t>Retail costs</w:t>
      </w:r>
    </w:p>
    <w:p w14:paraId="653EF759" w14:textId="77777777" w:rsidR="007E45C3" w:rsidRPr="00446FEC" w:rsidRDefault="007E45C3" w:rsidP="00561F32">
      <w:pPr>
        <w:pStyle w:val="enumlev1"/>
      </w:pPr>
      <w:r w:rsidRPr="00446FEC">
        <w:rPr>
          <w:rFonts w:eastAsiaTheme="minorHAnsi"/>
        </w:rPr>
        <w:t>d)</w:t>
      </w:r>
      <w:r w:rsidRPr="00446FEC">
        <w:rPr>
          <w:rFonts w:eastAsiaTheme="minorHAnsi"/>
        </w:rPr>
        <w:tab/>
      </w:r>
      <w:r w:rsidRPr="00446FEC">
        <w:t xml:space="preserve">General and administrative costs (G&amp;A) </w:t>
      </w:r>
    </w:p>
    <w:p w14:paraId="3BA410A3" w14:textId="77777777" w:rsidR="007E45C3" w:rsidRPr="00446FEC" w:rsidRDefault="007E45C3" w:rsidP="00561F32">
      <w:pPr>
        <w:pStyle w:val="Heading2"/>
      </w:pPr>
      <w:bookmarkStart w:id="95" w:name="_Toc239193543"/>
      <w:bookmarkStart w:id="96" w:name="_Toc239232787"/>
      <w:bookmarkStart w:id="97" w:name="_Toc239240554"/>
      <w:r w:rsidRPr="00446FEC">
        <w:t>10.1</w:t>
      </w:r>
      <w:r w:rsidRPr="00446FEC">
        <w:tab/>
        <w:t>Network costs</w:t>
      </w:r>
      <w:bookmarkEnd w:id="95"/>
      <w:bookmarkEnd w:id="96"/>
      <w:bookmarkEnd w:id="97"/>
    </w:p>
    <w:p w14:paraId="201F1376" w14:textId="77777777" w:rsidR="007E45C3" w:rsidRPr="00446FEC" w:rsidRDefault="007E45C3" w:rsidP="0058091A">
      <w:r w:rsidRPr="00446FEC">
        <w:t xml:space="preserve">The network costs are the principal cost elements which delineate the telecom capital as well as operational expenditures. The optimization of the network elements and their fitment into the larger ecosystem will help the operators to fine-tune the costing and create a competitive pricing. While deciding on the network cost elements, there are various options available to the operator and, depending on the requirements and feasibility, a particular option will be chosen. </w:t>
      </w:r>
    </w:p>
    <w:p w14:paraId="633A4BF7" w14:textId="7F0B359F" w:rsidR="007E45C3" w:rsidRPr="00446FEC" w:rsidRDefault="007E45C3" w:rsidP="0058091A">
      <w:r w:rsidRPr="00446FEC">
        <w:t>In general, network elements are made up of the following</w:t>
      </w:r>
      <w:r w:rsidR="0058091A" w:rsidRPr="00446FEC">
        <w:t>:</w:t>
      </w:r>
    </w:p>
    <w:p w14:paraId="4E81221D" w14:textId="006622DC" w:rsidR="007E45C3" w:rsidRPr="00446FEC" w:rsidRDefault="0058091A" w:rsidP="0058091A">
      <w:pPr>
        <w:pStyle w:val="enumlev1"/>
      </w:pPr>
      <w:r w:rsidRPr="00446FEC">
        <w:t>•</w:t>
      </w:r>
      <w:r w:rsidRPr="00446FEC">
        <w:tab/>
      </w:r>
      <w:r w:rsidR="007E45C3" w:rsidRPr="00446FEC">
        <w:t>Passive network</w:t>
      </w:r>
    </w:p>
    <w:p w14:paraId="4B069524" w14:textId="55D33D93" w:rsidR="007E45C3" w:rsidRPr="00446FEC" w:rsidRDefault="0058091A" w:rsidP="0058091A">
      <w:pPr>
        <w:pStyle w:val="enumlev1"/>
      </w:pPr>
      <w:r w:rsidRPr="00446FEC">
        <w:t>•</w:t>
      </w:r>
      <w:r w:rsidRPr="00446FEC">
        <w:tab/>
      </w:r>
      <w:r w:rsidR="007E45C3" w:rsidRPr="00446FEC">
        <w:t>Active elements</w:t>
      </w:r>
    </w:p>
    <w:p w14:paraId="5694616A" w14:textId="2362DBBC" w:rsidR="007E45C3" w:rsidRPr="00446FEC" w:rsidRDefault="0058091A" w:rsidP="0058091A">
      <w:pPr>
        <w:pStyle w:val="enumlev1"/>
      </w:pPr>
      <w:r w:rsidRPr="00446FEC">
        <w:rPr>
          <w:lang w:bidi="ar-DZ"/>
        </w:rPr>
        <w:t>•</w:t>
      </w:r>
      <w:r w:rsidRPr="00446FEC">
        <w:rPr>
          <w:lang w:bidi="ar-DZ"/>
        </w:rPr>
        <w:tab/>
      </w:r>
      <w:r w:rsidR="007E45C3" w:rsidRPr="00446FEC">
        <w:rPr>
          <w:lang w:bidi="ar-DZ"/>
        </w:rPr>
        <w:t>Business support systems</w:t>
      </w:r>
      <w:r w:rsidR="007E45C3" w:rsidRPr="00446FEC">
        <w:t xml:space="preserve"> (BSS)/</w:t>
      </w:r>
      <w:r w:rsidR="007E45C3" w:rsidRPr="00446FEC">
        <w:rPr>
          <w:lang w:bidi="ar-DZ"/>
        </w:rPr>
        <w:t>operations support systems</w:t>
      </w:r>
      <w:r w:rsidR="007E45C3" w:rsidRPr="00446FEC">
        <w:t xml:space="preserve"> (OSS)</w:t>
      </w:r>
    </w:p>
    <w:p w14:paraId="156A0976" w14:textId="178BF25B" w:rsidR="007E45C3" w:rsidRPr="00446FEC" w:rsidRDefault="0058091A" w:rsidP="0058091A">
      <w:pPr>
        <w:pStyle w:val="enumlev1"/>
      </w:pPr>
      <w:r w:rsidRPr="00446FEC">
        <w:rPr>
          <w:lang w:bidi="ar-DZ"/>
        </w:rPr>
        <w:t>•</w:t>
      </w:r>
      <w:r w:rsidRPr="00446FEC">
        <w:rPr>
          <w:lang w:bidi="ar-DZ"/>
        </w:rPr>
        <w:tab/>
      </w:r>
      <w:r w:rsidR="007E45C3" w:rsidRPr="00446FEC">
        <w:rPr>
          <w:lang w:bidi="ar-DZ"/>
        </w:rPr>
        <w:t>Operations and maintenance</w:t>
      </w:r>
      <w:r w:rsidR="007E45C3" w:rsidRPr="00446FEC">
        <w:t xml:space="preserve"> (O&amp;M)</w:t>
      </w:r>
    </w:p>
    <w:p w14:paraId="1FF9A133" w14:textId="0CCF5F97" w:rsidR="007E45C3" w:rsidRPr="00446FEC" w:rsidRDefault="0058091A" w:rsidP="0058091A">
      <w:pPr>
        <w:pStyle w:val="enumlev1"/>
      </w:pPr>
      <w:r w:rsidRPr="00446FEC">
        <w:t>•</w:t>
      </w:r>
      <w:r w:rsidRPr="00446FEC">
        <w:tab/>
      </w:r>
      <w:r w:rsidR="007E45C3" w:rsidRPr="00446FEC">
        <w:t>Others</w:t>
      </w:r>
      <w:r w:rsidR="00F37EB7" w:rsidRPr="00446FEC">
        <w:t>.</w:t>
      </w:r>
    </w:p>
    <w:p w14:paraId="46A9F73F" w14:textId="77777777" w:rsidR="007E45C3" w:rsidRPr="00446FEC" w:rsidRDefault="007E45C3" w:rsidP="007E45C3">
      <w:r w:rsidRPr="00446FEC">
        <w:t xml:space="preserve">The passive network elements will vary depending on the mode of delivery, whether it is wireless or wired. In case of wireless networks, attributes such as tower infrastructure, backhaul provisions (OFC, VSAT, Microwave, etc.), supporting infra such as electricity and battery backups, tenancy ratio (average number of tenants per tower) and other factors will play a role in deciding on the cost. These attributes may push up or pull down the overall cost. Similarly, in the case of wired networks, attributes such as availability of existing fibre for leasing, fibre points of presence, technology used (Copper, OFC, etc.), network architecture (linear or ring or others), geographical factors, etc. will affect the costing. </w:t>
      </w:r>
    </w:p>
    <w:p w14:paraId="017EFDF0" w14:textId="77777777" w:rsidR="007E45C3" w:rsidRPr="00446FEC" w:rsidRDefault="007E45C3" w:rsidP="007E45C3">
      <w:r w:rsidRPr="00446FEC">
        <w:lastRenderedPageBreak/>
        <w:t xml:space="preserve">The active elements will depend on the type of technology being used, whether 2G/3G/4G or 5G in case of wireless mobile and whether </w:t>
      </w:r>
      <w:r w:rsidRPr="00446FEC">
        <w:rPr>
          <w:lang w:bidi="ar-DZ"/>
        </w:rPr>
        <w:t>Internet protocol - multiprotocol label switching</w:t>
      </w:r>
      <w:r w:rsidRPr="00446FEC">
        <w:t xml:space="preserve"> (IP-MPLS) or </w:t>
      </w:r>
      <w:r w:rsidRPr="00446FEC">
        <w:rPr>
          <w:lang w:bidi="ar-DZ"/>
        </w:rPr>
        <w:t>gigabit-capable passive optical network</w:t>
      </w:r>
      <w:r w:rsidRPr="00446FEC">
        <w:t xml:space="preserve"> (GPON) or any other in case of wired. Further, with the constant innovation and disruption in this domain of telecom/ICT, several alternate technologies such as free space optics (FSOC), E-V band, unlicensed band radio (UBR), satellite modes, etc. are showing potential to alter the costing structures and may substitute or complement existing technologies. </w:t>
      </w:r>
    </w:p>
    <w:p w14:paraId="7FE08FB0" w14:textId="77777777" w:rsidR="007E45C3" w:rsidRPr="00446FEC" w:rsidRDefault="007E45C3" w:rsidP="00CF3A9C">
      <w:r w:rsidRPr="00446FEC">
        <w:t xml:space="preserve">Moreover, the presence of Internet exchange points (IXPs), data centres (DCs) and amount of caching and peering done will impact the quantum of usage of bandwidth as some of the bandwidth will be routed domestically, reducing the cost incurred for international bandwidth. These aspects must be investigated while optimizing the cost structures for data services. </w:t>
      </w:r>
    </w:p>
    <w:p w14:paraId="64F55948" w14:textId="77777777" w:rsidR="007E45C3" w:rsidRPr="00446FEC" w:rsidRDefault="007E45C3" w:rsidP="00CF3A9C">
      <w:r w:rsidRPr="00446FEC">
        <w:t xml:space="preserve">In the same manner, the cost items related to BSS/OSS and O&amp;M expenditures are getting optimized with usage of better and innovative solutions. </w:t>
      </w:r>
    </w:p>
    <w:p w14:paraId="336F1EC3" w14:textId="77777777" w:rsidR="007E45C3" w:rsidRPr="00446FEC" w:rsidRDefault="007E45C3" w:rsidP="00CF3A9C">
      <w:pPr>
        <w:pStyle w:val="Heading2"/>
      </w:pPr>
      <w:bookmarkStart w:id="98" w:name="_Toc239193544"/>
      <w:bookmarkStart w:id="99" w:name="_Toc239232788"/>
      <w:bookmarkStart w:id="100" w:name="_Toc239240555"/>
      <w:r w:rsidRPr="00446FEC">
        <w:t>10.2</w:t>
      </w:r>
      <w:r w:rsidRPr="00446FEC">
        <w:tab/>
        <w:t>Licence and spectrum fees</w:t>
      </w:r>
      <w:bookmarkEnd w:id="98"/>
      <w:bookmarkEnd w:id="99"/>
      <w:bookmarkEnd w:id="100"/>
    </w:p>
    <w:p w14:paraId="48FBDF21" w14:textId="77777777" w:rsidR="007E45C3" w:rsidRPr="00446FEC" w:rsidRDefault="007E45C3" w:rsidP="004C3486">
      <w:r w:rsidRPr="00446FEC">
        <w:t xml:space="preserve">In most countries, the telecommunication sector is regulated by the state authorities as communications is a strategic sector which affects security, the economy and importantly needs cross-border interactions. These regulatory mechanisms and licensing requirements span from global level to regional, national and subnational levels. </w:t>
      </w:r>
    </w:p>
    <w:p w14:paraId="01ABC8FD" w14:textId="77777777" w:rsidR="007E45C3" w:rsidRPr="00446FEC" w:rsidRDefault="007E45C3" w:rsidP="004C3486">
      <w:r w:rsidRPr="00446FEC">
        <w:t>The regulations vary from State to State; some have extensive requirements and some have light-touch requirements (from market-oriented to state-controlled regulations). It is a well-known fact that regulations impact competition and vice versa. So, it is necessary that certain optimal parameters are framed to balance regulatory and market requirements.</w:t>
      </w:r>
    </w:p>
    <w:p w14:paraId="364A36C7" w14:textId="77777777" w:rsidR="007E45C3" w:rsidRPr="00446FEC" w:rsidRDefault="007E45C3" w:rsidP="004C3486">
      <w:pPr>
        <w:pStyle w:val="Heading2"/>
      </w:pPr>
      <w:bookmarkStart w:id="101" w:name="_Toc239193545"/>
      <w:bookmarkStart w:id="102" w:name="_Toc239232789"/>
      <w:bookmarkStart w:id="103" w:name="_Toc239240556"/>
      <w:r w:rsidRPr="00446FEC">
        <w:t>10.3</w:t>
      </w:r>
      <w:r w:rsidRPr="00446FEC">
        <w:tab/>
        <w:t>Retail costs</w:t>
      </w:r>
      <w:bookmarkEnd w:id="101"/>
      <w:bookmarkEnd w:id="102"/>
      <w:bookmarkEnd w:id="103"/>
    </w:p>
    <w:p w14:paraId="582431DB" w14:textId="77777777" w:rsidR="007E45C3" w:rsidRPr="00446FEC" w:rsidRDefault="007E45C3" w:rsidP="00D36D74">
      <w:r w:rsidRPr="00446FEC">
        <w:t>Retail cost refers to the cost incurred by the TSP in providing mobile services directly to the end user or customers. There are various elements of retail cost:</w:t>
      </w:r>
    </w:p>
    <w:p w14:paraId="7F998CED" w14:textId="77777777" w:rsidR="007E45C3" w:rsidRPr="00446FEC" w:rsidRDefault="007E45C3" w:rsidP="00D36D74">
      <w:pPr>
        <w:pStyle w:val="enumlev1"/>
      </w:pPr>
      <w:r w:rsidRPr="00446FEC">
        <w:rPr>
          <w:rFonts w:eastAsiaTheme="minorHAnsi"/>
        </w:rPr>
        <w:t>a)</w:t>
      </w:r>
      <w:r w:rsidRPr="00446FEC">
        <w:rPr>
          <w:rFonts w:eastAsiaTheme="minorHAnsi"/>
        </w:rPr>
        <w:tab/>
      </w:r>
      <w:r w:rsidRPr="00446FEC">
        <w:t>Cost incurred in acquiring the customer: This includes the cost of marketing and branding of the product and salary paid to the sales representative who interacts directly with the retail customers. It also includes discounts offered to the customers and operational expenses of the retail stores.</w:t>
      </w:r>
    </w:p>
    <w:p w14:paraId="40C04F4B" w14:textId="77777777" w:rsidR="007E45C3" w:rsidRPr="00446FEC" w:rsidRDefault="007E45C3" w:rsidP="00D36D74">
      <w:pPr>
        <w:pStyle w:val="enumlev1"/>
      </w:pPr>
      <w:r w:rsidRPr="00446FEC">
        <w:rPr>
          <w:rFonts w:eastAsiaTheme="minorHAnsi"/>
        </w:rPr>
        <w:t>b)</w:t>
      </w:r>
      <w:r w:rsidRPr="00446FEC">
        <w:rPr>
          <w:rFonts w:eastAsiaTheme="minorHAnsi"/>
        </w:rPr>
        <w:tab/>
      </w:r>
      <w:r w:rsidRPr="00446FEC">
        <w:t>Customer service-related costs: This includes the salary of customer service representatives and customer relationship manager.</w:t>
      </w:r>
    </w:p>
    <w:p w14:paraId="2CAEB901" w14:textId="77777777" w:rsidR="007E45C3" w:rsidRPr="00446FEC" w:rsidRDefault="007E45C3" w:rsidP="00D36D74">
      <w:pPr>
        <w:pStyle w:val="enumlev1"/>
      </w:pPr>
      <w:r w:rsidRPr="00446FEC">
        <w:rPr>
          <w:rFonts w:eastAsiaTheme="minorHAnsi"/>
        </w:rPr>
        <w:t>c)</w:t>
      </w:r>
      <w:r w:rsidRPr="00446FEC">
        <w:rPr>
          <w:rFonts w:eastAsiaTheme="minorHAnsi"/>
        </w:rPr>
        <w:tab/>
      </w:r>
      <w:r w:rsidRPr="00446FEC">
        <w:t>Billing and payment-processing-related costs.</w:t>
      </w:r>
    </w:p>
    <w:p w14:paraId="45FC1D26" w14:textId="77777777" w:rsidR="007E45C3" w:rsidRPr="00446FEC" w:rsidRDefault="007E45C3" w:rsidP="00D36D74">
      <w:pPr>
        <w:pStyle w:val="enumlev1"/>
      </w:pPr>
      <w:r w:rsidRPr="00446FEC">
        <w:rPr>
          <w:rFonts w:eastAsiaTheme="minorHAnsi"/>
        </w:rPr>
        <w:t>d)</w:t>
      </w:r>
      <w:r w:rsidRPr="00446FEC">
        <w:rPr>
          <w:rFonts w:eastAsiaTheme="minorHAnsi"/>
        </w:rPr>
        <w:tab/>
      </w:r>
      <w:r w:rsidRPr="00446FEC">
        <w:t>Interconnection charges and roaming fees which are paid by the telecom service provider (TSP) to other service providers.</w:t>
      </w:r>
    </w:p>
    <w:p w14:paraId="73F72713" w14:textId="77777777" w:rsidR="007E45C3" w:rsidRPr="00446FEC" w:rsidRDefault="007E45C3" w:rsidP="00D36D74">
      <w:pPr>
        <w:pStyle w:val="enumlev1"/>
      </w:pPr>
      <w:r w:rsidRPr="00446FEC">
        <w:rPr>
          <w:rFonts w:eastAsiaTheme="minorHAnsi"/>
        </w:rPr>
        <w:t>e)</w:t>
      </w:r>
      <w:r w:rsidRPr="00446FEC">
        <w:rPr>
          <w:rFonts w:eastAsiaTheme="minorHAnsi"/>
        </w:rPr>
        <w:tab/>
      </w:r>
      <w:r w:rsidRPr="00446FEC">
        <w:t>Other incidental costs like retention costs of customers, etc.</w:t>
      </w:r>
    </w:p>
    <w:p w14:paraId="6BA2EFCC" w14:textId="77777777" w:rsidR="007E45C3" w:rsidRPr="00446FEC" w:rsidRDefault="007E45C3" w:rsidP="009450B4">
      <w:pPr>
        <w:pStyle w:val="Heading2"/>
      </w:pPr>
      <w:bookmarkStart w:id="104" w:name="_Toc239193546"/>
      <w:bookmarkStart w:id="105" w:name="_Toc239232790"/>
      <w:bookmarkStart w:id="106" w:name="_Toc239240557"/>
      <w:r w:rsidRPr="00446FEC">
        <w:t>10.4</w:t>
      </w:r>
      <w:r w:rsidRPr="00446FEC">
        <w:tab/>
        <w:t>General and administrative costs (G&amp;A)</w:t>
      </w:r>
      <w:bookmarkEnd w:id="104"/>
      <w:bookmarkEnd w:id="105"/>
      <w:bookmarkEnd w:id="106"/>
    </w:p>
    <w:p w14:paraId="64D65487" w14:textId="77777777" w:rsidR="007E45C3" w:rsidRPr="00446FEC" w:rsidRDefault="007E45C3" w:rsidP="009450B4">
      <w:r w:rsidRPr="00446FEC">
        <w:t>This involves the cost incurred in running the overall business operations which cannot directly be linked to the delivery of mobile services to retail customers. It includes:</w:t>
      </w:r>
    </w:p>
    <w:p w14:paraId="0D759CC8" w14:textId="77777777" w:rsidR="007E45C3" w:rsidRPr="00446FEC" w:rsidRDefault="007E45C3" w:rsidP="009450B4">
      <w:pPr>
        <w:pStyle w:val="enumlev1"/>
      </w:pPr>
      <w:r w:rsidRPr="00446FEC">
        <w:rPr>
          <w:rFonts w:eastAsiaTheme="minorHAnsi"/>
        </w:rPr>
        <w:t>a)</w:t>
      </w:r>
      <w:r w:rsidRPr="00446FEC">
        <w:rPr>
          <w:rFonts w:eastAsiaTheme="minorHAnsi"/>
        </w:rPr>
        <w:tab/>
      </w:r>
      <w:r w:rsidRPr="00446FEC">
        <w:t>Executive salaries and bonuses</w:t>
      </w:r>
    </w:p>
    <w:p w14:paraId="740C610C" w14:textId="77777777" w:rsidR="007E45C3" w:rsidRPr="00446FEC" w:rsidRDefault="007E45C3" w:rsidP="009450B4">
      <w:pPr>
        <w:pStyle w:val="enumlev1"/>
      </w:pPr>
      <w:r w:rsidRPr="00446FEC">
        <w:rPr>
          <w:rFonts w:eastAsiaTheme="minorHAnsi"/>
        </w:rPr>
        <w:t>b)</w:t>
      </w:r>
      <w:r w:rsidRPr="00446FEC">
        <w:rPr>
          <w:rFonts w:eastAsiaTheme="minorHAnsi"/>
        </w:rPr>
        <w:tab/>
      </w:r>
      <w:r w:rsidRPr="00446FEC">
        <w:t>Rent and service utilities for office space</w:t>
      </w:r>
    </w:p>
    <w:p w14:paraId="19F3F2A3" w14:textId="77777777" w:rsidR="007E45C3" w:rsidRPr="00446FEC" w:rsidRDefault="007E45C3" w:rsidP="009450B4">
      <w:pPr>
        <w:pStyle w:val="enumlev1"/>
      </w:pPr>
      <w:r w:rsidRPr="00446FEC">
        <w:rPr>
          <w:rFonts w:eastAsiaTheme="minorHAnsi"/>
        </w:rPr>
        <w:t>c)</w:t>
      </w:r>
      <w:r w:rsidRPr="00446FEC">
        <w:rPr>
          <w:rFonts w:eastAsiaTheme="minorHAnsi"/>
        </w:rPr>
        <w:tab/>
      </w:r>
      <w:r w:rsidRPr="00446FEC">
        <w:t>Office supplies and equipment</w:t>
      </w:r>
    </w:p>
    <w:p w14:paraId="3EB012A2" w14:textId="77777777" w:rsidR="007E45C3" w:rsidRPr="00446FEC" w:rsidRDefault="007E45C3" w:rsidP="009450B4">
      <w:pPr>
        <w:pStyle w:val="enumlev1"/>
      </w:pPr>
      <w:r w:rsidRPr="00446FEC">
        <w:rPr>
          <w:rFonts w:eastAsiaTheme="minorHAnsi"/>
        </w:rPr>
        <w:t>d)</w:t>
      </w:r>
      <w:r w:rsidRPr="00446FEC">
        <w:rPr>
          <w:rFonts w:eastAsiaTheme="minorHAnsi"/>
        </w:rPr>
        <w:tab/>
      </w:r>
      <w:r w:rsidRPr="00446FEC">
        <w:t xml:space="preserve">Training of staff </w:t>
      </w:r>
    </w:p>
    <w:p w14:paraId="03C7AC45" w14:textId="77777777" w:rsidR="007E45C3" w:rsidRPr="00446FEC" w:rsidRDefault="007E45C3" w:rsidP="009450B4">
      <w:pPr>
        <w:pStyle w:val="enumlev1"/>
      </w:pPr>
      <w:r w:rsidRPr="00446FEC">
        <w:rPr>
          <w:rFonts w:eastAsiaTheme="minorHAnsi"/>
        </w:rPr>
        <w:t>e)</w:t>
      </w:r>
      <w:r w:rsidRPr="00446FEC">
        <w:rPr>
          <w:rFonts w:eastAsiaTheme="minorHAnsi"/>
        </w:rPr>
        <w:tab/>
      </w:r>
      <w:r w:rsidRPr="00446FEC">
        <w:t>Insurance costs</w:t>
      </w:r>
    </w:p>
    <w:p w14:paraId="1E287742" w14:textId="0B2CD6EF" w:rsidR="007E45C3" w:rsidRPr="00446FEC" w:rsidRDefault="007E45C3" w:rsidP="009450B4">
      <w:pPr>
        <w:pStyle w:val="enumlev1"/>
      </w:pPr>
      <w:r w:rsidRPr="00446FEC">
        <w:rPr>
          <w:rFonts w:eastAsiaTheme="minorHAnsi"/>
        </w:rPr>
        <w:t>f)</w:t>
      </w:r>
      <w:r w:rsidRPr="00446FEC">
        <w:rPr>
          <w:rFonts w:eastAsiaTheme="minorHAnsi"/>
        </w:rPr>
        <w:tab/>
      </w:r>
      <w:r w:rsidRPr="00446FEC">
        <w:t>Overall depreciation and amortization costs</w:t>
      </w:r>
      <w:r w:rsidR="009450B4" w:rsidRPr="00446FEC">
        <w:t>.</w:t>
      </w:r>
    </w:p>
    <w:p w14:paraId="1173EE8E" w14:textId="523E4AC4" w:rsidR="007E45C3" w:rsidRPr="00446FEC" w:rsidRDefault="007E45C3" w:rsidP="009450B4">
      <w:pPr>
        <w:pStyle w:val="Heading1"/>
      </w:pPr>
      <w:bookmarkStart w:id="107" w:name="_Toc189663714"/>
      <w:bookmarkStart w:id="108" w:name="_Toc189664835"/>
      <w:bookmarkStart w:id="109" w:name="_Toc189665384"/>
      <w:bookmarkStart w:id="110" w:name="_Toc189665799"/>
      <w:bookmarkStart w:id="111" w:name="_Toc189663715"/>
      <w:bookmarkStart w:id="112" w:name="_Toc189664836"/>
      <w:bookmarkStart w:id="113" w:name="_Toc189665385"/>
      <w:bookmarkStart w:id="114" w:name="_Toc189665800"/>
      <w:bookmarkStart w:id="115" w:name="_Toc209722318"/>
      <w:bookmarkStart w:id="116" w:name="_Toc239193547"/>
      <w:bookmarkStart w:id="117" w:name="_Toc239232791"/>
      <w:bookmarkStart w:id="118" w:name="_Toc239240558"/>
      <w:bookmarkEnd w:id="107"/>
      <w:bookmarkEnd w:id="108"/>
      <w:bookmarkEnd w:id="109"/>
      <w:bookmarkEnd w:id="110"/>
      <w:bookmarkEnd w:id="111"/>
      <w:bookmarkEnd w:id="112"/>
      <w:bookmarkEnd w:id="113"/>
      <w:bookmarkEnd w:id="114"/>
      <w:r w:rsidRPr="00446FEC">
        <w:lastRenderedPageBreak/>
        <w:t>11</w:t>
      </w:r>
      <w:r w:rsidRPr="00446FEC">
        <w:tab/>
        <w:t>Current trends in cost modelling</w:t>
      </w:r>
      <w:bookmarkEnd w:id="115"/>
      <w:bookmarkEnd w:id="116"/>
      <w:bookmarkEnd w:id="117"/>
      <w:bookmarkEnd w:id="118"/>
    </w:p>
    <w:p w14:paraId="27936D51" w14:textId="77777777" w:rsidR="007E45C3" w:rsidRPr="00446FEC" w:rsidRDefault="007E45C3" w:rsidP="00662E6A">
      <w:r w:rsidRPr="00446FEC">
        <w:t xml:space="preserve">Depending on the market factors, regulatory mechanisms, policy perspectives and competition, a particular economy designs its cost modelling to balance the market dynamics and consumer interests. ITU has been collecting relevant data for certain indicators based on survey methodology from the Member States. </w:t>
      </w:r>
    </w:p>
    <w:p w14:paraId="5DD58AF3" w14:textId="77777777" w:rsidR="007E45C3" w:rsidRPr="00446FEC" w:rsidRDefault="007E45C3" w:rsidP="00662E6A">
      <w:r w:rsidRPr="00446FEC">
        <w:t xml:space="preserve">As per the recent [b-ITU </w:t>
      </w:r>
      <w:proofErr w:type="spellStart"/>
      <w:r w:rsidRPr="00446FEC">
        <w:t>DataHub</w:t>
      </w:r>
      <w:proofErr w:type="spellEnd"/>
      <w:r w:rsidRPr="00446FEC">
        <w:t>], the following indicators from the Member States are captured which are related to the tariff policies and cost models:</w:t>
      </w:r>
    </w:p>
    <w:p w14:paraId="644073E7" w14:textId="0E604CC4" w:rsidR="007E45C3" w:rsidRPr="00446FEC" w:rsidRDefault="001821BC" w:rsidP="001821BC">
      <w:pPr>
        <w:pStyle w:val="enumlev1"/>
      </w:pPr>
      <w:r w:rsidRPr="00446FEC">
        <w:t>1)</w:t>
      </w:r>
      <w:r w:rsidRPr="00446FEC">
        <w:tab/>
      </w:r>
      <w:hyperlink r:id="rId24" w:history="1">
        <w:r w:rsidR="007E45C3" w:rsidRPr="00446FEC">
          <w:t>Cost methodology used for calculating fixed service tariffs</w:t>
        </w:r>
      </w:hyperlink>
    </w:p>
    <w:p w14:paraId="17AB46C7" w14:textId="22E39ED2" w:rsidR="007E45C3" w:rsidRPr="00446FEC" w:rsidRDefault="001821BC" w:rsidP="00DB29F8">
      <w:pPr>
        <w:pStyle w:val="enumlev2"/>
      </w:pPr>
      <w:r w:rsidRPr="00446FEC">
        <w:t>•</w:t>
      </w:r>
      <w:r w:rsidRPr="00446FEC">
        <w:tab/>
      </w:r>
      <w:hyperlink r:id="rId25" w:history="1">
        <w:r w:rsidR="007E45C3" w:rsidRPr="00446FEC">
          <w:t>Advanced wholesale services</w:t>
        </w:r>
      </w:hyperlink>
    </w:p>
    <w:p w14:paraId="20C6FC50" w14:textId="1774356C" w:rsidR="007E45C3" w:rsidRPr="00446FEC" w:rsidRDefault="001821BC" w:rsidP="00DB29F8">
      <w:pPr>
        <w:pStyle w:val="enumlev2"/>
      </w:pPr>
      <w:r w:rsidRPr="00446FEC">
        <w:t>•</w:t>
      </w:r>
      <w:r w:rsidRPr="00446FEC">
        <w:tab/>
      </w:r>
      <w:hyperlink r:id="rId26" w:history="1">
        <w:r w:rsidR="007E45C3" w:rsidRPr="00446FEC">
          <w:t>Traditional wholesale services</w:t>
        </w:r>
      </w:hyperlink>
    </w:p>
    <w:p w14:paraId="0CCA4F80" w14:textId="1234D67F" w:rsidR="007E45C3" w:rsidRPr="00446FEC" w:rsidRDefault="001821BC" w:rsidP="00DB29F8">
      <w:pPr>
        <w:pStyle w:val="enumlev2"/>
      </w:pPr>
      <w:r w:rsidRPr="00446FEC">
        <w:t>•</w:t>
      </w:r>
      <w:r w:rsidRPr="00446FEC">
        <w:tab/>
      </w:r>
      <w:hyperlink r:id="rId27" w:history="1">
        <w:r w:rsidR="007E45C3" w:rsidRPr="00446FEC">
          <w:t>Advanced retail services</w:t>
        </w:r>
      </w:hyperlink>
    </w:p>
    <w:p w14:paraId="48588B16" w14:textId="3D87A798" w:rsidR="007E45C3" w:rsidRPr="00446FEC" w:rsidRDefault="001821BC" w:rsidP="00DB29F8">
      <w:pPr>
        <w:pStyle w:val="enumlev2"/>
      </w:pPr>
      <w:r w:rsidRPr="00446FEC">
        <w:t>•</w:t>
      </w:r>
      <w:r w:rsidRPr="00446FEC">
        <w:tab/>
      </w:r>
      <w:hyperlink r:id="rId28" w:history="1">
        <w:r w:rsidR="007E45C3" w:rsidRPr="00446FEC">
          <w:t>Traditional retail services</w:t>
        </w:r>
      </w:hyperlink>
    </w:p>
    <w:p w14:paraId="07DC9D91" w14:textId="3779FB37" w:rsidR="007E45C3" w:rsidRPr="00446FEC" w:rsidRDefault="00633C6A" w:rsidP="00633C6A">
      <w:pPr>
        <w:pStyle w:val="enumlev1"/>
      </w:pPr>
      <w:r w:rsidRPr="00446FEC">
        <w:t>2)</w:t>
      </w:r>
      <w:r w:rsidRPr="00446FEC">
        <w:tab/>
      </w:r>
      <w:hyperlink r:id="rId29" w:history="1">
        <w:r w:rsidR="007E45C3" w:rsidRPr="00446FEC">
          <w:t>Cost methodology used for calculating mobile service tariffs</w:t>
        </w:r>
      </w:hyperlink>
    </w:p>
    <w:p w14:paraId="35957D99" w14:textId="6674D40C" w:rsidR="007E45C3" w:rsidRPr="00446FEC" w:rsidRDefault="00633C6A" w:rsidP="0000158E">
      <w:pPr>
        <w:pStyle w:val="enumlev2"/>
      </w:pPr>
      <w:r w:rsidRPr="00446FEC">
        <w:t>•</w:t>
      </w:r>
      <w:r w:rsidRPr="00446FEC">
        <w:tab/>
      </w:r>
      <w:hyperlink r:id="rId30" w:history="1">
        <w:r w:rsidR="007E45C3" w:rsidRPr="00446FEC">
          <w:t>Advanced retail services</w:t>
        </w:r>
      </w:hyperlink>
    </w:p>
    <w:p w14:paraId="430019B8" w14:textId="2AF7B836" w:rsidR="007E45C3" w:rsidRPr="00446FEC" w:rsidRDefault="00633C6A" w:rsidP="0000158E">
      <w:pPr>
        <w:pStyle w:val="enumlev2"/>
      </w:pPr>
      <w:r w:rsidRPr="00446FEC">
        <w:t>•</w:t>
      </w:r>
      <w:r w:rsidRPr="00446FEC">
        <w:tab/>
      </w:r>
      <w:hyperlink r:id="rId31" w:history="1">
        <w:r w:rsidR="007E45C3" w:rsidRPr="00446FEC">
          <w:t>Advanced wholesale services</w:t>
        </w:r>
      </w:hyperlink>
    </w:p>
    <w:p w14:paraId="75E77817" w14:textId="7C62C003" w:rsidR="007E45C3" w:rsidRPr="00446FEC" w:rsidRDefault="00633C6A" w:rsidP="0000158E">
      <w:pPr>
        <w:pStyle w:val="enumlev2"/>
      </w:pPr>
      <w:r w:rsidRPr="00446FEC">
        <w:t>•</w:t>
      </w:r>
      <w:r w:rsidRPr="00446FEC">
        <w:tab/>
      </w:r>
      <w:hyperlink r:id="rId32" w:history="1">
        <w:r w:rsidR="007E45C3" w:rsidRPr="00446FEC">
          <w:t>Traditional retail services</w:t>
        </w:r>
      </w:hyperlink>
    </w:p>
    <w:p w14:paraId="4BF6F8CD" w14:textId="736D2F78" w:rsidR="007E45C3" w:rsidRPr="00446FEC" w:rsidRDefault="00633C6A" w:rsidP="0000158E">
      <w:pPr>
        <w:pStyle w:val="enumlev2"/>
      </w:pPr>
      <w:r w:rsidRPr="00446FEC">
        <w:t>•</w:t>
      </w:r>
      <w:r w:rsidRPr="00446FEC">
        <w:tab/>
      </w:r>
      <w:hyperlink r:id="rId33" w:history="1">
        <w:r w:rsidR="007E45C3" w:rsidRPr="00446FEC">
          <w:t>Traditional wholesale services</w:t>
        </w:r>
      </w:hyperlink>
    </w:p>
    <w:p w14:paraId="5CB3A06B" w14:textId="63C0025B" w:rsidR="007E45C3" w:rsidRPr="00446FEC" w:rsidRDefault="00633C6A" w:rsidP="00633C6A">
      <w:pPr>
        <w:pStyle w:val="enumlev1"/>
      </w:pPr>
      <w:r w:rsidRPr="00446FEC">
        <w:t>3)</w:t>
      </w:r>
      <w:r w:rsidRPr="00446FEC">
        <w:tab/>
      </w:r>
      <w:hyperlink r:id="rId34" w:history="1">
        <w:r w:rsidR="007E45C3" w:rsidRPr="00446FEC">
          <w:t>Cost modelling approach used as the basis for calculating fixed service tariffs</w:t>
        </w:r>
      </w:hyperlink>
    </w:p>
    <w:p w14:paraId="721E21CD" w14:textId="31C19D73" w:rsidR="007E45C3" w:rsidRPr="00446FEC" w:rsidRDefault="0000158E" w:rsidP="0000158E">
      <w:pPr>
        <w:pStyle w:val="enumlev2"/>
      </w:pPr>
      <w:r w:rsidRPr="00446FEC">
        <w:t>•</w:t>
      </w:r>
      <w:r w:rsidRPr="00446FEC">
        <w:tab/>
      </w:r>
      <w:hyperlink r:id="rId35" w:history="1">
        <w:r w:rsidR="007E45C3" w:rsidRPr="00446FEC">
          <w:t>Advanced wholesale services</w:t>
        </w:r>
      </w:hyperlink>
    </w:p>
    <w:p w14:paraId="0903BC1F" w14:textId="674B57D2" w:rsidR="007E45C3" w:rsidRPr="00446FEC" w:rsidRDefault="0000158E" w:rsidP="0000158E">
      <w:pPr>
        <w:pStyle w:val="enumlev2"/>
      </w:pPr>
      <w:r w:rsidRPr="00446FEC">
        <w:t>•</w:t>
      </w:r>
      <w:r w:rsidRPr="00446FEC">
        <w:tab/>
      </w:r>
      <w:hyperlink r:id="rId36" w:history="1">
        <w:r w:rsidR="007E45C3" w:rsidRPr="00446FEC">
          <w:t>Traditional wholesale services</w:t>
        </w:r>
      </w:hyperlink>
    </w:p>
    <w:p w14:paraId="6F54B478" w14:textId="6C9151B7" w:rsidR="007E45C3" w:rsidRPr="00446FEC" w:rsidRDefault="0000158E" w:rsidP="0000158E">
      <w:pPr>
        <w:pStyle w:val="enumlev2"/>
      </w:pPr>
      <w:r w:rsidRPr="00446FEC">
        <w:t>•</w:t>
      </w:r>
      <w:r w:rsidRPr="00446FEC">
        <w:tab/>
      </w:r>
      <w:hyperlink r:id="rId37" w:history="1">
        <w:r w:rsidR="007E45C3" w:rsidRPr="00446FEC">
          <w:t>Advanced retail services</w:t>
        </w:r>
      </w:hyperlink>
    </w:p>
    <w:p w14:paraId="1F9C5D2D" w14:textId="249B31B6" w:rsidR="007E45C3" w:rsidRPr="00446FEC" w:rsidRDefault="0000158E" w:rsidP="0000158E">
      <w:pPr>
        <w:pStyle w:val="enumlev2"/>
      </w:pPr>
      <w:r w:rsidRPr="00446FEC">
        <w:t>•</w:t>
      </w:r>
      <w:r w:rsidRPr="00446FEC">
        <w:tab/>
      </w:r>
      <w:hyperlink r:id="rId38" w:history="1">
        <w:r w:rsidR="007E45C3" w:rsidRPr="00446FEC">
          <w:t>Traditional retail services</w:t>
        </w:r>
      </w:hyperlink>
    </w:p>
    <w:p w14:paraId="4CAF4B4F" w14:textId="74C477B7" w:rsidR="007E45C3" w:rsidRPr="00446FEC" w:rsidRDefault="00272930" w:rsidP="00272930">
      <w:pPr>
        <w:pStyle w:val="enumlev1"/>
      </w:pPr>
      <w:r w:rsidRPr="00446FEC">
        <w:t>4)</w:t>
      </w:r>
      <w:r w:rsidRPr="00446FEC">
        <w:tab/>
      </w:r>
      <w:hyperlink r:id="rId39" w:history="1">
        <w:r w:rsidR="007E45C3" w:rsidRPr="00446FEC">
          <w:t>Cost modelling approach used as the basis for calculating mobile service tariffs</w:t>
        </w:r>
      </w:hyperlink>
    </w:p>
    <w:p w14:paraId="7BE8E5DF" w14:textId="6D3CD732" w:rsidR="007E45C3" w:rsidRPr="00446FEC" w:rsidRDefault="00272930" w:rsidP="00272930">
      <w:pPr>
        <w:pStyle w:val="enumlev2"/>
      </w:pPr>
      <w:r w:rsidRPr="00446FEC">
        <w:t>•</w:t>
      </w:r>
      <w:r w:rsidRPr="00446FEC">
        <w:tab/>
      </w:r>
      <w:hyperlink r:id="rId40" w:history="1">
        <w:r w:rsidR="007E45C3" w:rsidRPr="00446FEC">
          <w:t>Advanced retail mobile services</w:t>
        </w:r>
      </w:hyperlink>
    </w:p>
    <w:p w14:paraId="30C7837D" w14:textId="5D1609A4" w:rsidR="007E45C3" w:rsidRPr="00446FEC" w:rsidRDefault="00272930" w:rsidP="00272930">
      <w:pPr>
        <w:pStyle w:val="enumlev2"/>
      </w:pPr>
      <w:r w:rsidRPr="00446FEC">
        <w:t>•</w:t>
      </w:r>
      <w:r w:rsidRPr="00446FEC">
        <w:tab/>
      </w:r>
      <w:hyperlink r:id="rId41" w:history="1">
        <w:r w:rsidR="007E45C3" w:rsidRPr="00446FEC">
          <w:t>Advanced wholesale mobile services</w:t>
        </w:r>
      </w:hyperlink>
    </w:p>
    <w:p w14:paraId="710C2667" w14:textId="2FCC2B76" w:rsidR="007E45C3" w:rsidRPr="00446FEC" w:rsidRDefault="00272930" w:rsidP="00272930">
      <w:pPr>
        <w:pStyle w:val="enumlev2"/>
      </w:pPr>
      <w:r w:rsidRPr="00446FEC">
        <w:t>•</w:t>
      </w:r>
      <w:r w:rsidRPr="00446FEC">
        <w:tab/>
      </w:r>
      <w:hyperlink r:id="rId42" w:history="1">
        <w:r w:rsidR="007E45C3" w:rsidRPr="00446FEC">
          <w:t>Traditional retail mobile services</w:t>
        </w:r>
      </w:hyperlink>
    </w:p>
    <w:p w14:paraId="7A2A2F02" w14:textId="01DF6963" w:rsidR="007E45C3" w:rsidRPr="00446FEC" w:rsidRDefault="00272930" w:rsidP="00272930">
      <w:pPr>
        <w:pStyle w:val="enumlev2"/>
      </w:pPr>
      <w:r w:rsidRPr="00446FEC">
        <w:t>•</w:t>
      </w:r>
      <w:r w:rsidRPr="00446FEC">
        <w:tab/>
      </w:r>
      <w:hyperlink r:id="rId43" w:history="1">
        <w:r w:rsidR="007E45C3" w:rsidRPr="00446FEC">
          <w:t>Traditional wholesale mobile services</w:t>
        </w:r>
      </w:hyperlink>
    </w:p>
    <w:p w14:paraId="3F5A47A7" w14:textId="6E3FC119" w:rsidR="007E45C3" w:rsidRPr="00446FEC" w:rsidRDefault="007E45C3" w:rsidP="002F11B6">
      <w:pPr>
        <w:pStyle w:val="enumlev1"/>
      </w:pPr>
      <w:r w:rsidRPr="00446FEC">
        <w:t>5</w:t>
      </w:r>
      <w:r w:rsidR="002F11B6" w:rsidRPr="00446FEC">
        <w:t>)</w:t>
      </w:r>
      <w:r w:rsidRPr="00446FEC">
        <w:tab/>
      </w:r>
      <w:hyperlink r:id="rId44" w:history="1">
        <w:r w:rsidRPr="00446FEC">
          <w:t>How are regulated service prices determined</w:t>
        </w:r>
      </w:hyperlink>
      <w:r w:rsidRPr="00446FEC">
        <w:t>?</w:t>
      </w:r>
    </w:p>
    <w:p w14:paraId="057BA91D" w14:textId="4ADCC509" w:rsidR="007E45C3" w:rsidRPr="00446FEC" w:rsidRDefault="002F11B6" w:rsidP="002F11B6">
      <w:pPr>
        <w:pStyle w:val="enumlev2"/>
      </w:pPr>
      <w:r w:rsidRPr="00446FEC">
        <w:t>•</w:t>
      </w:r>
      <w:r w:rsidR="007E45C3" w:rsidRPr="00446FEC">
        <w:tab/>
      </w:r>
      <w:hyperlink r:id="rId45" w:history="1">
        <w:r w:rsidR="007E45C3" w:rsidRPr="00446FEC">
          <w:t>Traditional retail services</w:t>
        </w:r>
      </w:hyperlink>
    </w:p>
    <w:p w14:paraId="74137009" w14:textId="4C620306" w:rsidR="007E45C3" w:rsidRPr="00446FEC" w:rsidRDefault="002F11B6" w:rsidP="002F11B6">
      <w:pPr>
        <w:pStyle w:val="enumlev2"/>
      </w:pPr>
      <w:r w:rsidRPr="00446FEC">
        <w:t>•</w:t>
      </w:r>
      <w:r w:rsidR="007E45C3" w:rsidRPr="00446FEC">
        <w:tab/>
      </w:r>
      <w:hyperlink r:id="rId46" w:history="1">
        <w:r w:rsidR="007E45C3" w:rsidRPr="00446FEC">
          <w:t>Advanced retail services</w:t>
        </w:r>
      </w:hyperlink>
    </w:p>
    <w:p w14:paraId="28BDF372" w14:textId="09F460CC" w:rsidR="007E45C3" w:rsidRPr="00446FEC" w:rsidRDefault="002F11B6" w:rsidP="002F11B6">
      <w:pPr>
        <w:pStyle w:val="enumlev2"/>
      </w:pPr>
      <w:r w:rsidRPr="00446FEC">
        <w:t>•</w:t>
      </w:r>
      <w:r w:rsidR="007E45C3" w:rsidRPr="00446FEC">
        <w:tab/>
      </w:r>
      <w:hyperlink r:id="rId47" w:history="1">
        <w:r w:rsidR="007E45C3" w:rsidRPr="00446FEC">
          <w:t>Advanced wholesale services</w:t>
        </w:r>
      </w:hyperlink>
    </w:p>
    <w:p w14:paraId="1A311EBA" w14:textId="0A60CD4F" w:rsidR="007E45C3" w:rsidRPr="00446FEC" w:rsidRDefault="007E45C3" w:rsidP="002F11B6">
      <w:pPr>
        <w:pStyle w:val="enumlev1"/>
      </w:pPr>
      <w:r w:rsidRPr="00446FEC">
        <w:t>6</w:t>
      </w:r>
      <w:r w:rsidR="002F11B6" w:rsidRPr="00446FEC">
        <w:t>)</w:t>
      </w:r>
      <w:r w:rsidRPr="00446FEC">
        <w:tab/>
      </w:r>
      <w:hyperlink r:id="rId48" w:history="1">
        <w:r w:rsidRPr="00446FEC">
          <w:t>How do operators charge retail prices for voice services?</w:t>
        </w:r>
      </w:hyperlink>
    </w:p>
    <w:p w14:paraId="697495E4" w14:textId="3D24A6EB" w:rsidR="007E45C3" w:rsidRPr="00446FEC" w:rsidRDefault="00A46411" w:rsidP="00A46411">
      <w:pPr>
        <w:pStyle w:val="enumlev2"/>
      </w:pPr>
      <w:r w:rsidRPr="00446FEC">
        <w:t>•</w:t>
      </w:r>
      <w:r w:rsidRPr="00446FEC">
        <w:tab/>
      </w:r>
      <w:hyperlink r:id="rId49" w:history="1">
        <w:r w:rsidR="007E45C3" w:rsidRPr="00446FEC">
          <w:t>Fixed services</w:t>
        </w:r>
      </w:hyperlink>
    </w:p>
    <w:p w14:paraId="38A7413E" w14:textId="0706BC12" w:rsidR="007E45C3" w:rsidRPr="00446FEC" w:rsidRDefault="00A46411" w:rsidP="00A46411">
      <w:pPr>
        <w:pStyle w:val="enumlev2"/>
      </w:pPr>
      <w:r w:rsidRPr="00446FEC">
        <w:t>•</w:t>
      </w:r>
      <w:r w:rsidRPr="00446FEC">
        <w:tab/>
      </w:r>
      <w:hyperlink r:id="rId50" w:history="1">
        <w:r w:rsidR="007E45C3" w:rsidRPr="00446FEC">
          <w:t>Mobile services</w:t>
        </w:r>
      </w:hyperlink>
    </w:p>
    <w:p w14:paraId="037EB334" w14:textId="5AC0CBD7" w:rsidR="007E45C3" w:rsidRPr="00446FEC" w:rsidRDefault="007E45C3" w:rsidP="00982C74">
      <w:r w:rsidRPr="00446FEC">
        <w:t>The data related to the survey done by ITU for the year 2021 has provided following insights for each of the above indicators. The percentage of economies following the certain model is highlighted in Table</w:t>
      </w:r>
      <w:r w:rsidR="000F2C79" w:rsidRPr="00446FEC">
        <w:t> </w:t>
      </w:r>
      <w:r w:rsidRPr="00446FEC">
        <w:t>1.</w:t>
      </w:r>
    </w:p>
    <w:tbl>
      <w:tblPr>
        <w:tblStyle w:val="TableGrid"/>
        <w:tblW w:w="9639" w:type="dxa"/>
        <w:jc w:val="center"/>
        <w:tblLook w:val="04A0" w:firstRow="1" w:lastRow="0" w:firstColumn="1" w:lastColumn="0" w:noHBand="0" w:noVBand="1"/>
      </w:tblPr>
      <w:tblGrid>
        <w:gridCol w:w="1905"/>
        <w:gridCol w:w="1905"/>
        <w:gridCol w:w="1929"/>
        <w:gridCol w:w="1929"/>
        <w:gridCol w:w="1971"/>
      </w:tblGrid>
      <w:tr w:rsidR="007E45C3" w:rsidRPr="00446FEC" w14:paraId="27FD95E3" w14:textId="77777777" w:rsidTr="00590FE8">
        <w:trPr>
          <w:jc w:val="center"/>
        </w:trPr>
        <w:tc>
          <w:tcPr>
            <w:tcW w:w="9639" w:type="dxa"/>
            <w:gridSpan w:val="5"/>
            <w:tcBorders>
              <w:top w:val="nil"/>
              <w:left w:val="nil"/>
              <w:bottom w:val="single" w:sz="4" w:space="0" w:color="auto"/>
              <w:right w:val="nil"/>
            </w:tcBorders>
          </w:tcPr>
          <w:p w14:paraId="3B077418" w14:textId="577DEEC1" w:rsidR="007E45C3" w:rsidRPr="00446FEC" w:rsidRDefault="007E45C3" w:rsidP="00117AD6">
            <w:pPr>
              <w:pStyle w:val="TableNoTitle0"/>
              <w:rPr>
                <w:rFonts w:ascii="Times New Roman" w:hAnsi="Times New Roman"/>
              </w:rPr>
            </w:pPr>
            <w:r w:rsidRPr="00446FEC">
              <w:rPr>
                <w:rFonts w:ascii="Times New Roman" w:hAnsi="Times New Roman"/>
              </w:rPr>
              <w:lastRenderedPageBreak/>
              <w:t xml:space="preserve">Table 1 </w:t>
            </w:r>
            <w:r w:rsidRPr="00446FEC">
              <w:rPr>
                <w:rFonts w:ascii="Times New Roman" w:hAnsi="Times New Roman"/>
              </w:rPr>
              <w:sym w:font="Symbol" w:char="F02D"/>
            </w:r>
            <w:r w:rsidRPr="00446FEC">
              <w:rPr>
                <w:rFonts w:ascii="Times New Roman" w:hAnsi="Times New Roman"/>
              </w:rPr>
              <w:t xml:space="preserve"> P</w:t>
            </w:r>
            <w:r w:rsidRPr="00446FEC">
              <w:rPr>
                <w:rStyle w:val="Emphasis"/>
                <w:rFonts w:ascii="Times New Roman" w:hAnsi="Times New Roman"/>
                <w:bCs/>
                <w:i w:val="0"/>
                <w:iCs w:val="0"/>
              </w:rPr>
              <w:t>ercentage of economies based on the</w:t>
            </w:r>
            <w:r w:rsidRPr="00446FEC">
              <w:rPr>
                <w:rStyle w:val="Emphasis"/>
                <w:rFonts w:ascii="Times New Roman" w:hAnsi="Times New Roman"/>
                <w:bCs/>
              </w:rPr>
              <w:t xml:space="preserve"> </w:t>
            </w:r>
            <w:r w:rsidRPr="00446FEC">
              <w:rPr>
                <w:rStyle w:val="Emphasis"/>
                <w:rFonts w:ascii="Times New Roman" w:hAnsi="Times New Roman"/>
                <w:bCs/>
                <w:i w:val="0"/>
                <w:iCs w:val="0"/>
              </w:rPr>
              <w:t>ITU</w:t>
            </w:r>
            <w:r w:rsidR="00C87687" w:rsidRPr="00446FEC">
              <w:rPr>
                <w:rStyle w:val="Emphasis"/>
                <w:rFonts w:ascii="Times New Roman" w:hAnsi="Times New Roman"/>
                <w:bCs/>
                <w:i w:val="0"/>
                <w:iCs w:val="0"/>
              </w:rPr>
              <w:t xml:space="preserve"> </w:t>
            </w:r>
            <w:r w:rsidRPr="00446FEC">
              <w:rPr>
                <w:rStyle w:val="Emphasis"/>
                <w:rFonts w:ascii="Times New Roman" w:hAnsi="Times New Roman"/>
                <w:bCs/>
                <w:i w:val="0"/>
                <w:iCs w:val="0"/>
              </w:rPr>
              <w:t>survey for 2021</w:t>
            </w:r>
          </w:p>
        </w:tc>
      </w:tr>
      <w:tr w:rsidR="007E45C3" w:rsidRPr="00446FEC" w14:paraId="767B2AD1" w14:textId="77777777" w:rsidTr="00DF5ABA">
        <w:trPr>
          <w:jc w:val="center"/>
        </w:trPr>
        <w:tc>
          <w:tcPr>
            <w:tcW w:w="1905" w:type="dxa"/>
            <w:tcBorders>
              <w:top w:val="single" w:sz="4" w:space="0" w:color="auto"/>
            </w:tcBorders>
            <w:vAlign w:val="center"/>
          </w:tcPr>
          <w:p w14:paraId="466BDEC9" w14:textId="77777777" w:rsidR="007E45C3" w:rsidRPr="00446FEC" w:rsidRDefault="007E45C3" w:rsidP="00982C74">
            <w:pPr>
              <w:pStyle w:val="Tablehead"/>
              <w:rPr>
                <w:rStyle w:val="Emphasis"/>
                <w:rFonts w:ascii="Times New Roman" w:hAnsi="Times New Roman"/>
                <w:b w:val="0"/>
                <w:bCs/>
                <w:i w:val="0"/>
                <w:iCs w:val="0"/>
              </w:rPr>
            </w:pPr>
            <w:r w:rsidRPr="00446FEC">
              <w:rPr>
                <w:rFonts w:ascii="Times New Roman" w:hAnsi="Times New Roman"/>
              </w:rPr>
              <w:t>Fixed service tariffs</w:t>
            </w:r>
          </w:p>
        </w:tc>
        <w:tc>
          <w:tcPr>
            <w:tcW w:w="1905" w:type="dxa"/>
            <w:tcBorders>
              <w:top w:val="single" w:sz="4" w:space="0" w:color="auto"/>
            </w:tcBorders>
            <w:vAlign w:val="center"/>
          </w:tcPr>
          <w:p w14:paraId="334E9D23" w14:textId="77777777" w:rsidR="007E45C3" w:rsidRPr="00446FEC" w:rsidRDefault="007E45C3" w:rsidP="00982C74">
            <w:pPr>
              <w:pStyle w:val="Tablehead"/>
              <w:rPr>
                <w:rStyle w:val="Emphasis"/>
                <w:rFonts w:ascii="Times New Roman" w:hAnsi="Times New Roman"/>
                <w:b w:val="0"/>
                <w:bCs/>
                <w:i w:val="0"/>
                <w:iCs w:val="0"/>
              </w:rPr>
            </w:pPr>
            <w:r w:rsidRPr="00446FEC">
              <w:rPr>
                <w:rFonts w:ascii="Times New Roman" w:hAnsi="Times New Roman"/>
              </w:rPr>
              <w:t>Mobile service tariffs</w:t>
            </w:r>
          </w:p>
        </w:tc>
        <w:tc>
          <w:tcPr>
            <w:tcW w:w="1929" w:type="dxa"/>
            <w:tcBorders>
              <w:top w:val="single" w:sz="4" w:space="0" w:color="auto"/>
            </w:tcBorders>
            <w:vAlign w:val="center"/>
          </w:tcPr>
          <w:p w14:paraId="69EF1291" w14:textId="77777777" w:rsidR="007E45C3" w:rsidRPr="00446FEC" w:rsidRDefault="007E45C3" w:rsidP="00982C74">
            <w:pPr>
              <w:pStyle w:val="Tablehead"/>
              <w:rPr>
                <w:rStyle w:val="Emphasis"/>
                <w:rFonts w:ascii="Times New Roman" w:hAnsi="Times New Roman"/>
                <w:b w:val="0"/>
                <w:bCs/>
                <w:i w:val="0"/>
                <w:iCs w:val="0"/>
              </w:rPr>
            </w:pPr>
            <w:r w:rsidRPr="00446FEC">
              <w:rPr>
                <w:rFonts w:ascii="Times New Roman" w:hAnsi="Times New Roman"/>
              </w:rPr>
              <w:t>Fixed service tariff modelling</w:t>
            </w:r>
          </w:p>
        </w:tc>
        <w:tc>
          <w:tcPr>
            <w:tcW w:w="1929" w:type="dxa"/>
            <w:tcBorders>
              <w:top w:val="single" w:sz="4" w:space="0" w:color="auto"/>
            </w:tcBorders>
            <w:vAlign w:val="center"/>
          </w:tcPr>
          <w:p w14:paraId="13A83020" w14:textId="77777777" w:rsidR="007E45C3" w:rsidRPr="00446FEC" w:rsidRDefault="007E45C3" w:rsidP="00982C74">
            <w:pPr>
              <w:pStyle w:val="Tablehead"/>
              <w:rPr>
                <w:rStyle w:val="Emphasis"/>
                <w:rFonts w:ascii="Times New Roman" w:hAnsi="Times New Roman"/>
                <w:b w:val="0"/>
                <w:bCs/>
                <w:i w:val="0"/>
                <w:iCs w:val="0"/>
              </w:rPr>
            </w:pPr>
            <w:r w:rsidRPr="00446FEC">
              <w:rPr>
                <w:rFonts w:ascii="Times New Roman" w:hAnsi="Times New Roman"/>
              </w:rPr>
              <w:t>Mobile service tariff modelling</w:t>
            </w:r>
          </w:p>
        </w:tc>
        <w:tc>
          <w:tcPr>
            <w:tcW w:w="1971" w:type="dxa"/>
            <w:tcBorders>
              <w:top w:val="single" w:sz="4" w:space="0" w:color="auto"/>
            </w:tcBorders>
            <w:vAlign w:val="center"/>
          </w:tcPr>
          <w:p w14:paraId="364B013C" w14:textId="77777777" w:rsidR="007E45C3" w:rsidRPr="00446FEC" w:rsidRDefault="007E45C3" w:rsidP="00982C74">
            <w:pPr>
              <w:pStyle w:val="Tablehead"/>
              <w:rPr>
                <w:rStyle w:val="Emphasis"/>
                <w:rFonts w:ascii="Times New Roman" w:hAnsi="Times New Roman"/>
                <w:b w:val="0"/>
                <w:bCs/>
                <w:i w:val="0"/>
                <w:iCs w:val="0"/>
              </w:rPr>
            </w:pPr>
            <w:r w:rsidRPr="00446FEC">
              <w:rPr>
                <w:rFonts w:ascii="Times New Roman" w:hAnsi="Times New Roman"/>
              </w:rPr>
              <w:t>Regulated service price determination</w:t>
            </w:r>
          </w:p>
        </w:tc>
      </w:tr>
      <w:tr w:rsidR="007E45C3" w:rsidRPr="00446FEC" w14:paraId="312137B7" w14:textId="77777777" w:rsidTr="00590FE8">
        <w:trPr>
          <w:jc w:val="center"/>
        </w:trPr>
        <w:tc>
          <w:tcPr>
            <w:tcW w:w="1905" w:type="dxa"/>
          </w:tcPr>
          <w:p w14:paraId="6E2693D3" w14:textId="5DD55589" w:rsidR="007E45C3" w:rsidRPr="00446FEC" w:rsidRDefault="007E45C3" w:rsidP="00982C74">
            <w:pPr>
              <w:pStyle w:val="Tabletext"/>
              <w:rPr>
                <w:rStyle w:val="Emphasis"/>
                <w:rFonts w:ascii="Times New Roman" w:hAnsi="Times New Roman"/>
                <w:i w:val="0"/>
                <w:iCs w:val="0"/>
              </w:rPr>
            </w:pPr>
            <w:r w:rsidRPr="00446FEC">
              <w:rPr>
                <w:rStyle w:val="Emphasis"/>
                <w:rFonts w:ascii="Times New Roman" w:hAnsi="Times New Roman"/>
                <w:i w:val="0"/>
                <w:iCs w:val="0"/>
              </w:rPr>
              <w:t xml:space="preserve">FDC: 4.08% </w:t>
            </w:r>
            <w:r w:rsidR="00982C74" w:rsidRPr="00446FEC">
              <w:rPr>
                <w:rStyle w:val="Emphasis"/>
                <w:rFonts w:ascii="Times New Roman" w:hAnsi="Times New Roman"/>
                <w:i w:val="0"/>
                <w:iCs w:val="0"/>
              </w:rPr>
              <w:t>–</w:t>
            </w:r>
            <w:r w:rsidRPr="00446FEC">
              <w:rPr>
                <w:rStyle w:val="Emphasis"/>
                <w:rFonts w:ascii="Times New Roman" w:hAnsi="Times New Roman"/>
                <w:i w:val="0"/>
                <w:iCs w:val="0"/>
              </w:rPr>
              <w:t xml:space="preserve"> 9.18%</w:t>
            </w:r>
          </w:p>
          <w:p w14:paraId="59020840" w14:textId="04E20A35" w:rsidR="007E45C3" w:rsidRPr="00446FEC" w:rsidRDefault="007E45C3" w:rsidP="00982C74">
            <w:pPr>
              <w:pStyle w:val="Tabletext"/>
              <w:rPr>
                <w:rStyle w:val="Emphasis"/>
                <w:rFonts w:ascii="Times New Roman" w:hAnsi="Times New Roman"/>
                <w:i w:val="0"/>
                <w:iCs w:val="0"/>
              </w:rPr>
            </w:pPr>
            <w:r w:rsidRPr="00446FEC">
              <w:rPr>
                <w:rStyle w:val="Emphasis"/>
                <w:rFonts w:ascii="Times New Roman" w:hAnsi="Times New Roman"/>
                <w:i w:val="0"/>
                <w:iCs w:val="0"/>
              </w:rPr>
              <w:t xml:space="preserve">LRAIC: 4.08% </w:t>
            </w:r>
            <w:r w:rsidR="00982C74" w:rsidRPr="00446FEC">
              <w:rPr>
                <w:rStyle w:val="Emphasis"/>
                <w:rFonts w:ascii="Times New Roman" w:hAnsi="Times New Roman"/>
                <w:i w:val="0"/>
                <w:iCs w:val="0"/>
              </w:rPr>
              <w:t>–</w:t>
            </w:r>
            <w:r w:rsidRPr="00446FEC">
              <w:rPr>
                <w:rStyle w:val="Emphasis"/>
                <w:rFonts w:ascii="Times New Roman" w:hAnsi="Times New Roman"/>
                <w:i w:val="0"/>
                <w:iCs w:val="0"/>
              </w:rPr>
              <w:t xml:space="preserve"> 16.30%</w:t>
            </w:r>
          </w:p>
          <w:p w14:paraId="3E03702B" w14:textId="2CBA1E2E" w:rsidR="007E45C3" w:rsidRPr="00446FEC" w:rsidRDefault="007E45C3" w:rsidP="00982C74">
            <w:pPr>
              <w:pStyle w:val="Tabletext"/>
              <w:rPr>
                <w:rStyle w:val="Emphasis"/>
                <w:rFonts w:ascii="Times New Roman" w:hAnsi="Times New Roman"/>
                <w:i w:val="0"/>
                <w:iCs w:val="0"/>
              </w:rPr>
            </w:pPr>
            <w:r w:rsidRPr="00446FEC">
              <w:rPr>
                <w:rStyle w:val="Emphasis"/>
                <w:rFonts w:ascii="Times New Roman" w:hAnsi="Times New Roman"/>
                <w:i w:val="0"/>
                <w:iCs w:val="0"/>
              </w:rPr>
              <w:t xml:space="preserve">LRIC+: 2.04% </w:t>
            </w:r>
            <w:r w:rsidR="00982C74" w:rsidRPr="00446FEC">
              <w:rPr>
                <w:rStyle w:val="Emphasis"/>
                <w:rFonts w:ascii="Times New Roman" w:hAnsi="Times New Roman"/>
                <w:i w:val="0"/>
                <w:iCs w:val="0"/>
              </w:rPr>
              <w:t>–</w:t>
            </w:r>
            <w:r w:rsidRPr="00446FEC">
              <w:rPr>
                <w:rStyle w:val="Emphasis"/>
                <w:rFonts w:ascii="Times New Roman" w:hAnsi="Times New Roman"/>
                <w:i w:val="0"/>
                <w:iCs w:val="0"/>
              </w:rPr>
              <w:t xml:space="preserve"> 14.80%</w:t>
            </w:r>
          </w:p>
          <w:p w14:paraId="24F2F132" w14:textId="44542EBA" w:rsidR="007E45C3" w:rsidRPr="00446FEC" w:rsidRDefault="007E45C3" w:rsidP="00982C74">
            <w:pPr>
              <w:pStyle w:val="Tabletext"/>
              <w:rPr>
                <w:rStyle w:val="Emphasis"/>
                <w:rFonts w:ascii="Times New Roman" w:hAnsi="Times New Roman"/>
                <w:i w:val="0"/>
                <w:iCs w:val="0"/>
              </w:rPr>
            </w:pPr>
            <w:r w:rsidRPr="00446FEC">
              <w:rPr>
                <w:rStyle w:val="Emphasis"/>
                <w:rFonts w:ascii="Times New Roman" w:hAnsi="Times New Roman"/>
                <w:i w:val="0"/>
                <w:iCs w:val="0"/>
              </w:rPr>
              <w:t xml:space="preserve">SAC: 2.55% </w:t>
            </w:r>
            <w:r w:rsidR="00982C74" w:rsidRPr="00446FEC">
              <w:rPr>
                <w:rStyle w:val="Emphasis"/>
                <w:rFonts w:ascii="Times New Roman" w:hAnsi="Times New Roman"/>
                <w:i w:val="0"/>
                <w:iCs w:val="0"/>
              </w:rPr>
              <w:t>–</w:t>
            </w:r>
            <w:r w:rsidRPr="00446FEC">
              <w:rPr>
                <w:rStyle w:val="Emphasis"/>
                <w:rFonts w:ascii="Times New Roman" w:hAnsi="Times New Roman"/>
                <w:i w:val="0"/>
                <w:iCs w:val="0"/>
              </w:rPr>
              <w:t xml:space="preserve"> 12.20%</w:t>
            </w:r>
          </w:p>
        </w:tc>
        <w:tc>
          <w:tcPr>
            <w:tcW w:w="1905" w:type="dxa"/>
          </w:tcPr>
          <w:p w14:paraId="171BE142" w14:textId="22DEDBA5" w:rsidR="007E45C3" w:rsidRPr="00446FEC" w:rsidRDefault="007E45C3" w:rsidP="00982C74">
            <w:pPr>
              <w:pStyle w:val="Tabletext"/>
              <w:rPr>
                <w:rStyle w:val="Emphasis"/>
                <w:rFonts w:ascii="Times New Roman" w:hAnsi="Times New Roman"/>
                <w:i w:val="0"/>
                <w:iCs w:val="0"/>
              </w:rPr>
            </w:pPr>
            <w:r w:rsidRPr="00446FEC">
              <w:rPr>
                <w:rStyle w:val="Emphasis"/>
                <w:rFonts w:ascii="Times New Roman" w:hAnsi="Times New Roman"/>
                <w:i w:val="0"/>
                <w:iCs w:val="0"/>
              </w:rPr>
              <w:t xml:space="preserve">FDC: 7.65% </w:t>
            </w:r>
            <w:r w:rsidR="00982C74" w:rsidRPr="00446FEC">
              <w:rPr>
                <w:rStyle w:val="Emphasis"/>
                <w:rFonts w:ascii="Times New Roman" w:hAnsi="Times New Roman"/>
                <w:i w:val="0"/>
                <w:iCs w:val="0"/>
              </w:rPr>
              <w:t>–</w:t>
            </w:r>
            <w:r w:rsidRPr="00446FEC">
              <w:rPr>
                <w:rStyle w:val="Emphasis"/>
                <w:rFonts w:ascii="Times New Roman" w:hAnsi="Times New Roman"/>
                <w:i w:val="0"/>
                <w:iCs w:val="0"/>
              </w:rPr>
              <w:t xml:space="preserve"> 9.18%</w:t>
            </w:r>
          </w:p>
          <w:p w14:paraId="239D6F81" w14:textId="578BB880" w:rsidR="007E45C3" w:rsidRPr="00446FEC" w:rsidRDefault="007E45C3" w:rsidP="00982C74">
            <w:pPr>
              <w:pStyle w:val="Tabletext"/>
              <w:rPr>
                <w:rStyle w:val="Emphasis"/>
                <w:rFonts w:ascii="Times New Roman" w:hAnsi="Times New Roman"/>
                <w:i w:val="0"/>
                <w:iCs w:val="0"/>
              </w:rPr>
            </w:pPr>
            <w:r w:rsidRPr="00446FEC">
              <w:rPr>
                <w:rStyle w:val="Emphasis"/>
                <w:rFonts w:ascii="Times New Roman" w:hAnsi="Times New Roman"/>
                <w:i w:val="0"/>
                <w:iCs w:val="0"/>
              </w:rPr>
              <w:t xml:space="preserve">LRAIC: 0.51% </w:t>
            </w:r>
            <w:r w:rsidR="00982C74" w:rsidRPr="00446FEC">
              <w:rPr>
                <w:rStyle w:val="Emphasis"/>
                <w:rFonts w:ascii="Times New Roman" w:hAnsi="Times New Roman"/>
                <w:i w:val="0"/>
                <w:iCs w:val="0"/>
              </w:rPr>
              <w:t>–</w:t>
            </w:r>
            <w:r w:rsidRPr="00446FEC">
              <w:rPr>
                <w:rStyle w:val="Emphasis"/>
                <w:rFonts w:ascii="Times New Roman" w:hAnsi="Times New Roman"/>
                <w:i w:val="0"/>
                <w:iCs w:val="0"/>
              </w:rPr>
              <w:t xml:space="preserve"> 11.70%</w:t>
            </w:r>
          </w:p>
          <w:p w14:paraId="69CB6920" w14:textId="66C249DF" w:rsidR="007E45C3" w:rsidRPr="00446FEC" w:rsidRDefault="007E45C3" w:rsidP="00982C74">
            <w:pPr>
              <w:pStyle w:val="Tabletext"/>
              <w:rPr>
                <w:rStyle w:val="Emphasis"/>
                <w:rFonts w:ascii="Times New Roman" w:hAnsi="Times New Roman"/>
                <w:i w:val="0"/>
                <w:iCs w:val="0"/>
              </w:rPr>
            </w:pPr>
            <w:r w:rsidRPr="00446FEC">
              <w:rPr>
                <w:rStyle w:val="Emphasis"/>
                <w:rFonts w:ascii="Times New Roman" w:hAnsi="Times New Roman"/>
                <w:i w:val="0"/>
                <w:iCs w:val="0"/>
              </w:rPr>
              <w:t xml:space="preserve">LRIC+: 6.12% </w:t>
            </w:r>
            <w:r w:rsidR="00982C74" w:rsidRPr="00446FEC">
              <w:rPr>
                <w:rStyle w:val="Emphasis"/>
                <w:rFonts w:ascii="Times New Roman" w:hAnsi="Times New Roman"/>
                <w:i w:val="0"/>
                <w:iCs w:val="0"/>
              </w:rPr>
              <w:t>–</w:t>
            </w:r>
            <w:r w:rsidRPr="00446FEC">
              <w:rPr>
                <w:rStyle w:val="Emphasis"/>
                <w:rFonts w:ascii="Times New Roman" w:hAnsi="Times New Roman"/>
                <w:i w:val="0"/>
                <w:iCs w:val="0"/>
              </w:rPr>
              <w:t xml:space="preserve"> 8.16%</w:t>
            </w:r>
          </w:p>
          <w:p w14:paraId="3B8CD27B" w14:textId="73FF42C1" w:rsidR="007E45C3" w:rsidRPr="00446FEC" w:rsidRDefault="007E45C3" w:rsidP="00982C74">
            <w:pPr>
              <w:pStyle w:val="Tabletext"/>
              <w:rPr>
                <w:rStyle w:val="Emphasis"/>
                <w:rFonts w:ascii="Times New Roman" w:hAnsi="Times New Roman"/>
                <w:i w:val="0"/>
                <w:iCs w:val="0"/>
              </w:rPr>
            </w:pPr>
            <w:r w:rsidRPr="00446FEC">
              <w:rPr>
                <w:rStyle w:val="Emphasis"/>
                <w:rFonts w:ascii="Times New Roman" w:hAnsi="Times New Roman"/>
                <w:i w:val="0"/>
                <w:iCs w:val="0"/>
              </w:rPr>
              <w:t xml:space="preserve">SAC: 0.51% </w:t>
            </w:r>
            <w:r w:rsidR="00982C74" w:rsidRPr="00446FEC">
              <w:rPr>
                <w:rStyle w:val="Emphasis"/>
                <w:rFonts w:ascii="Times New Roman" w:hAnsi="Times New Roman"/>
                <w:i w:val="0"/>
                <w:iCs w:val="0"/>
              </w:rPr>
              <w:t>–</w:t>
            </w:r>
            <w:r w:rsidRPr="00446FEC">
              <w:rPr>
                <w:rStyle w:val="Emphasis"/>
                <w:rFonts w:ascii="Times New Roman" w:hAnsi="Times New Roman"/>
                <w:i w:val="0"/>
                <w:iCs w:val="0"/>
              </w:rPr>
              <w:t xml:space="preserve"> 1.53%</w:t>
            </w:r>
          </w:p>
        </w:tc>
        <w:tc>
          <w:tcPr>
            <w:tcW w:w="1929" w:type="dxa"/>
          </w:tcPr>
          <w:p w14:paraId="24739B11" w14:textId="75025FE1" w:rsidR="007E45C3" w:rsidRPr="00446FEC" w:rsidRDefault="007E45C3" w:rsidP="00982C74">
            <w:pPr>
              <w:pStyle w:val="Tabletext"/>
              <w:rPr>
                <w:rStyle w:val="Emphasis"/>
                <w:rFonts w:ascii="Times New Roman" w:hAnsi="Times New Roman"/>
                <w:i w:val="0"/>
                <w:iCs w:val="0"/>
              </w:rPr>
            </w:pPr>
            <w:r w:rsidRPr="00446FEC">
              <w:rPr>
                <w:rStyle w:val="Emphasis"/>
                <w:rFonts w:ascii="Times New Roman" w:hAnsi="Times New Roman"/>
                <w:i w:val="0"/>
                <w:iCs w:val="0"/>
              </w:rPr>
              <w:t xml:space="preserve">BU: 6.63% </w:t>
            </w:r>
            <w:r w:rsidR="00982C74" w:rsidRPr="00446FEC">
              <w:rPr>
                <w:rStyle w:val="Emphasis"/>
                <w:rFonts w:ascii="Times New Roman" w:hAnsi="Times New Roman"/>
                <w:i w:val="0"/>
                <w:iCs w:val="0"/>
              </w:rPr>
              <w:t>–</w:t>
            </w:r>
            <w:r w:rsidRPr="00446FEC">
              <w:rPr>
                <w:rStyle w:val="Emphasis"/>
                <w:rFonts w:ascii="Times New Roman" w:hAnsi="Times New Roman"/>
                <w:i w:val="0"/>
                <w:iCs w:val="0"/>
              </w:rPr>
              <w:t xml:space="preserve"> 26%</w:t>
            </w:r>
          </w:p>
          <w:p w14:paraId="0210A19D" w14:textId="6A6CE00E" w:rsidR="007E45C3" w:rsidRPr="00446FEC" w:rsidRDefault="007E45C3" w:rsidP="00982C74">
            <w:pPr>
              <w:pStyle w:val="Tabletext"/>
              <w:rPr>
                <w:rStyle w:val="Emphasis"/>
                <w:rFonts w:ascii="Times New Roman" w:hAnsi="Times New Roman"/>
                <w:i w:val="0"/>
                <w:iCs w:val="0"/>
              </w:rPr>
            </w:pPr>
            <w:r w:rsidRPr="00446FEC">
              <w:rPr>
                <w:rStyle w:val="Emphasis"/>
                <w:rFonts w:ascii="Times New Roman" w:hAnsi="Times New Roman"/>
                <w:i w:val="0"/>
                <w:iCs w:val="0"/>
              </w:rPr>
              <w:t xml:space="preserve">Hybrid: 3.57% </w:t>
            </w:r>
            <w:r w:rsidR="00982C74" w:rsidRPr="00446FEC">
              <w:rPr>
                <w:rStyle w:val="Emphasis"/>
                <w:rFonts w:ascii="Times New Roman" w:hAnsi="Times New Roman"/>
                <w:i w:val="0"/>
                <w:iCs w:val="0"/>
              </w:rPr>
              <w:t>–</w:t>
            </w:r>
            <w:r w:rsidRPr="00446FEC">
              <w:rPr>
                <w:rStyle w:val="Emphasis"/>
                <w:rFonts w:ascii="Times New Roman" w:hAnsi="Times New Roman"/>
                <w:i w:val="0"/>
                <w:iCs w:val="0"/>
              </w:rPr>
              <w:t xml:space="preserve"> 7.65%</w:t>
            </w:r>
          </w:p>
          <w:p w14:paraId="5314AD9F" w14:textId="3E485C01" w:rsidR="007E45C3" w:rsidRPr="00446FEC" w:rsidRDefault="007E45C3" w:rsidP="00982C74">
            <w:pPr>
              <w:pStyle w:val="Tabletext"/>
              <w:rPr>
                <w:rStyle w:val="Emphasis"/>
                <w:rFonts w:ascii="Times New Roman" w:hAnsi="Times New Roman"/>
                <w:i w:val="0"/>
                <w:iCs w:val="0"/>
              </w:rPr>
            </w:pPr>
            <w:r w:rsidRPr="00446FEC">
              <w:rPr>
                <w:rStyle w:val="Emphasis"/>
                <w:rFonts w:ascii="Times New Roman" w:hAnsi="Times New Roman"/>
                <w:i w:val="0"/>
                <w:iCs w:val="0"/>
              </w:rPr>
              <w:t xml:space="preserve">TD: 7.14% </w:t>
            </w:r>
            <w:r w:rsidR="00982C74" w:rsidRPr="00446FEC">
              <w:rPr>
                <w:rStyle w:val="Emphasis"/>
                <w:rFonts w:ascii="Times New Roman" w:hAnsi="Times New Roman"/>
                <w:i w:val="0"/>
                <w:iCs w:val="0"/>
              </w:rPr>
              <w:t>–</w:t>
            </w:r>
            <w:r w:rsidRPr="00446FEC">
              <w:rPr>
                <w:rStyle w:val="Emphasis"/>
                <w:rFonts w:ascii="Times New Roman" w:hAnsi="Times New Roman"/>
                <w:i w:val="0"/>
                <w:iCs w:val="0"/>
              </w:rPr>
              <w:t xml:space="preserve"> 8.67%</w:t>
            </w:r>
          </w:p>
          <w:p w14:paraId="5B557F55" w14:textId="51D4EC38" w:rsidR="007E45C3" w:rsidRPr="00446FEC" w:rsidRDefault="007E45C3" w:rsidP="00982C74">
            <w:pPr>
              <w:pStyle w:val="Tabletext"/>
              <w:rPr>
                <w:rStyle w:val="Emphasis"/>
                <w:rFonts w:ascii="Times New Roman" w:hAnsi="Times New Roman"/>
                <w:i w:val="0"/>
                <w:iCs w:val="0"/>
              </w:rPr>
            </w:pPr>
            <w:r w:rsidRPr="00446FEC">
              <w:rPr>
                <w:rStyle w:val="Emphasis"/>
                <w:rFonts w:ascii="Times New Roman" w:hAnsi="Times New Roman"/>
                <w:i w:val="0"/>
                <w:iCs w:val="0"/>
              </w:rPr>
              <w:t xml:space="preserve">Other: 13.30% </w:t>
            </w:r>
            <w:r w:rsidR="00982C74" w:rsidRPr="00446FEC">
              <w:rPr>
                <w:rStyle w:val="Emphasis"/>
                <w:rFonts w:ascii="Times New Roman" w:hAnsi="Times New Roman"/>
                <w:i w:val="0"/>
                <w:iCs w:val="0"/>
              </w:rPr>
              <w:t>–</w:t>
            </w:r>
            <w:r w:rsidRPr="00446FEC">
              <w:rPr>
                <w:rStyle w:val="Emphasis"/>
                <w:rFonts w:ascii="Times New Roman" w:hAnsi="Times New Roman"/>
                <w:i w:val="0"/>
                <w:iCs w:val="0"/>
              </w:rPr>
              <w:t xml:space="preserve"> 15.30%</w:t>
            </w:r>
          </w:p>
        </w:tc>
        <w:tc>
          <w:tcPr>
            <w:tcW w:w="1929" w:type="dxa"/>
          </w:tcPr>
          <w:p w14:paraId="7A02D729" w14:textId="2140198A" w:rsidR="007E45C3" w:rsidRPr="00446FEC" w:rsidRDefault="007E45C3" w:rsidP="00982C74">
            <w:pPr>
              <w:pStyle w:val="Tabletext"/>
              <w:rPr>
                <w:rStyle w:val="Emphasis"/>
                <w:rFonts w:ascii="Times New Roman" w:hAnsi="Times New Roman"/>
                <w:i w:val="0"/>
                <w:iCs w:val="0"/>
              </w:rPr>
            </w:pPr>
            <w:r w:rsidRPr="00446FEC">
              <w:rPr>
                <w:rStyle w:val="Emphasis"/>
                <w:rFonts w:ascii="Times New Roman" w:hAnsi="Times New Roman"/>
                <w:i w:val="0"/>
                <w:iCs w:val="0"/>
              </w:rPr>
              <w:t xml:space="preserve">BU: 6.63% </w:t>
            </w:r>
            <w:r w:rsidR="00982C74" w:rsidRPr="00446FEC">
              <w:rPr>
                <w:rStyle w:val="Emphasis"/>
                <w:rFonts w:ascii="Times New Roman" w:hAnsi="Times New Roman"/>
                <w:i w:val="0"/>
                <w:iCs w:val="0"/>
              </w:rPr>
              <w:t>–</w:t>
            </w:r>
            <w:r w:rsidRPr="00446FEC">
              <w:rPr>
                <w:rStyle w:val="Emphasis"/>
                <w:rFonts w:ascii="Times New Roman" w:hAnsi="Times New Roman"/>
                <w:i w:val="0"/>
                <w:iCs w:val="0"/>
              </w:rPr>
              <w:t xml:space="preserve"> 23%</w:t>
            </w:r>
          </w:p>
          <w:p w14:paraId="5A0546B0" w14:textId="019AF784" w:rsidR="007E45C3" w:rsidRPr="00446FEC" w:rsidRDefault="007E45C3" w:rsidP="00982C74">
            <w:pPr>
              <w:pStyle w:val="Tabletext"/>
              <w:rPr>
                <w:rStyle w:val="Emphasis"/>
                <w:rFonts w:ascii="Times New Roman" w:hAnsi="Times New Roman"/>
                <w:i w:val="0"/>
                <w:iCs w:val="0"/>
              </w:rPr>
            </w:pPr>
            <w:r w:rsidRPr="00446FEC">
              <w:rPr>
                <w:rStyle w:val="Emphasis"/>
                <w:rFonts w:ascii="Times New Roman" w:hAnsi="Times New Roman"/>
                <w:i w:val="0"/>
                <w:iCs w:val="0"/>
              </w:rPr>
              <w:t xml:space="preserve">Hybrid: 6.12% </w:t>
            </w:r>
            <w:r w:rsidR="00982C74" w:rsidRPr="00446FEC">
              <w:rPr>
                <w:rStyle w:val="Emphasis"/>
                <w:rFonts w:ascii="Times New Roman" w:hAnsi="Times New Roman"/>
                <w:i w:val="0"/>
                <w:iCs w:val="0"/>
              </w:rPr>
              <w:t>–</w:t>
            </w:r>
            <w:r w:rsidRPr="00446FEC">
              <w:rPr>
                <w:rStyle w:val="Emphasis"/>
                <w:rFonts w:ascii="Times New Roman" w:hAnsi="Times New Roman"/>
                <w:i w:val="0"/>
                <w:iCs w:val="0"/>
              </w:rPr>
              <w:t xml:space="preserve"> 9.69%</w:t>
            </w:r>
          </w:p>
          <w:p w14:paraId="1775C573" w14:textId="3E499394" w:rsidR="007E45C3" w:rsidRPr="00446FEC" w:rsidRDefault="007E45C3" w:rsidP="00982C74">
            <w:pPr>
              <w:pStyle w:val="Tabletext"/>
              <w:rPr>
                <w:rStyle w:val="Emphasis"/>
                <w:rFonts w:ascii="Times New Roman" w:hAnsi="Times New Roman"/>
                <w:i w:val="0"/>
                <w:iCs w:val="0"/>
              </w:rPr>
            </w:pPr>
            <w:r w:rsidRPr="00446FEC">
              <w:rPr>
                <w:rStyle w:val="Emphasis"/>
                <w:rFonts w:ascii="Times New Roman" w:hAnsi="Times New Roman"/>
                <w:i w:val="0"/>
                <w:iCs w:val="0"/>
              </w:rPr>
              <w:t xml:space="preserve">TD: 5.61% </w:t>
            </w:r>
            <w:r w:rsidR="00982C74" w:rsidRPr="00446FEC">
              <w:rPr>
                <w:rStyle w:val="Emphasis"/>
                <w:rFonts w:ascii="Times New Roman" w:hAnsi="Times New Roman"/>
                <w:i w:val="0"/>
                <w:iCs w:val="0"/>
              </w:rPr>
              <w:t>–</w:t>
            </w:r>
            <w:r w:rsidRPr="00446FEC">
              <w:rPr>
                <w:rStyle w:val="Emphasis"/>
                <w:rFonts w:ascii="Times New Roman" w:hAnsi="Times New Roman"/>
                <w:i w:val="0"/>
                <w:iCs w:val="0"/>
              </w:rPr>
              <w:t xml:space="preserve"> 7.65%</w:t>
            </w:r>
          </w:p>
          <w:p w14:paraId="1C249BC1" w14:textId="11F7BDA7" w:rsidR="007E45C3" w:rsidRPr="00446FEC" w:rsidRDefault="007E45C3" w:rsidP="00982C74">
            <w:pPr>
              <w:pStyle w:val="Tabletext"/>
              <w:rPr>
                <w:rStyle w:val="Emphasis"/>
                <w:rFonts w:ascii="Times New Roman" w:hAnsi="Times New Roman"/>
                <w:i w:val="0"/>
                <w:iCs w:val="0"/>
              </w:rPr>
            </w:pPr>
            <w:r w:rsidRPr="00446FEC">
              <w:rPr>
                <w:rStyle w:val="Emphasis"/>
                <w:rFonts w:ascii="Times New Roman" w:hAnsi="Times New Roman"/>
                <w:i w:val="0"/>
                <w:iCs w:val="0"/>
              </w:rPr>
              <w:t xml:space="preserve">Other: 10.70% </w:t>
            </w:r>
            <w:r w:rsidR="00982C74" w:rsidRPr="00446FEC">
              <w:rPr>
                <w:rStyle w:val="Emphasis"/>
                <w:rFonts w:ascii="Times New Roman" w:hAnsi="Times New Roman"/>
                <w:i w:val="0"/>
                <w:iCs w:val="0"/>
              </w:rPr>
              <w:t>–</w:t>
            </w:r>
            <w:r w:rsidRPr="00446FEC">
              <w:rPr>
                <w:rStyle w:val="Emphasis"/>
                <w:rFonts w:ascii="Times New Roman" w:hAnsi="Times New Roman"/>
                <w:i w:val="0"/>
                <w:iCs w:val="0"/>
              </w:rPr>
              <w:t xml:space="preserve"> 14.30%</w:t>
            </w:r>
          </w:p>
        </w:tc>
        <w:tc>
          <w:tcPr>
            <w:tcW w:w="1971" w:type="dxa"/>
          </w:tcPr>
          <w:p w14:paraId="4377FFD3" w14:textId="175B0983" w:rsidR="007E45C3" w:rsidRPr="00446FEC" w:rsidRDefault="007E45C3" w:rsidP="00982C74">
            <w:pPr>
              <w:pStyle w:val="Tabletext"/>
              <w:rPr>
                <w:rStyle w:val="Emphasis"/>
                <w:rFonts w:ascii="Times New Roman" w:hAnsi="Times New Roman"/>
                <w:i w:val="0"/>
                <w:iCs w:val="0"/>
              </w:rPr>
            </w:pPr>
            <w:r w:rsidRPr="00446FEC">
              <w:rPr>
                <w:rStyle w:val="Emphasis"/>
                <w:rFonts w:ascii="Times New Roman" w:hAnsi="Times New Roman"/>
                <w:i w:val="0"/>
                <w:iCs w:val="0"/>
              </w:rPr>
              <w:t xml:space="preserve">Cost orientation: 14.80% </w:t>
            </w:r>
            <w:r w:rsidR="00982C74" w:rsidRPr="00446FEC">
              <w:rPr>
                <w:rStyle w:val="Emphasis"/>
                <w:rFonts w:ascii="Times New Roman" w:hAnsi="Times New Roman"/>
                <w:i w:val="0"/>
                <w:iCs w:val="0"/>
              </w:rPr>
              <w:t>–</w:t>
            </w:r>
            <w:r w:rsidRPr="00446FEC">
              <w:rPr>
                <w:rStyle w:val="Emphasis"/>
                <w:rFonts w:ascii="Times New Roman" w:hAnsi="Times New Roman"/>
                <w:i w:val="0"/>
                <w:iCs w:val="0"/>
              </w:rPr>
              <w:t xml:space="preserve"> 35.70%</w:t>
            </w:r>
          </w:p>
          <w:p w14:paraId="6D9E0AC8" w14:textId="77777777" w:rsidR="007E45C3" w:rsidRPr="00446FEC" w:rsidRDefault="007E45C3" w:rsidP="00982C74">
            <w:pPr>
              <w:pStyle w:val="Tabletext"/>
              <w:rPr>
                <w:rStyle w:val="Emphasis"/>
                <w:rFonts w:ascii="Times New Roman" w:hAnsi="Times New Roman"/>
                <w:i w:val="0"/>
                <w:iCs w:val="0"/>
              </w:rPr>
            </w:pPr>
            <w:r w:rsidRPr="00446FEC">
              <w:rPr>
                <w:rStyle w:val="Emphasis"/>
                <w:rFonts w:ascii="Times New Roman" w:hAnsi="Times New Roman"/>
                <w:i w:val="0"/>
                <w:iCs w:val="0"/>
              </w:rPr>
              <w:t>Benchmarking: ~11.20%</w:t>
            </w:r>
          </w:p>
          <w:p w14:paraId="63107F48" w14:textId="0693C3F4" w:rsidR="007E45C3" w:rsidRPr="00446FEC" w:rsidRDefault="007E45C3" w:rsidP="00982C74">
            <w:pPr>
              <w:pStyle w:val="Tabletext"/>
              <w:rPr>
                <w:rStyle w:val="Emphasis"/>
                <w:rFonts w:ascii="Times New Roman" w:hAnsi="Times New Roman"/>
                <w:i w:val="0"/>
                <w:iCs w:val="0"/>
              </w:rPr>
            </w:pPr>
            <w:r w:rsidRPr="00446FEC">
              <w:rPr>
                <w:rStyle w:val="Emphasis"/>
                <w:rFonts w:ascii="Times New Roman" w:hAnsi="Times New Roman"/>
                <w:i w:val="0"/>
                <w:iCs w:val="0"/>
              </w:rPr>
              <w:t xml:space="preserve">Price caps/ceilings: 4.59% </w:t>
            </w:r>
            <w:r w:rsidR="00982C74" w:rsidRPr="00446FEC">
              <w:rPr>
                <w:rStyle w:val="Emphasis"/>
                <w:rFonts w:ascii="Times New Roman" w:hAnsi="Times New Roman"/>
                <w:i w:val="0"/>
                <w:iCs w:val="0"/>
              </w:rPr>
              <w:t>–</w:t>
            </w:r>
            <w:r w:rsidRPr="00446FEC">
              <w:rPr>
                <w:rStyle w:val="Emphasis"/>
                <w:rFonts w:ascii="Times New Roman" w:hAnsi="Times New Roman"/>
                <w:i w:val="0"/>
                <w:iCs w:val="0"/>
              </w:rPr>
              <w:t xml:space="preserve"> 11.20%</w:t>
            </w:r>
          </w:p>
          <w:p w14:paraId="0AEFEB44" w14:textId="0AA55897" w:rsidR="007E45C3" w:rsidRPr="00446FEC" w:rsidRDefault="007E45C3" w:rsidP="00982C74">
            <w:pPr>
              <w:pStyle w:val="Tabletext"/>
              <w:rPr>
                <w:rStyle w:val="Emphasis"/>
                <w:rFonts w:ascii="Times New Roman" w:hAnsi="Times New Roman"/>
                <w:i w:val="0"/>
                <w:iCs w:val="0"/>
              </w:rPr>
            </w:pPr>
            <w:r w:rsidRPr="00446FEC">
              <w:rPr>
                <w:rStyle w:val="Emphasis"/>
                <w:rFonts w:ascii="Times New Roman" w:hAnsi="Times New Roman"/>
                <w:i w:val="0"/>
                <w:iCs w:val="0"/>
              </w:rPr>
              <w:t xml:space="preserve">Retail minus: 1.53% </w:t>
            </w:r>
            <w:r w:rsidR="00982C74" w:rsidRPr="00446FEC">
              <w:rPr>
                <w:rStyle w:val="Emphasis"/>
                <w:rFonts w:ascii="Times New Roman" w:hAnsi="Times New Roman"/>
                <w:i w:val="0"/>
                <w:iCs w:val="0"/>
              </w:rPr>
              <w:t>–</w:t>
            </w:r>
            <w:r w:rsidRPr="00446FEC">
              <w:rPr>
                <w:rStyle w:val="Emphasis"/>
                <w:rFonts w:ascii="Times New Roman" w:hAnsi="Times New Roman"/>
                <w:i w:val="0"/>
                <w:iCs w:val="0"/>
              </w:rPr>
              <w:t xml:space="preserve"> 8.16%</w:t>
            </w:r>
          </w:p>
        </w:tc>
      </w:tr>
    </w:tbl>
    <w:p w14:paraId="6263412B" w14:textId="77777777" w:rsidR="007E45C3" w:rsidRPr="00446FEC" w:rsidRDefault="007E45C3" w:rsidP="007E45C3">
      <w:pPr>
        <w:rPr>
          <w:b/>
          <w:bCs/>
        </w:rPr>
      </w:pPr>
      <w:r w:rsidRPr="00446FEC">
        <w:rPr>
          <w:b/>
          <w:bCs/>
        </w:rPr>
        <w:t>Key insights</w:t>
      </w:r>
    </w:p>
    <w:p w14:paraId="14C7F8B9" w14:textId="1ED11942" w:rsidR="007E45C3" w:rsidRPr="00446FEC" w:rsidRDefault="007E45C3" w:rsidP="00590FE8">
      <w:pPr>
        <w:pStyle w:val="enumlev1"/>
      </w:pPr>
      <w:r w:rsidRPr="00446FEC">
        <w:rPr>
          <w:rFonts w:eastAsiaTheme="minorHAnsi"/>
        </w:rPr>
        <w:t>1</w:t>
      </w:r>
      <w:r w:rsidR="00590FE8" w:rsidRPr="00446FEC">
        <w:rPr>
          <w:rFonts w:eastAsiaTheme="minorHAnsi"/>
        </w:rPr>
        <w:t>)</w:t>
      </w:r>
      <w:r w:rsidRPr="00446FEC">
        <w:rPr>
          <w:rFonts w:eastAsiaTheme="minorHAnsi"/>
        </w:rPr>
        <w:tab/>
      </w:r>
      <w:r w:rsidRPr="00446FEC">
        <w:t>There is no single globally dominant cost model, with countries adopting a mix of methodologies depending on their regulatory priorities.</w:t>
      </w:r>
    </w:p>
    <w:p w14:paraId="569D8C79" w14:textId="0927643C" w:rsidR="007E45C3" w:rsidRPr="00446FEC" w:rsidRDefault="007E45C3" w:rsidP="00590FE8">
      <w:pPr>
        <w:pStyle w:val="enumlev1"/>
      </w:pPr>
      <w:r w:rsidRPr="00446FEC">
        <w:rPr>
          <w:rFonts w:eastAsiaTheme="minorHAnsi"/>
        </w:rPr>
        <w:t>2</w:t>
      </w:r>
      <w:r w:rsidR="00590FE8" w:rsidRPr="00446FEC">
        <w:rPr>
          <w:rFonts w:eastAsiaTheme="minorHAnsi"/>
        </w:rPr>
        <w:t>)</w:t>
      </w:r>
      <w:r w:rsidRPr="00446FEC">
        <w:rPr>
          <w:rFonts w:eastAsiaTheme="minorHAnsi"/>
        </w:rPr>
        <w:tab/>
      </w:r>
      <w:r w:rsidRPr="00446FEC">
        <w:t>LRAIC and bottom-up models show relatively higher adoption, especially for fixed services, suggesting a regulatory focus on simulating efficient cost structures.</w:t>
      </w:r>
    </w:p>
    <w:p w14:paraId="7522F1CB" w14:textId="09C6CE34" w:rsidR="007E45C3" w:rsidRPr="00446FEC" w:rsidRDefault="007E45C3" w:rsidP="00590FE8">
      <w:pPr>
        <w:pStyle w:val="enumlev1"/>
      </w:pPr>
      <w:r w:rsidRPr="00446FEC">
        <w:rPr>
          <w:rFonts w:eastAsiaTheme="minorHAnsi"/>
        </w:rPr>
        <w:t>3</w:t>
      </w:r>
      <w:r w:rsidR="00590FE8" w:rsidRPr="00446FEC">
        <w:rPr>
          <w:rFonts w:eastAsiaTheme="minorHAnsi"/>
        </w:rPr>
        <w:t>)</w:t>
      </w:r>
      <w:r w:rsidRPr="00446FEC">
        <w:rPr>
          <w:rFonts w:eastAsiaTheme="minorHAnsi"/>
        </w:rPr>
        <w:tab/>
      </w:r>
      <w:r w:rsidRPr="00446FEC">
        <w:t>FAC/ fully distributed cost (FDC) models remain in use, particularly in markets where simpler, accounting-based approaches are easier to implement, though adoption appears limited overall.</w:t>
      </w:r>
    </w:p>
    <w:p w14:paraId="58A2F1E7" w14:textId="1FB0DFDE" w:rsidR="007E45C3" w:rsidRPr="00446FEC" w:rsidRDefault="007E45C3" w:rsidP="00590FE8">
      <w:pPr>
        <w:pStyle w:val="enumlev1"/>
      </w:pPr>
      <w:r w:rsidRPr="00446FEC">
        <w:rPr>
          <w:rFonts w:eastAsiaTheme="minorHAnsi"/>
        </w:rPr>
        <w:t>4</w:t>
      </w:r>
      <w:r w:rsidR="00590FE8" w:rsidRPr="00446FEC">
        <w:rPr>
          <w:rFonts w:eastAsiaTheme="minorHAnsi"/>
        </w:rPr>
        <w:t>)</w:t>
      </w:r>
      <w:r w:rsidRPr="00446FEC">
        <w:rPr>
          <w:rFonts w:eastAsiaTheme="minorHAnsi"/>
        </w:rPr>
        <w:tab/>
      </w:r>
      <w:r w:rsidRPr="00446FEC">
        <w:t>Cost-orientation remains the leading regulatory pricing principle, but benchmarking and price caps are also widely used, reflecting diverse regulatory strategies.</w:t>
      </w:r>
    </w:p>
    <w:p w14:paraId="7E27202D" w14:textId="24CE8398" w:rsidR="007E45C3" w:rsidRPr="00446FEC" w:rsidRDefault="007E45C3" w:rsidP="00590FE8">
      <w:pPr>
        <w:pStyle w:val="enumlev1"/>
        <w:rPr>
          <w:rStyle w:val="Emphasis"/>
          <w:i w:val="0"/>
          <w:iCs w:val="0"/>
        </w:rPr>
      </w:pPr>
      <w:r w:rsidRPr="00446FEC">
        <w:rPr>
          <w:rStyle w:val="Emphasis"/>
          <w:rFonts w:eastAsiaTheme="minorHAnsi"/>
          <w:i w:val="0"/>
          <w:iCs w:val="0"/>
        </w:rPr>
        <w:t>5</w:t>
      </w:r>
      <w:r w:rsidR="00590FE8" w:rsidRPr="00446FEC">
        <w:rPr>
          <w:rStyle w:val="Emphasis"/>
          <w:rFonts w:eastAsiaTheme="minorHAnsi"/>
          <w:i w:val="0"/>
          <w:iCs w:val="0"/>
        </w:rPr>
        <w:t>)</w:t>
      </w:r>
      <w:r w:rsidRPr="00446FEC">
        <w:rPr>
          <w:rStyle w:val="Emphasis"/>
          <w:rFonts w:eastAsiaTheme="minorHAnsi"/>
          <w:i w:val="0"/>
          <w:iCs w:val="0"/>
        </w:rPr>
        <w:tab/>
      </w:r>
      <w:r w:rsidRPr="00446FEC">
        <w:t>Current cost models show limited readiness for emerging service types such as 5G slicing, service</w:t>
      </w:r>
      <w:r w:rsidR="00C87687" w:rsidRPr="00446FEC">
        <w:t>-</w:t>
      </w:r>
      <w:r w:rsidRPr="00446FEC">
        <w:t>level agreement (SLA)-driven services and virtualized multitenant networks, highlighting a gap in global standardization.</w:t>
      </w:r>
    </w:p>
    <w:p w14:paraId="3E0A68D1" w14:textId="69358204" w:rsidR="007E45C3" w:rsidRPr="00446FEC" w:rsidRDefault="007E45C3" w:rsidP="00762876">
      <w:pPr>
        <w:pStyle w:val="Note"/>
        <w:rPr>
          <w:iCs/>
        </w:rPr>
      </w:pPr>
      <w:r w:rsidRPr="00446FEC">
        <w:t>N</w:t>
      </w:r>
      <w:r w:rsidR="00583C34" w:rsidRPr="00446FEC">
        <w:t xml:space="preserve">OTE </w:t>
      </w:r>
      <w:r w:rsidRPr="00446FEC">
        <w:sym w:font="Symbol" w:char="F02D"/>
      </w:r>
      <w:r w:rsidRPr="00446FEC">
        <w:t xml:space="preserve"> For details, refer to Annex B.</w:t>
      </w:r>
    </w:p>
    <w:p w14:paraId="3063E72E" w14:textId="52A8C353" w:rsidR="007E45C3" w:rsidRPr="00446FEC" w:rsidRDefault="007E45C3" w:rsidP="000F5273">
      <w:pPr>
        <w:pStyle w:val="Heading1"/>
      </w:pPr>
      <w:bookmarkStart w:id="119" w:name="_Toc189663928"/>
      <w:bookmarkStart w:id="120" w:name="_Toc189665049"/>
      <w:bookmarkStart w:id="121" w:name="_Toc189665598"/>
      <w:bookmarkStart w:id="122" w:name="_Toc189666013"/>
      <w:bookmarkStart w:id="123" w:name="_Toc189663929"/>
      <w:bookmarkStart w:id="124" w:name="_Toc189665050"/>
      <w:bookmarkStart w:id="125" w:name="_Toc189665599"/>
      <w:bookmarkStart w:id="126" w:name="_Toc189666014"/>
      <w:bookmarkStart w:id="127" w:name="_Toc209722319"/>
      <w:bookmarkStart w:id="128" w:name="_Toc239193548"/>
      <w:bookmarkStart w:id="129" w:name="_Toc239232792"/>
      <w:bookmarkStart w:id="130" w:name="_Toc239240559"/>
      <w:bookmarkEnd w:id="119"/>
      <w:bookmarkEnd w:id="120"/>
      <w:bookmarkEnd w:id="121"/>
      <w:bookmarkEnd w:id="122"/>
      <w:bookmarkEnd w:id="123"/>
      <w:bookmarkEnd w:id="124"/>
      <w:bookmarkEnd w:id="125"/>
      <w:bookmarkEnd w:id="126"/>
      <w:r w:rsidRPr="00446FEC">
        <w:t>12</w:t>
      </w:r>
      <w:r w:rsidRPr="00446FEC">
        <w:tab/>
        <w:t>Analysis of the various cost models</w:t>
      </w:r>
      <w:bookmarkEnd w:id="127"/>
      <w:bookmarkEnd w:id="128"/>
      <w:bookmarkEnd w:id="129"/>
      <w:bookmarkEnd w:id="130"/>
    </w:p>
    <w:p w14:paraId="03A88D9B" w14:textId="77777777" w:rsidR="007E45C3" w:rsidRPr="00446FEC" w:rsidRDefault="007E45C3" w:rsidP="00762876">
      <w:r w:rsidRPr="00446FEC">
        <w:t>As can be observed in the previous section, cost-based strategies are very popular among regulatory authorities that wish to implement systematic mechanisms to establish the price of regulated services, especially for wholesale services. Top-down and bottom-up costing approaches are commonly adopted for this purpose.</w:t>
      </w:r>
    </w:p>
    <w:p w14:paraId="744D2821" w14:textId="77777777" w:rsidR="007E45C3" w:rsidRPr="00446FEC" w:rsidRDefault="007E45C3" w:rsidP="000F5273">
      <w:r w:rsidRPr="00446FEC">
        <w:t>When defining which costing approach will be used, regulators shall analyse the advantages and disadvantages of each alternative. [b-ITU-D Regulatory] mentions some characteristics of the approaches. For instance, advantages of top-down models include the accounting of the total costs associated with the provision of the services and facilities to make correspondence with financial statements of the operators. On the other hand, they require strong levels of confidentiality and might include operational inefficiencies. In turn, bottom-up models can capture the efficiency of the service provision by modelling a reference operator that may differ from the existing ones. They may also underestimate or even ignore costs that are relevant for services. [b-ITU-D Regulatory] also mentions hybrid models, which are a result of reconciling top-down and bottom-up models. This solution could bring some advantages of both models, while trying to avoid inefficiencies and mitigating the risks of underestimating costs of service provisioning. Hybrid models may be more suitable for regulatory authorities that have greater expertise in cost-based regulation, because they require regulators to be skilled and proficient in the use of both top-down and bottom-up models.</w:t>
      </w:r>
    </w:p>
    <w:p w14:paraId="4F097C5D" w14:textId="58892AEA" w:rsidR="007E45C3" w:rsidRPr="00446FEC" w:rsidRDefault="007E45C3" w:rsidP="000F5273">
      <w:r w:rsidRPr="00446FEC">
        <w:lastRenderedPageBreak/>
        <w:t>Cost models have been widely used to calculate reference values for regulated wholesale services, such as data roaming. In the mobile service industry, wholesale data services may constitute a significant part of the operators</w:t>
      </w:r>
      <w:r w:rsidR="006E6D1D" w:rsidRPr="00446FEC">
        <w:t>'</w:t>
      </w:r>
      <w:r w:rsidRPr="00446FEC">
        <w:t xml:space="preserve"> revenues, especially in a scenario of increasing demand for data. It is important to consider the fact that high prices of wholesale services may constitute entry barriers for new operators. In mobile markets, incumbent operators have incentives to set high prices to protect their business and extract the largest possible surplus from their operations. Hence, it is common for regulators to cut these prices by adopting cost-based regulatory frameworks to reduce this entry barrier. For instance, a regulator may decide to adopt bottom-up cost models to establish prices of regulated services and promote competition in the mobile market. However, a decrease in the prices of regulated wholesale services could cause unregulated retail prices for subscribers to rise in what is called the </w:t>
      </w:r>
      <w:r w:rsidR="00296649" w:rsidRPr="00446FEC">
        <w:t>"</w:t>
      </w:r>
      <w:r w:rsidRPr="00446FEC">
        <w:t>waterbed effect</w:t>
      </w:r>
      <w:r w:rsidR="00296649" w:rsidRPr="00446FEC">
        <w:t>"</w:t>
      </w:r>
      <w:r w:rsidRPr="00446FEC">
        <w:t>. This unexpected result may come from the profit-maximizing behaviour of the operators, which may set higher retail prices to cover their costs. Therefore, it is important that regulators use well-designed cost modelling tools to mitigate the risks of underestimating the costs of services while promoting competition and enhancing consumer welfare.</w:t>
      </w:r>
    </w:p>
    <w:p w14:paraId="39F4D7B9" w14:textId="2E254526" w:rsidR="007E45C3" w:rsidRPr="00446FEC" w:rsidRDefault="007E45C3" w:rsidP="004B2DB4">
      <w:pPr>
        <w:pStyle w:val="Heading1"/>
      </w:pPr>
      <w:bookmarkStart w:id="131" w:name="_Toc189665601"/>
      <w:bookmarkStart w:id="132" w:name="_Toc189666016"/>
      <w:bookmarkStart w:id="133" w:name="_Toc209722320"/>
      <w:bookmarkStart w:id="134" w:name="_Toc239193549"/>
      <w:bookmarkStart w:id="135" w:name="_Toc239232793"/>
      <w:bookmarkStart w:id="136" w:name="_Toc239240560"/>
      <w:bookmarkEnd w:id="131"/>
      <w:bookmarkEnd w:id="132"/>
      <w:r w:rsidRPr="00446FEC">
        <w:t>13</w:t>
      </w:r>
      <w:r w:rsidRPr="00446FEC">
        <w:tab/>
        <w:t>Impact of convergence in the telecommunication/ICT domain on the costing of data services</w:t>
      </w:r>
      <w:bookmarkEnd w:id="133"/>
      <w:bookmarkEnd w:id="134"/>
      <w:bookmarkEnd w:id="135"/>
      <w:bookmarkEnd w:id="136"/>
    </w:p>
    <w:p w14:paraId="0104A92E" w14:textId="77777777" w:rsidR="007E45C3" w:rsidRPr="00446FEC" w:rsidRDefault="007E45C3" w:rsidP="007E45C3">
      <w:r w:rsidRPr="00446FEC">
        <w:t>The telecommunication and ICT sector is undergoing a profound transformation driven by network and service convergence. What began as the bundling of voice, data and messaging has now expanded into a structural shift towards multiservice, all-IP and virtualized networks. This convergence enables operators to deliver voice, video, Internet of things (IoT), cloud applications and enterprise services over a single, unified infrastructure.</w:t>
      </w:r>
    </w:p>
    <w:p w14:paraId="2ADAFC70" w14:textId="43FE4BC6" w:rsidR="007E45C3" w:rsidRPr="00446FEC" w:rsidRDefault="007E45C3" w:rsidP="007E45C3">
      <w:r w:rsidRPr="00446FEC">
        <w:t>While convergence improves operational efficiency by reducing the need for multiple parallel networks, it introduces new complexities for cost modelling. Traditional methods, such as fully allocated cost (FAC), long-run incremental cost (LRIC), or stand</w:t>
      </w:r>
      <w:r w:rsidR="00F8673B" w:rsidRPr="00446FEC">
        <w:t>-</w:t>
      </w:r>
      <w:r w:rsidRPr="00446FEC">
        <w:t>alone cost (SAC), were designed for service-specific cost attribution in a world where networks were separated by function (e.g., voice networks vs data networks).</w:t>
      </w:r>
    </w:p>
    <w:p w14:paraId="2E132D68" w14:textId="77777777" w:rsidR="007E45C3" w:rsidRPr="00446FEC" w:rsidRDefault="007E45C3" w:rsidP="007E45C3">
      <w:r w:rsidRPr="00446FEC">
        <w:t>In a converged environment, services share common platforms, virtualized network functions and dynamically allocated capacity, making it increasingly difficult to define which service bears what share of the total network cost. This blurring of cost boundaries undermines the applicability of legacy models, which rely on static service definitions and predictable resource usage.</w:t>
      </w:r>
    </w:p>
    <w:p w14:paraId="30C1B028" w14:textId="77777777" w:rsidR="007E45C3" w:rsidRPr="00446FEC" w:rsidRDefault="007E45C3" w:rsidP="004B2DB4">
      <w:pPr>
        <w:pStyle w:val="Headingb"/>
      </w:pPr>
      <w:r w:rsidRPr="00446FEC">
        <w:t>Key costing implications of convergence</w:t>
      </w:r>
    </w:p>
    <w:p w14:paraId="118FC7A9" w14:textId="77777777" w:rsidR="007E45C3" w:rsidRPr="00446FEC" w:rsidRDefault="007E45C3" w:rsidP="007E45C3">
      <w:r w:rsidRPr="00446FEC">
        <w:t>While convergence allows telecommunication operators to lower their overall cost base through shared infrastructure, it introduces significant challenges in fairly allocating these costs across different services, customer segments and wholesale-retail layers. Traditional per-minute or per-GB pricing models no longer reflect the value or true cost structure of converged services, prompting the need for new approaches such as SLA-based pricing, capacity-tiered models, or platform-based costing that better align with the realities of modern, multiservice networks. This shift also complicates regulatory oversight, as bundled and virtualized services make it increasingly difficult for regulators to verify whether wholesale or retail prices are truly cost-based, rendering legacy models less reliable as pricing benchmarks. At the same time, converged service offerings tend to stimulate higher customer demand, unlocking economies of scale that can lower per-user costs and improve affordability but only if pricing models are designed to pass these efficiency gains on to consumers.</w:t>
      </w:r>
    </w:p>
    <w:p w14:paraId="53EB6769" w14:textId="77777777" w:rsidR="007E45C3" w:rsidRPr="00446FEC" w:rsidRDefault="007E45C3" w:rsidP="00D237DF">
      <w:pPr>
        <w:pStyle w:val="Headingb"/>
      </w:pPr>
      <w:r w:rsidRPr="00446FEC">
        <w:t>Need for evolving cost models</w:t>
      </w:r>
    </w:p>
    <w:p w14:paraId="08EB1482" w14:textId="77777777" w:rsidR="007E45C3" w:rsidRPr="00446FEC" w:rsidRDefault="007E45C3" w:rsidP="007E45C3">
      <w:r w:rsidRPr="00446FEC">
        <w:t xml:space="preserve">These challenges highlight the urgent need to evolve cost modelling methodologies to reflect the economic realities of converged, multiservice and virtualized telecom networks. Such models must be capable of accurately accounting for shared and virtualized infrastructures, capturing the complexities of delivering multiple services across dynamic network slices or platforms and </w:t>
      </w:r>
      <w:r w:rsidRPr="00446FEC">
        <w:lastRenderedPageBreak/>
        <w:t>supporting pricing frameworks that are fair, transparent and affordable for both consumers and wholesale customers. By advancing these next-generation models, regulators and policymakers can ensure that pricing remains grounded in real costs, fosters healthy market competition and contributes meaningfully to achieving universal, affordable access in the digital economy.</w:t>
      </w:r>
    </w:p>
    <w:p w14:paraId="3D7E637E" w14:textId="77777777" w:rsidR="007E45C3" w:rsidRPr="00446FEC" w:rsidRDefault="007E45C3" w:rsidP="005A7A37">
      <w:pPr>
        <w:pStyle w:val="Heading1"/>
      </w:pPr>
      <w:bookmarkStart w:id="137" w:name="_Toc189663933"/>
      <w:bookmarkStart w:id="138" w:name="_Toc189665054"/>
      <w:bookmarkStart w:id="139" w:name="_Toc189665603"/>
      <w:bookmarkStart w:id="140" w:name="_Toc189666018"/>
      <w:bookmarkStart w:id="141" w:name="_Toc189663934"/>
      <w:bookmarkStart w:id="142" w:name="_Toc189665055"/>
      <w:bookmarkStart w:id="143" w:name="_Toc189665604"/>
      <w:bookmarkStart w:id="144" w:name="_Toc189666019"/>
      <w:bookmarkStart w:id="145" w:name="_Toc189663935"/>
      <w:bookmarkStart w:id="146" w:name="_Toc189665056"/>
      <w:bookmarkStart w:id="147" w:name="_Toc189665605"/>
      <w:bookmarkStart w:id="148" w:name="_Toc189666020"/>
      <w:bookmarkStart w:id="149" w:name="_Toc189663936"/>
      <w:bookmarkStart w:id="150" w:name="_Toc189665057"/>
      <w:bookmarkStart w:id="151" w:name="_Toc189665606"/>
      <w:bookmarkStart w:id="152" w:name="_Toc189666021"/>
      <w:bookmarkStart w:id="153" w:name="_Toc189663937"/>
      <w:bookmarkStart w:id="154" w:name="_Toc189665058"/>
      <w:bookmarkStart w:id="155" w:name="_Toc189665607"/>
      <w:bookmarkStart w:id="156" w:name="_Toc189666022"/>
      <w:bookmarkStart w:id="157" w:name="_Toc189663938"/>
      <w:bookmarkStart w:id="158" w:name="_Toc189665059"/>
      <w:bookmarkStart w:id="159" w:name="_Toc189665608"/>
      <w:bookmarkStart w:id="160" w:name="_Toc189666023"/>
      <w:bookmarkStart w:id="161" w:name="_Toc189663939"/>
      <w:bookmarkStart w:id="162" w:name="_Toc189665060"/>
      <w:bookmarkStart w:id="163" w:name="_Toc189665609"/>
      <w:bookmarkStart w:id="164" w:name="_Toc189666024"/>
      <w:bookmarkStart w:id="165" w:name="_Toc189663940"/>
      <w:bookmarkStart w:id="166" w:name="_Toc189665061"/>
      <w:bookmarkStart w:id="167" w:name="_Toc189665610"/>
      <w:bookmarkStart w:id="168" w:name="_Toc189666025"/>
      <w:bookmarkStart w:id="169" w:name="_Toc189663941"/>
      <w:bookmarkStart w:id="170" w:name="_Toc189665062"/>
      <w:bookmarkStart w:id="171" w:name="_Toc189665611"/>
      <w:bookmarkStart w:id="172" w:name="_Toc189666026"/>
      <w:bookmarkStart w:id="173" w:name="_Toc189663942"/>
      <w:bookmarkStart w:id="174" w:name="_Toc189665063"/>
      <w:bookmarkStart w:id="175" w:name="_Toc189665612"/>
      <w:bookmarkStart w:id="176" w:name="_Toc189666027"/>
      <w:bookmarkStart w:id="177" w:name="_Toc189663943"/>
      <w:bookmarkStart w:id="178" w:name="_Toc189665064"/>
      <w:bookmarkStart w:id="179" w:name="_Toc189665613"/>
      <w:bookmarkStart w:id="180" w:name="_Toc189666028"/>
      <w:bookmarkStart w:id="181" w:name="_Toc189663944"/>
      <w:bookmarkStart w:id="182" w:name="_Toc189665065"/>
      <w:bookmarkStart w:id="183" w:name="_Toc189665614"/>
      <w:bookmarkStart w:id="184" w:name="_Toc189666029"/>
      <w:bookmarkStart w:id="185" w:name="_Toc189663945"/>
      <w:bookmarkStart w:id="186" w:name="_Toc189665066"/>
      <w:bookmarkStart w:id="187" w:name="_Toc189665615"/>
      <w:bookmarkStart w:id="188" w:name="_Toc189666030"/>
      <w:bookmarkStart w:id="189" w:name="_Toc189663946"/>
      <w:bookmarkStart w:id="190" w:name="_Toc189665067"/>
      <w:bookmarkStart w:id="191" w:name="_Toc189665616"/>
      <w:bookmarkStart w:id="192" w:name="_Toc189666031"/>
      <w:bookmarkStart w:id="193" w:name="_Toc189663971"/>
      <w:bookmarkStart w:id="194" w:name="_Toc189665092"/>
      <w:bookmarkStart w:id="195" w:name="_Toc189665641"/>
      <w:bookmarkStart w:id="196" w:name="_Toc189666056"/>
      <w:bookmarkStart w:id="197" w:name="_Toc189663972"/>
      <w:bookmarkStart w:id="198" w:name="_Toc189665093"/>
      <w:bookmarkStart w:id="199" w:name="_Toc189665642"/>
      <w:bookmarkStart w:id="200" w:name="_Toc189666057"/>
      <w:bookmarkStart w:id="201" w:name="_Toc189663973"/>
      <w:bookmarkStart w:id="202" w:name="_Toc189665094"/>
      <w:bookmarkStart w:id="203" w:name="_Toc189665643"/>
      <w:bookmarkStart w:id="204" w:name="_Toc189666058"/>
      <w:bookmarkStart w:id="205" w:name="_Toc189663974"/>
      <w:bookmarkStart w:id="206" w:name="_Toc189665095"/>
      <w:bookmarkStart w:id="207" w:name="_Toc189665644"/>
      <w:bookmarkStart w:id="208" w:name="_Toc189666059"/>
      <w:bookmarkStart w:id="209" w:name="_Toc189663975"/>
      <w:bookmarkStart w:id="210" w:name="_Toc189665096"/>
      <w:bookmarkStart w:id="211" w:name="_Toc189665645"/>
      <w:bookmarkStart w:id="212" w:name="_Toc189666060"/>
      <w:bookmarkStart w:id="213" w:name="_Toc189663976"/>
      <w:bookmarkStart w:id="214" w:name="_Toc189665097"/>
      <w:bookmarkStart w:id="215" w:name="_Toc189665646"/>
      <w:bookmarkStart w:id="216" w:name="_Toc189666061"/>
      <w:bookmarkStart w:id="217" w:name="_Toc189663977"/>
      <w:bookmarkStart w:id="218" w:name="_Toc189665098"/>
      <w:bookmarkStart w:id="219" w:name="_Toc189665647"/>
      <w:bookmarkStart w:id="220" w:name="_Toc189666062"/>
      <w:bookmarkStart w:id="221" w:name="_Toc189663978"/>
      <w:bookmarkStart w:id="222" w:name="_Toc189665099"/>
      <w:bookmarkStart w:id="223" w:name="_Toc189665648"/>
      <w:bookmarkStart w:id="224" w:name="_Toc189666063"/>
      <w:bookmarkStart w:id="225" w:name="_Toc189663979"/>
      <w:bookmarkStart w:id="226" w:name="_Toc189665100"/>
      <w:bookmarkStart w:id="227" w:name="_Toc189665649"/>
      <w:bookmarkStart w:id="228" w:name="_Toc189666064"/>
      <w:bookmarkStart w:id="229" w:name="_Toc189663980"/>
      <w:bookmarkStart w:id="230" w:name="_Toc189665101"/>
      <w:bookmarkStart w:id="231" w:name="_Toc189665650"/>
      <w:bookmarkStart w:id="232" w:name="_Toc189666065"/>
      <w:bookmarkStart w:id="233" w:name="_Toc189663981"/>
      <w:bookmarkStart w:id="234" w:name="_Toc189665102"/>
      <w:bookmarkStart w:id="235" w:name="_Toc189665651"/>
      <w:bookmarkStart w:id="236" w:name="_Toc189666066"/>
      <w:bookmarkStart w:id="237" w:name="_Toc189663982"/>
      <w:bookmarkStart w:id="238" w:name="_Toc189665103"/>
      <w:bookmarkStart w:id="239" w:name="_Toc189665652"/>
      <w:bookmarkStart w:id="240" w:name="_Toc189666067"/>
      <w:bookmarkStart w:id="241" w:name="_Toc189663983"/>
      <w:bookmarkStart w:id="242" w:name="_Toc189665104"/>
      <w:bookmarkStart w:id="243" w:name="_Toc189665653"/>
      <w:bookmarkStart w:id="244" w:name="_Toc189666068"/>
      <w:bookmarkStart w:id="245" w:name="_Toc189663984"/>
      <w:bookmarkStart w:id="246" w:name="_Toc189665105"/>
      <w:bookmarkStart w:id="247" w:name="_Toc189665654"/>
      <w:bookmarkStart w:id="248" w:name="_Toc189666069"/>
      <w:bookmarkStart w:id="249" w:name="_Toc189663985"/>
      <w:bookmarkStart w:id="250" w:name="_Toc189665106"/>
      <w:bookmarkStart w:id="251" w:name="_Toc189665655"/>
      <w:bookmarkStart w:id="252" w:name="_Toc189666070"/>
      <w:bookmarkStart w:id="253" w:name="_Toc189663986"/>
      <w:bookmarkStart w:id="254" w:name="_Toc189665107"/>
      <w:bookmarkStart w:id="255" w:name="_Toc189665656"/>
      <w:bookmarkStart w:id="256" w:name="_Toc189666071"/>
      <w:bookmarkStart w:id="257" w:name="_Toc189663987"/>
      <w:bookmarkStart w:id="258" w:name="_Toc189665108"/>
      <w:bookmarkStart w:id="259" w:name="_Toc189665657"/>
      <w:bookmarkStart w:id="260" w:name="_Toc189666072"/>
      <w:bookmarkStart w:id="261" w:name="_Toc189663988"/>
      <w:bookmarkStart w:id="262" w:name="_Toc189665109"/>
      <w:bookmarkStart w:id="263" w:name="_Toc189665658"/>
      <w:bookmarkStart w:id="264" w:name="_Toc189666073"/>
      <w:bookmarkStart w:id="265" w:name="_Toc189663989"/>
      <w:bookmarkStart w:id="266" w:name="_Toc189665110"/>
      <w:bookmarkStart w:id="267" w:name="_Toc189665659"/>
      <w:bookmarkStart w:id="268" w:name="_Toc189666074"/>
      <w:bookmarkStart w:id="269" w:name="_Toc189663990"/>
      <w:bookmarkStart w:id="270" w:name="_Toc189665111"/>
      <w:bookmarkStart w:id="271" w:name="_Toc189665660"/>
      <w:bookmarkStart w:id="272" w:name="_Toc189666075"/>
      <w:bookmarkStart w:id="273" w:name="_Toc189663991"/>
      <w:bookmarkStart w:id="274" w:name="_Toc189665112"/>
      <w:bookmarkStart w:id="275" w:name="_Toc189665661"/>
      <w:bookmarkStart w:id="276" w:name="_Toc189666076"/>
      <w:bookmarkStart w:id="277" w:name="_Toc189663992"/>
      <w:bookmarkStart w:id="278" w:name="_Toc189665113"/>
      <w:bookmarkStart w:id="279" w:name="_Toc189665662"/>
      <w:bookmarkStart w:id="280" w:name="_Toc189666077"/>
      <w:bookmarkStart w:id="281" w:name="_Toc189663993"/>
      <w:bookmarkStart w:id="282" w:name="_Toc189665114"/>
      <w:bookmarkStart w:id="283" w:name="_Toc189665663"/>
      <w:bookmarkStart w:id="284" w:name="_Toc189666078"/>
      <w:bookmarkStart w:id="285" w:name="_Toc189663994"/>
      <w:bookmarkStart w:id="286" w:name="_Toc189665115"/>
      <w:bookmarkStart w:id="287" w:name="_Toc189665664"/>
      <w:bookmarkStart w:id="288" w:name="_Toc189666079"/>
      <w:bookmarkStart w:id="289" w:name="_Toc189663995"/>
      <w:bookmarkStart w:id="290" w:name="_Toc189665116"/>
      <w:bookmarkStart w:id="291" w:name="_Toc189665665"/>
      <w:bookmarkStart w:id="292" w:name="_Toc189666080"/>
      <w:bookmarkStart w:id="293" w:name="_Toc189663996"/>
      <w:bookmarkStart w:id="294" w:name="_Toc189665117"/>
      <w:bookmarkStart w:id="295" w:name="_Toc189665666"/>
      <w:bookmarkStart w:id="296" w:name="_Toc189666081"/>
      <w:bookmarkStart w:id="297" w:name="_Toc189663997"/>
      <w:bookmarkStart w:id="298" w:name="_Toc189665118"/>
      <w:bookmarkStart w:id="299" w:name="_Toc189665667"/>
      <w:bookmarkStart w:id="300" w:name="_Toc189666082"/>
      <w:bookmarkStart w:id="301" w:name="_Toc189663998"/>
      <w:bookmarkStart w:id="302" w:name="_Toc189665119"/>
      <w:bookmarkStart w:id="303" w:name="_Toc189665668"/>
      <w:bookmarkStart w:id="304" w:name="_Toc189666083"/>
      <w:bookmarkStart w:id="305" w:name="_Toc189663999"/>
      <w:bookmarkStart w:id="306" w:name="_Toc189665120"/>
      <w:bookmarkStart w:id="307" w:name="_Toc189665669"/>
      <w:bookmarkStart w:id="308" w:name="_Toc189666084"/>
      <w:bookmarkStart w:id="309" w:name="_Toc189664000"/>
      <w:bookmarkStart w:id="310" w:name="_Toc189665121"/>
      <w:bookmarkStart w:id="311" w:name="_Toc189665670"/>
      <w:bookmarkStart w:id="312" w:name="_Toc189666085"/>
      <w:bookmarkStart w:id="313" w:name="_Toc189664001"/>
      <w:bookmarkStart w:id="314" w:name="_Toc189665122"/>
      <w:bookmarkStart w:id="315" w:name="_Toc189665671"/>
      <w:bookmarkStart w:id="316" w:name="_Toc189666086"/>
      <w:bookmarkStart w:id="317" w:name="_Toc189664002"/>
      <w:bookmarkStart w:id="318" w:name="_Toc189665123"/>
      <w:bookmarkStart w:id="319" w:name="_Toc189665672"/>
      <w:bookmarkStart w:id="320" w:name="_Toc189666087"/>
      <w:bookmarkStart w:id="321" w:name="_Toc189664003"/>
      <w:bookmarkStart w:id="322" w:name="_Toc189665124"/>
      <w:bookmarkStart w:id="323" w:name="_Toc189665673"/>
      <w:bookmarkStart w:id="324" w:name="_Toc189666088"/>
      <w:bookmarkStart w:id="325" w:name="_Toc189664004"/>
      <w:bookmarkStart w:id="326" w:name="_Toc189665125"/>
      <w:bookmarkStart w:id="327" w:name="_Toc189665674"/>
      <w:bookmarkStart w:id="328" w:name="_Toc189666089"/>
      <w:bookmarkStart w:id="329" w:name="_Toc189664005"/>
      <w:bookmarkStart w:id="330" w:name="_Toc189665126"/>
      <w:bookmarkStart w:id="331" w:name="_Toc189665675"/>
      <w:bookmarkStart w:id="332" w:name="_Toc189666090"/>
      <w:bookmarkStart w:id="333" w:name="_Toc189664006"/>
      <w:bookmarkStart w:id="334" w:name="_Toc189665127"/>
      <w:bookmarkStart w:id="335" w:name="_Toc189665676"/>
      <w:bookmarkStart w:id="336" w:name="_Toc189666091"/>
      <w:bookmarkStart w:id="337" w:name="_Toc189664007"/>
      <w:bookmarkStart w:id="338" w:name="_Toc189665128"/>
      <w:bookmarkStart w:id="339" w:name="_Toc189665677"/>
      <w:bookmarkStart w:id="340" w:name="_Toc189666092"/>
      <w:bookmarkStart w:id="341" w:name="_Toc189664008"/>
      <w:bookmarkStart w:id="342" w:name="_Toc189665129"/>
      <w:bookmarkStart w:id="343" w:name="_Toc189665678"/>
      <w:bookmarkStart w:id="344" w:name="_Toc189666093"/>
      <w:bookmarkStart w:id="345" w:name="_Toc189664009"/>
      <w:bookmarkStart w:id="346" w:name="_Toc189665130"/>
      <w:bookmarkStart w:id="347" w:name="_Toc189665679"/>
      <w:bookmarkStart w:id="348" w:name="_Toc189666094"/>
      <w:bookmarkStart w:id="349" w:name="_Toc189664010"/>
      <w:bookmarkStart w:id="350" w:name="_Toc189665131"/>
      <w:bookmarkStart w:id="351" w:name="_Toc189665680"/>
      <w:bookmarkStart w:id="352" w:name="_Toc189666095"/>
      <w:bookmarkStart w:id="353" w:name="_Toc189664011"/>
      <w:bookmarkStart w:id="354" w:name="_Toc189665132"/>
      <w:bookmarkStart w:id="355" w:name="_Toc189665681"/>
      <w:bookmarkStart w:id="356" w:name="_Toc189666096"/>
      <w:bookmarkStart w:id="357" w:name="_Toc189664012"/>
      <w:bookmarkStart w:id="358" w:name="_Toc189665133"/>
      <w:bookmarkStart w:id="359" w:name="_Toc189665682"/>
      <w:bookmarkStart w:id="360" w:name="_Toc189666097"/>
      <w:bookmarkStart w:id="361" w:name="_Toc189664013"/>
      <w:bookmarkStart w:id="362" w:name="_Toc189665134"/>
      <w:bookmarkStart w:id="363" w:name="_Toc189665683"/>
      <w:bookmarkStart w:id="364" w:name="_Toc189666098"/>
      <w:bookmarkStart w:id="365" w:name="_Toc189664014"/>
      <w:bookmarkStart w:id="366" w:name="_Toc189665135"/>
      <w:bookmarkStart w:id="367" w:name="_Toc189665684"/>
      <w:bookmarkStart w:id="368" w:name="_Toc189666099"/>
      <w:bookmarkStart w:id="369" w:name="_Toc189664015"/>
      <w:bookmarkStart w:id="370" w:name="_Toc189665136"/>
      <w:bookmarkStart w:id="371" w:name="_Toc189665685"/>
      <w:bookmarkStart w:id="372" w:name="_Toc189666100"/>
      <w:bookmarkStart w:id="373" w:name="_Toc189664016"/>
      <w:bookmarkStart w:id="374" w:name="_Toc189665137"/>
      <w:bookmarkStart w:id="375" w:name="_Toc189665686"/>
      <w:bookmarkStart w:id="376" w:name="_Toc189666101"/>
      <w:bookmarkStart w:id="377" w:name="_Toc189664017"/>
      <w:bookmarkStart w:id="378" w:name="_Toc189665138"/>
      <w:bookmarkStart w:id="379" w:name="_Toc189665687"/>
      <w:bookmarkStart w:id="380" w:name="_Toc189666102"/>
      <w:bookmarkStart w:id="381" w:name="_Toc189664018"/>
      <w:bookmarkStart w:id="382" w:name="_Toc189665139"/>
      <w:bookmarkStart w:id="383" w:name="_Toc189665688"/>
      <w:bookmarkStart w:id="384" w:name="_Toc189666103"/>
      <w:bookmarkStart w:id="385" w:name="_Toc189664019"/>
      <w:bookmarkStart w:id="386" w:name="_Toc189665140"/>
      <w:bookmarkStart w:id="387" w:name="_Toc189665689"/>
      <w:bookmarkStart w:id="388" w:name="_Toc189666104"/>
      <w:bookmarkStart w:id="389" w:name="_Toc189664020"/>
      <w:bookmarkStart w:id="390" w:name="_Toc189665141"/>
      <w:bookmarkStart w:id="391" w:name="_Toc189665690"/>
      <w:bookmarkStart w:id="392" w:name="_Toc189666105"/>
      <w:bookmarkStart w:id="393" w:name="_Toc189664057"/>
      <w:bookmarkStart w:id="394" w:name="_Toc189665178"/>
      <w:bookmarkStart w:id="395" w:name="_Toc189665727"/>
      <w:bookmarkStart w:id="396" w:name="_Toc189666142"/>
      <w:bookmarkStart w:id="397" w:name="_Toc189664058"/>
      <w:bookmarkStart w:id="398" w:name="_Toc189665179"/>
      <w:bookmarkStart w:id="399" w:name="_Toc189665728"/>
      <w:bookmarkStart w:id="400" w:name="_Toc189666143"/>
      <w:bookmarkStart w:id="401" w:name="_Toc189664059"/>
      <w:bookmarkStart w:id="402" w:name="_Toc189665180"/>
      <w:bookmarkStart w:id="403" w:name="_Toc189665729"/>
      <w:bookmarkStart w:id="404" w:name="_Toc189666144"/>
      <w:bookmarkStart w:id="405" w:name="_Toc189664060"/>
      <w:bookmarkStart w:id="406" w:name="_Toc189665181"/>
      <w:bookmarkStart w:id="407" w:name="_Toc189665730"/>
      <w:bookmarkStart w:id="408" w:name="_Toc189666145"/>
      <w:bookmarkStart w:id="409" w:name="_Toc189664061"/>
      <w:bookmarkStart w:id="410" w:name="_Toc189665182"/>
      <w:bookmarkStart w:id="411" w:name="_Toc189665731"/>
      <w:bookmarkStart w:id="412" w:name="_Toc189666146"/>
      <w:bookmarkStart w:id="413" w:name="_Toc189664062"/>
      <w:bookmarkStart w:id="414" w:name="_Toc189665183"/>
      <w:bookmarkStart w:id="415" w:name="_Toc189665732"/>
      <w:bookmarkStart w:id="416" w:name="_Toc189666147"/>
      <w:bookmarkStart w:id="417" w:name="_Toc189664063"/>
      <w:bookmarkStart w:id="418" w:name="_Toc189665184"/>
      <w:bookmarkStart w:id="419" w:name="_Toc189665733"/>
      <w:bookmarkStart w:id="420" w:name="_Toc189666148"/>
      <w:bookmarkStart w:id="421" w:name="_Toc189664064"/>
      <w:bookmarkStart w:id="422" w:name="_Toc189665185"/>
      <w:bookmarkStart w:id="423" w:name="_Toc189665734"/>
      <w:bookmarkStart w:id="424" w:name="_Toc189666149"/>
      <w:bookmarkStart w:id="425" w:name="_Toc189664065"/>
      <w:bookmarkStart w:id="426" w:name="_Toc189665186"/>
      <w:bookmarkStart w:id="427" w:name="_Toc189665735"/>
      <w:bookmarkStart w:id="428" w:name="_Toc189666150"/>
      <w:bookmarkStart w:id="429" w:name="_Toc189664066"/>
      <w:bookmarkStart w:id="430" w:name="_Toc189665187"/>
      <w:bookmarkStart w:id="431" w:name="_Toc189665736"/>
      <w:bookmarkStart w:id="432" w:name="_Toc189666151"/>
      <w:bookmarkStart w:id="433" w:name="_Toc189664067"/>
      <w:bookmarkStart w:id="434" w:name="_Toc189665188"/>
      <w:bookmarkStart w:id="435" w:name="_Toc189665737"/>
      <w:bookmarkStart w:id="436" w:name="_Toc189666152"/>
      <w:bookmarkStart w:id="437" w:name="_Toc189664068"/>
      <w:bookmarkStart w:id="438" w:name="_Toc189665189"/>
      <w:bookmarkStart w:id="439" w:name="_Toc189665738"/>
      <w:bookmarkStart w:id="440" w:name="_Toc189666153"/>
      <w:bookmarkStart w:id="441" w:name="_Toc189664069"/>
      <w:bookmarkStart w:id="442" w:name="_Toc189665190"/>
      <w:bookmarkStart w:id="443" w:name="_Toc189665739"/>
      <w:bookmarkStart w:id="444" w:name="_Toc189666154"/>
      <w:bookmarkStart w:id="445" w:name="_Toc189664070"/>
      <w:bookmarkStart w:id="446" w:name="_Toc189665191"/>
      <w:bookmarkStart w:id="447" w:name="_Toc189665740"/>
      <w:bookmarkStart w:id="448" w:name="_Toc189666155"/>
      <w:bookmarkStart w:id="449" w:name="_Toc189664071"/>
      <w:bookmarkStart w:id="450" w:name="_Toc189665192"/>
      <w:bookmarkStart w:id="451" w:name="_Toc189665741"/>
      <w:bookmarkStart w:id="452" w:name="_Toc189666156"/>
      <w:bookmarkStart w:id="453" w:name="_Toc189664072"/>
      <w:bookmarkStart w:id="454" w:name="_Toc189665193"/>
      <w:bookmarkStart w:id="455" w:name="_Toc189665742"/>
      <w:bookmarkStart w:id="456" w:name="_Toc189666157"/>
      <w:bookmarkStart w:id="457" w:name="_Toc189664073"/>
      <w:bookmarkStart w:id="458" w:name="_Toc189665194"/>
      <w:bookmarkStart w:id="459" w:name="_Toc189665743"/>
      <w:bookmarkStart w:id="460" w:name="_Toc189666158"/>
      <w:bookmarkStart w:id="461" w:name="_Toc189664074"/>
      <w:bookmarkStart w:id="462" w:name="_Toc189665195"/>
      <w:bookmarkStart w:id="463" w:name="_Toc189665744"/>
      <w:bookmarkStart w:id="464" w:name="_Toc189666159"/>
      <w:bookmarkStart w:id="465" w:name="_Toc189664075"/>
      <w:bookmarkStart w:id="466" w:name="_Toc189665196"/>
      <w:bookmarkStart w:id="467" w:name="_Toc189665745"/>
      <w:bookmarkStart w:id="468" w:name="_Toc189666160"/>
      <w:bookmarkStart w:id="469" w:name="_Toc189664076"/>
      <w:bookmarkStart w:id="470" w:name="_Toc189665197"/>
      <w:bookmarkStart w:id="471" w:name="_Toc189665746"/>
      <w:bookmarkStart w:id="472" w:name="_Toc189666161"/>
      <w:bookmarkStart w:id="473" w:name="_Toc189664077"/>
      <w:bookmarkStart w:id="474" w:name="_Toc189665198"/>
      <w:bookmarkStart w:id="475" w:name="_Toc189665747"/>
      <w:bookmarkStart w:id="476" w:name="_Toc189666162"/>
      <w:bookmarkStart w:id="477" w:name="_Toc189664078"/>
      <w:bookmarkStart w:id="478" w:name="_Toc189665199"/>
      <w:bookmarkStart w:id="479" w:name="_Toc189665748"/>
      <w:bookmarkStart w:id="480" w:name="_Toc189666163"/>
      <w:bookmarkStart w:id="481" w:name="_Toc189664079"/>
      <w:bookmarkStart w:id="482" w:name="_Toc189665200"/>
      <w:bookmarkStart w:id="483" w:name="_Toc189665749"/>
      <w:bookmarkStart w:id="484" w:name="_Toc189666164"/>
      <w:bookmarkStart w:id="485" w:name="_Toc189664080"/>
      <w:bookmarkStart w:id="486" w:name="_Toc189665201"/>
      <w:bookmarkStart w:id="487" w:name="_Toc189665750"/>
      <w:bookmarkStart w:id="488" w:name="_Toc189666165"/>
      <w:bookmarkStart w:id="489" w:name="_Toc189664081"/>
      <w:bookmarkStart w:id="490" w:name="_Toc189665202"/>
      <w:bookmarkStart w:id="491" w:name="_Toc189665751"/>
      <w:bookmarkStart w:id="492" w:name="_Toc189666166"/>
      <w:bookmarkStart w:id="493" w:name="_Toc189664082"/>
      <w:bookmarkStart w:id="494" w:name="_Toc189665203"/>
      <w:bookmarkStart w:id="495" w:name="_Toc189665752"/>
      <w:bookmarkStart w:id="496" w:name="_Toc189666167"/>
      <w:bookmarkStart w:id="497" w:name="_Toc189664083"/>
      <w:bookmarkStart w:id="498" w:name="_Toc189665204"/>
      <w:bookmarkStart w:id="499" w:name="_Toc189665753"/>
      <w:bookmarkStart w:id="500" w:name="_Toc189666168"/>
      <w:bookmarkStart w:id="501" w:name="_Toc189664084"/>
      <w:bookmarkStart w:id="502" w:name="_Toc189665205"/>
      <w:bookmarkStart w:id="503" w:name="_Toc189665754"/>
      <w:bookmarkStart w:id="504" w:name="_Toc189666169"/>
      <w:bookmarkStart w:id="505" w:name="_Toc189664085"/>
      <w:bookmarkStart w:id="506" w:name="_Toc189665206"/>
      <w:bookmarkStart w:id="507" w:name="_Toc189665755"/>
      <w:bookmarkStart w:id="508" w:name="_Toc189666170"/>
      <w:bookmarkStart w:id="509" w:name="_Toc189664086"/>
      <w:bookmarkStart w:id="510" w:name="_Toc189665207"/>
      <w:bookmarkStart w:id="511" w:name="_Toc189665756"/>
      <w:bookmarkStart w:id="512" w:name="_Toc189666171"/>
      <w:bookmarkStart w:id="513" w:name="_Toc189664087"/>
      <w:bookmarkStart w:id="514" w:name="_Toc189665208"/>
      <w:bookmarkStart w:id="515" w:name="_Toc189665757"/>
      <w:bookmarkStart w:id="516" w:name="_Toc189666172"/>
      <w:bookmarkStart w:id="517" w:name="_Toc189664088"/>
      <w:bookmarkStart w:id="518" w:name="_Toc189665209"/>
      <w:bookmarkStart w:id="519" w:name="_Toc189665758"/>
      <w:bookmarkStart w:id="520" w:name="_Toc189666173"/>
      <w:bookmarkStart w:id="521" w:name="_Toc189664089"/>
      <w:bookmarkStart w:id="522" w:name="_Toc189665210"/>
      <w:bookmarkStart w:id="523" w:name="_Toc189665759"/>
      <w:bookmarkStart w:id="524" w:name="_Toc189666174"/>
      <w:bookmarkStart w:id="525" w:name="_Toc189664090"/>
      <w:bookmarkStart w:id="526" w:name="_Toc189665211"/>
      <w:bookmarkStart w:id="527" w:name="_Toc189665760"/>
      <w:bookmarkStart w:id="528" w:name="_Toc189666175"/>
      <w:bookmarkStart w:id="529" w:name="_Toc189664091"/>
      <w:bookmarkStart w:id="530" w:name="_Toc189665212"/>
      <w:bookmarkStart w:id="531" w:name="_Toc189665761"/>
      <w:bookmarkStart w:id="532" w:name="_Toc189666176"/>
      <w:bookmarkStart w:id="533" w:name="_Toc189664092"/>
      <w:bookmarkStart w:id="534" w:name="_Toc189665213"/>
      <w:bookmarkStart w:id="535" w:name="_Toc189665762"/>
      <w:bookmarkStart w:id="536" w:name="_Toc189666177"/>
      <w:bookmarkStart w:id="537" w:name="_Toc189664093"/>
      <w:bookmarkStart w:id="538" w:name="_Toc189665214"/>
      <w:bookmarkStart w:id="539" w:name="_Toc189665763"/>
      <w:bookmarkStart w:id="540" w:name="_Toc189666178"/>
      <w:bookmarkStart w:id="541" w:name="_Toc209722321"/>
      <w:bookmarkStart w:id="542" w:name="_Toc239193550"/>
      <w:bookmarkStart w:id="543" w:name="_Toc239232794"/>
      <w:bookmarkStart w:id="544" w:name="_Toc239240561"/>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r w:rsidRPr="00446FEC">
        <w:t>14</w:t>
      </w:r>
      <w:r w:rsidRPr="00446FEC">
        <w:tab/>
        <w:t>Country and regional case studies and innovative practices</w:t>
      </w:r>
      <w:bookmarkEnd w:id="541"/>
      <w:bookmarkEnd w:id="542"/>
      <w:bookmarkEnd w:id="543"/>
      <w:bookmarkEnd w:id="544"/>
    </w:p>
    <w:p w14:paraId="34BBAF51" w14:textId="77777777" w:rsidR="007E45C3" w:rsidRPr="00446FEC" w:rsidRDefault="007E45C3" w:rsidP="007E45C3">
      <w:pPr>
        <w:rPr>
          <w:lang w:bidi="ar-DZ"/>
        </w:rPr>
      </w:pPr>
      <w:r w:rsidRPr="00446FEC">
        <w:rPr>
          <w:lang w:bidi="ar-DZ"/>
        </w:rPr>
        <w:t>The evolution of the telecommunications industry has facilitated and continues to facilitate the development of new and enhanced services globally across both fixed and mobile networks/platforms. Thus, given the importance of communication and being connected, it is imperative that regions across the globe and, by extension, the inhabitants therein have access to affordable means of connectivity and communication. Considering the foregoing, to inform government fiscal policy in this regard, an appreciation of the magnitude of costs incurred in the provisioning of these enhanced services must be attained. This position is premised on the principle that costs are one of the primary factors considered by decision-makers (service providers) in determining the volume/level of [capital] investment that should be expended.</w:t>
      </w:r>
    </w:p>
    <w:p w14:paraId="1F418866" w14:textId="3158D537" w:rsidR="007E45C3" w:rsidRPr="00446FEC" w:rsidRDefault="007E45C3" w:rsidP="007E45C3">
      <w:pPr>
        <w:rPr>
          <w:lang w:bidi="ar-DZ"/>
        </w:rPr>
      </w:pPr>
      <w:r w:rsidRPr="00446FEC">
        <w:rPr>
          <w:lang w:bidi="ar-DZ"/>
        </w:rPr>
        <w:t>It is worthy to note that there is extensive research ongoing globally to prescribe efficient interconnection and network access rates. O</w:t>
      </w:r>
      <w:r w:rsidRPr="00446FEC">
        <w:t xml:space="preserve">perators, however, have postulated that cost models premised on incremental cost still may not provide rates adequate to compensate for the exorbitant level of capital investment required to facilitate access. This, therefore, highlights the need for a harmonious approach between governments, national regulatory agencies and operators to achieve increased access via affordable services to end-users/consumers. Furthermore, having acquired an understanding of the capital expended and costs incurred by operators, proposed fiscal incentives should be geared towards stimulating competition and profitability, which in turn is expected to have positive socio-economic effects. </w:t>
      </w:r>
    </w:p>
    <w:p w14:paraId="301A7FF5" w14:textId="77777777" w:rsidR="007E45C3" w:rsidRPr="00446FEC" w:rsidRDefault="007E45C3" w:rsidP="005A7A37">
      <w:pPr>
        <w:rPr>
          <w:lang w:bidi="ar-DZ"/>
        </w:rPr>
      </w:pPr>
      <w:r w:rsidRPr="00446FEC">
        <w:rPr>
          <w:lang w:bidi="ar-DZ"/>
        </w:rPr>
        <w:t>The case studies on the cost models adopted by various countries, regions and selected innovative practices are kept at Annex C.</w:t>
      </w:r>
    </w:p>
    <w:p w14:paraId="03AB97C0" w14:textId="77777777" w:rsidR="007E45C3" w:rsidRPr="00446FEC" w:rsidRDefault="007E45C3" w:rsidP="00BD526B">
      <w:pPr>
        <w:pStyle w:val="Heading1"/>
      </w:pPr>
      <w:bookmarkStart w:id="545" w:name="_Toc209722322"/>
      <w:bookmarkStart w:id="546" w:name="_Toc239193551"/>
      <w:bookmarkStart w:id="547" w:name="_Toc239232795"/>
      <w:bookmarkStart w:id="548" w:name="_Toc239240562"/>
      <w:r w:rsidRPr="00446FEC">
        <w:t>15</w:t>
      </w:r>
      <w:r w:rsidRPr="00446FEC">
        <w:tab/>
        <w:t>Recommendations and conclusion</w:t>
      </w:r>
      <w:bookmarkEnd w:id="545"/>
      <w:bookmarkEnd w:id="546"/>
      <w:bookmarkEnd w:id="547"/>
      <w:bookmarkEnd w:id="548"/>
    </w:p>
    <w:p w14:paraId="68E947A3" w14:textId="77777777" w:rsidR="007E45C3" w:rsidRPr="00446FEC" w:rsidRDefault="007E45C3" w:rsidP="00BD526B">
      <w:pPr>
        <w:pStyle w:val="Headingb"/>
        <w:rPr>
          <w:sz w:val="27"/>
          <w:szCs w:val="27"/>
          <w:lang w:eastAsia="en-IN"/>
        </w:rPr>
      </w:pPr>
      <w:r w:rsidRPr="00446FEC">
        <w:t>Reframing cost models in the modern telecom landscape</w:t>
      </w:r>
    </w:p>
    <w:p w14:paraId="586E1C78" w14:textId="77777777" w:rsidR="007E45C3" w:rsidRPr="00446FEC" w:rsidRDefault="007E45C3" w:rsidP="00BD526B">
      <w:r w:rsidRPr="00446FEC">
        <w:t>As this report has demonstrated, telecommunication cost models must be fundamentally rethought considering evolving market conditions. Originally designed for monopolistic and infrastructure-deficient environments, these models are now being applied in highly competitive, technologically sophisticated ecosystems characterized by converged networks and diversified service portfolios. Despite this transformation, cost models continue to serve a critical regulatory function. They are no longer rigid instruments of price control but adaptive frameworks for oversight, accountability and strategic facilitation.</w:t>
      </w:r>
    </w:p>
    <w:p w14:paraId="134702C9" w14:textId="77777777" w:rsidR="007E45C3" w:rsidRPr="00446FEC" w:rsidRDefault="007E45C3" w:rsidP="00BD526B">
      <w:pPr>
        <w:pStyle w:val="Headingb"/>
      </w:pPr>
      <w:r w:rsidRPr="00446FEC">
        <w:t>Context-specific application of cost models</w:t>
      </w:r>
    </w:p>
    <w:p w14:paraId="26428EAC" w14:textId="72E20746" w:rsidR="007E45C3" w:rsidRPr="00446FEC" w:rsidRDefault="007E45C3" w:rsidP="005A7A37">
      <w:r w:rsidRPr="00446FEC">
        <w:t>The starting point for reimagining cost models is to recognize their context-specific utility. Their relevance is not uniform; it depends on market structure, competitive maturity and regulatory objectives. As telecommunication sectors evolve, so must the purpose, design and application of cost models. Table</w:t>
      </w:r>
      <w:r w:rsidR="005A7A37" w:rsidRPr="00446FEC">
        <w:t> </w:t>
      </w:r>
      <w:r w:rsidRPr="00446FEC">
        <w:t>2 outlines how their role changes across different stages of market development:</w:t>
      </w:r>
    </w:p>
    <w:p w14:paraId="4A461011" w14:textId="1ACB7888" w:rsidR="00DF5ABA" w:rsidRPr="00446FEC" w:rsidRDefault="00DF5ABA" w:rsidP="00DF5ABA">
      <w:pPr>
        <w:pStyle w:val="TableNoTitle0"/>
      </w:pPr>
      <w:r w:rsidRPr="00446FEC">
        <w:lastRenderedPageBreak/>
        <w:t>Table 2 – Role changes across different stages of market development</w:t>
      </w:r>
    </w:p>
    <w:tbl>
      <w:tblPr>
        <w:tblStyle w:val="PlainTable1"/>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213"/>
        <w:gridCol w:w="3213"/>
        <w:gridCol w:w="3213"/>
      </w:tblGrid>
      <w:tr w:rsidR="007E45C3" w:rsidRPr="00446FEC" w14:paraId="1DCEB521" w14:textId="77777777" w:rsidTr="00DF5AB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13" w:type="dxa"/>
            <w:vAlign w:val="center"/>
            <w:hideMark/>
          </w:tcPr>
          <w:p w14:paraId="338F47F6" w14:textId="77777777" w:rsidR="007E45C3" w:rsidRPr="00446FEC" w:rsidRDefault="007E45C3" w:rsidP="00DF5ABA">
            <w:pPr>
              <w:pStyle w:val="Tablehead"/>
              <w:keepLines/>
              <w:rPr>
                <w:b/>
                <w:bCs w:val="0"/>
              </w:rPr>
            </w:pPr>
            <w:r w:rsidRPr="00446FEC">
              <w:rPr>
                <w:b/>
                <w:bCs w:val="0"/>
              </w:rPr>
              <w:t>Market stage</w:t>
            </w:r>
          </w:p>
        </w:tc>
        <w:tc>
          <w:tcPr>
            <w:tcW w:w="3213" w:type="dxa"/>
            <w:vAlign w:val="center"/>
            <w:hideMark/>
          </w:tcPr>
          <w:p w14:paraId="1AC88116" w14:textId="77777777" w:rsidR="007E45C3" w:rsidRPr="00446FEC" w:rsidRDefault="007E45C3" w:rsidP="00DF5ABA">
            <w:pPr>
              <w:pStyle w:val="Tablehead"/>
              <w:keepLines/>
              <w:cnfStyle w:val="100000000000" w:firstRow="1" w:lastRow="0" w:firstColumn="0" w:lastColumn="0" w:oddVBand="0" w:evenVBand="0" w:oddHBand="0" w:evenHBand="0" w:firstRowFirstColumn="0" w:firstRowLastColumn="0" w:lastRowFirstColumn="0" w:lastRowLastColumn="0"/>
              <w:rPr>
                <w:b/>
                <w:bCs w:val="0"/>
              </w:rPr>
            </w:pPr>
            <w:r w:rsidRPr="00446FEC">
              <w:rPr>
                <w:b/>
                <w:bCs w:val="0"/>
              </w:rPr>
              <w:t>Key characteristics</w:t>
            </w:r>
          </w:p>
        </w:tc>
        <w:tc>
          <w:tcPr>
            <w:tcW w:w="3213" w:type="dxa"/>
            <w:vAlign w:val="center"/>
            <w:hideMark/>
          </w:tcPr>
          <w:p w14:paraId="190CDEDE" w14:textId="77777777" w:rsidR="007E45C3" w:rsidRPr="00446FEC" w:rsidRDefault="007E45C3" w:rsidP="00DF5ABA">
            <w:pPr>
              <w:pStyle w:val="Tablehead"/>
              <w:keepLines/>
              <w:cnfStyle w:val="100000000000" w:firstRow="1" w:lastRow="0" w:firstColumn="0" w:lastColumn="0" w:oddVBand="0" w:evenVBand="0" w:oddHBand="0" w:evenHBand="0" w:firstRowFirstColumn="0" w:firstRowLastColumn="0" w:lastRowFirstColumn="0" w:lastRowLastColumn="0"/>
              <w:rPr>
                <w:b/>
                <w:bCs w:val="0"/>
              </w:rPr>
            </w:pPr>
            <w:r w:rsidRPr="00446FEC">
              <w:rPr>
                <w:b/>
                <w:bCs w:val="0"/>
              </w:rPr>
              <w:t>Role of cost models</w:t>
            </w:r>
          </w:p>
        </w:tc>
      </w:tr>
      <w:tr w:rsidR="007E45C3" w:rsidRPr="00446FEC" w14:paraId="5E848D1A" w14:textId="77777777" w:rsidTr="00DF5ABA">
        <w:trPr>
          <w:cnfStyle w:val="000000100000" w:firstRow="0" w:lastRow="0" w:firstColumn="0" w:lastColumn="0" w:oddVBand="0" w:evenVBand="0" w:oddHBand="1" w:evenHBand="0" w:firstRowFirstColumn="0" w:firstRowLastColumn="0" w:lastRowFirstColumn="0" w:lastRowLastColumn="0"/>
          <w:trHeight w:val="466"/>
          <w:jc w:val="center"/>
        </w:trPr>
        <w:tc>
          <w:tcPr>
            <w:cnfStyle w:val="001000000000" w:firstRow="0" w:lastRow="0" w:firstColumn="1" w:lastColumn="0" w:oddVBand="0" w:evenVBand="0" w:oddHBand="0" w:evenHBand="0" w:firstRowFirstColumn="0" w:firstRowLastColumn="0" w:lastRowFirstColumn="0" w:lastRowLastColumn="0"/>
            <w:tcW w:w="3213" w:type="dxa"/>
            <w:shd w:val="clear" w:color="auto" w:fill="auto"/>
            <w:hideMark/>
          </w:tcPr>
          <w:p w14:paraId="1E077B99" w14:textId="77777777" w:rsidR="007E45C3" w:rsidRPr="00446FEC" w:rsidRDefault="007E45C3" w:rsidP="00DF5ABA">
            <w:pPr>
              <w:pStyle w:val="Tabletext"/>
              <w:keepNext/>
              <w:keepLines/>
            </w:pPr>
            <w:r w:rsidRPr="00446FEC">
              <w:t>Early-stage</w:t>
            </w:r>
          </w:p>
        </w:tc>
        <w:tc>
          <w:tcPr>
            <w:tcW w:w="3213" w:type="dxa"/>
            <w:shd w:val="clear" w:color="auto" w:fill="auto"/>
            <w:hideMark/>
          </w:tcPr>
          <w:p w14:paraId="201D506F" w14:textId="77777777" w:rsidR="007E45C3" w:rsidRPr="00446FEC" w:rsidRDefault="007E45C3" w:rsidP="00DF5ABA">
            <w:pPr>
              <w:pStyle w:val="Tabletext"/>
              <w:keepNext/>
              <w:keepLines/>
              <w:cnfStyle w:val="000000100000" w:firstRow="0" w:lastRow="0" w:firstColumn="0" w:lastColumn="0" w:oddVBand="0" w:evenVBand="0" w:oddHBand="1" w:evenHBand="0" w:firstRowFirstColumn="0" w:firstRowLastColumn="0" w:lastRowFirstColumn="0" w:lastRowLastColumn="0"/>
            </w:pPr>
            <w:r w:rsidRPr="00446FEC">
              <w:t>Limited infrastructure, high capital intensity, low competition and weak market signals</w:t>
            </w:r>
          </w:p>
        </w:tc>
        <w:tc>
          <w:tcPr>
            <w:tcW w:w="3213" w:type="dxa"/>
            <w:shd w:val="clear" w:color="auto" w:fill="auto"/>
            <w:hideMark/>
          </w:tcPr>
          <w:p w14:paraId="1FA3807A" w14:textId="77777777" w:rsidR="007E45C3" w:rsidRPr="00446FEC" w:rsidRDefault="007E45C3" w:rsidP="00DF5ABA">
            <w:pPr>
              <w:pStyle w:val="Tabletext"/>
              <w:keepNext/>
              <w:keepLines/>
              <w:cnfStyle w:val="000000100000" w:firstRow="0" w:lastRow="0" w:firstColumn="0" w:lastColumn="0" w:oddVBand="0" w:evenVBand="0" w:oddHBand="1" w:evenHBand="0" w:firstRowFirstColumn="0" w:firstRowLastColumn="0" w:lastRowFirstColumn="0" w:lastRowLastColumn="0"/>
            </w:pPr>
            <w:r w:rsidRPr="00446FEC">
              <w:t>Tariff regulation, cost recovery and protection against monopolistic pricing</w:t>
            </w:r>
          </w:p>
        </w:tc>
      </w:tr>
      <w:tr w:rsidR="007E45C3" w:rsidRPr="00446FEC" w14:paraId="12EECA7C" w14:textId="77777777" w:rsidTr="00DF5ABA">
        <w:trPr>
          <w:trHeight w:val="295"/>
          <w:jc w:val="center"/>
        </w:trPr>
        <w:tc>
          <w:tcPr>
            <w:cnfStyle w:val="001000000000" w:firstRow="0" w:lastRow="0" w:firstColumn="1" w:lastColumn="0" w:oddVBand="0" w:evenVBand="0" w:oddHBand="0" w:evenHBand="0" w:firstRowFirstColumn="0" w:firstRowLastColumn="0" w:lastRowFirstColumn="0" w:lastRowLastColumn="0"/>
            <w:tcW w:w="3213" w:type="dxa"/>
            <w:hideMark/>
          </w:tcPr>
          <w:p w14:paraId="1E2614E9" w14:textId="77777777" w:rsidR="007E45C3" w:rsidRPr="00446FEC" w:rsidRDefault="007E45C3" w:rsidP="00DF5ABA">
            <w:pPr>
              <w:pStyle w:val="Tabletext"/>
              <w:keepNext/>
              <w:keepLines/>
            </w:pPr>
            <w:r w:rsidRPr="00446FEC">
              <w:t>Transitional</w:t>
            </w:r>
          </w:p>
        </w:tc>
        <w:tc>
          <w:tcPr>
            <w:tcW w:w="3213" w:type="dxa"/>
            <w:hideMark/>
          </w:tcPr>
          <w:p w14:paraId="35FCE8CA" w14:textId="77777777" w:rsidR="007E45C3" w:rsidRPr="00446FEC" w:rsidRDefault="007E45C3" w:rsidP="00DF5ABA">
            <w:pPr>
              <w:pStyle w:val="Tabletext"/>
              <w:keepNext/>
              <w:keepLines/>
              <w:cnfStyle w:val="000000000000" w:firstRow="0" w:lastRow="0" w:firstColumn="0" w:lastColumn="0" w:oddVBand="0" w:evenVBand="0" w:oddHBand="0" w:evenHBand="0" w:firstRowFirstColumn="0" w:firstRowLastColumn="0" w:lastRowFirstColumn="0" w:lastRowLastColumn="0"/>
            </w:pPr>
            <w:r w:rsidRPr="00446FEC">
              <w:t>Growing competition, uneven market entry and partial infrastructure coverage</w:t>
            </w:r>
          </w:p>
        </w:tc>
        <w:tc>
          <w:tcPr>
            <w:tcW w:w="3213" w:type="dxa"/>
            <w:hideMark/>
          </w:tcPr>
          <w:p w14:paraId="427B656C" w14:textId="77777777" w:rsidR="007E45C3" w:rsidRPr="00446FEC" w:rsidRDefault="007E45C3" w:rsidP="00DF5ABA">
            <w:pPr>
              <w:pStyle w:val="Tabletext"/>
              <w:keepNext/>
              <w:keepLines/>
              <w:cnfStyle w:val="000000000000" w:firstRow="0" w:lastRow="0" w:firstColumn="0" w:lastColumn="0" w:oddVBand="0" w:evenVBand="0" w:oddHBand="0" w:evenHBand="0" w:firstRowFirstColumn="0" w:firstRowLastColumn="0" w:lastRowFirstColumn="0" w:lastRowLastColumn="0"/>
            </w:pPr>
            <w:r w:rsidRPr="00446FEC">
              <w:t>Hybrid benchmarking, selective tariff oversight and guided liberalization</w:t>
            </w:r>
          </w:p>
        </w:tc>
      </w:tr>
      <w:tr w:rsidR="007E45C3" w:rsidRPr="00446FEC" w14:paraId="61901B18" w14:textId="77777777" w:rsidTr="00DF5ABA">
        <w:trPr>
          <w:cnfStyle w:val="000000100000" w:firstRow="0" w:lastRow="0" w:firstColumn="0" w:lastColumn="0" w:oddVBand="0" w:evenVBand="0" w:oddHBand="1" w:evenHBand="0" w:firstRowFirstColumn="0" w:firstRowLastColumn="0" w:lastRowFirstColumn="0" w:lastRowLastColumn="0"/>
          <w:trHeight w:val="551"/>
          <w:jc w:val="center"/>
        </w:trPr>
        <w:tc>
          <w:tcPr>
            <w:cnfStyle w:val="001000000000" w:firstRow="0" w:lastRow="0" w:firstColumn="1" w:lastColumn="0" w:oddVBand="0" w:evenVBand="0" w:oddHBand="0" w:evenHBand="0" w:firstRowFirstColumn="0" w:firstRowLastColumn="0" w:lastRowFirstColumn="0" w:lastRowLastColumn="0"/>
            <w:tcW w:w="3213" w:type="dxa"/>
            <w:shd w:val="clear" w:color="auto" w:fill="auto"/>
            <w:hideMark/>
          </w:tcPr>
          <w:p w14:paraId="6DDAC040" w14:textId="77777777" w:rsidR="007E45C3" w:rsidRPr="00446FEC" w:rsidRDefault="007E45C3" w:rsidP="00B15013">
            <w:pPr>
              <w:pStyle w:val="Tabletext"/>
            </w:pPr>
            <w:r w:rsidRPr="00446FEC">
              <w:t>Mature</w:t>
            </w:r>
          </w:p>
        </w:tc>
        <w:tc>
          <w:tcPr>
            <w:tcW w:w="3213" w:type="dxa"/>
            <w:shd w:val="clear" w:color="auto" w:fill="auto"/>
            <w:hideMark/>
          </w:tcPr>
          <w:p w14:paraId="7C0E42D8" w14:textId="77777777" w:rsidR="007E45C3" w:rsidRPr="00446FEC" w:rsidRDefault="007E45C3" w:rsidP="00B15013">
            <w:pPr>
              <w:pStyle w:val="Tabletext"/>
              <w:cnfStyle w:val="000000100000" w:firstRow="0" w:lastRow="0" w:firstColumn="0" w:lastColumn="0" w:oddVBand="0" w:evenVBand="0" w:oddHBand="1" w:evenHBand="0" w:firstRowFirstColumn="0" w:firstRowLastColumn="0" w:lastRowFirstColumn="0" w:lastRowLastColumn="0"/>
            </w:pPr>
            <w:r w:rsidRPr="00446FEC">
              <w:t>High penetration, dynamic pricing, multiple players and innovation-led differentiation</w:t>
            </w:r>
          </w:p>
        </w:tc>
        <w:tc>
          <w:tcPr>
            <w:tcW w:w="3213" w:type="dxa"/>
            <w:shd w:val="clear" w:color="auto" w:fill="auto"/>
            <w:hideMark/>
          </w:tcPr>
          <w:p w14:paraId="4A275260" w14:textId="77777777" w:rsidR="007E45C3" w:rsidRPr="00446FEC" w:rsidRDefault="007E45C3" w:rsidP="00B15013">
            <w:pPr>
              <w:pStyle w:val="Tabletext"/>
              <w:cnfStyle w:val="000000100000" w:firstRow="0" w:lastRow="0" w:firstColumn="0" w:lastColumn="0" w:oddVBand="0" w:evenVBand="0" w:oddHBand="1" w:evenHBand="0" w:firstRowFirstColumn="0" w:firstRowLastColumn="0" w:lastRowFirstColumn="0" w:lastRowLastColumn="0"/>
            </w:pPr>
            <w:r w:rsidRPr="00446FEC">
              <w:t>Market diagnostics, dominance monitoring, affordability benchmarking and antitrust review</w:t>
            </w:r>
          </w:p>
        </w:tc>
      </w:tr>
    </w:tbl>
    <w:p w14:paraId="706C48F9" w14:textId="4DA3BB79" w:rsidR="007E45C3" w:rsidRPr="00446FEC" w:rsidRDefault="007E45C3" w:rsidP="00062AD7">
      <w:pPr>
        <w:pStyle w:val="Headingb"/>
        <w:rPr>
          <w:i/>
          <w:iCs/>
        </w:rPr>
      </w:pPr>
      <w:r w:rsidRPr="00446FEC">
        <w:rPr>
          <w:i/>
          <w:iCs/>
        </w:rPr>
        <w:t>A case in point: India</w:t>
      </w:r>
      <w:r w:rsidR="006E6D1D" w:rsidRPr="00446FEC">
        <w:rPr>
          <w:i/>
          <w:iCs/>
        </w:rPr>
        <w:t>'</w:t>
      </w:r>
      <w:r w:rsidRPr="00446FEC">
        <w:rPr>
          <w:i/>
          <w:iCs/>
        </w:rPr>
        <w:t>s regulatory evolution</w:t>
      </w:r>
    </w:p>
    <w:p w14:paraId="05386FD2" w14:textId="37F87E37" w:rsidR="007E45C3" w:rsidRPr="00446FEC" w:rsidRDefault="007E45C3" w:rsidP="00062AD7">
      <w:r w:rsidRPr="00446FEC">
        <w:t>India provides a compelling example of how the application of cost models evolves with market conditions. In the late 1990s, the Telecom Regulatory Authority of India (TRAI) used top-down fully distributed cost (FDC) models to regulate tariffs across services such as local calling, subscriber trunk dialling (STD), international subscriber dialling (ISD)</w:t>
      </w:r>
      <w:r w:rsidRPr="00446FEC">
        <w:rPr>
          <w:u w:val="single"/>
        </w:rPr>
        <w:t xml:space="preserve"> </w:t>
      </w:r>
      <w:r w:rsidRPr="00446FEC">
        <w:t>and leased lines. At the time, the sector faced high capital costs, limited-service penetration and minimal competition. Under these circumstances, strict price regulation was essential for ensuring cost recovery and protecting consumers.</w:t>
      </w:r>
    </w:p>
    <w:p w14:paraId="61268C66" w14:textId="77777777" w:rsidR="007E45C3" w:rsidRPr="00446FEC" w:rsidRDefault="007E45C3" w:rsidP="00062AD7">
      <w:r w:rsidRPr="00446FEC">
        <w:t>As the market matured, TRAI gradually relaxed ex-ante controls. Between 2002 and 2005, tariff forbearance was introduced for National and International Long-distance services and later extended to mobile services. Market forces began to determine retail prices, while the regulator retained the authority to intervene in cases of consumer harm or market distortion.</w:t>
      </w:r>
    </w:p>
    <w:p w14:paraId="1EE51F57" w14:textId="6C340FCB" w:rsidR="007E45C3" w:rsidRPr="00446FEC" w:rsidRDefault="007E45C3" w:rsidP="003C642A">
      <w:r w:rsidRPr="00446FEC">
        <w:t>Today, cost models are no longer central to regulating retail tariffs in India. However, they remain critical in areas such as interconnection pricing, infrastructure sharing and ensuring fair wholesale access. India</w:t>
      </w:r>
      <w:r w:rsidR="006E6D1D" w:rsidRPr="00446FEC">
        <w:t>'</w:t>
      </w:r>
      <w:r w:rsidRPr="00446FEC">
        <w:t>s experience illustrates a broader regulatory principle: as competition strengthens, the use of cost models shifts from direct price-setting to selective oversight and market diagnostics.</w:t>
      </w:r>
    </w:p>
    <w:p w14:paraId="56F010DD" w14:textId="77777777" w:rsidR="007E45C3" w:rsidRPr="00446FEC" w:rsidRDefault="007E45C3" w:rsidP="003C642A">
      <w:r w:rsidRPr="00446FEC">
        <w:t>Cost models must be tailored, not applied uniformly. Their relevance follows a continuum that corresponds with market structure and maturity. In monopoly prone or early-stage markets, they are essential for setting tariffs and recovering infrastructure costs. In transitional markets, hybrid approaches combining financial audits with engineering benchmarks help manage liberalization. In mature markets, cost models support periodic benchmarking, assess affordability, monitor dominant players and detect anticompetitive practices.</w:t>
      </w:r>
    </w:p>
    <w:p w14:paraId="52C3DA55" w14:textId="150887AA" w:rsidR="007E45C3" w:rsidRPr="00446FEC" w:rsidRDefault="007E45C3" w:rsidP="003C642A">
      <w:r w:rsidRPr="00446FEC">
        <w:t xml:space="preserve">Tools such as the </w:t>
      </w:r>
      <w:r w:rsidR="00F8673B" w:rsidRPr="00446FEC">
        <w:t>Herfindahl</w:t>
      </w:r>
      <w:r w:rsidRPr="00446FEC">
        <w:t>-</w:t>
      </w:r>
      <w:r w:rsidR="00F8673B" w:rsidRPr="00446FEC">
        <w:t xml:space="preserve">Hirschman </w:t>
      </w:r>
      <w:r w:rsidRPr="00446FEC">
        <w:t xml:space="preserve">index (HHI) and the </w:t>
      </w:r>
      <w:r w:rsidRPr="00446FEC">
        <w:rPr>
          <w:lang w:bidi="ar-DZ"/>
        </w:rPr>
        <w:t>small but significant non-transitory increase in price</w:t>
      </w:r>
      <w:r w:rsidRPr="00446FEC">
        <w:t xml:space="preserve"> (SSNIP) test allow regulators to assess market concentration and pricing power objectively. These instruments help determine the appropriate intensity and purpose of cost model application. When used with strategic intent, cost models shift from being instruments of control to tools for calibrated and proportionate intervention.</w:t>
      </w:r>
    </w:p>
    <w:p w14:paraId="3E9BC5DF" w14:textId="77777777" w:rsidR="007E45C3" w:rsidRPr="00446FEC" w:rsidRDefault="007E45C3" w:rsidP="003C642A">
      <w:pPr>
        <w:pStyle w:val="Headingb"/>
      </w:pPr>
      <w:r w:rsidRPr="00446FEC">
        <w:t>Mitigating distortions in emerging service segments</w:t>
      </w:r>
    </w:p>
    <w:p w14:paraId="7902D16D" w14:textId="77777777" w:rsidR="007E45C3" w:rsidRPr="00446FEC" w:rsidRDefault="007E45C3" w:rsidP="00FA7332">
      <w:r w:rsidRPr="00446FEC">
        <w:t>Importantly, the existence of competition in retail markets does not eliminate the risk of pricing distortions. In new service segments like low Earth orbit (LEO) satellite broadband, private 5G and fixed wireless access (FWA), early market conditions often include high capital intensity, limited competition and uncertain demand. Dominant players can exploit these conditions through predatory pricing or discriminatory access practices. In such cases, cost models serve as vital benchmarks that help regulators assess whether prices are aligned with economic sustainability or intended to suppress future competition. As market conditions stabilize, these models can be gradually withdrawn, but their role during the formative phase remains essential to ensure fairness and enable innovation.</w:t>
      </w:r>
    </w:p>
    <w:p w14:paraId="7C29457E" w14:textId="77777777" w:rsidR="007E45C3" w:rsidRPr="00446FEC" w:rsidRDefault="007E45C3" w:rsidP="00FA7332">
      <w:r w:rsidRPr="00446FEC">
        <w:lastRenderedPageBreak/>
        <w:t>In increasingly complex multi-technology environments, hybrid cost models combining top-down actual cost accounting with bottom-up resource mapping are essential. They allow regulators to estimate true network cost impact across different service types and subnetworks while accounting for shared infrastructure, dynamic routing and traffic-sensitive behaviours.</w:t>
      </w:r>
    </w:p>
    <w:p w14:paraId="565BFF90" w14:textId="77777777" w:rsidR="007E45C3" w:rsidRPr="00446FEC" w:rsidRDefault="007E45C3" w:rsidP="00FA7332">
      <w:r w:rsidRPr="00446FEC">
        <w:t>As new services emerge, dominant firms may use early scale or deep pockets to foreclose competition through non-transparent pricing. To address this, cost models should be complemented by embedded analytics that detect deviation from sustainable cost thresholds, flag potential abuse of market power and adjust benchmarks dynamically as demand and supply evolve. Regulators should invest in real-time data capabilities, leveraging machine learning (ML)-based models that continuously learn from pricing, uptake and churn trends across operators. This makes cost models not only predictive but also pre-emptive in guarding against distortionary practices.</w:t>
      </w:r>
    </w:p>
    <w:p w14:paraId="22681CD8" w14:textId="77777777" w:rsidR="007E45C3" w:rsidRPr="00446FEC" w:rsidRDefault="007E45C3" w:rsidP="00FA7332">
      <w:pPr>
        <w:pStyle w:val="Headingb"/>
      </w:pPr>
      <w:r w:rsidRPr="00446FEC">
        <w:t>Retail vs. wholesale: Differentiated regulatory priorities</w:t>
      </w:r>
    </w:p>
    <w:p w14:paraId="0F2742AB" w14:textId="77777777" w:rsidR="007E45C3" w:rsidRPr="00446FEC" w:rsidRDefault="007E45C3" w:rsidP="00FA7332">
      <w:r w:rsidRPr="00446FEC">
        <w:t>The structural contrast between retail and wholesale markets also justifies the targeted use of cost models. Retail pricing tends to be disciplined by consumer choice and competitive pressure. In such environments, cost models serve a diagnostic role. They can be used to track affordability, estimate consumer benefit and inform subsidy design for digital inclusion.</w:t>
      </w:r>
    </w:p>
    <w:p w14:paraId="70355670" w14:textId="4AC3D0C5" w:rsidR="007E45C3" w:rsidRPr="00446FEC" w:rsidRDefault="007E45C3" w:rsidP="00FA7332">
      <w:r w:rsidRPr="00446FEC">
        <w:t xml:space="preserve">Wholesale markets, on the other hand, often suffer from infrastructure bottlenecks and limited substitutability. Assets such as fibre backhaul, passive towers and interconnection points are typically controlled by a few large players. This creates fertile ground for anticompetitive behaviour such as margin squeezes and access denial. In wholesale regulation, cost models are not optional. </w:t>
      </w:r>
      <w:r w:rsidR="00F8673B" w:rsidRPr="00446FEC">
        <w:t xml:space="preserve">Approaches </w:t>
      </w:r>
      <w:r w:rsidRPr="00446FEC">
        <w:t>like long-run incremental cost (LRIC), LRIC-plus, or calibrated hybrid frameworks are necessary to ensure that access pricing is both transparent and economically justified.</w:t>
      </w:r>
    </w:p>
    <w:p w14:paraId="4941E8FE" w14:textId="77777777" w:rsidR="007E45C3" w:rsidRPr="00446FEC" w:rsidRDefault="007E45C3" w:rsidP="00FA7332">
      <w:pPr>
        <w:pStyle w:val="Headingb"/>
      </w:pPr>
      <w:r w:rsidRPr="00446FEC">
        <w:t>Anchoring affordability in evolving cost frameworks</w:t>
      </w:r>
    </w:p>
    <w:p w14:paraId="00943E1B" w14:textId="7F397420" w:rsidR="007E45C3" w:rsidRPr="00446FEC" w:rsidRDefault="007E45C3" w:rsidP="00FA7332">
      <w:r w:rsidRPr="00446FEC">
        <w:t>Beyond these structural factors, the affordability imperative makes the continued use of cost models even more relevant. Affordable services drive adoption and wider adoption helps operators recover infrastructure costs more efficiently. In turn, this reinforces the business case for further investment and innovation. This positive cycle has underpinned much of the telecom sector</w:t>
      </w:r>
      <w:r w:rsidR="006E6D1D" w:rsidRPr="00446FEC">
        <w:t>'</w:t>
      </w:r>
      <w:r w:rsidRPr="00446FEC">
        <w:t>s growth.</w:t>
      </w:r>
    </w:p>
    <w:p w14:paraId="521F3F84" w14:textId="77777777" w:rsidR="007E45C3" w:rsidRPr="00446FEC" w:rsidRDefault="007E45C3" w:rsidP="00FA7332">
      <w:r w:rsidRPr="00446FEC">
        <w:t>However, newer services such as network slicing, industrial IoT and enterprise connectivity with guaranteed service levels are not defined by data volumes alone. These services depend on specific performance attributes such as latency, uptime and jitter. Traditional cost models like FAC or LRIC are poorly equipped to handle such complexity. Modern cost models must therefore evolve into performance-aware frameworks. They should allocate costs based on service classes, virtualized functions and contractual service guarantees. Without this shift, pricing risks becoming opaque and discriminatory, ultimately affecting affordability and market access.</w:t>
      </w:r>
    </w:p>
    <w:p w14:paraId="13D47D27" w14:textId="77777777" w:rsidR="007E45C3" w:rsidRPr="00446FEC" w:rsidRDefault="007E45C3" w:rsidP="00386C3A">
      <w:pPr>
        <w:pStyle w:val="Headingb"/>
      </w:pPr>
      <w:r w:rsidRPr="00446FEC">
        <w:t>Need for regulatory and institutional modernization</w:t>
      </w:r>
    </w:p>
    <w:p w14:paraId="59D20A12" w14:textId="77777777" w:rsidR="007E45C3" w:rsidRPr="00446FEC" w:rsidRDefault="007E45C3" w:rsidP="00FA7332">
      <w:r w:rsidRPr="00446FEC">
        <w:t>Moving forward, regulatory modernization will be as important as methodological refinement. Regulators need stronger institutional capacity to adopt and manage these advanced models. This includes improved data-sharing arrangements with operators, greater modelling transparency and structured stakeholder consultations. At the international level, collaboration through organizations like the ITU can support the development of standardized models and share implementation toolkits, particularly with developing countries where technical capacity is limited but regulatory needs are acute.</w:t>
      </w:r>
    </w:p>
    <w:p w14:paraId="69D94AA0" w14:textId="77777777" w:rsidR="007E45C3" w:rsidRPr="00446FEC" w:rsidRDefault="007E45C3" w:rsidP="00222122">
      <w:pPr>
        <w:pStyle w:val="Headingb"/>
      </w:pPr>
      <w:r w:rsidRPr="00446FEC">
        <w:t>Other recommendations</w:t>
      </w:r>
    </w:p>
    <w:p w14:paraId="5010C027" w14:textId="285822CE" w:rsidR="007E45C3" w:rsidRPr="00446FEC" w:rsidRDefault="005D6949" w:rsidP="005D6949">
      <w:pPr>
        <w:pStyle w:val="enumlev1"/>
      </w:pPr>
      <w:r w:rsidRPr="00446FEC">
        <w:rPr>
          <w:b/>
          <w:bCs/>
          <w:lang w:eastAsia="en-IN" w:bidi="hi-IN"/>
        </w:rPr>
        <w:t>•</w:t>
      </w:r>
      <w:r w:rsidRPr="00446FEC">
        <w:rPr>
          <w:b/>
          <w:bCs/>
          <w:lang w:eastAsia="en-IN" w:bidi="hi-IN"/>
        </w:rPr>
        <w:tab/>
      </w:r>
      <w:r w:rsidR="007E45C3" w:rsidRPr="00446FEC">
        <w:rPr>
          <w:b/>
          <w:bCs/>
          <w:lang w:eastAsia="en-IN" w:bidi="hi-IN"/>
        </w:rPr>
        <w:t>Create regulatory sandboxes for innovation</w:t>
      </w:r>
      <w:r w:rsidRPr="00446FEC">
        <w:rPr>
          <w:lang w:eastAsia="en-IN" w:bidi="hi-IN"/>
        </w:rPr>
        <w:t xml:space="preserve">: </w:t>
      </w:r>
      <w:r w:rsidR="007E45C3" w:rsidRPr="00446FEC">
        <w:rPr>
          <w:lang w:eastAsia="en-IN" w:bidi="hi-IN"/>
        </w:rPr>
        <w:t>Establish controlled environments where telecommunication operators can test emerging technologies, services and pricing models under relaxed compliance rules. These sandboxes encourage innovation while enabling regulators to refine future policies based on real-world learnings.</w:t>
      </w:r>
    </w:p>
    <w:p w14:paraId="2DA884D1" w14:textId="1B89B9ED" w:rsidR="007E45C3" w:rsidRPr="00446FEC" w:rsidRDefault="005D6949" w:rsidP="005D6949">
      <w:pPr>
        <w:pStyle w:val="enumlev1"/>
        <w:rPr>
          <w:lang w:eastAsia="en-IN" w:bidi="hi-IN"/>
        </w:rPr>
      </w:pPr>
      <w:r w:rsidRPr="00446FEC">
        <w:rPr>
          <w:b/>
          <w:bCs/>
          <w:lang w:eastAsia="en-IN" w:bidi="hi-IN"/>
        </w:rPr>
        <w:lastRenderedPageBreak/>
        <w:t>•</w:t>
      </w:r>
      <w:r w:rsidRPr="00446FEC">
        <w:rPr>
          <w:b/>
          <w:bCs/>
          <w:lang w:eastAsia="en-IN" w:bidi="hi-IN"/>
        </w:rPr>
        <w:tab/>
      </w:r>
      <w:r w:rsidR="007E45C3" w:rsidRPr="00446FEC">
        <w:rPr>
          <w:b/>
          <w:bCs/>
          <w:lang w:eastAsia="en-IN" w:bidi="hi-IN"/>
        </w:rPr>
        <w:t>Enable cost-efficient infrastructure sharing</w:t>
      </w:r>
      <w:r w:rsidRPr="00446FEC">
        <w:rPr>
          <w:lang w:eastAsia="en-IN" w:bidi="hi-IN"/>
        </w:rPr>
        <w:t xml:space="preserve">: </w:t>
      </w:r>
      <w:r w:rsidR="007E45C3" w:rsidRPr="00446FEC">
        <w:rPr>
          <w:lang w:eastAsia="en-IN" w:bidi="hi-IN"/>
        </w:rPr>
        <w:t>Promote policies that support tower, fibre and backhaul sharing among operators. This reduces network deployment costs, accelerates rural expansion and fosters market competition. Fiscal incentives and neutral-host models should be encouraged where appropriate.</w:t>
      </w:r>
    </w:p>
    <w:p w14:paraId="34FC07F0" w14:textId="6A8BBD0C" w:rsidR="007E45C3" w:rsidRPr="00446FEC" w:rsidRDefault="007F6C9C" w:rsidP="005D6949">
      <w:pPr>
        <w:pStyle w:val="enumlev1"/>
        <w:rPr>
          <w:lang w:eastAsia="en-IN" w:bidi="hi-IN"/>
        </w:rPr>
      </w:pPr>
      <w:r w:rsidRPr="00446FEC">
        <w:rPr>
          <w:b/>
          <w:bCs/>
          <w:lang w:eastAsia="en-IN" w:bidi="hi-IN"/>
        </w:rPr>
        <w:t>•</w:t>
      </w:r>
      <w:r w:rsidRPr="00446FEC">
        <w:rPr>
          <w:b/>
          <w:bCs/>
          <w:lang w:eastAsia="en-IN" w:bidi="hi-IN"/>
        </w:rPr>
        <w:tab/>
      </w:r>
      <w:r w:rsidR="007E45C3" w:rsidRPr="00446FEC">
        <w:rPr>
          <w:b/>
          <w:bCs/>
          <w:lang w:eastAsia="en-IN" w:bidi="hi-IN"/>
        </w:rPr>
        <w:t>Advance inclusive spectrum strategies</w:t>
      </w:r>
      <w:r w:rsidRPr="00446FEC">
        <w:rPr>
          <w:lang w:eastAsia="en-IN" w:bidi="hi-IN"/>
        </w:rPr>
        <w:t xml:space="preserve">: </w:t>
      </w:r>
      <w:r w:rsidR="007E45C3" w:rsidRPr="00446FEC">
        <w:rPr>
          <w:lang w:eastAsia="en-IN" w:bidi="hi-IN"/>
        </w:rPr>
        <w:t>Consolidate traditional and emerging approaches by supporting shared spectrum frameworks (e.g., dynamic access, spectrum pooling) and evaluating alternative allocation models such as spectrum trading. These strategies increase spectral efficiency, reduce entry barriers and support service affordability.</w:t>
      </w:r>
    </w:p>
    <w:p w14:paraId="43C95D00" w14:textId="466402FF" w:rsidR="007E45C3" w:rsidRPr="00446FEC" w:rsidRDefault="00B448FB" w:rsidP="00B448FB">
      <w:pPr>
        <w:pStyle w:val="enumlev1"/>
        <w:rPr>
          <w:lang w:eastAsia="en-IN" w:bidi="hi-IN"/>
        </w:rPr>
      </w:pPr>
      <w:r w:rsidRPr="00446FEC">
        <w:rPr>
          <w:b/>
          <w:bCs/>
          <w:lang w:eastAsia="en-IN" w:bidi="hi-IN"/>
        </w:rPr>
        <w:t>•</w:t>
      </w:r>
      <w:r w:rsidRPr="00446FEC">
        <w:rPr>
          <w:b/>
          <w:bCs/>
          <w:lang w:eastAsia="en-IN" w:bidi="hi-IN"/>
        </w:rPr>
        <w:tab/>
      </w:r>
      <w:r w:rsidR="007E45C3" w:rsidRPr="00446FEC">
        <w:rPr>
          <w:b/>
          <w:bCs/>
          <w:lang w:eastAsia="en-IN" w:bidi="hi-IN"/>
        </w:rPr>
        <w:t>Study long-term return on investment (ROI) of next-gen networks</w:t>
      </w:r>
      <w:r w:rsidRPr="00446FEC">
        <w:rPr>
          <w:lang w:eastAsia="en-IN" w:bidi="hi-IN"/>
        </w:rPr>
        <w:t>:</w:t>
      </w:r>
      <w:r w:rsidR="000223D2" w:rsidRPr="00446FEC">
        <w:rPr>
          <w:lang w:eastAsia="en-IN" w:bidi="hi-IN"/>
        </w:rPr>
        <w:t xml:space="preserve"> </w:t>
      </w:r>
      <w:r w:rsidR="007E45C3" w:rsidRPr="00446FEC">
        <w:rPr>
          <w:lang w:eastAsia="en-IN" w:bidi="hi-IN"/>
        </w:rPr>
        <w:t>Conduct longitudinal studies to assess the economic and social returns of 5G and future networks. These should track investment performance, service adoption and value creation over time to inform smarter public and private investment decisions.</w:t>
      </w:r>
    </w:p>
    <w:p w14:paraId="1F01A889" w14:textId="345B9F54" w:rsidR="007E45C3" w:rsidRPr="00446FEC" w:rsidRDefault="00403FEF" w:rsidP="005D6949">
      <w:pPr>
        <w:pStyle w:val="enumlev1"/>
        <w:rPr>
          <w:lang w:eastAsia="en-IN" w:bidi="hi-IN"/>
        </w:rPr>
      </w:pPr>
      <w:r w:rsidRPr="00446FEC">
        <w:rPr>
          <w:b/>
          <w:bCs/>
          <w:lang w:eastAsia="en-IN" w:bidi="hi-IN"/>
        </w:rPr>
        <w:t>•</w:t>
      </w:r>
      <w:r w:rsidRPr="00446FEC">
        <w:rPr>
          <w:b/>
          <w:bCs/>
          <w:lang w:eastAsia="en-IN" w:bidi="hi-IN"/>
        </w:rPr>
        <w:tab/>
      </w:r>
      <w:r w:rsidR="007E45C3" w:rsidRPr="00446FEC">
        <w:rPr>
          <w:b/>
          <w:bCs/>
          <w:lang w:eastAsia="en-IN" w:bidi="hi-IN"/>
        </w:rPr>
        <w:t>Examine viability of emerging business models</w:t>
      </w:r>
      <w:r w:rsidRPr="00446FEC">
        <w:rPr>
          <w:lang w:eastAsia="en-IN" w:bidi="hi-IN"/>
        </w:rPr>
        <w:t xml:space="preserve">: </w:t>
      </w:r>
      <w:r w:rsidR="007E45C3" w:rsidRPr="00446FEC">
        <w:rPr>
          <w:lang w:eastAsia="en-IN" w:bidi="hi-IN"/>
        </w:rPr>
        <w:t>Evaluate new telecommunication business models such as blockchain billing, service bundling, or platform-led monetization. Studies should assess user acceptance, scalability and alignment with affordability and competitive fairness.</w:t>
      </w:r>
    </w:p>
    <w:p w14:paraId="2C847E82" w14:textId="77777777" w:rsidR="006E7AFA" w:rsidRPr="00446FEC" w:rsidRDefault="007E45C3" w:rsidP="00D46999">
      <w:r w:rsidRPr="00446FEC">
        <w:t>In conclusion, cost models are evolving instruments of public interest. From command-and-control mechanisms, they are transforming into strategic tools that facilitate innovation, ensure equitable access and protect against market distortions. In a dynamic telecommunication ecosystem, where technologies evolve rapidly and affordability remains a core challenge, cost models must act as adaptive compasses. Properly designed and intelligently deployed, they can help align investment with sustainability, competition with fairness and innovation with universal connectivity.</w:t>
      </w:r>
    </w:p>
    <w:p w14:paraId="1DAB59F3" w14:textId="27CADCC7" w:rsidR="007E45C3" w:rsidRPr="00446FEC" w:rsidRDefault="007E45C3" w:rsidP="006E7AFA">
      <w:pPr>
        <w:rPr>
          <w:kern w:val="32"/>
        </w:rPr>
      </w:pPr>
      <w:r w:rsidRPr="00446FEC">
        <w:br w:type="page"/>
      </w:r>
    </w:p>
    <w:p w14:paraId="51A6925F" w14:textId="0BE94691" w:rsidR="007E45C3" w:rsidRPr="00446FEC" w:rsidRDefault="007E45C3" w:rsidP="00F94BBA">
      <w:pPr>
        <w:pStyle w:val="AnnexNoTitle0"/>
      </w:pPr>
      <w:bookmarkStart w:id="549" w:name="_Toc209722323"/>
      <w:bookmarkStart w:id="550" w:name="_Toc239193552"/>
      <w:bookmarkStart w:id="551" w:name="_Toc239232796"/>
      <w:bookmarkStart w:id="552" w:name="_Toc239240563"/>
      <w:r w:rsidRPr="00446FEC">
        <w:lastRenderedPageBreak/>
        <w:t xml:space="preserve">Annex A </w:t>
      </w:r>
      <w:r w:rsidR="00F94BBA" w:rsidRPr="00446FEC">
        <w:br/>
      </w:r>
      <w:r w:rsidR="00F94BBA" w:rsidRPr="00446FEC">
        <w:br/>
      </w:r>
      <w:r w:rsidRPr="00446FEC">
        <w:t>Additional costing approaches</w:t>
      </w:r>
      <w:bookmarkEnd w:id="549"/>
      <w:bookmarkEnd w:id="550"/>
      <w:bookmarkEnd w:id="551"/>
      <w:bookmarkEnd w:id="552"/>
    </w:p>
    <w:p w14:paraId="7E4A3135" w14:textId="77777777" w:rsidR="007E45C3" w:rsidRPr="00446FEC" w:rsidRDefault="007E45C3" w:rsidP="00F94BBA">
      <w:pPr>
        <w:pStyle w:val="Normalaftertitle"/>
      </w:pPr>
      <w:r w:rsidRPr="00446FEC">
        <w:t>While traditional models like FAC and LRIC provide a foundation, they are increasingly insufficient for capturing the realities of converged, virtualized and service-differentiated telecom networks. New approaches are required to reflect real-time resource usage, multitenant environments and differentiated service levels.</w:t>
      </w:r>
    </w:p>
    <w:p w14:paraId="7F4EB144" w14:textId="70B8FBFF" w:rsidR="007E45C3" w:rsidRPr="00446FEC" w:rsidRDefault="007E45C3" w:rsidP="00944EBC">
      <w:r w:rsidRPr="00446FEC">
        <w:rPr>
          <w:b/>
          <w:bCs/>
        </w:rPr>
        <w:t>Activity-based costing (ABC)</w:t>
      </w:r>
      <w:r w:rsidRPr="00446FEC">
        <w:t xml:space="preserve"> is recognized as the essential method for allocating costs in telecommunications networks. Unlike other approaches, ABC directly links costs to the underlying activities that drive resource consumption. This causal relationship is especially relevant in modern networks, where applications and infrastructures are increasingly decoupled. The rise of IP-based applications, multiple subnetworks within operators</w:t>
      </w:r>
      <w:r w:rsidR="006E6D1D" w:rsidRPr="00446FEC">
        <w:t>'</w:t>
      </w:r>
      <w:r w:rsidRPr="00446FEC">
        <w:t xml:space="preserve"> systems and software-configurable architectures such as software defined networks (SDN) have intensified the need for accurate cost attribution.</w:t>
      </w:r>
    </w:p>
    <w:p w14:paraId="08F37704" w14:textId="336A44AF" w:rsidR="007E45C3" w:rsidRPr="00446FEC" w:rsidRDefault="007E45C3" w:rsidP="00944EBC">
      <w:r w:rsidRPr="00446FEC">
        <w:t xml:space="preserve">Telecommunications services differ in their requirements for bandwidth, latency and reliability. These differences affect how network resources are dimensioned and must be reflected in cost allocation. ABC responds to this challenge by focusing on the main activities required to deliver services </w:t>
      </w:r>
      <w:r w:rsidR="00944EBC" w:rsidRPr="00446FEC">
        <w:t>–</w:t>
      </w:r>
      <w:r w:rsidRPr="00446FEC">
        <w:t xml:space="preserve"> such as user access, domestic and international nodes and transmission routes </w:t>
      </w:r>
      <w:r w:rsidR="00944EBC" w:rsidRPr="00446FEC">
        <w:t>–</w:t>
      </w:r>
      <w:r w:rsidRPr="00446FEC">
        <w:t xml:space="preserve"> and by ensuring that costs are attributed according to the actual use of resources.</w:t>
      </w:r>
    </w:p>
    <w:p w14:paraId="7F298AEC" w14:textId="77777777" w:rsidR="007E45C3" w:rsidRPr="00446FEC" w:rsidRDefault="007E45C3" w:rsidP="007A0710">
      <w:r w:rsidRPr="00446FEC">
        <w:t>Two principles underpin the ABC approach:</w:t>
      </w:r>
    </w:p>
    <w:p w14:paraId="77C381F5" w14:textId="7CDFDC9E" w:rsidR="007E45C3" w:rsidRPr="00446FEC" w:rsidRDefault="007A0710" w:rsidP="007A0710">
      <w:pPr>
        <w:pStyle w:val="enumlev1"/>
      </w:pPr>
      <w:r w:rsidRPr="00446FEC">
        <w:rPr>
          <w:b/>
          <w:bCs/>
          <w:lang w:eastAsia="en-IN" w:bidi="hi-IN"/>
        </w:rPr>
        <w:t>•</w:t>
      </w:r>
      <w:r w:rsidRPr="00446FEC">
        <w:rPr>
          <w:b/>
          <w:bCs/>
          <w:lang w:eastAsia="en-IN" w:bidi="hi-IN"/>
        </w:rPr>
        <w:tab/>
      </w:r>
      <w:r w:rsidR="007E45C3" w:rsidRPr="00446FEC">
        <w:t>Fairness: ensuring providers recover the share of resources used by a service.</w:t>
      </w:r>
    </w:p>
    <w:p w14:paraId="225D8885" w14:textId="6950DA1C" w:rsidR="007E45C3" w:rsidRPr="00446FEC" w:rsidRDefault="007A0710" w:rsidP="007A0710">
      <w:pPr>
        <w:pStyle w:val="enumlev1"/>
      </w:pPr>
      <w:r w:rsidRPr="00446FEC">
        <w:rPr>
          <w:b/>
          <w:bCs/>
          <w:lang w:eastAsia="en-IN" w:bidi="hi-IN"/>
        </w:rPr>
        <w:t>•</w:t>
      </w:r>
      <w:r w:rsidRPr="00446FEC">
        <w:rPr>
          <w:b/>
          <w:bCs/>
          <w:lang w:eastAsia="en-IN" w:bidi="hi-IN"/>
        </w:rPr>
        <w:tab/>
      </w:r>
      <w:r w:rsidR="007E45C3" w:rsidRPr="00446FEC">
        <w:t>Justice: ensuring consumers are not charged for resources they do not use.</w:t>
      </w:r>
    </w:p>
    <w:p w14:paraId="794B1B2C" w14:textId="77777777" w:rsidR="007E45C3" w:rsidRPr="00446FEC" w:rsidRDefault="007E45C3" w:rsidP="007E45C3">
      <w:r w:rsidRPr="00446FEC">
        <w:t>Applying these principles requires a bottom-up, incremental calculation of how services consume resources across all network sections. In practice, ABC involves the allocation of eligible costs to main activities, the calculation of sharing and routing factors across subnetworks and the derivation of service volumes leading to average unit costs. Simulation-based models are often recommended to strengthen accuracy and reflect operator activities in detail.</w:t>
      </w:r>
    </w:p>
    <w:p w14:paraId="515E646A" w14:textId="77777777" w:rsidR="007E45C3" w:rsidRPr="00446FEC" w:rsidRDefault="007E45C3" w:rsidP="007E45C3">
      <w:r w:rsidRPr="00446FEC">
        <w:t>Within an ex-post regulatory framework, operators conduct the calculations while regulators oversee and verify compliance. The process typically covers the identification of subnetworks and applications, the description of topologies and sharing principles, the collection of traffic data and the allocation of technical, commercial and administrative costs. Weighted average cost of capital (WACC) is also integrated into the model. The result is a transparent, causal and equitable determination of unit costs per service and per activity, supporting both effective price regulation and operational efficiency.</w:t>
      </w:r>
    </w:p>
    <w:p w14:paraId="2D3F130C" w14:textId="77777777" w:rsidR="007E45C3" w:rsidRPr="00446FEC" w:rsidRDefault="007E45C3" w:rsidP="007E45C3">
      <w:r w:rsidRPr="00446FEC">
        <w:rPr>
          <w:b/>
          <w:bCs/>
        </w:rPr>
        <w:t>Marginal costing</w:t>
      </w:r>
      <w:r w:rsidRPr="00446FEC">
        <w:t xml:space="preserve"> focuses on the additional cost of serving one more unit of demand. While useful for pricing scale-based services, it must evolve to account for differentiated service quality. </w:t>
      </w:r>
      <w:r w:rsidRPr="00446FEC">
        <w:rPr>
          <w:b/>
          <w:bCs/>
        </w:rPr>
        <w:t>SLA-based marginal costing</w:t>
      </w:r>
      <w:r w:rsidRPr="00446FEC">
        <w:t xml:space="preserve"> extends this by calculating the incremental cost of offering higher performance guarantees such as low latency or high reliability.</w:t>
      </w:r>
    </w:p>
    <w:p w14:paraId="67CA7359" w14:textId="60CCFFE7" w:rsidR="007E45C3" w:rsidRPr="00446FEC" w:rsidRDefault="007E45C3" w:rsidP="007E45C3">
      <w:r w:rsidRPr="00446FEC">
        <w:rPr>
          <w:b/>
          <w:bCs/>
        </w:rPr>
        <w:t>Life</w:t>
      </w:r>
      <w:r w:rsidR="00C87687" w:rsidRPr="00446FEC">
        <w:rPr>
          <w:b/>
          <w:bCs/>
        </w:rPr>
        <w:t>-</w:t>
      </w:r>
      <w:r w:rsidRPr="00446FEC">
        <w:rPr>
          <w:b/>
          <w:bCs/>
        </w:rPr>
        <w:t>cycle costing (LCC)</w:t>
      </w:r>
      <w:r w:rsidRPr="00446FEC">
        <w:t xml:space="preserve"> evaluates the total cost over the entire life of a technology or service. As networks shift towards platform-based models with continuous upgrades, </w:t>
      </w:r>
      <w:r w:rsidRPr="00446FEC">
        <w:rPr>
          <w:b/>
          <w:bCs/>
        </w:rPr>
        <w:t>Platform LCC</w:t>
      </w:r>
      <w:r w:rsidRPr="00446FEC">
        <w:t xml:space="preserve"> helps capture ongoing costs like cloud services, software licenses and security management, ensuring pricing remains sustainable over time.</w:t>
      </w:r>
    </w:p>
    <w:p w14:paraId="5CB7FBD1" w14:textId="77777777" w:rsidR="007E45C3" w:rsidRPr="00446FEC" w:rsidRDefault="007E45C3" w:rsidP="007E45C3">
      <w:r w:rsidRPr="00446FEC">
        <w:rPr>
          <w:b/>
          <w:bCs/>
        </w:rPr>
        <w:t>Capacity-based costing (CBC)</w:t>
      </w:r>
      <w:r w:rsidRPr="00446FEC">
        <w:t xml:space="preserve"> attributes costs based on the capacity reserved or consumed, rather than traffic volume alone. This is particularly relevant for enterprise or government clients reserving guaranteed network slices or dedicated bandwidth. CBC supports </w:t>
      </w:r>
      <w:r w:rsidRPr="00446FEC">
        <w:rPr>
          <w:b/>
          <w:bCs/>
        </w:rPr>
        <w:t>capacity-tiered pricing models</w:t>
      </w:r>
      <w:r w:rsidRPr="00446FEC">
        <w:t>, which are more aligned with how 5G and enterprise services are provisioned.</w:t>
      </w:r>
    </w:p>
    <w:p w14:paraId="19445CA4" w14:textId="77777777" w:rsidR="007E45C3" w:rsidRPr="00446FEC" w:rsidRDefault="007E45C3" w:rsidP="007E45C3">
      <w:r w:rsidRPr="00446FEC">
        <w:rPr>
          <w:b/>
          <w:bCs/>
        </w:rPr>
        <w:lastRenderedPageBreak/>
        <w:t>Real-time cost attribution (RTCA)</w:t>
      </w:r>
      <w:r w:rsidRPr="00446FEC">
        <w:t xml:space="preserve"> is an emerging but experimental approach that uses live network data and AI-driven analytics to dynamically calculate costs based on actual resource utilization. While technically promising, RTCA requires significant advancements in data systems and regulatory oversight before large-scale adoption.</w:t>
      </w:r>
    </w:p>
    <w:p w14:paraId="6EA2BFA4" w14:textId="453B0BF7" w:rsidR="007E45C3" w:rsidRPr="00446FEC" w:rsidRDefault="007E45C3" w:rsidP="007E45C3">
      <w:r w:rsidRPr="00446FEC">
        <w:t xml:space="preserve">These evolving methods </w:t>
      </w:r>
      <w:r w:rsidR="00C448AF" w:rsidRPr="00446FEC">
        <w:t>–</w:t>
      </w:r>
      <w:r w:rsidRPr="00446FEC">
        <w:t xml:space="preserve"> when combined with traditional models </w:t>
      </w:r>
      <w:r w:rsidR="00882DA8" w:rsidRPr="00446FEC">
        <w:t>–</w:t>
      </w:r>
      <w:r w:rsidRPr="00446FEC">
        <w:t xml:space="preserve"> can provide a more complete picture of costs in dynamic, multiservice and virtualized environments. Pilot implementations, industry collaboration and regulatory engagement will be key to validating their effectiveness and ensuring they promote both affordability and market sustainability.</w:t>
      </w:r>
    </w:p>
    <w:p w14:paraId="01E20CC2" w14:textId="77777777" w:rsidR="007E45C3" w:rsidRPr="00446FEC" w:rsidRDefault="007E45C3" w:rsidP="007E45C3">
      <w:pPr>
        <w:spacing w:before="0"/>
        <w:rPr>
          <w:b/>
          <w:bCs/>
          <w:iCs/>
          <w:szCs w:val="28"/>
        </w:rPr>
      </w:pPr>
      <w:r w:rsidRPr="00446FEC">
        <w:br w:type="page"/>
      </w:r>
    </w:p>
    <w:p w14:paraId="581028C5" w14:textId="258A6342" w:rsidR="007E45C3" w:rsidRPr="00446FEC" w:rsidRDefault="007E45C3" w:rsidP="006B3F50">
      <w:pPr>
        <w:pStyle w:val="AnnexNoTitle0"/>
      </w:pPr>
      <w:bookmarkStart w:id="553" w:name="_Toc209722324"/>
      <w:bookmarkStart w:id="554" w:name="_Toc239193553"/>
      <w:bookmarkStart w:id="555" w:name="_Toc239232797"/>
      <w:bookmarkStart w:id="556" w:name="_Toc239240564"/>
      <w:r w:rsidRPr="00446FEC">
        <w:lastRenderedPageBreak/>
        <w:t xml:space="preserve">Annex B </w:t>
      </w:r>
      <w:r w:rsidR="006B3F50" w:rsidRPr="00446FEC">
        <w:br/>
      </w:r>
      <w:r w:rsidR="006B3F50" w:rsidRPr="00446FEC">
        <w:br/>
      </w:r>
      <w:r w:rsidRPr="00446FEC">
        <w:t>Cost models statistics</w:t>
      </w:r>
      <w:bookmarkEnd w:id="553"/>
      <w:bookmarkEnd w:id="554"/>
      <w:bookmarkEnd w:id="555"/>
      <w:bookmarkEnd w:id="556"/>
    </w:p>
    <w:p w14:paraId="7EF8F38B" w14:textId="77777777" w:rsidR="007E45C3" w:rsidRPr="00446FEC" w:rsidRDefault="007E45C3" w:rsidP="006B3F50">
      <w:pPr>
        <w:pStyle w:val="Normalaftertitle"/>
      </w:pPr>
      <w:r w:rsidRPr="00446FEC">
        <w:t>Table B.1 shows the cost methodology used for calculating fixed service tariffs.</w:t>
      </w:r>
    </w:p>
    <w:tbl>
      <w:tblPr>
        <w:tblW w:w="9639" w:type="dxa"/>
        <w:jc w:val="center"/>
        <w:tblLook w:val="04A0" w:firstRow="1" w:lastRow="0" w:firstColumn="1" w:lastColumn="0" w:noHBand="0" w:noVBand="1"/>
      </w:tblPr>
      <w:tblGrid>
        <w:gridCol w:w="1843"/>
        <w:gridCol w:w="1985"/>
        <w:gridCol w:w="1991"/>
        <w:gridCol w:w="1853"/>
        <w:gridCol w:w="1967"/>
      </w:tblGrid>
      <w:tr w:rsidR="007E45C3" w:rsidRPr="00446FEC" w14:paraId="44B38030" w14:textId="77777777" w:rsidTr="00DF5ABA">
        <w:trPr>
          <w:trHeight w:val="318"/>
          <w:jc w:val="center"/>
        </w:trPr>
        <w:tc>
          <w:tcPr>
            <w:tcW w:w="9639" w:type="dxa"/>
            <w:gridSpan w:val="5"/>
            <w:tcBorders>
              <w:bottom w:val="single" w:sz="4" w:space="0" w:color="auto"/>
            </w:tcBorders>
            <w:vAlign w:val="center"/>
          </w:tcPr>
          <w:p w14:paraId="2FA41482" w14:textId="68465CAD" w:rsidR="007E45C3" w:rsidRPr="00446FEC" w:rsidRDefault="007E45C3" w:rsidP="006B3F50">
            <w:pPr>
              <w:pStyle w:val="TableNoTitle0"/>
            </w:pPr>
            <w:r w:rsidRPr="00446FEC">
              <w:rPr>
                <w:color w:val="000000"/>
              </w:rPr>
              <w:t xml:space="preserve">Table B.1 </w:t>
            </w:r>
            <w:r w:rsidRPr="00446FEC">
              <w:rPr>
                <w:color w:val="000000"/>
              </w:rPr>
              <w:sym w:font="Symbol" w:char="F02D"/>
            </w:r>
            <w:r w:rsidRPr="00446FEC">
              <w:rPr>
                <w:color w:val="000000"/>
              </w:rPr>
              <w:t xml:space="preserve"> </w:t>
            </w:r>
            <w:r w:rsidRPr="00446FEC">
              <w:t>Cost methodology used for calculating fixed service tariffs</w:t>
            </w:r>
          </w:p>
        </w:tc>
      </w:tr>
      <w:tr w:rsidR="007E45C3" w:rsidRPr="00446FEC" w14:paraId="40A697A0" w14:textId="77777777" w:rsidTr="00DF5ABA">
        <w:trPr>
          <w:trHeight w:val="318"/>
          <w:jc w:val="center"/>
        </w:trPr>
        <w:tc>
          <w:tcPr>
            <w:tcW w:w="1843" w:type="dxa"/>
            <w:tcBorders>
              <w:top w:val="single" w:sz="4" w:space="0" w:color="auto"/>
              <w:left w:val="single" w:sz="4" w:space="0" w:color="auto"/>
              <w:bottom w:val="single" w:sz="4" w:space="0" w:color="auto"/>
              <w:right w:val="single" w:sz="4" w:space="0" w:color="auto"/>
            </w:tcBorders>
            <w:vAlign w:val="center"/>
            <w:hideMark/>
          </w:tcPr>
          <w:p w14:paraId="35499DC9" w14:textId="77777777" w:rsidR="007E45C3" w:rsidRPr="00446FEC" w:rsidRDefault="007E45C3" w:rsidP="006B3F50">
            <w:pPr>
              <w:pStyle w:val="Tablehead"/>
            </w:pPr>
            <w:r w:rsidRPr="00446FEC">
              <w:t>Cost Standard</w:t>
            </w:r>
          </w:p>
        </w:tc>
        <w:tc>
          <w:tcPr>
            <w:tcW w:w="1985" w:type="dxa"/>
            <w:tcBorders>
              <w:top w:val="single" w:sz="4" w:space="0" w:color="auto"/>
              <w:left w:val="nil"/>
              <w:bottom w:val="single" w:sz="4" w:space="0" w:color="auto"/>
              <w:right w:val="single" w:sz="4" w:space="0" w:color="auto"/>
            </w:tcBorders>
            <w:noWrap/>
            <w:vAlign w:val="bottom"/>
            <w:hideMark/>
          </w:tcPr>
          <w:p w14:paraId="6436F485" w14:textId="77777777" w:rsidR="007E45C3" w:rsidRPr="00446FEC" w:rsidRDefault="007E45C3" w:rsidP="006B3F50">
            <w:pPr>
              <w:pStyle w:val="Tablehead"/>
            </w:pPr>
            <w:r w:rsidRPr="00446FEC">
              <w:t>Advanced wholesale services</w:t>
            </w:r>
          </w:p>
        </w:tc>
        <w:tc>
          <w:tcPr>
            <w:tcW w:w="1991" w:type="dxa"/>
            <w:tcBorders>
              <w:top w:val="single" w:sz="4" w:space="0" w:color="auto"/>
              <w:left w:val="nil"/>
              <w:bottom w:val="single" w:sz="4" w:space="0" w:color="auto"/>
              <w:right w:val="single" w:sz="4" w:space="0" w:color="auto"/>
            </w:tcBorders>
            <w:noWrap/>
            <w:vAlign w:val="bottom"/>
            <w:hideMark/>
          </w:tcPr>
          <w:p w14:paraId="2B4F7D9E" w14:textId="77777777" w:rsidR="007E45C3" w:rsidRPr="00446FEC" w:rsidRDefault="007E45C3" w:rsidP="006B3F50">
            <w:pPr>
              <w:pStyle w:val="Tablehead"/>
            </w:pPr>
            <w:r w:rsidRPr="00446FEC">
              <w:t>Traditional wholesale services</w:t>
            </w:r>
          </w:p>
        </w:tc>
        <w:tc>
          <w:tcPr>
            <w:tcW w:w="1853" w:type="dxa"/>
            <w:tcBorders>
              <w:top w:val="single" w:sz="4" w:space="0" w:color="auto"/>
              <w:left w:val="nil"/>
              <w:bottom w:val="single" w:sz="4" w:space="0" w:color="auto"/>
              <w:right w:val="single" w:sz="4" w:space="0" w:color="auto"/>
            </w:tcBorders>
            <w:noWrap/>
            <w:vAlign w:val="bottom"/>
            <w:hideMark/>
          </w:tcPr>
          <w:p w14:paraId="2392CE12" w14:textId="77777777" w:rsidR="007E45C3" w:rsidRPr="00446FEC" w:rsidRDefault="007E45C3" w:rsidP="006B3F50">
            <w:pPr>
              <w:pStyle w:val="Tablehead"/>
            </w:pPr>
            <w:r w:rsidRPr="00446FEC">
              <w:t>Advanced retail services</w:t>
            </w:r>
          </w:p>
        </w:tc>
        <w:tc>
          <w:tcPr>
            <w:tcW w:w="1967" w:type="dxa"/>
            <w:tcBorders>
              <w:top w:val="single" w:sz="4" w:space="0" w:color="auto"/>
              <w:left w:val="nil"/>
              <w:bottom w:val="single" w:sz="4" w:space="0" w:color="auto"/>
              <w:right w:val="single" w:sz="4" w:space="0" w:color="auto"/>
            </w:tcBorders>
            <w:noWrap/>
            <w:vAlign w:val="bottom"/>
            <w:hideMark/>
          </w:tcPr>
          <w:p w14:paraId="51F860CE" w14:textId="77777777" w:rsidR="007E45C3" w:rsidRPr="00446FEC" w:rsidRDefault="007E45C3" w:rsidP="006B3F50">
            <w:pPr>
              <w:pStyle w:val="Tablehead"/>
            </w:pPr>
            <w:r w:rsidRPr="00446FEC">
              <w:t>Traditional retail services</w:t>
            </w:r>
          </w:p>
        </w:tc>
      </w:tr>
      <w:tr w:rsidR="007E45C3" w:rsidRPr="00446FEC" w14:paraId="4AE2FEFA" w14:textId="77777777" w:rsidTr="00DF5ABA">
        <w:trPr>
          <w:trHeight w:val="318"/>
          <w:jc w:val="center"/>
        </w:trPr>
        <w:tc>
          <w:tcPr>
            <w:tcW w:w="1843" w:type="dxa"/>
            <w:tcBorders>
              <w:top w:val="nil"/>
              <w:left w:val="single" w:sz="4" w:space="0" w:color="auto"/>
              <w:bottom w:val="single" w:sz="4" w:space="0" w:color="auto"/>
              <w:right w:val="single" w:sz="4" w:space="0" w:color="auto"/>
            </w:tcBorders>
            <w:vAlign w:val="center"/>
            <w:hideMark/>
          </w:tcPr>
          <w:p w14:paraId="5213B854" w14:textId="77777777" w:rsidR="007E45C3" w:rsidRPr="00446FEC" w:rsidRDefault="007E45C3" w:rsidP="006B3F50">
            <w:pPr>
              <w:pStyle w:val="Tabletext"/>
            </w:pPr>
            <w:r w:rsidRPr="00446FEC">
              <w:t>Fully Distributed Costs</w:t>
            </w:r>
          </w:p>
        </w:tc>
        <w:tc>
          <w:tcPr>
            <w:tcW w:w="1985" w:type="dxa"/>
            <w:tcBorders>
              <w:top w:val="nil"/>
              <w:left w:val="nil"/>
              <w:bottom w:val="single" w:sz="4" w:space="0" w:color="auto"/>
              <w:right w:val="single" w:sz="4" w:space="0" w:color="auto"/>
            </w:tcBorders>
            <w:vAlign w:val="center"/>
            <w:hideMark/>
          </w:tcPr>
          <w:p w14:paraId="59935B3C" w14:textId="77777777" w:rsidR="007E45C3" w:rsidRPr="00446FEC" w:rsidRDefault="007E45C3" w:rsidP="006B3F50">
            <w:pPr>
              <w:pStyle w:val="Tabletext"/>
              <w:jc w:val="center"/>
            </w:pPr>
            <w:r w:rsidRPr="00446FEC">
              <w:t>4.08%</w:t>
            </w:r>
          </w:p>
        </w:tc>
        <w:tc>
          <w:tcPr>
            <w:tcW w:w="1991" w:type="dxa"/>
            <w:tcBorders>
              <w:top w:val="nil"/>
              <w:left w:val="nil"/>
              <w:bottom w:val="single" w:sz="4" w:space="0" w:color="auto"/>
              <w:right w:val="single" w:sz="4" w:space="0" w:color="auto"/>
            </w:tcBorders>
            <w:vAlign w:val="center"/>
            <w:hideMark/>
          </w:tcPr>
          <w:p w14:paraId="051FFC25" w14:textId="77777777" w:rsidR="007E45C3" w:rsidRPr="00446FEC" w:rsidRDefault="007E45C3" w:rsidP="006B3F50">
            <w:pPr>
              <w:pStyle w:val="Tabletext"/>
              <w:jc w:val="center"/>
            </w:pPr>
            <w:r w:rsidRPr="00446FEC">
              <w:t>6.63%</w:t>
            </w:r>
          </w:p>
        </w:tc>
        <w:tc>
          <w:tcPr>
            <w:tcW w:w="1853" w:type="dxa"/>
            <w:tcBorders>
              <w:top w:val="nil"/>
              <w:left w:val="nil"/>
              <w:bottom w:val="single" w:sz="4" w:space="0" w:color="auto"/>
              <w:right w:val="single" w:sz="4" w:space="0" w:color="auto"/>
            </w:tcBorders>
            <w:vAlign w:val="center"/>
            <w:hideMark/>
          </w:tcPr>
          <w:p w14:paraId="3718C7C5" w14:textId="77777777" w:rsidR="007E45C3" w:rsidRPr="00446FEC" w:rsidRDefault="007E45C3" w:rsidP="006B3F50">
            <w:pPr>
              <w:pStyle w:val="Tabletext"/>
              <w:jc w:val="center"/>
            </w:pPr>
            <w:r w:rsidRPr="00446FEC">
              <w:t>7.65%</w:t>
            </w:r>
          </w:p>
        </w:tc>
        <w:tc>
          <w:tcPr>
            <w:tcW w:w="1967" w:type="dxa"/>
            <w:tcBorders>
              <w:top w:val="nil"/>
              <w:left w:val="nil"/>
              <w:bottom w:val="single" w:sz="4" w:space="0" w:color="auto"/>
              <w:right w:val="single" w:sz="4" w:space="0" w:color="auto"/>
            </w:tcBorders>
            <w:vAlign w:val="center"/>
            <w:hideMark/>
          </w:tcPr>
          <w:p w14:paraId="4CB4B079" w14:textId="77777777" w:rsidR="007E45C3" w:rsidRPr="00446FEC" w:rsidRDefault="007E45C3" w:rsidP="006B3F50">
            <w:pPr>
              <w:pStyle w:val="Tabletext"/>
              <w:jc w:val="center"/>
            </w:pPr>
            <w:r w:rsidRPr="00446FEC">
              <w:t>9.18%</w:t>
            </w:r>
          </w:p>
        </w:tc>
      </w:tr>
      <w:tr w:rsidR="007E45C3" w:rsidRPr="00446FEC" w14:paraId="69633FFA" w14:textId="77777777" w:rsidTr="00DF5ABA">
        <w:trPr>
          <w:trHeight w:val="318"/>
          <w:jc w:val="center"/>
        </w:trPr>
        <w:tc>
          <w:tcPr>
            <w:tcW w:w="1843" w:type="dxa"/>
            <w:tcBorders>
              <w:top w:val="nil"/>
              <w:left w:val="single" w:sz="4" w:space="0" w:color="auto"/>
              <w:bottom w:val="single" w:sz="4" w:space="0" w:color="auto"/>
              <w:right w:val="single" w:sz="4" w:space="0" w:color="auto"/>
            </w:tcBorders>
            <w:vAlign w:val="center"/>
            <w:hideMark/>
          </w:tcPr>
          <w:p w14:paraId="015CA1AE" w14:textId="77777777" w:rsidR="007E45C3" w:rsidRPr="00446FEC" w:rsidRDefault="007E45C3" w:rsidP="006B3F50">
            <w:pPr>
              <w:pStyle w:val="Tabletext"/>
            </w:pPr>
            <w:r w:rsidRPr="00446FEC">
              <w:t>LRAIC</w:t>
            </w:r>
          </w:p>
        </w:tc>
        <w:tc>
          <w:tcPr>
            <w:tcW w:w="1985" w:type="dxa"/>
            <w:tcBorders>
              <w:top w:val="nil"/>
              <w:left w:val="nil"/>
              <w:bottom w:val="single" w:sz="4" w:space="0" w:color="auto"/>
              <w:right w:val="single" w:sz="4" w:space="0" w:color="auto"/>
            </w:tcBorders>
            <w:vAlign w:val="center"/>
            <w:hideMark/>
          </w:tcPr>
          <w:p w14:paraId="59B3300E" w14:textId="77777777" w:rsidR="007E45C3" w:rsidRPr="00446FEC" w:rsidRDefault="007E45C3" w:rsidP="006B3F50">
            <w:pPr>
              <w:pStyle w:val="Tabletext"/>
              <w:jc w:val="center"/>
            </w:pPr>
            <w:r w:rsidRPr="00446FEC">
              <w:t>13.80%</w:t>
            </w:r>
          </w:p>
        </w:tc>
        <w:tc>
          <w:tcPr>
            <w:tcW w:w="1991" w:type="dxa"/>
            <w:tcBorders>
              <w:top w:val="nil"/>
              <w:left w:val="nil"/>
              <w:bottom w:val="single" w:sz="4" w:space="0" w:color="auto"/>
              <w:right w:val="single" w:sz="4" w:space="0" w:color="auto"/>
            </w:tcBorders>
            <w:vAlign w:val="center"/>
            <w:hideMark/>
          </w:tcPr>
          <w:p w14:paraId="4A476A7E" w14:textId="77777777" w:rsidR="007E45C3" w:rsidRPr="00446FEC" w:rsidRDefault="007E45C3" w:rsidP="006B3F50">
            <w:pPr>
              <w:pStyle w:val="Tabletext"/>
              <w:jc w:val="center"/>
            </w:pPr>
            <w:r w:rsidRPr="00446FEC">
              <w:t>16.30%</w:t>
            </w:r>
          </w:p>
        </w:tc>
        <w:tc>
          <w:tcPr>
            <w:tcW w:w="1853" w:type="dxa"/>
            <w:tcBorders>
              <w:top w:val="nil"/>
              <w:left w:val="nil"/>
              <w:bottom w:val="single" w:sz="4" w:space="0" w:color="auto"/>
              <w:right w:val="single" w:sz="4" w:space="0" w:color="auto"/>
            </w:tcBorders>
            <w:vAlign w:val="center"/>
            <w:hideMark/>
          </w:tcPr>
          <w:p w14:paraId="30CD4E2C" w14:textId="77777777" w:rsidR="007E45C3" w:rsidRPr="00446FEC" w:rsidRDefault="007E45C3" w:rsidP="006B3F50">
            <w:pPr>
              <w:pStyle w:val="Tabletext"/>
              <w:jc w:val="center"/>
            </w:pPr>
            <w:r w:rsidRPr="00446FEC">
              <w:t>4.08%</w:t>
            </w:r>
          </w:p>
        </w:tc>
        <w:tc>
          <w:tcPr>
            <w:tcW w:w="1967" w:type="dxa"/>
            <w:tcBorders>
              <w:top w:val="nil"/>
              <w:left w:val="nil"/>
              <w:bottom w:val="single" w:sz="4" w:space="0" w:color="auto"/>
              <w:right w:val="single" w:sz="4" w:space="0" w:color="auto"/>
            </w:tcBorders>
            <w:vAlign w:val="center"/>
            <w:hideMark/>
          </w:tcPr>
          <w:p w14:paraId="4F3CC520" w14:textId="77777777" w:rsidR="007E45C3" w:rsidRPr="00446FEC" w:rsidRDefault="007E45C3" w:rsidP="006B3F50">
            <w:pPr>
              <w:pStyle w:val="Tabletext"/>
              <w:jc w:val="center"/>
            </w:pPr>
            <w:r w:rsidRPr="00446FEC">
              <w:t>5.10%</w:t>
            </w:r>
          </w:p>
        </w:tc>
      </w:tr>
      <w:tr w:rsidR="007E45C3" w:rsidRPr="00446FEC" w14:paraId="3028DE61" w14:textId="77777777" w:rsidTr="00DF5ABA">
        <w:trPr>
          <w:trHeight w:val="318"/>
          <w:jc w:val="center"/>
        </w:trPr>
        <w:tc>
          <w:tcPr>
            <w:tcW w:w="1843" w:type="dxa"/>
            <w:tcBorders>
              <w:top w:val="nil"/>
              <w:left w:val="single" w:sz="4" w:space="0" w:color="auto"/>
              <w:bottom w:val="single" w:sz="4" w:space="0" w:color="auto"/>
              <w:right w:val="single" w:sz="4" w:space="0" w:color="auto"/>
            </w:tcBorders>
            <w:vAlign w:val="center"/>
            <w:hideMark/>
          </w:tcPr>
          <w:p w14:paraId="1F9A547B" w14:textId="77777777" w:rsidR="007E45C3" w:rsidRPr="00446FEC" w:rsidRDefault="007E45C3" w:rsidP="006B3F50">
            <w:pPr>
              <w:pStyle w:val="Tabletext"/>
            </w:pPr>
            <w:r w:rsidRPr="00446FEC">
              <w:t>LRIC</w:t>
            </w:r>
          </w:p>
        </w:tc>
        <w:tc>
          <w:tcPr>
            <w:tcW w:w="1985" w:type="dxa"/>
            <w:tcBorders>
              <w:top w:val="nil"/>
              <w:left w:val="nil"/>
              <w:bottom w:val="single" w:sz="4" w:space="0" w:color="auto"/>
              <w:right w:val="single" w:sz="4" w:space="0" w:color="auto"/>
            </w:tcBorders>
            <w:vAlign w:val="center"/>
            <w:hideMark/>
          </w:tcPr>
          <w:p w14:paraId="7EA7B36B" w14:textId="77777777" w:rsidR="007E45C3" w:rsidRPr="00446FEC" w:rsidRDefault="007E45C3" w:rsidP="006B3F50">
            <w:pPr>
              <w:pStyle w:val="Tabletext"/>
              <w:jc w:val="center"/>
            </w:pPr>
            <w:r w:rsidRPr="00446FEC">
              <w:t>10.20%</w:t>
            </w:r>
          </w:p>
        </w:tc>
        <w:tc>
          <w:tcPr>
            <w:tcW w:w="1991" w:type="dxa"/>
            <w:tcBorders>
              <w:top w:val="nil"/>
              <w:left w:val="nil"/>
              <w:bottom w:val="single" w:sz="4" w:space="0" w:color="auto"/>
              <w:right w:val="single" w:sz="4" w:space="0" w:color="auto"/>
            </w:tcBorders>
            <w:vAlign w:val="center"/>
            <w:hideMark/>
          </w:tcPr>
          <w:p w14:paraId="029B0DAE" w14:textId="77777777" w:rsidR="007E45C3" w:rsidRPr="00446FEC" w:rsidRDefault="007E45C3" w:rsidP="006B3F50">
            <w:pPr>
              <w:pStyle w:val="Tabletext"/>
              <w:jc w:val="center"/>
            </w:pPr>
            <w:r w:rsidRPr="00446FEC">
              <w:t>10.20%</w:t>
            </w:r>
          </w:p>
        </w:tc>
        <w:tc>
          <w:tcPr>
            <w:tcW w:w="1853" w:type="dxa"/>
            <w:tcBorders>
              <w:top w:val="nil"/>
              <w:left w:val="nil"/>
              <w:bottom w:val="single" w:sz="4" w:space="0" w:color="auto"/>
              <w:right w:val="single" w:sz="4" w:space="0" w:color="auto"/>
            </w:tcBorders>
            <w:vAlign w:val="center"/>
            <w:hideMark/>
          </w:tcPr>
          <w:p w14:paraId="11687ECA" w14:textId="77777777" w:rsidR="007E45C3" w:rsidRPr="00446FEC" w:rsidRDefault="007E45C3" w:rsidP="006B3F50">
            <w:pPr>
              <w:pStyle w:val="Tabletext"/>
              <w:jc w:val="center"/>
            </w:pPr>
            <w:r w:rsidRPr="00446FEC">
              <w:t>1.02%</w:t>
            </w:r>
          </w:p>
        </w:tc>
        <w:tc>
          <w:tcPr>
            <w:tcW w:w="1967" w:type="dxa"/>
            <w:tcBorders>
              <w:top w:val="nil"/>
              <w:left w:val="nil"/>
              <w:bottom w:val="single" w:sz="4" w:space="0" w:color="auto"/>
              <w:right w:val="single" w:sz="4" w:space="0" w:color="auto"/>
            </w:tcBorders>
            <w:vAlign w:val="center"/>
            <w:hideMark/>
          </w:tcPr>
          <w:p w14:paraId="70D4D629" w14:textId="77777777" w:rsidR="007E45C3" w:rsidRPr="00446FEC" w:rsidRDefault="007E45C3" w:rsidP="006B3F50">
            <w:pPr>
              <w:pStyle w:val="Tabletext"/>
              <w:jc w:val="center"/>
            </w:pPr>
            <w:r w:rsidRPr="00446FEC">
              <w:t>7.14%</w:t>
            </w:r>
          </w:p>
        </w:tc>
      </w:tr>
      <w:tr w:rsidR="007E45C3" w:rsidRPr="00446FEC" w14:paraId="36373BF5" w14:textId="77777777" w:rsidTr="00DF5ABA">
        <w:trPr>
          <w:trHeight w:val="318"/>
          <w:jc w:val="center"/>
        </w:trPr>
        <w:tc>
          <w:tcPr>
            <w:tcW w:w="1843" w:type="dxa"/>
            <w:tcBorders>
              <w:top w:val="nil"/>
              <w:left w:val="single" w:sz="4" w:space="0" w:color="auto"/>
              <w:bottom w:val="single" w:sz="4" w:space="0" w:color="auto"/>
              <w:right w:val="single" w:sz="4" w:space="0" w:color="auto"/>
            </w:tcBorders>
            <w:vAlign w:val="center"/>
            <w:hideMark/>
          </w:tcPr>
          <w:p w14:paraId="2AE7EFE7" w14:textId="77777777" w:rsidR="007E45C3" w:rsidRPr="00446FEC" w:rsidRDefault="007E45C3" w:rsidP="006B3F50">
            <w:pPr>
              <w:pStyle w:val="Tabletext"/>
            </w:pPr>
            <w:r w:rsidRPr="00446FEC">
              <w:t>LRIC+</w:t>
            </w:r>
          </w:p>
        </w:tc>
        <w:tc>
          <w:tcPr>
            <w:tcW w:w="1985" w:type="dxa"/>
            <w:tcBorders>
              <w:top w:val="nil"/>
              <w:left w:val="nil"/>
              <w:bottom w:val="single" w:sz="4" w:space="0" w:color="auto"/>
              <w:right w:val="single" w:sz="4" w:space="0" w:color="auto"/>
            </w:tcBorders>
            <w:vAlign w:val="center"/>
            <w:hideMark/>
          </w:tcPr>
          <w:p w14:paraId="1EEB4165" w14:textId="77777777" w:rsidR="007E45C3" w:rsidRPr="00446FEC" w:rsidRDefault="007E45C3" w:rsidP="006B3F50">
            <w:pPr>
              <w:pStyle w:val="Tabletext"/>
              <w:jc w:val="center"/>
            </w:pPr>
            <w:r w:rsidRPr="00446FEC">
              <w:t>12.80%</w:t>
            </w:r>
          </w:p>
        </w:tc>
        <w:tc>
          <w:tcPr>
            <w:tcW w:w="1991" w:type="dxa"/>
            <w:tcBorders>
              <w:top w:val="nil"/>
              <w:left w:val="nil"/>
              <w:bottom w:val="single" w:sz="4" w:space="0" w:color="auto"/>
              <w:right w:val="single" w:sz="4" w:space="0" w:color="auto"/>
            </w:tcBorders>
            <w:vAlign w:val="center"/>
            <w:hideMark/>
          </w:tcPr>
          <w:p w14:paraId="42387650" w14:textId="77777777" w:rsidR="007E45C3" w:rsidRPr="00446FEC" w:rsidRDefault="007E45C3" w:rsidP="006B3F50">
            <w:pPr>
              <w:pStyle w:val="Tabletext"/>
              <w:jc w:val="center"/>
            </w:pPr>
            <w:r w:rsidRPr="00446FEC">
              <w:t>14.80%</w:t>
            </w:r>
          </w:p>
        </w:tc>
        <w:tc>
          <w:tcPr>
            <w:tcW w:w="1853" w:type="dxa"/>
            <w:tcBorders>
              <w:top w:val="nil"/>
              <w:left w:val="nil"/>
              <w:bottom w:val="single" w:sz="4" w:space="0" w:color="auto"/>
              <w:right w:val="single" w:sz="4" w:space="0" w:color="auto"/>
            </w:tcBorders>
            <w:vAlign w:val="center"/>
            <w:hideMark/>
          </w:tcPr>
          <w:p w14:paraId="0B1FC4DD" w14:textId="77777777" w:rsidR="007E45C3" w:rsidRPr="00446FEC" w:rsidRDefault="007E45C3" w:rsidP="006B3F50">
            <w:pPr>
              <w:pStyle w:val="Tabletext"/>
              <w:jc w:val="center"/>
            </w:pPr>
            <w:r w:rsidRPr="00446FEC">
              <w:t>4.59%</w:t>
            </w:r>
          </w:p>
        </w:tc>
        <w:tc>
          <w:tcPr>
            <w:tcW w:w="1967" w:type="dxa"/>
            <w:tcBorders>
              <w:top w:val="nil"/>
              <w:left w:val="nil"/>
              <w:bottom w:val="single" w:sz="4" w:space="0" w:color="auto"/>
              <w:right w:val="single" w:sz="4" w:space="0" w:color="auto"/>
            </w:tcBorders>
            <w:vAlign w:val="center"/>
            <w:hideMark/>
          </w:tcPr>
          <w:p w14:paraId="5CD0180B" w14:textId="77777777" w:rsidR="007E45C3" w:rsidRPr="00446FEC" w:rsidRDefault="007E45C3" w:rsidP="006B3F50">
            <w:pPr>
              <w:pStyle w:val="Tabletext"/>
              <w:jc w:val="center"/>
            </w:pPr>
            <w:r w:rsidRPr="00446FEC">
              <w:t>2.04%</w:t>
            </w:r>
          </w:p>
        </w:tc>
      </w:tr>
      <w:tr w:rsidR="007E45C3" w:rsidRPr="00446FEC" w14:paraId="49F96567" w14:textId="77777777" w:rsidTr="00DF5ABA">
        <w:trPr>
          <w:trHeight w:val="318"/>
          <w:jc w:val="center"/>
        </w:trPr>
        <w:tc>
          <w:tcPr>
            <w:tcW w:w="1843" w:type="dxa"/>
            <w:tcBorders>
              <w:top w:val="nil"/>
              <w:left w:val="single" w:sz="4" w:space="0" w:color="auto"/>
              <w:bottom w:val="single" w:sz="4" w:space="0" w:color="auto"/>
              <w:right w:val="single" w:sz="4" w:space="0" w:color="auto"/>
            </w:tcBorders>
            <w:vAlign w:val="center"/>
            <w:hideMark/>
          </w:tcPr>
          <w:p w14:paraId="0003F74E" w14:textId="77777777" w:rsidR="007E45C3" w:rsidRPr="00446FEC" w:rsidRDefault="007E45C3" w:rsidP="006B3F50">
            <w:pPr>
              <w:pStyle w:val="Tabletext"/>
            </w:pPr>
            <w:r w:rsidRPr="00446FEC">
              <w:t>Other</w:t>
            </w:r>
          </w:p>
        </w:tc>
        <w:tc>
          <w:tcPr>
            <w:tcW w:w="1985" w:type="dxa"/>
            <w:tcBorders>
              <w:top w:val="nil"/>
              <w:left w:val="nil"/>
              <w:bottom w:val="single" w:sz="4" w:space="0" w:color="auto"/>
              <w:right w:val="single" w:sz="4" w:space="0" w:color="auto"/>
            </w:tcBorders>
            <w:vAlign w:val="center"/>
            <w:hideMark/>
          </w:tcPr>
          <w:p w14:paraId="333321E3" w14:textId="77777777" w:rsidR="007E45C3" w:rsidRPr="00446FEC" w:rsidRDefault="007E45C3" w:rsidP="006B3F50">
            <w:pPr>
              <w:pStyle w:val="Tabletext"/>
              <w:jc w:val="center"/>
            </w:pPr>
            <w:r w:rsidRPr="00446FEC">
              <w:t>6.63%</w:t>
            </w:r>
          </w:p>
        </w:tc>
        <w:tc>
          <w:tcPr>
            <w:tcW w:w="1991" w:type="dxa"/>
            <w:tcBorders>
              <w:top w:val="nil"/>
              <w:left w:val="nil"/>
              <w:bottom w:val="single" w:sz="4" w:space="0" w:color="auto"/>
              <w:right w:val="single" w:sz="4" w:space="0" w:color="auto"/>
            </w:tcBorders>
            <w:vAlign w:val="center"/>
            <w:hideMark/>
          </w:tcPr>
          <w:p w14:paraId="4BA7BDEF" w14:textId="77777777" w:rsidR="007E45C3" w:rsidRPr="00446FEC" w:rsidRDefault="007E45C3" w:rsidP="006B3F50">
            <w:pPr>
              <w:pStyle w:val="Tabletext"/>
              <w:jc w:val="center"/>
            </w:pPr>
            <w:r w:rsidRPr="00446FEC">
              <w:t>7.65%</w:t>
            </w:r>
          </w:p>
        </w:tc>
        <w:tc>
          <w:tcPr>
            <w:tcW w:w="1853" w:type="dxa"/>
            <w:tcBorders>
              <w:top w:val="nil"/>
              <w:left w:val="nil"/>
              <w:bottom w:val="single" w:sz="4" w:space="0" w:color="auto"/>
              <w:right w:val="single" w:sz="4" w:space="0" w:color="auto"/>
            </w:tcBorders>
            <w:vAlign w:val="center"/>
            <w:hideMark/>
          </w:tcPr>
          <w:p w14:paraId="7D2E5186" w14:textId="77777777" w:rsidR="007E45C3" w:rsidRPr="00446FEC" w:rsidRDefault="007E45C3" w:rsidP="006B3F50">
            <w:pPr>
              <w:pStyle w:val="Tabletext"/>
              <w:jc w:val="center"/>
            </w:pPr>
            <w:r w:rsidRPr="00446FEC">
              <w:t>1.53%</w:t>
            </w:r>
          </w:p>
        </w:tc>
        <w:tc>
          <w:tcPr>
            <w:tcW w:w="1967" w:type="dxa"/>
            <w:tcBorders>
              <w:top w:val="nil"/>
              <w:left w:val="nil"/>
              <w:bottom w:val="single" w:sz="4" w:space="0" w:color="auto"/>
              <w:right w:val="single" w:sz="4" w:space="0" w:color="auto"/>
            </w:tcBorders>
            <w:vAlign w:val="center"/>
            <w:hideMark/>
          </w:tcPr>
          <w:p w14:paraId="74FA8626" w14:textId="77777777" w:rsidR="007E45C3" w:rsidRPr="00446FEC" w:rsidRDefault="007E45C3" w:rsidP="006B3F50">
            <w:pPr>
              <w:pStyle w:val="Tabletext"/>
              <w:jc w:val="center"/>
            </w:pPr>
            <w:r w:rsidRPr="00446FEC">
              <w:t>13.30%</w:t>
            </w:r>
          </w:p>
        </w:tc>
      </w:tr>
      <w:tr w:rsidR="007E45C3" w:rsidRPr="00446FEC" w14:paraId="690DF6F2" w14:textId="77777777" w:rsidTr="00DF5ABA">
        <w:trPr>
          <w:trHeight w:val="318"/>
          <w:jc w:val="center"/>
        </w:trPr>
        <w:tc>
          <w:tcPr>
            <w:tcW w:w="1843" w:type="dxa"/>
            <w:tcBorders>
              <w:top w:val="nil"/>
              <w:left w:val="single" w:sz="4" w:space="0" w:color="auto"/>
              <w:bottom w:val="single" w:sz="4" w:space="0" w:color="auto"/>
              <w:right w:val="single" w:sz="4" w:space="0" w:color="auto"/>
            </w:tcBorders>
            <w:vAlign w:val="center"/>
            <w:hideMark/>
          </w:tcPr>
          <w:p w14:paraId="7FB3F529" w14:textId="77777777" w:rsidR="007E45C3" w:rsidRPr="00446FEC" w:rsidRDefault="007E45C3" w:rsidP="006B3F50">
            <w:pPr>
              <w:pStyle w:val="Tabletext"/>
            </w:pPr>
            <w:r w:rsidRPr="00446FEC">
              <w:t>Pure LRIC</w:t>
            </w:r>
          </w:p>
        </w:tc>
        <w:tc>
          <w:tcPr>
            <w:tcW w:w="1985" w:type="dxa"/>
            <w:tcBorders>
              <w:top w:val="nil"/>
              <w:left w:val="nil"/>
              <w:bottom w:val="single" w:sz="4" w:space="0" w:color="auto"/>
              <w:right w:val="single" w:sz="4" w:space="0" w:color="auto"/>
            </w:tcBorders>
            <w:vAlign w:val="center"/>
            <w:hideMark/>
          </w:tcPr>
          <w:p w14:paraId="35D11072" w14:textId="77777777" w:rsidR="007E45C3" w:rsidRPr="00446FEC" w:rsidRDefault="007E45C3" w:rsidP="006B3F50">
            <w:pPr>
              <w:pStyle w:val="Tabletext"/>
              <w:jc w:val="center"/>
            </w:pPr>
            <w:r w:rsidRPr="00446FEC">
              <w:t>6.12%</w:t>
            </w:r>
          </w:p>
        </w:tc>
        <w:tc>
          <w:tcPr>
            <w:tcW w:w="1991" w:type="dxa"/>
            <w:tcBorders>
              <w:top w:val="nil"/>
              <w:left w:val="nil"/>
              <w:bottom w:val="single" w:sz="4" w:space="0" w:color="auto"/>
              <w:right w:val="single" w:sz="4" w:space="0" w:color="auto"/>
            </w:tcBorders>
            <w:vAlign w:val="center"/>
            <w:hideMark/>
          </w:tcPr>
          <w:p w14:paraId="3070A448" w14:textId="77777777" w:rsidR="007E45C3" w:rsidRPr="00446FEC" w:rsidRDefault="007E45C3" w:rsidP="006B3F50">
            <w:pPr>
              <w:pStyle w:val="Tabletext"/>
              <w:jc w:val="center"/>
            </w:pPr>
            <w:r w:rsidRPr="00446FEC">
              <w:t>7.14%</w:t>
            </w:r>
          </w:p>
        </w:tc>
        <w:tc>
          <w:tcPr>
            <w:tcW w:w="1853" w:type="dxa"/>
            <w:tcBorders>
              <w:top w:val="nil"/>
              <w:left w:val="nil"/>
              <w:bottom w:val="single" w:sz="4" w:space="0" w:color="auto"/>
              <w:right w:val="single" w:sz="4" w:space="0" w:color="auto"/>
            </w:tcBorders>
            <w:vAlign w:val="center"/>
            <w:hideMark/>
          </w:tcPr>
          <w:p w14:paraId="6C5B20D7" w14:textId="77777777" w:rsidR="007E45C3" w:rsidRPr="00446FEC" w:rsidRDefault="007E45C3" w:rsidP="006B3F50">
            <w:pPr>
              <w:pStyle w:val="Tabletext"/>
              <w:jc w:val="center"/>
            </w:pPr>
            <w:r w:rsidRPr="00446FEC">
              <w:t>2.04%</w:t>
            </w:r>
          </w:p>
        </w:tc>
        <w:tc>
          <w:tcPr>
            <w:tcW w:w="1967" w:type="dxa"/>
            <w:tcBorders>
              <w:top w:val="nil"/>
              <w:left w:val="nil"/>
              <w:bottom w:val="single" w:sz="4" w:space="0" w:color="auto"/>
              <w:right w:val="single" w:sz="4" w:space="0" w:color="auto"/>
            </w:tcBorders>
            <w:vAlign w:val="center"/>
            <w:hideMark/>
          </w:tcPr>
          <w:p w14:paraId="7F07CB44" w14:textId="77777777" w:rsidR="007E45C3" w:rsidRPr="00446FEC" w:rsidRDefault="007E45C3" w:rsidP="006B3F50">
            <w:pPr>
              <w:pStyle w:val="Tabletext"/>
              <w:jc w:val="center"/>
            </w:pPr>
            <w:r w:rsidRPr="00446FEC">
              <w:t>2.04%</w:t>
            </w:r>
          </w:p>
        </w:tc>
      </w:tr>
      <w:tr w:rsidR="007E45C3" w:rsidRPr="00446FEC" w14:paraId="3EA8C754" w14:textId="77777777" w:rsidTr="00DF5ABA">
        <w:trPr>
          <w:trHeight w:val="318"/>
          <w:jc w:val="center"/>
        </w:trPr>
        <w:tc>
          <w:tcPr>
            <w:tcW w:w="1843" w:type="dxa"/>
            <w:tcBorders>
              <w:top w:val="nil"/>
              <w:left w:val="single" w:sz="4" w:space="0" w:color="auto"/>
              <w:bottom w:val="single" w:sz="4" w:space="0" w:color="auto"/>
              <w:right w:val="single" w:sz="4" w:space="0" w:color="auto"/>
            </w:tcBorders>
            <w:vAlign w:val="center"/>
            <w:hideMark/>
          </w:tcPr>
          <w:p w14:paraId="57C79CDF" w14:textId="77777777" w:rsidR="007E45C3" w:rsidRPr="00446FEC" w:rsidRDefault="007E45C3" w:rsidP="006B3F50">
            <w:pPr>
              <w:pStyle w:val="Tabletext"/>
            </w:pPr>
            <w:r w:rsidRPr="00446FEC">
              <w:t>Stand Alone Costs (SAC)</w:t>
            </w:r>
          </w:p>
        </w:tc>
        <w:tc>
          <w:tcPr>
            <w:tcW w:w="1985" w:type="dxa"/>
            <w:tcBorders>
              <w:top w:val="nil"/>
              <w:left w:val="nil"/>
              <w:bottom w:val="single" w:sz="4" w:space="0" w:color="auto"/>
              <w:right w:val="single" w:sz="4" w:space="0" w:color="auto"/>
            </w:tcBorders>
            <w:vAlign w:val="center"/>
            <w:hideMark/>
          </w:tcPr>
          <w:p w14:paraId="1FD9F3A0" w14:textId="77777777" w:rsidR="007E45C3" w:rsidRPr="00446FEC" w:rsidRDefault="007E45C3" w:rsidP="006B3F50">
            <w:pPr>
              <w:pStyle w:val="Tabletext"/>
              <w:jc w:val="center"/>
            </w:pPr>
            <w:r w:rsidRPr="00446FEC">
              <w:t>2.55%</w:t>
            </w:r>
          </w:p>
        </w:tc>
        <w:tc>
          <w:tcPr>
            <w:tcW w:w="1991" w:type="dxa"/>
            <w:tcBorders>
              <w:top w:val="nil"/>
              <w:left w:val="nil"/>
              <w:bottom w:val="single" w:sz="4" w:space="0" w:color="auto"/>
              <w:right w:val="single" w:sz="4" w:space="0" w:color="auto"/>
            </w:tcBorders>
            <w:vAlign w:val="center"/>
            <w:hideMark/>
          </w:tcPr>
          <w:p w14:paraId="07640816" w14:textId="77777777" w:rsidR="007E45C3" w:rsidRPr="00446FEC" w:rsidRDefault="007E45C3" w:rsidP="006B3F50">
            <w:pPr>
              <w:pStyle w:val="Tabletext"/>
              <w:jc w:val="center"/>
            </w:pPr>
            <w:r w:rsidRPr="00446FEC">
              <w:t>2.55%</w:t>
            </w:r>
          </w:p>
        </w:tc>
        <w:tc>
          <w:tcPr>
            <w:tcW w:w="1853" w:type="dxa"/>
            <w:tcBorders>
              <w:top w:val="nil"/>
              <w:left w:val="nil"/>
              <w:bottom w:val="single" w:sz="4" w:space="0" w:color="auto"/>
              <w:right w:val="single" w:sz="4" w:space="0" w:color="auto"/>
            </w:tcBorders>
            <w:vAlign w:val="center"/>
            <w:hideMark/>
          </w:tcPr>
          <w:p w14:paraId="2396E7FF" w14:textId="77777777" w:rsidR="007E45C3" w:rsidRPr="00446FEC" w:rsidRDefault="007E45C3" w:rsidP="006B3F50">
            <w:pPr>
              <w:pStyle w:val="Tabletext"/>
              <w:jc w:val="center"/>
            </w:pPr>
            <w:r w:rsidRPr="00446FEC">
              <w:t>12.20%</w:t>
            </w:r>
          </w:p>
        </w:tc>
        <w:tc>
          <w:tcPr>
            <w:tcW w:w="1967" w:type="dxa"/>
            <w:tcBorders>
              <w:top w:val="nil"/>
              <w:left w:val="nil"/>
              <w:bottom w:val="single" w:sz="4" w:space="0" w:color="auto"/>
              <w:right w:val="single" w:sz="4" w:space="0" w:color="auto"/>
            </w:tcBorders>
            <w:vAlign w:val="center"/>
            <w:hideMark/>
          </w:tcPr>
          <w:p w14:paraId="6F4ED75C" w14:textId="77777777" w:rsidR="007E45C3" w:rsidRPr="00446FEC" w:rsidRDefault="007E45C3" w:rsidP="006B3F50">
            <w:pPr>
              <w:pStyle w:val="Tabletext"/>
              <w:jc w:val="center"/>
            </w:pPr>
            <w:r w:rsidRPr="00446FEC">
              <w:t>2.55%</w:t>
            </w:r>
          </w:p>
        </w:tc>
      </w:tr>
    </w:tbl>
    <w:p w14:paraId="7F0E733F" w14:textId="77777777" w:rsidR="007E45C3" w:rsidRPr="00446FEC" w:rsidRDefault="007E45C3" w:rsidP="006B3F50">
      <w:r w:rsidRPr="00446FEC">
        <w:t>Table B.2 details the cost methodology used for calculating mobile service tariffs.</w:t>
      </w:r>
    </w:p>
    <w:tbl>
      <w:tblPr>
        <w:tblW w:w="9639" w:type="dxa"/>
        <w:jc w:val="center"/>
        <w:tblLook w:val="04A0" w:firstRow="1" w:lastRow="0" w:firstColumn="1" w:lastColumn="0" w:noHBand="0" w:noVBand="1"/>
      </w:tblPr>
      <w:tblGrid>
        <w:gridCol w:w="1753"/>
        <w:gridCol w:w="2066"/>
        <w:gridCol w:w="2174"/>
        <w:gridCol w:w="1769"/>
        <w:gridCol w:w="1877"/>
      </w:tblGrid>
      <w:tr w:rsidR="007E45C3" w:rsidRPr="00446FEC" w14:paraId="009023DE" w14:textId="77777777" w:rsidTr="006B3F50">
        <w:trPr>
          <w:trHeight w:val="269"/>
          <w:jc w:val="center"/>
        </w:trPr>
        <w:tc>
          <w:tcPr>
            <w:tcW w:w="9696" w:type="dxa"/>
            <w:gridSpan w:val="5"/>
            <w:tcBorders>
              <w:bottom w:val="single" w:sz="4" w:space="0" w:color="auto"/>
            </w:tcBorders>
            <w:vAlign w:val="center"/>
          </w:tcPr>
          <w:p w14:paraId="68683397" w14:textId="6E5E3CE0" w:rsidR="007E45C3" w:rsidRPr="00446FEC" w:rsidRDefault="007E45C3" w:rsidP="006B3F50">
            <w:pPr>
              <w:pStyle w:val="TableNoTitle0"/>
            </w:pPr>
            <w:r w:rsidRPr="00446FEC">
              <w:rPr>
                <w:color w:val="000000"/>
              </w:rPr>
              <w:t xml:space="preserve">Table B.2 </w:t>
            </w:r>
            <w:r w:rsidRPr="00446FEC">
              <w:rPr>
                <w:color w:val="000000"/>
              </w:rPr>
              <w:sym w:font="Symbol" w:char="F02D"/>
            </w:r>
            <w:r w:rsidRPr="00446FEC">
              <w:rPr>
                <w:color w:val="000000"/>
              </w:rPr>
              <w:t xml:space="preserve"> </w:t>
            </w:r>
            <w:r w:rsidRPr="00446FEC">
              <w:t>Cost methodology used for calculating mobile service tariffs</w:t>
            </w:r>
          </w:p>
        </w:tc>
      </w:tr>
      <w:tr w:rsidR="007E45C3" w:rsidRPr="00446FEC" w14:paraId="34D8BAFC" w14:textId="77777777" w:rsidTr="006B3F50">
        <w:trPr>
          <w:trHeight w:val="269"/>
          <w:jc w:val="center"/>
        </w:trPr>
        <w:tc>
          <w:tcPr>
            <w:tcW w:w="1810" w:type="dxa"/>
            <w:tcBorders>
              <w:top w:val="single" w:sz="4" w:space="0" w:color="auto"/>
              <w:left w:val="single" w:sz="4" w:space="0" w:color="auto"/>
              <w:bottom w:val="single" w:sz="4" w:space="0" w:color="auto"/>
              <w:right w:val="single" w:sz="4" w:space="0" w:color="auto"/>
            </w:tcBorders>
            <w:vAlign w:val="center"/>
            <w:hideMark/>
          </w:tcPr>
          <w:p w14:paraId="34BCA05D" w14:textId="77777777" w:rsidR="007E45C3" w:rsidRPr="00446FEC" w:rsidRDefault="007E45C3" w:rsidP="006B3F50">
            <w:pPr>
              <w:pStyle w:val="Tablehead"/>
            </w:pPr>
            <w:r w:rsidRPr="00446FEC">
              <w:t>Cost Standard</w:t>
            </w:r>
          </w:p>
        </w:tc>
        <w:tc>
          <w:tcPr>
            <w:tcW w:w="2066" w:type="dxa"/>
            <w:tcBorders>
              <w:top w:val="single" w:sz="4" w:space="0" w:color="auto"/>
              <w:left w:val="nil"/>
              <w:bottom w:val="single" w:sz="4" w:space="0" w:color="auto"/>
              <w:right w:val="single" w:sz="4" w:space="0" w:color="auto"/>
            </w:tcBorders>
            <w:noWrap/>
            <w:vAlign w:val="bottom"/>
            <w:hideMark/>
          </w:tcPr>
          <w:p w14:paraId="4360E9C6" w14:textId="77777777" w:rsidR="007E45C3" w:rsidRPr="00446FEC" w:rsidRDefault="007E45C3" w:rsidP="006B3F50">
            <w:pPr>
              <w:pStyle w:val="Tablehead"/>
            </w:pPr>
            <w:r w:rsidRPr="00446FEC">
              <w:t>Advanced wholesale services</w:t>
            </w:r>
          </w:p>
        </w:tc>
        <w:tc>
          <w:tcPr>
            <w:tcW w:w="2174" w:type="dxa"/>
            <w:tcBorders>
              <w:top w:val="single" w:sz="4" w:space="0" w:color="auto"/>
              <w:left w:val="nil"/>
              <w:bottom w:val="single" w:sz="4" w:space="0" w:color="auto"/>
              <w:right w:val="single" w:sz="4" w:space="0" w:color="auto"/>
            </w:tcBorders>
            <w:noWrap/>
            <w:vAlign w:val="center"/>
            <w:hideMark/>
          </w:tcPr>
          <w:p w14:paraId="77F53C09" w14:textId="77777777" w:rsidR="007E45C3" w:rsidRPr="00446FEC" w:rsidRDefault="007E45C3" w:rsidP="006B3F50">
            <w:pPr>
              <w:pStyle w:val="Tablehead"/>
            </w:pPr>
            <w:r w:rsidRPr="00446FEC">
              <w:t>Traditional wholesale services</w:t>
            </w:r>
          </w:p>
        </w:tc>
        <w:tc>
          <w:tcPr>
            <w:tcW w:w="1769" w:type="dxa"/>
            <w:tcBorders>
              <w:top w:val="single" w:sz="4" w:space="0" w:color="auto"/>
              <w:left w:val="nil"/>
              <w:bottom w:val="single" w:sz="4" w:space="0" w:color="auto"/>
              <w:right w:val="single" w:sz="4" w:space="0" w:color="auto"/>
            </w:tcBorders>
            <w:noWrap/>
            <w:vAlign w:val="bottom"/>
            <w:hideMark/>
          </w:tcPr>
          <w:p w14:paraId="160D2B65" w14:textId="77777777" w:rsidR="007E45C3" w:rsidRPr="00446FEC" w:rsidRDefault="007E45C3" w:rsidP="006B3F50">
            <w:pPr>
              <w:pStyle w:val="Tablehead"/>
            </w:pPr>
            <w:r w:rsidRPr="00446FEC">
              <w:t>Advanced retail services</w:t>
            </w:r>
          </w:p>
        </w:tc>
        <w:tc>
          <w:tcPr>
            <w:tcW w:w="1877" w:type="dxa"/>
            <w:tcBorders>
              <w:top w:val="single" w:sz="4" w:space="0" w:color="auto"/>
              <w:left w:val="nil"/>
              <w:bottom w:val="single" w:sz="4" w:space="0" w:color="auto"/>
              <w:right w:val="single" w:sz="4" w:space="0" w:color="auto"/>
            </w:tcBorders>
            <w:noWrap/>
            <w:vAlign w:val="bottom"/>
            <w:hideMark/>
          </w:tcPr>
          <w:p w14:paraId="12467A91" w14:textId="77777777" w:rsidR="007E45C3" w:rsidRPr="00446FEC" w:rsidRDefault="007E45C3" w:rsidP="006B3F50">
            <w:pPr>
              <w:pStyle w:val="Tablehead"/>
            </w:pPr>
            <w:r w:rsidRPr="00446FEC">
              <w:t>Traditional retail services</w:t>
            </w:r>
          </w:p>
        </w:tc>
      </w:tr>
      <w:tr w:rsidR="007E45C3" w:rsidRPr="00446FEC" w14:paraId="2CC8B179" w14:textId="77777777" w:rsidTr="006B3F50">
        <w:trPr>
          <w:trHeight w:val="269"/>
          <w:jc w:val="center"/>
        </w:trPr>
        <w:tc>
          <w:tcPr>
            <w:tcW w:w="1810" w:type="dxa"/>
            <w:tcBorders>
              <w:top w:val="nil"/>
              <w:left w:val="single" w:sz="4" w:space="0" w:color="auto"/>
              <w:bottom w:val="single" w:sz="4" w:space="0" w:color="auto"/>
              <w:right w:val="single" w:sz="4" w:space="0" w:color="auto"/>
            </w:tcBorders>
            <w:vAlign w:val="center"/>
            <w:hideMark/>
          </w:tcPr>
          <w:p w14:paraId="798A12C3" w14:textId="77777777" w:rsidR="007E45C3" w:rsidRPr="00446FEC" w:rsidRDefault="007E45C3" w:rsidP="006B3F50">
            <w:pPr>
              <w:pStyle w:val="Tabletext"/>
            </w:pPr>
            <w:r w:rsidRPr="00446FEC">
              <w:t>Fully Distributed Costs</w:t>
            </w:r>
          </w:p>
        </w:tc>
        <w:tc>
          <w:tcPr>
            <w:tcW w:w="2066" w:type="dxa"/>
            <w:tcBorders>
              <w:top w:val="nil"/>
              <w:left w:val="nil"/>
              <w:bottom w:val="single" w:sz="4" w:space="0" w:color="auto"/>
              <w:right w:val="single" w:sz="4" w:space="0" w:color="auto"/>
            </w:tcBorders>
            <w:vAlign w:val="center"/>
            <w:hideMark/>
          </w:tcPr>
          <w:p w14:paraId="40FEAC0A" w14:textId="77777777" w:rsidR="007E45C3" w:rsidRPr="00446FEC" w:rsidRDefault="007E45C3" w:rsidP="006B3F50">
            <w:pPr>
              <w:pStyle w:val="Tabletext"/>
              <w:jc w:val="center"/>
            </w:pPr>
            <w:r w:rsidRPr="00446FEC">
              <w:t>7.65%</w:t>
            </w:r>
          </w:p>
        </w:tc>
        <w:tc>
          <w:tcPr>
            <w:tcW w:w="2174" w:type="dxa"/>
            <w:tcBorders>
              <w:top w:val="nil"/>
              <w:left w:val="nil"/>
              <w:bottom w:val="single" w:sz="4" w:space="0" w:color="auto"/>
              <w:right w:val="single" w:sz="4" w:space="0" w:color="auto"/>
            </w:tcBorders>
            <w:vAlign w:val="center"/>
            <w:hideMark/>
          </w:tcPr>
          <w:p w14:paraId="051AD660" w14:textId="77777777" w:rsidR="007E45C3" w:rsidRPr="00446FEC" w:rsidRDefault="007E45C3" w:rsidP="006B3F50">
            <w:pPr>
              <w:pStyle w:val="Tabletext"/>
              <w:jc w:val="center"/>
            </w:pPr>
            <w:r w:rsidRPr="00446FEC">
              <w:t>7.65%</w:t>
            </w:r>
          </w:p>
        </w:tc>
        <w:tc>
          <w:tcPr>
            <w:tcW w:w="1769" w:type="dxa"/>
            <w:tcBorders>
              <w:top w:val="nil"/>
              <w:left w:val="nil"/>
              <w:bottom w:val="single" w:sz="4" w:space="0" w:color="auto"/>
              <w:right w:val="single" w:sz="4" w:space="0" w:color="auto"/>
            </w:tcBorders>
            <w:vAlign w:val="center"/>
            <w:hideMark/>
          </w:tcPr>
          <w:p w14:paraId="719ED313" w14:textId="77777777" w:rsidR="007E45C3" w:rsidRPr="00446FEC" w:rsidRDefault="007E45C3" w:rsidP="006B3F50">
            <w:pPr>
              <w:pStyle w:val="Tabletext"/>
              <w:jc w:val="center"/>
            </w:pPr>
            <w:r w:rsidRPr="00446FEC">
              <w:t>8.16%</w:t>
            </w:r>
          </w:p>
        </w:tc>
        <w:tc>
          <w:tcPr>
            <w:tcW w:w="1877" w:type="dxa"/>
            <w:tcBorders>
              <w:top w:val="nil"/>
              <w:left w:val="nil"/>
              <w:bottom w:val="single" w:sz="4" w:space="0" w:color="auto"/>
              <w:right w:val="single" w:sz="4" w:space="0" w:color="auto"/>
            </w:tcBorders>
            <w:vAlign w:val="center"/>
            <w:hideMark/>
          </w:tcPr>
          <w:p w14:paraId="75147490" w14:textId="77777777" w:rsidR="007E45C3" w:rsidRPr="00446FEC" w:rsidRDefault="007E45C3" w:rsidP="006B3F50">
            <w:pPr>
              <w:pStyle w:val="Tabletext"/>
              <w:jc w:val="center"/>
            </w:pPr>
            <w:r w:rsidRPr="00446FEC">
              <w:t>9.18%</w:t>
            </w:r>
          </w:p>
        </w:tc>
      </w:tr>
      <w:tr w:rsidR="007E45C3" w:rsidRPr="00446FEC" w14:paraId="32FA826B" w14:textId="77777777" w:rsidTr="006B3F50">
        <w:trPr>
          <w:trHeight w:val="269"/>
          <w:jc w:val="center"/>
        </w:trPr>
        <w:tc>
          <w:tcPr>
            <w:tcW w:w="1810" w:type="dxa"/>
            <w:tcBorders>
              <w:top w:val="nil"/>
              <w:left w:val="single" w:sz="4" w:space="0" w:color="auto"/>
              <w:bottom w:val="single" w:sz="4" w:space="0" w:color="auto"/>
              <w:right w:val="single" w:sz="4" w:space="0" w:color="auto"/>
            </w:tcBorders>
            <w:vAlign w:val="center"/>
            <w:hideMark/>
          </w:tcPr>
          <w:p w14:paraId="2A4D3DDC" w14:textId="77777777" w:rsidR="007E45C3" w:rsidRPr="00446FEC" w:rsidRDefault="007E45C3" w:rsidP="006B3F50">
            <w:pPr>
              <w:pStyle w:val="Tabletext"/>
            </w:pPr>
            <w:r w:rsidRPr="00446FEC">
              <w:t>LRAIC</w:t>
            </w:r>
          </w:p>
        </w:tc>
        <w:tc>
          <w:tcPr>
            <w:tcW w:w="2066" w:type="dxa"/>
            <w:tcBorders>
              <w:top w:val="nil"/>
              <w:left w:val="nil"/>
              <w:bottom w:val="single" w:sz="4" w:space="0" w:color="auto"/>
              <w:right w:val="single" w:sz="4" w:space="0" w:color="auto"/>
            </w:tcBorders>
            <w:vAlign w:val="center"/>
            <w:hideMark/>
          </w:tcPr>
          <w:p w14:paraId="704ADEA9" w14:textId="77777777" w:rsidR="007E45C3" w:rsidRPr="00446FEC" w:rsidRDefault="007E45C3" w:rsidP="006B3F50">
            <w:pPr>
              <w:pStyle w:val="Tabletext"/>
              <w:jc w:val="center"/>
            </w:pPr>
            <w:r w:rsidRPr="00446FEC">
              <w:t>11.70%</w:t>
            </w:r>
          </w:p>
        </w:tc>
        <w:tc>
          <w:tcPr>
            <w:tcW w:w="2174" w:type="dxa"/>
            <w:tcBorders>
              <w:top w:val="nil"/>
              <w:left w:val="nil"/>
              <w:bottom w:val="single" w:sz="4" w:space="0" w:color="auto"/>
              <w:right w:val="single" w:sz="4" w:space="0" w:color="auto"/>
            </w:tcBorders>
            <w:vAlign w:val="center"/>
            <w:hideMark/>
          </w:tcPr>
          <w:p w14:paraId="034CED03" w14:textId="77777777" w:rsidR="007E45C3" w:rsidRPr="00446FEC" w:rsidRDefault="007E45C3" w:rsidP="006B3F50">
            <w:pPr>
              <w:pStyle w:val="Tabletext"/>
              <w:jc w:val="center"/>
            </w:pPr>
            <w:r w:rsidRPr="00446FEC">
              <w:t>5.61%</w:t>
            </w:r>
          </w:p>
        </w:tc>
        <w:tc>
          <w:tcPr>
            <w:tcW w:w="1769" w:type="dxa"/>
            <w:tcBorders>
              <w:top w:val="nil"/>
              <w:left w:val="nil"/>
              <w:bottom w:val="single" w:sz="4" w:space="0" w:color="auto"/>
              <w:right w:val="single" w:sz="4" w:space="0" w:color="auto"/>
            </w:tcBorders>
            <w:vAlign w:val="center"/>
            <w:hideMark/>
          </w:tcPr>
          <w:p w14:paraId="392D4A0E" w14:textId="77777777" w:rsidR="007E45C3" w:rsidRPr="00446FEC" w:rsidRDefault="007E45C3" w:rsidP="006B3F50">
            <w:pPr>
              <w:pStyle w:val="Tabletext"/>
              <w:jc w:val="center"/>
            </w:pPr>
            <w:r w:rsidRPr="00446FEC">
              <w:t>0.51%</w:t>
            </w:r>
          </w:p>
        </w:tc>
        <w:tc>
          <w:tcPr>
            <w:tcW w:w="1877" w:type="dxa"/>
            <w:tcBorders>
              <w:top w:val="nil"/>
              <w:left w:val="nil"/>
              <w:bottom w:val="single" w:sz="4" w:space="0" w:color="auto"/>
              <w:right w:val="single" w:sz="4" w:space="0" w:color="auto"/>
            </w:tcBorders>
            <w:vAlign w:val="center"/>
            <w:hideMark/>
          </w:tcPr>
          <w:p w14:paraId="197EDD3F" w14:textId="77777777" w:rsidR="007E45C3" w:rsidRPr="00446FEC" w:rsidRDefault="007E45C3" w:rsidP="006B3F50">
            <w:pPr>
              <w:pStyle w:val="Tabletext"/>
              <w:jc w:val="center"/>
            </w:pPr>
            <w:r w:rsidRPr="00446FEC">
              <w:t>1.02%</w:t>
            </w:r>
          </w:p>
        </w:tc>
      </w:tr>
      <w:tr w:rsidR="007E45C3" w:rsidRPr="00446FEC" w14:paraId="263B31BB" w14:textId="77777777" w:rsidTr="006B3F50">
        <w:trPr>
          <w:trHeight w:val="269"/>
          <w:jc w:val="center"/>
        </w:trPr>
        <w:tc>
          <w:tcPr>
            <w:tcW w:w="1810" w:type="dxa"/>
            <w:tcBorders>
              <w:top w:val="nil"/>
              <w:left w:val="single" w:sz="4" w:space="0" w:color="auto"/>
              <w:bottom w:val="single" w:sz="4" w:space="0" w:color="auto"/>
              <w:right w:val="single" w:sz="4" w:space="0" w:color="auto"/>
            </w:tcBorders>
            <w:vAlign w:val="center"/>
            <w:hideMark/>
          </w:tcPr>
          <w:p w14:paraId="4F6A161E" w14:textId="77777777" w:rsidR="007E45C3" w:rsidRPr="00446FEC" w:rsidRDefault="007E45C3" w:rsidP="006B3F50">
            <w:pPr>
              <w:pStyle w:val="Tabletext"/>
            </w:pPr>
            <w:r w:rsidRPr="00446FEC">
              <w:t>LRIC</w:t>
            </w:r>
          </w:p>
        </w:tc>
        <w:tc>
          <w:tcPr>
            <w:tcW w:w="2066" w:type="dxa"/>
            <w:tcBorders>
              <w:top w:val="nil"/>
              <w:left w:val="nil"/>
              <w:bottom w:val="single" w:sz="4" w:space="0" w:color="auto"/>
              <w:right w:val="single" w:sz="4" w:space="0" w:color="auto"/>
            </w:tcBorders>
            <w:vAlign w:val="center"/>
            <w:hideMark/>
          </w:tcPr>
          <w:p w14:paraId="33DF4F2C" w14:textId="77777777" w:rsidR="007E45C3" w:rsidRPr="00446FEC" w:rsidRDefault="007E45C3" w:rsidP="006B3F50">
            <w:pPr>
              <w:pStyle w:val="Tabletext"/>
              <w:jc w:val="center"/>
            </w:pPr>
            <w:r w:rsidRPr="00446FEC">
              <w:t>2.04%</w:t>
            </w:r>
          </w:p>
        </w:tc>
        <w:tc>
          <w:tcPr>
            <w:tcW w:w="2174" w:type="dxa"/>
            <w:tcBorders>
              <w:top w:val="nil"/>
              <w:left w:val="nil"/>
              <w:bottom w:val="single" w:sz="4" w:space="0" w:color="auto"/>
              <w:right w:val="single" w:sz="4" w:space="0" w:color="auto"/>
            </w:tcBorders>
            <w:vAlign w:val="center"/>
            <w:hideMark/>
          </w:tcPr>
          <w:p w14:paraId="18ED0F66" w14:textId="77777777" w:rsidR="007E45C3" w:rsidRPr="00446FEC" w:rsidRDefault="007E45C3" w:rsidP="006B3F50">
            <w:pPr>
              <w:pStyle w:val="Tabletext"/>
              <w:jc w:val="center"/>
            </w:pPr>
            <w:r w:rsidRPr="00446FEC">
              <w:t>7.14%</w:t>
            </w:r>
          </w:p>
        </w:tc>
        <w:tc>
          <w:tcPr>
            <w:tcW w:w="1769" w:type="dxa"/>
            <w:tcBorders>
              <w:top w:val="nil"/>
              <w:left w:val="nil"/>
              <w:bottom w:val="single" w:sz="4" w:space="0" w:color="auto"/>
              <w:right w:val="single" w:sz="4" w:space="0" w:color="auto"/>
            </w:tcBorders>
            <w:vAlign w:val="center"/>
            <w:hideMark/>
          </w:tcPr>
          <w:p w14:paraId="5974694F" w14:textId="77777777" w:rsidR="007E45C3" w:rsidRPr="00446FEC" w:rsidRDefault="007E45C3" w:rsidP="006B3F50">
            <w:pPr>
              <w:pStyle w:val="Tabletext"/>
              <w:jc w:val="center"/>
            </w:pPr>
            <w:r w:rsidRPr="00446FEC">
              <w:t>3.57%</w:t>
            </w:r>
          </w:p>
        </w:tc>
        <w:tc>
          <w:tcPr>
            <w:tcW w:w="1877" w:type="dxa"/>
            <w:tcBorders>
              <w:top w:val="nil"/>
              <w:left w:val="nil"/>
              <w:bottom w:val="single" w:sz="4" w:space="0" w:color="auto"/>
              <w:right w:val="single" w:sz="4" w:space="0" w:color="auto"/>
            </w:tcBorders>
            <w:vAlign w:val="center"/>
            <w:hideMark/>
          </w:tcPr>
          <w:p w14:paraId="61F8F0CF" w14:textId="77777777" w:rsidR="007E45C3" w:rsidRPr="00446FEC" w:rsidRDefault="007E45C3" w:rsidP="006B3F50">
            <w:pPr>
              <w:pStyle w:val="Tabletext"/>
              <w:jc w:val="center"/>
            </w:pPr>
            <w:r w:rsidRPr="00446FEC">
              <w:t>4.08%</w:t>
            </w:r>
          </w:p>
        </w:tc>
      </w:tr>
      <w:tr w:rsidR="007E45C3" w:rsidRPr="00446FEC" w14:paraId="468927D0" w14:textId="77777777" w:rsidTr="006B3F50">
        <w:trPr>
          <w:trHeight w:val="269"/>
          <w:jc w:val="center"/>
        </w:trPr>
        <w:tc>
          <w:tcPr>
            <w:tcW w:w="1810" w:type="dxa"/>
            <w:tcBorders>
              <w:top w:val="nil"/>
              <w:left w:val="single" w:sz="4" w:space="0" w:color="auto"/>
              <w:bottom w:val="single" w:sz="4" w:space="0" w:color="auto"/>
              <w:right w:val="single" w:sz="4" w:space="0" w:color="auto"/>
            </w:tcBorders>
            <w:vAlign w:val="center"/>
            <w:hideMark/>
          </w:tcPr>
          <w:p w14:paraId="47EFA86D" w14:textId="77777777" w:rsidR="007E45C3" w:rsidRPr="00446FEC" w:rsidRDefault="007E45C3" w:rsidP="006B3F50">
            <w:pPr>
              <w:pStyle w:val="Tabletext"/>
            </w:pPr>
            <w:r w:rsidRPr="00446FEC">
              <w:t>LRIC+</w:t>
            </w:r>
          </w:p>
        </w:tc>
        <w:tc>
          <w:tcPr>
            <w:tcW w:w="2066" w:type="dxa"/>
            <w:tcBorders>
              <w:top w:val="nil"/>
              <w:left w:val="nil"/>
              <w:bottom w:val="single" w:sz="4" w:space="0" w:color="auto"/>
              <w:right w:val="single" w:sz="4" w:space="0" w:color="auto"/>
            </w:tcBorders>
            <w:vAlign w:val="center"/>
            <w:hideMark/>
          </w:tcPr>
          <w:p w14:paraId="501D411A" w14:textId="77777777" w:rsidR="007E45C3" w:rsidRPr="00446FEC" w:rsidRDefault="007E45C3" w:rsidP="006B3F50">
            <w:pPr>
              <w:pStyle w:val="Tabletext"/>
              <w:jc w:val="center"/>
            </w:pPr>
            <w:r w:rsidRPr="00446FEC">
              <w:t>6.12%</w:t>
            </w:r>
          </w:p>
        </w:tc>
        <w:tc>
          <w:tcPr>
            <w:tcW w:w="2174" w:type="dxa"/>
            <w:tcBorders>
              <w:top w:val="nil"/>
              <w:left w:val="nil"/>
              <w:bottom w:val="single" w:sz="4" w:space="0" w:color="auto"/>
              <w:right w:val="single" w:sz="4" w:space="0" w:color="auto"/>
            </w:tcBorders>
            <w:vAlign w:val="center"/>
            <w:hideMark/>
          </w:tcPr>
          <w:p w14:paraId="0D5764AE" w14:textId="77777777" w:rsidR="007E45C3" w:rsidRPr="00446FEC" w:rsidRDefault="007E45C3" w:rsidP="006B3F50">
            <w:pPr>
              <w:pStyle w:val="Tabletext"/>
              <w:jc w:val="center"/>
            </w:pPr>
            <w:r w:rsidRPr="00446FEC">
              <w:t>13.30%</w:t>
            </w:r>
          </w:p>
        </w:tc>
        <w:tc>
          <w:tcPr>
            <w:tcW w:w="1769" w:type="dxa"/>
            <w:tcBorders>
              <w:top w:val="nil"/>
              <w:left w:val="nil"/>
              <w:bottom w:val="single" w:sz="4" w:space="0" w:color="auto"/>
              <w:right w:val="single" w:sz="4" w:space="0" w:color="auto"/>
            </w:tcBorders>
            <w:vAlign w:val="center"/>
            <w:hideMark/>
          </w:tcPr>
          <w:p w14:paraId="6CBE1FB4" w14:textId="77777777" w:rsidR="007E45C3" w:rsidRPr="00446FEC" w:rsidRDefault="007E45C3" w:rsidP="006B3F50">
            <w:pPr>
              <w:pStyle w:val="Tabletext"/>
              <w:jc w:val="center"/>
            </w:pPr>
            <w:r w:rsidRPr="00446FEC">
              <w:t>7.14%</w:t>
            </w:r>
          </w:p>
        </w:tc>
        <w:tc>
          <w:tcPr>
            <w:tcW w:w="1877" w:type="dxa"/>
            <w:tcBorders>
              <w:top w:val="nil"/>
              <w:left w:val="nil"/>
              <w:bottom w:val="single" w:sz="4" w:space="0" w:color="auto"/>
              <w:right w:val="single" w:sz="4" w:space="0" w:color="auto"/>
            </w:tcBorders>
            <w:vAlign w:val="center"/>
            <w:hideMark/>
          </w:tcPr>
          <w:p w14:paraId="54D33AF2" w14:textId="77777777" w:rsidR="007E45C3" w:rsidRPr="00446FEC" w:rsidRDefault="007E45C3" w:rsidP="006B3F50">
            <w:pPr>
              <w:pStyle w:val="Tabletext"/>
              <w:jc w:val="center"/>
            </w:pPr>
            <w:r w:rsidRPr="00446FEC">
              <w:t>8.16%</w:t>
            </w:r>
          </w:p>
        </w:tc>
      </w:tr>
      <w:tr w:rsidR="007E45C3" w:rsidRPr="00446FEC" w14:paraId="2AB5D198" w14:textId="77777777" w:rsidTr="006B3F50">
        <w:trPr>
          <w:trHeight w:val="269"/>
          <w:jc w:val="center"/>
        </w:trPr>
        <w:tc>
          <w:tcPr>
            <w:tcW w:w="1810" w:type="dxa"/>
            <w:tcBorders>
              <w:top w:val="nil"/>
              <w:left w:val="single" w:sz="4" w:space="0" w:color="auto"/>
              <w:bottom w:val="single" w:sz="4" w:space="0" w:color="auto"/>
              <w:right w:val="single" w:sz="4" w:space="0" w:color="auto"/>
            </w:tcBorders>
            <w:vAlign w:val="center"/>
            <w:hideMark/>
          </w:tcPr>
          <w:p w14:paraId="16C91E7F" w14:textId="77777777" w:rsidR="007E45C3" w:rsidRPr="00446FEC" w:rsidRDefault="007E45C3" w:rsidP="006B3F50">
            <w:pPr>
              <w:pStyle w:val="Tabletext"/>
            </w:pPr>
            <w:r w:rsidRPr="00446FEC">
              <w:t>Other</w:t>
            </w:r>
          </w:p>
        </w:tc>
        <w:tc>
          <w:tcPr>
            <w:tcW w:w="2066" w:type="dxa"/>
            <w:tcBorders>
              <w:top w:val="nil"/>
              <w:left w:val="nil"/>
              <w:bottom w:val="single" w:sz="4" w:space="0" w:color="auto"/>
              <w:right w:val="single" w:sz="4" w:space="0" w:color="auto"/>
            </w:tcBorders>
            <w:vAlign w:val="center"/>
            <w:hideMark/>
          </w:tcPr>
          <w:p w14:paraId="3CA3B000" w14:textId="77777777" w:rsidR="007E45C3" w:rsidRPr="00446FEC" w:rsidRDefault="007E45C3" w:rsidP="006B3F50">
            <w:pPr>
              <w:pStyle w:val="Tabletext"/>
              <w:jc w:val="center"/>
            </w:pPr>
            <w:r w:rsidRPr="00446FEC">
              <w:t>8.67%</w:t>
            </w:r>
          </w:p>
        </w:tc>
        <w:tc>
          <w:tcPr>
            <w:tcW w:w="2174" w:type="dxa"/>
            <w:tcBorders>
              <w:top w:val="nil"/>
              <w:left w:val="nil"/>
              <w:bottom w:val="single" w:sz="4" w:space="0" w:color="auto"/>
              <w:right w:val="single" w:sz="4" w:space="0" w:color="auto"/>
            </w:tcBorders>
            <w:vAlign w:val="center"/>
            <w:hideMark/>
          </w:tcPr>
          <w:p w14:paraId="6EA3BCE0" w14:textId="77777777" w:rsidR="007E45C3" w:rsidRPr="00446FEC" w:rsidRDefault="007E45C3" w:rsidP="006B3F50">
            <w:pPr>
              <w:pStyle w:val="Tabletext"/>
              <w:jc w:val="center"/>
            </w:pPr>
            <w:r w:rsidRPr="00446FEC">
              <w:t>11.70%</w:t>
            </w:r>
          </w:p>
        </w:tc>
        <w:tc>
          <w:tcPr>
            <w:tcW w:w="1769" w:type="dxa"/>
            <w:tcBorders>
              <w:top w:val="nil"/>
              <w:left w:val="nil"/>
              <w:bottom w:val="single" w:sz="4" w:space="0" w:color="auto"/>
              <w:right w:val="single" w:sz="4" w:space="0" w:color="auto"/>
            </w:tcBorders>
            <w:vAlign w:val="center"/>
            <w:hideMark/>
          </w:tcPr>
          <w:p w14:paraId="1A91C527" w14:textId="77777777" w:rsidR="007E45C3" w:rsidRPr="00446FEC" w:rsidRDefault="007E45C3" w:rsidP="006B3F50">
            <w:pPr>
              <w:pStyle w:val="Tabletext"/>
              <w:jc w:val="center"/>
            </w:pPr>
            <w:r w:rsidRPr="00446FEC">
              <w:t>8.16%</w:t>
            </w:r>
          </w:p>
        </w:tc>
        <w:tc>
          <w:tcPr>
            <w:tcW w:w="1877" w:type="dxa"/>
            <w:tcBorders>
              <w:top w:val="nil"/>
              <w:left w:val="nil"/>
              <w:bottom w:val="single" w:sz="4" w:space="0" w:color="auto"/>
              <w:right w:val="single" w:sz="4" w:space="0" w:color="auto"/>
            </w:tcBorders>
            <w:vAlign w:val="center"/>
            <w:hideMark/>
          </w:tcPr>
          <w:p w14:paraId="654532AC" w14:textId="77777777" w:rsidR="007E45C3" w:rsidRPr="00446FEC" w:rsidRDefault="007E45C3" w:rsidP="006B3F50">
            <w:pPr>
              <w:pStyle w:val="Tabletext"/>
              <w:jc w:val="center"/>
            </w:pPr>
            <w:r w:rsidRPr="00446FEC">
              <w:t>9.18%</w:t>
            </w:r>
          </w:p>
        </w:tc>
      </w:tr>
      <w:tr w:rsidR="007E45C3" w:rsidRPr="00446FEC" w14:paraId="5E397339" w14:textId="77777777" w:rsidTr="006B3F50">
        <w:trPr>
          <w:trHeight w:val="269"/>
          <w:jc w:val="center"/>
        </w:trPr>
        <w:tc>
          <w:tcPr>
            <w:tcW w:w="1810" w:type="dxa"/>
            <w:tcBorders>
              <w:top w:val="nil"/>
              <w:left w:val="single" w:sz="4" w:space="0" w:color="auto"/>
              <w:bottom w:val="single" w:sz="4" w:space="0" w:color="auto"/>
              <w:right w:val="single" w:sz="4" w:space="0" w:color="auto"/>
            </w:tcBorders>
            <w:vAlign w:val="center"/>
            <w:hideMark/>
          </w:tcPr>
          <w:p w14:paraId="1C367748" w14:textId="77777777" w:rsidR="007E45C3" w:rsidRPr="00446FEC" w:rsidRDefault="007E45C3" w:rsidP="006B3F50">
            <w:pPr>
              <w:pStyle w:val="Tabletext"/>
            </w:pPr>
            <w:r w:rsidRPr="00446FEC">
              <w:t>Pure LRIC</w:t>
            </w:r>
          </w:p>
        </w:tc>
        <w:tc>
          <w:tcPr>
            <w:tcW w:w="2066" w:type="dxa"/>
            <w:tcBorders>
              <w:top w:val="nil"/>
              <w:left w:val="nil"/>
              <w:bottom w:val="single" w:sz="4" w:space="0" w:color="auto"/>
              <w:right w:val="single" w:sz="4" w:space="0" w:color="auto"/>
            </w:tcBorders>
            <w:vAlign w:val="center"/>
            <w:hideMark/>
          </w:tcPr>
          <w:p w14:paraId="708ACE6F" w14:textId="77777777" w:rsidR="007E45C3" w:rsidRPr="00446FEC" w:rsidRDefault="007E45C3" w:rsidP="006B3F50">
            <w:pPr>
              <w:pStyle w:val="Tabletext"/>
              <w:jc w:val="center"/>
            </w:pPr>
            <w:r w:rsidRPr="00446FEC">
              <w:t>8.67%</w:t>
            </w:r>
          </w:p>
        </w:tc>
        <w:tc>
          <w:tcPr>
            <w:tcW w:w="2174" w:type="dxa"/>
            <w:tcBorders>
              <w:top w:val="nil"/>
              <w:left w:val="nil"/>
              <w:bottom w:val="single" w:sz="4" w:space="0" w:color="auto"/>
              <w:right w:val="single" w:sz="4" w:space="0" w:color="auto"/>
            </w:tcBorders>
            <w:vAlign w:val="center"/>
            <w:hideMark/>
          </w:tcPr>
          <w:p w14:paraId="181E6AE4" w14:textId="77777777" w:rsidR="007E45C3" w:rsidRPr="00446FEC" w:rsidRDefault="007E45C3" w:rsidP="006B3F50">
            <w:pPr>
              <w:pStyle w:val="Tabletext"/>
              <w:jc w:val="center"/>
            </w:pPr>
            <w:r w:rsidRPr="00446FEC">
              <w:t>11.70%</w:t>
            </w:r>
          </w:p>
        </w:tc>
        <w:tc>
          <w:tcPr>
            <w:tcW w:w="1769" w:type="dxa"/>
            <w:tcBorders>
              <w:top w:val="nil"/>
              <w:left w:val="nil"/>
              <w:bottom w:val="single" w:sz="4" w:space="0" w:color="auto"/>
              <w:right w:val="single" w:sz="4" w:space="0" w:color="auto"/>
            </w:tcBorders>
            <w:vAlign w:val="center"/>
            <w:hideMark/>
          </w:tcPr>
          <w:p w14:paraId="61F77C53" w14:textId="77777777" w:rsidR="007E45C3" w:rsidRPr="00446FEC" w:rsidRDefault="007E45C3" w:rsidP="006B3F50">
            <w:pPr>
              <w:pStyle w:val="Tabletext"/>
              <w:jc w:val="center"/>
            </w:pPr>
            <w:r w:rsidRPr="00446FEC">
              <w:t>0.51%</w:t>
            </w:r>
          </w:p>
        </w:tc>
        <w:tc>
          <w:tcPr>
            <w:tcW w:w="1877" w:type="dxa"/>
            <w:tcBorders>
              <w:top w:val="nil"/>
              <w:left w:val="nil"/>
              <w:bottom w:val="single" w:sz="4" w:space="0" w:color="auto"/>
              <w:right w:val="single" w:sz="4" w:space="0" w:color="auto"/>
            </w:tcBorders>
            <w:vAlign w:val="center"/>
            <w:hideMark/>
          </w:tcPr>
          <w:p w14:paraId="6E6971A3" w14:textId="77777777" w:rsidR="007E45C3" w:rsidRPr="00446FEC" w:rsidRDefault="007E45C3" w:rsidP="006B3F50">
            <w:pPr>
              <w:pStyle w:val="Tabletext"/>
              <w:jc w:val="center"/>
            </w:pPr>
            <w:r w:rsidRPr="00446FEC">
              <w:t>2.04%</w:t>
            </w:r>
          </w:p>
        </w:tc>
      </w:tr>
      <w:tr w:rsidR="007E45C3" w:rsidRPr="00446FEC" w14:paraId="111C20C7" w14:textId="77777777" w:rsidTr="006B3F50">
        <w:trPr>
          <w:trHeight w:val="269"/>
          <w:jc w:val="center"/>
        </w:trPr>
        <w:tc>
          <w:tcPr>
            <w:tcW w:w="1810" w:type="dxa"/>
            <w:tcBorders>
              <w:top w:val="nil"/>
              <w:left w:val="single" w:sz="4" w:space="0" w:color="auto"/>
              <w:bottom w:val="single" w:sz="4" w:space="0" w:color="auto"/>
              <w:right w:val="single" w:sz="4" w:space="0" w:color="auto"/>
            </w:tcBorders>
            <w:vAlign w:val="center"/>
            <w:hideMark/>
          </w:tcPr>
          <w:p w14:paraId="5D063908" w14:textId="77777777" w:rsidR="007E45C3" w:rsidRPr="00446FEC" w:rsidRDefault="007E45C3" w:rsidP="006B3F50">
            <w:pPr>
              <w:pStyle w:val="Tabletext"/>
            </w:pPr>
            <w:r w:rsidRPr="00446FEC">
              <w:t>Stand Alone Costs (SAC)</w:t>
            </w:r>
          </w:p>
        </w:tc>
        <w:tc>
          <w:tcPr>
            <w:tcW w:w="2066" w:type="dxa"/>
            <w:tcBorders>
              <w:top w:val="nil"/>
              <w:left w:val="nil"/>
              <w:bottom w:val="single" w:sz="4" w:space="0" w:color="auto"/>
              <w:right w:val="single" w:sz="4" w:space="0" w:color="auto"/>
            </w:tcBorders>
            <w:vAlign w:val="center"/>
            <w:hideMark/>
          </w:tcPr>
          <w:p w14:paraId="52C6D440" w14:textId="77777777" w:rsidR="007E45C3" w:rsidRPr="00446FEC" w:rsidRDefault="007E45C3" w:rsidP="006B3F50">
            <w:pPr>
              <w:pStyle w:val="Tabletext"/>
              <w:jc w:val="center"/>
            </w:pPr>
            <w:r w:rsidRPr="00446FEC">
              <w:t>0.51%</w:t>
            </w:r>
          </w:p>
        </w:tc>
        <w:tc>
          <w:tcPr>
            <w:tcW w:w="2174" w:type="dxa"/>
            <w:tcBorders>
              <w:top w:val="nil"/>
              <w:left w:val="nil"/>
              <w:bottom w:val="single" w:sz="4" w:space="0" w:color="auto"/>
              <w:right w:val="single" w:sz="4" w:space="0" w:color="auto"/>
            </w:tcBorders>
            <w:vAlign w:val="center"/>
            <w:hideMark/>
          </w:tcPr>
          <w:p w14:paraId="30C98E1E" w14:textId="77777777" w:rsidR="007E45C3" w:rsidRPr="00446FEC" w:rsidRDefault="007E45C3" w:rsidP="006B3F50">
            <w:pPr>
              <w:pStyle w:val="Tabletext"/>
              <w:jc w:val="center"/>
            </w:pPr>
            <w:r w:rsidRPr="00446FEC">
              <w:t>0.51%</w:t>
            </w:r>
          </w:p>
        </w:tc>
        <w:tc>
          <w:tcPr>
            <w:tcW w:w="1769" w:type="dxa"/>
            <w:tcBorders>
              <w:top w:val="nil"/>
              <w:left w:val="nil"/>
              <w:bottom w:val="single" w:sz="4" w:space="0" w:color="auto"/>
              <w:right w:val="single" w:sz="4" w:space="0" w:color="auto"/>
            </w:tcBorders>
            <w:vAlign w:val="center"/>
            <w:hideMark/>
          </w:tcPr>
          <w:p w14:paraId="3F5DD9D5" w14:textId="77777777" w:rsidR="007E45C3" w:rsidRPr="00446FEC" w:rsidRDefault="007E45C3" w:rsidP="006B3F50">
            <w:pPr>
              <w:pStyle w:val="Tabletext"/>
              <w:jc w:val="center"/>
            </w:pPr>
            <w:r w:rsidRPr="00446FEC">
              <w:t>1.53%</w:t>
            </w:r>
          </w:p>
        </w:tc>
        <w:tc>
          <w:tcPr>
            <w:tcW w:w="1877" w:type="dxa"/>
            <w:tcBorders>
              <w:top w:val="nil"/>
              <w:left w:val="nil"/>
              <w:bottom w:val="single" w:sz="4" w:space="0" w:color="auto"/>
              <w:right w:val="single" w:sz="4" w:space="0" w:color="auto"/>
            </w:tcBorders>
            <w:vAlign w:val="center"/>
            <w:hideMark/>
          </w:tcPr>
          <w:p w14:paraId="0E7A9E6B" w14:textId="77777777" w:rsidR="007E45C3" w:rsidRPr="00446FEC" w:rsidRDefault="007E45C3" w:rsidP="006B3F50">
            <w:pPr>
              <w:pStyle w:val="Tabletext"/>
              <w:jc w:val="center"/>
            </w:pPr>
            <w:r w:rsidRPr="00446FEC">
              <w:t>1.53%</w:t>
            </w:r>
          </w:p>
        </w:tc>
      </w:tr>
    </w:tbl>
    <w:p w14:paraId="7F2224B7" w14:textId="4DEB23ED" w:rsidR="007E45C3" w:rsidRPr="00446FEC" w:rsidRDefault="007E45C3" w:rsidP="009105AB">
      <w:r w:rsidRPr="00446FEC">
        <w:t>Cost modelling approach used as the basis for calculating fixed service tariffs (see Table B.3).</w:t>
      </w:r>
    </w:p>
    <w:p w14:paraId="5BE78A0C" w14:textId="16E15FFF" w:rsidR="007E45C3" w:rsidRPr="00446FEC" w:rsidRDefault="007E45C3" w:rsidP="009105AB">
      <w:pPr>
        <w:rPr>
          <w:color w:val="000000" w:themeColor="text1"/>
        </w:rPr>
      </w:pPr>
      <w:r w:rsidRPr="00446FEC">
        <w:rPr>
          <w:color w:val="000000" w:themeColor="text1"/>
        </w:rPr>
        <w:t>There are 46.9% economies which depend cost models and 19.9% economies does not depend on cost model.</w:t>
      </w:r>
    </w:p>
    <w:tbl>
      <w:tblPr>
        <w:tblW w:w="9639" w:type="dxa"/>
        <w:jc w:val="center"/>
        <w:tblLook w:val="04A0" w:firstRow="1" w:lastRow="0" w:firstColumn="1" w:lastColumn="0" w:noHBand="0" w:noVBand="1"/>
      </w:tblPr>
      <w:tblGrid>
        <w:gridCol w:w="1798"/>
        <w:gridCol w:w="2054"/>
        <w:gridCol w:w="2162"/>
        <w:gridCol w:w="1759"/>
        <w:gridCol w:w="1866"/>
      </w:tblGrid>
      <w:tr w:rsidR="007E45C3" w:rsidRPr="00446FEC" w14:paraId="2E8C7D9C" w14:textId="77777777" w:rsidTr="00882FCF">
        <w:trPr>
          <w:trHeight w:val="300"/>
          <w:tblHeader/>
          <w:jc w:val="center"/>
        </w:trPr>
        <w:tc>
          <w:tcPr>
            <w:tcW w:w="9574" w:type="dxa"/>
            <w:gridSpan w:val="5"/>
            <w:tcBorders>
              <w:bottom w:val="single" w:sz="4" w:space="0" w:color="auto"/>
            </w:tcBorders>
            <w:vAlign w:val="center"/>
          </w:tcPr>
          <w:p w14:paraId="5CA7DB14" w14:textId="705013BA" w:rsidR="007E45C3" w:rsidRPr="00446FEC" w:rsidRDefault="007E45C3" w:rsidP="00882FCF">
            <w:pPr>
              <w:pStyle w:val="TableNoTitle0"/>
            </w:pPr>
            <w:r w:rsidRPr="00446FEC">
              <w:lastRenderedPageBreak/>
              <w:t xml:space="preserve">Table B.3 </w:t>
            </w:r>
            <w:r w:rsidRPr="00446FEC">
              <w:sym w:font="Symbol" w:char="F02D"/>
            </w:r>
            <w:r w:rsidRPr="00446FEC">
              <w:t xml:space="preserve"> Cost modelling approach for calculating fixed service tariffs</w:t>
            </w:r>
          </w:p>
        </w:tc>
      </w:tr>
      <w:tr w:rsidR="007E45C3" w:rsidRPr="00446FEC" w14:paraId="62698F36" w14:textId="77777777" w:rsidTr="00C87687">
        <w:trPr>
          <w:trHeight w:val="300"/>
          <w:tblHeader/>
          <w:jc w:val="center"/>
        </w:trPr>
        <w:tc>
          <w:tcPr>
            <w:tcW w:w="1787" w:type="dxa"/>
            <w:tcBorders>
              <w:top w:val="single" w:sz="4" w:space="0" w:color="auto"/>
              <w:left w:val="single" w:sz="4" w:space="0" w:color="auto"/>
              <w:bottom w:val="single" w:sz="4" w:space="0" w:color="auto"/>
              <w:right w:val="single" w:sz="4" w:space="0" w:color="auto"/>
            </w:tcBorders>
            <w:vAlign w:val="center"/>
            <w:hideMark/>
          </w:tcPr>
          <w:p w14:paraId="5EBBA05D" w14:textId="55386A3A" w:rsidR="007E45C3" w:rsidRPr="00446FEC" w:rsidRDefault="00C87687" w:rsidP="00882FCF">
            <w:pPr>
              <w:pStyle w:val="Tablehead"/>
            </w:pPr>
            <w:r w:rsidRPr="00446FEC">
              <w:t>Cost approach</w:t>
            </w:r>
          </w:p>
        </w:tc>
        <w:tc>
          <w:tcPr>
            <w:tcW w:w="2040" w:type="dxa"/>
            <w:tcBorders>
              <w:top w:val="single" w:sz="4" w:space="0" w:color="auto"/>
              <w:left w:val="nil"/>
              <w:bottom w:val="single" w:sz="4" w:space="0" w:color="auto"/>
              <w:right w:val="single" w:sz="4" w:space="0" w:color="auto"/>
            </w:tcBorders>
            <w:noWrap/>
            <w:vAlign w:val="center"/>
            <w:hideMark/>
          </w:tcPr>
          <w:p w14:paraId="5F03EFB1" w14:textId="77777777" w:rsidR="007E45C3" w:rsidRPr="00446FEC" w:rsidRDefault="007E45C3" w:rsidP="00882FCF">
            <w:pPr>
              <w:pStyle w:val="Tablehead"/>
            </w:pPr>
            <w:r w:rsidRPr="00446FEC">
              <w:t>Advanced wholesale services</w:t>
            </w:r>
          </w:p>
        </w:tc>
        <w:tc>
          <w:tcPr>
            <w:tcW w:w="2147" w:type="dxa"/>
            <w:tcBorders>
              <w:top w:val="single" w:sz="4" w:space="0" w:color="auto"/>
              <w:left w:val="nil"/>
              <w:bottom w:val="single" w:sz="4" w:space="0" w:color="auto"/>
              <w:right w:val="single" w:sz="4" w:space="0" w:color="auto"/>
            </w:tcBorders>
            <w:noWrap/>
            <w:vAlign w:val="center"/>
            <w:hideMark/>
          </w:tcPr>
          <w:p w14:paraId="350F4653" w14:textId="77777777" w:rsidR="007E45C3" w:rsidRPr="00446FEC" w:rsidRDefault="007E45C3" w:rsidP="00882FCF">
            <w:pPr>
              <w:pStyle w:val="Tablehead"/>
            </w:pPr>
            <w:r w:rsidRPr="00446FEC">
              <w:t>Traditional wholesale services</w:t>
            </w:r>
          </w:p>
        </w:tc>
        <w:tc>
          <w:tcPr>
            <w:tcW w:w="1747" w:type="dxa"/>
            <w:tcBorders>
              <w:top w:val="single" w:sz="4" w:space="0" w:color="auto"/>
              <w:left w:val="nil"/>
              <w:bottom w:val="single" w:sz="4" w:space="0" w:color="auto"/>
              <w:right w:val="single" w:sz="4" w:space="0" w:color="auto"/>
            </w:tcBorders>
            <w:noWrap/>
            <w:vAlign w:val="center"/>
            <w:hideMark/>
          </w:tcPr>
          <w:p w14:paraId="26099CA5" w14:textId="77777777" w:rsidR="007E45C3" w:rsidRPr="00446FEC" w:rsidRDefault="007E45C3" w:rsidP="00882FCF">
            <w:pPr>
              <w:pStyle w:val="Tablehead"/>
            </w:pPr>
            <w:r w:rsidRPr="00446FEC">
              <w:t>Advanced retail services</w:t>
            </w:r>
          </w:p>
        </w:tc>
        <w:tc>
          <w:tcPr>
            <w:tcW w:w="1853" w:type="dxa"/>
            <w:tcBorders>
              <w:top w:val="single" w:sz="4" w:space="0" w:color="auto"/>
              <w:left w:val="nil"/>
              <w:bottom w:val="single" w:sz="4" w:space="0" w:color="auto"/>
              <w:right w:val="single" w:sz="4" w:space="0" w:color="auto"/>
            </w:tcBorders>
            <w:noWrap/>
            <w:vAlign w:val="center"/>
            <w:hideMark/>
          </w:tcPr>
          <w:p w14:paraId="59CB2C26" w14:textId="77777777" w:rsidR="007E45C3" w:rsidRPr="00446FEC" w:rsidRDefault="007E45C3" w:rsidP="00882FCF">
            <w:pPr>
              <w:pStyle w:val="Tablehead"/>
            </w:pPr>
            <w:r w:rsidRPr="00446FEC">
              <w:t>Traditional retail services</w:t>
            </w:r>
          </w:p>
        </w:tc>
      </w:tr>
      <w:tr w:rsidR="007E45C3" w:rsidRPr="00446FEC" w14:paraId="788690D9" w14:textId="77777777" w:rsidTr="00882FCF">
        <w:trPr>
          <w:trHeight w:val="300"/>
          <w:tblHeader/>
          <w:jc w:val="center"/>
        </w:trPr>
        <w:tc>
          <w:tcPr>
            <w:tcW w:w="1787" w:type="dxa"/>
            <w:tcBorders>
              <w:top w:val="nil"/>
              <w:left w:val="single" w:sz="4" w:space="0" w:color="auto"/>
              <w:bottom w:val="single" w:sz="4" w:space="0" w:color="auto"/>
              <w:right w:val="single" w:sz="4" w:space="0" w:color="auto"/>
            </w:tcBorders>
            <w:vAlign w:val="center"/>
            <w:hideMark/>
          </w:tcPr>
          <w:p w14:paraId="06A7E98E" w14:textId="77777777" w:rsidR="007E45C3" w:rsidRPr="00446FEC" w:rsidRDefault="007E45C3" w:rsidP="00882FCF">
            <w:pPr>
              <w:pStyle w:val="Tabletext"/>
            </w:pPr>
            <w:r w:rsidRPr="00446FEC">
              <w:t>Bottom-up (BU)</w:t>
            </w:r>
          </w:p>
        </w:tc>
        <w:tc>
          <w:tcPr>
            <w:tcW w:w="2040" w:type="dxa"/>
            <w:tcBorders>
              <w:top w:val="nil"/>
              <w:left w:val="nil"/>
              <w:bottom w:val="single" w:sz="4" w:space="0" w:color="auto"/>
              <w:right w:val="single" w:sz="4" w:space="0" w:color="auto"/>
            </w:tcBorders>
            <w:vAlign w:val="center"/>
            <w:hideMark/>
          </w:tcPr>
          <w:p w14:paraId="72B7A561" w14:textId="77777777" w:rsidR="007E45C3" w:rsidRPr="00446FEC" w:rsidRDefault="007E45C3" w:rsidP="00882FCF">
            <w:pPr>
              <w:pStyle w:val="Tabletext"/>
              <w:jc w:val="center"/>
            </w:pPr>
            <w:r w:rsidRPr="00446FEC">
              <w:t>20.90%</w:t>
            </w:r>
          </w:p>
        </w:tc>
        <w:tc>
          <w:tcPr>
            <w:tcW w:w="2147" w:type="dxa"/>
            <w:tcBorders>
              <w:top w:val="nil"/>
              <w:left w:val="nil"/>
              <w:bottom w:val="single" w:sz="4" w:space="0" w:color="auto"/>
              <w:right w:val="single" w:sz="4" w:space="0" w:color="auto"/>
            </w:tcBorders>
            <w:vAlign w:val="center"/>
            <w:hideMark/>
          </w:tcPr>
          <w:p w14:paraId="0A506E4E" w14:textId="77777777" w:rsidR="007E45C3" w:rsidRPr="00446FEC" w:rsidRDefault="007E45C3" w:rsidP="00882FCF">
            <w:pPr>
              <w:pStyle w:val="Tabletext"/>
              <w:jc w:val="center"/>
            </w:pPr>
            <w:r w:rsidRPr="00446FEC">
              <w:t>26%</w:t>
            </w:r>
          </w:p>
        </w:tc>
        <w:tc>
          <w:tcPr>
            <w:tcW w:w="1747" w:type="dxa"/>
            <w:tcBorders>
              <w:top w:val="nil"/>
              <w:left w:val="nil"/>
              <w:bottom w:val="single" w:sz="4" w:space="0" w:color="auto"/>
              <w:right w:val="single" w:sz="4" w:space="0" w:color="auto"/>
            </w:tcBorders>
            <w:vAlign w:val="center"/>
            <w:hideMark/>
          </w:tcPr>
          <w:p w14:paraId="4AA467BF" w14:textId="77777777" w:rsidR="007E45C3" w:rsidRPr="00446FEC" w:rsidRDefault="007E45C3" w:rsidP="00882FCF">
            <w:pPr>
              <w:pStyle w:val="Tabletext"/>
              <w:jc w:val="center"/>
            </w:pPr>
            <w:r w:rsidRPr="00446FEC">
              <w:t>6.63%</w:t>
            </w:r>
          </w:p>
        </w:tc>
        <w:tc>
          <w:tcPr>
            <w:tcW w:w="1853" w:type="dxa"/>
            <w:tcBorders>
              <w:top w:val="nil"/>
              <w:left w:val="nil"/>
              <w:bottom w:val="single" w:sz="4" w:space="0" w:color="auto"/>
              <w:right w:val="single" w:sz="4" w:space="0" w:color="auto"/>
            </w:tcBorders>
            <w:vAlign w:val="center"/>
            <w:hideMark/>
          </w:tcPr>
          <w:p w14:paraId="202CFA2F" w14:textId="77777777" w:rsidR="007E45C3" w:rsidRPr="00446FEC" w:rsidRDefault="007E45C3" w:rsidP="00882FCF">
            <w:pPr>
              <w:pStyle w:val="Tabletext"/>
              <w:jc w:val="center"/>
            </w:pPr>
            <w:r w:rsidRPr="00446FEC">
              <w:t>9.18%</w:t>
            </w:r>
          </w:p>
        </w:tc>
      </w:tr>
      <w:tr w:rsidR="007E45C3" w:rsidRPr="00446FEC" w14:paraId="353F655F" w14:textId="77777777" w:rsidTr="00882FCF">
        <w:trPr>
          <w:trHeight w:val="300"/>
          <w:tblHeader/>
          <w:jc w:val="center"/>
        </w:trPr>
        <w:tc>
          <w:tcPr>
            <w:tcW w:w="1787" w:type="dxa"/>
            <w:tcBorders>
              <w:top w:val="nil"/>
              <w:left w:val="single" w:sz="4" w:space="0" w:color="auto"/>
              <w:bottom w:val="single" w:sz="4" w:space="0" w:color="auto"/>
              <w:right w:val="single" w:sz="4" w:space="0" w:color="auto"/>
            </w:tcBorders>
            <w:vAlign w:val="center"/>
            <w:hideMark/>
          </w:tcPr>
          <w:p w14:paraId="5D6FC260" w14:textId="77777777" w:rsidR="007E45C3" w:rsidRPr="00446FEC" w:rsidRDefault="007E45C3" w:rsidP="00882FCF">
            <w:pPr>
              <w:pStyle w:val="Tabletext"/>
            </w:pPr>
            <w:r w:rsidRPr="00446FEC">
              <w:t>Hybrid</w:t>
            </w:r>
          </w:p>
        </w:tc>
        <w:tc>
          <w:tcPr>
            <w:tcW w:w="2040" w:type="dxa"/>
            <w:tcBorders>
              <w:top w:val="nil"/>
              <w:left w:val="nil"/>
              <w:bottom w:val="single" w:sz="4" w:space="0" w:color="auto"/>
              <w:right w:val="single" w:sz="4" w:space="0" w:color="auto"/>
            </w:tcBorders>
            <w:vAlign w:val="center"/>
            <w:hideMark/>
          </w:tcPr>
          <w:p w14:paraId="2380CC4C" w14:textId="77777777" w:rsidR="007E45C3" w:rsidRPr="00446FEC" w:rsidRDefault="007E45C3" w:rsidP="00882FCF">
            <w:pPr>
              <w:pStyle w:val="Tabletext"/>
              <w:jc w:val="center"/>
            </w:pPr>
            <w:r w:rsidRPr="00446FEC">
              <w:t>7.65%</w:t>
            </w:r>
          </w:p>
        </w:tc>
        <w:tc>
          <w:tcPr>
            <w:tcW w:w="2147" w:type="dxa"/>
            <w:tcBorders>
              <w:top w:val="nil"/>
              <w:left w:val="nil"/>
              <w:bottom w:val="single" w:sz="4" w:space="0" w:color="auto"/>
              <w:right w:val="single" w:sz="4" w:space="0" w:color="auto"/>
            </w:tcBorders>
            <w:vAlign w:val="center"/>
            <w:hideMark/>
          </w:tcPr>
          <w:p w14:paraId="1F2A36E9" w14:textId="77777777" w:rsidR="007E45C3" w:rsidRPr="00446FEC" w:rsidRDefault="007E45C3" w:rsidP="00882FCF">
            <w:pPr>
              <w:pStyle w:val="Tabletext"/>
              <w:jc w:val="center"/>
            </w:pPr>
            <w:r w:rsidRPr="00446FEC">
              <w:t>7.14%</w:t>
            </w:r>
          </w:p>
        </w:tc>
        <w:tc>
          <w:tcPr>
            <w:tcW w:w="1747" w:type="dxa"/>
            <w:tcBorders>
              <w:top w:val="nil"/>
              <w:left w:val="nil"/>
              <w:bottom w:val="single" w:sz="4" w:space="0" w:color="auto"/>
              <w:right w:val="single" w:sz="4" w:space="0" w:color="auto"/>
            </w:tcBorders>
            <w:vAlign w:val="center"/>
            <w:hideMark/>
          </w:tcPr>
          <w:p w14:paraId="31893E12" w14:textId="77777777" w:rsidR="007E45C3" w:rsidRPr="00446FEC" w:rsidRDefault="007E45C3" w:rsidP="00882FCF">
            <w:pPr>
              <w:pStyle w:val="Tabletext"/>
              <w:jc w:val="center"/>
            </w:pPr>
            <w:r w:rsidRPr="00446FEC">
              <w:t>3.57%</w:t>
            </w:r>
          </w:p>
        </w:tc>
        <w:tc>
          <w:tcPr>
            <w:tcW w:w="1853" w:type="dxa"/>
            <w:tcBorders>
              <w:top w:val="nil"/>
              <w:left w:val="nil"/>
              <w:bottom w:val="single" w:sz="4" w:space="0" w:color="auto"/>
              <w:right w:val="single" w:sz="4" w:space="0" w:color="auto"/>
            </w:tcBorders>
            <w:vAlign w:val="center"/>
            <w:hideMark/>
          </w:tcPr>
          <w:p w14:paraId="791EFF91" w14:textId="77777777" w:rsidR="007E45C3" w:rsidRPr="00446FEC" w:rsidRDefault="007E45C3" w:rsidP="00882FCF">
            <w:pPr>
              <w:pStyle w:val="Tabletext"/>
              <w:jc w:val="center"/>
            </w:pPr>
            <w:r w:rsidRPr="00446FEC">
              <w:t>5.10%</w:t>
            </w:r>
          </w:p>
        </w:tc>
      </w:tr>
      <w:tr w:rsidR="007E45C3" w:rsidRPr="00446FEC" w14:paraId="37F6BF76" w14:textId="77777777" w:rsidTr="00882FCF">
        <w:trPr>
          <w:trHeight w:val="300"/>
          <w:tblHeader/>
          <w:jc w:val="center"/>
        </w:trPr>
        <w:tc>
          <w:tcPr>
            <w:tcW w:w="1787" w:type="dxa"/>
            <w:tcBorders>
              <w:top w:val="nil"/>
              <w:left w:val="single" w:sz="4" w:space="0" w:color="auto"/>
              <w:bottom w:val="single" w:sz="4" w:space="0" w:color="auto"/>
              <w:right w:val="single" w:sz="4" w:space="0" w:color="auto"/>
            </w:tcBorders>
            <w:vAlign w:val="center"/>
            <w:hideMark/>
          </w:tcPr>
          <w:p w14:paraId="5C20C58D" w14:textId="77777777" w:rsidR="007E45C3" w:rsidRPr="00446FEC" w:rsidRDefault="007E45C3" w:rsidP="00882FCF">
            <w:pPr>
              <w:pStyle w:val="Tabletext"/>
            </w:pPr>
            <w:r w:rsidRPr="00446FEC">
              <w:t>Top-down (TD)</w:t>
            </w:r>
          </w:p>
        </w:tc>
        <w:tc>
          <w:tcPr>
            <w:tcW w:w="2040" w:type="dxa"/>
            <w:tcBorders>
              <w:top w:val="nil"/>
              <w:left w:val="nil"/>
              <w:bottom w:val="single" w:sz="4" w:space="0" w:color="auto"/>
              <w:right w:val="single" w:sz="4" w:space="0" w:color="auto"/>
            </w:tcBorders>
            <w:vAlign w:val="center"/>
            <w:hideMark/>
          </w:tcPr>
          <w:p w14:paraId="70479C78" w14:textId="77777777" w:rsidR="007E45C3" w:rsidRPr="00446FEC" w:rsidRDefault="007E45C3" w:rsidP="00882FCF">
            <w:pPr>
              <w:pStyle w:val="Tabletext"/>
              <w:jc w:val="center"/>
            </w:pPr>
            <w:r w:rsidRPr="00446FEC">
              <w:t>10.20%</w:t>
            </w:r>
          </w:p>
        </w:tc>
        <w:tc>
          <w:tcPr>
            <w:tcW w:w="2147" w:type="dxa"/>
            <w:tcBorders>
              <w:top w:val="nil"/>
              <w:left w:val="nil"/>
              <w:bottom w:val="single" w:sz="4" w:space="0" w:color="auto"/>
              <w:right w:val="single" w:sz="4" w:space="0" w:color="auto"/>
            </w:tcBorders>
            <w:vAlign w:val="center"/>
            <w:hideMark/>
          </w:tcPr>
          <w:p w14:paraId="064A972A" w14:textId="77777777" w:rsidR="007E45C3" w:rsidRPr="00446FEC" w:rsidRDefault="007E45C3" w:rsidP="00882FCF">
            <w:pPr>
              <w:pStyle w:val="Tabletext"/>
              <w:jc w:val="center"/>
            </w:pPr>
            <w:r w:rsidRPr="00446FEC">
              <w:t>9.18%</w:t>
            </w:r>
          </w:p>
        </w:tc>
        <w:tc>
          <w:tcPr>
            <w:tcW w:w="1747" w:type="dxa"/>
            <w:tcBorders>
              <w:top w:val="nil"/>
              <w:left w:val="nil"/>
              <w:bottom w:val="single" w:sz="4" w:space="0" w:color="auto"/>
              <w:right w:val="single" w:sz="4" w:space="0" w:color="auto"/>
            </w:tcBorders>
            <w:vAlign w:val="center"/>
            <w:hideMark/>
          </w:tcPr>
          <w:p w14:paraId="7695EB90" w14:textId="77777777" w:rsidR="007E45C3" w:rsidRPr="00446FEC" w:rsidRDefault="007E45C3" w:rsidP="00882FCF">
            <w:pPr>
              <w:pStyle w:val="Tabletext"/>
              <w:jc w:val="center"/>
            </w:pPr>
            <w:r w:rsidRPr="00446FEC">
              <w:t>7.14%</w:t>
            </w:r>
          </w:p>
        </w:tc>
        <w:tc>
          <w:tcPr>
            <w:tcW w:w="1853" w:type="dxa"/>
            <w:tcBorders>
              <w:top w:val="nil"/>
              <w:left w:val="nil"/>
              <w:bottom w:val="single" w:sz="4" w:space="0" w:color="auto"/>
              <w:right w:val="single" w:sz="4" w:space="0" w:color="auto"/>
            </w:tcBorders>
            <w:vAlign w:val="center"/>
            <w:hideMark/>
          </w:tcPr>
          <w:p w14:paraId="707AF430" w14:textId="77777777" w:rsidR="007E45C3" w:rsidRPr="00446FEC" w:rsidRDefault="007E45C3" w:rsidP="00882FCF">
            <w:pPr>
              <w:pStyle w:val="Tabletext"/>
              <w:jc w:val="center"/>
            </w:pPr>
            <w:r w:rsidRPr="00446FEC">
              <w:t>8.67%</w:t>
            </w:r>
          </w:p>
        </w:tc>
      </w:tr>
      <w:tr w:rsidR="007E45C3" w:rsidRPr="00446FEC" w14:paraId="571F3A72" w14:textId="77777777" w:rsidTr="00882FCF">
        <w:trPr>
          <w:trHeight w:val="300"/>
          <w:tblHeader/>
          <w:jc w:val="center"/>
        </w:trPr>
        <w:tc>
          <w:tcPr>
            <w:tcW w:w="1787" w:type="dxa"/>
            <w:tcBorders>
              <w:top w:val="nil"/>
              <w:left w:val="single" w:sz="4" w:space="0" w:color="auto"/>
              <w:bottom w:val="single" w:sz="4" w:space="0" w:color="auto"/>
              <w:right w:val="single" w:sz="4" w:space="0" w:color="auto"/>
            </w:tcBorders>
            <w:vAlign w:val="center"/>
            <w:hideMark/>
          </w:tcPr>
          <w:p w14:paraId="101BEC9C" w14:textId="77777777" w:rsidR="007E45C3" w:rsidRPr="00446FEC" w:rsidRDefault="007E45C3" w:rsidP="00882FCF">
            <w:pPr>
              <w:pStyle w:val="Tabletext"/>
            </w:pPr>
            <w:r w:rsidRPr="00446FEC">
              <w:t>Other</w:t>
            </w:r>
          </w:p>
        </w:tc>
        <w:tc>
          <w:tcPr>
            <w:tcW w:w="2040" w:type="dxa"/>
            <w:tcBorders>
              <w:top w:val="nil"/>
              <w:left w:val="nil"/>
              <w:bottom w:val="single" w:sz="4" w:space="0" w:color="auto"/>
              <w:right w:val="single" w:sz="4" w:space="0" w:color="auto"/>
            </w:tcBorders>
            <w:vAlign w:val="center"/>
            <w:hideMark/>
          </w:tcPr>
          <w:p w14:paraId="1A50CEE0" w14:textId="77777777" w:rsidR="007E45C3" w:rsidRPr="00446FEC" w:rsidRDefault="007E45C3" w:rsidP="00882FCF">
            <w:pPr>
              <w:pStyle w:val="Tabletext"/>
              <w:jc w:val="center"/>
            </w:pPr>
            <w:r w:rsidRPr="00446FEC">
              <w:t>13.30%</w:t>
            </w:r>
          </w:p>
        </w:tc>
        <w:tc>
          <w:tcPr>
            <w:tcW w:w="2147" w:type="dxa"/>
            <w:tcBorders>
              <w:top w:val="nil"/>
              <w:left w:val="nil"/>
              <w:bottom w:val="single" w:sz="4" w:space="0" w:color="auto"/>
              <w:right w:val="single" w:sz="4" w:space="0" w:color="auto"/>
            </w:tcBorders>
            <w:vAlign w:val="center"/>
            <w:hideMark/>
          </w:tcPr>
          <w:p w14:paraId="291D35AD" w14:textId="77777777" w:rsidR="007E45C3" w:rsidRPr="00446FEC" w:rsidRDefault="007E45C3" w:rsidP="00882FCF">
            <w:pPr>
              <w:pStyle w:val="Tabletext"/>
              <w:jc w:val="center"/>
            </w:pPr>
            <w:r w:rsidRPr="00446FEC">
              <w:t>15.30%</w:t>
            </w:r>
          </w:p>
        </w:tc>
        <w:tc>
          <w:tcPr>
            <w:tcW w:w="1747" w:type="dxa"/>
            <w:tcBorders>
              <w:top w:val="nil"/>
              <w:left w:val="nil"/>
              <w:bottom w:val="single" w:sz="4" w:space="0" w:color="auto"/>
              <w:right w:val="single" w:sz="4" w:space="0" w:color="auto"/>
            </w:tcBorders>
            <w:vAlign w:val="center"/>
            <w:hideMark/>
          </w:tcPr>
          <w:p w14:paraId="60A10091" w14:textId="77777777" w:rsidR="007E45C3" w:rsidRPr="00446FEC" w:rsidRDefault="007E45C3" w:rsidP="00882FCF">
            <w:pPr>
              <w:pStyle w:val="Tabletext"/>
              <w:jc w:val="center"/>
            </w:pPr>
            <w:r w:rsidRPr="00446FEC">
              <w:t>13.80%</w:t>
            </w:r>
          </w:p>
        </w:tc>
        <w:tc>
          <w:tcPr>
            <w:tcW w:w="1853" w:type="dxa"/>
            <w:tcBorders>
              <w:top w:val="nil"/>
              <w:left w:val="nil"/>
              <w:bottom w:val="single" w:sz="4" w:space="0" w:color="auto"/>
              <w:right w:val="single" w:sz="4" w:space="0" w:color="auto"/>
            </w:tcBorders>
            <w:vAlign w:val="center"/>
            <w:hideMark/>
          </w:tcPr>
          <w:p w14:paraId="1B9FA8E6" w14:textId="77777777" w:rsidR="007E45C3" w:rsidRPr="00446FEC" w:rsidRDefault="007E45C3" w:rsidP="00882FCF">
            <w:pPr>
              <w:pStyle w:val="Tabletext"/>
              <w:jc w:val="center"/>
            </w:pPr>
            <w:r w:rsidRPr="00446FEC">
              <w:t>13.80%</w:t>
            </w:r>
          </w:p>
        </w:tc>
      </w:tr>
    </w:tbl>
    <w:p w14:paraId="26337955" w14:textId="77777777" w:rsidR="007E45C3" w:rsidRPr="00446FEC" w:rsidRDefault="007E45C3" w:rsidP="009105AB">
      <w:r w:rsidRPr="00446FEC">
        <w:t>Cost modelling approach used as the basis for calculating mobile service tariffs (see Table B.4).</w:t>
      </w:r>
    </w:p>
    <w:tbl>
      <w:tblPr>
        <w:tblW w:w="9639" w:type="dxa"/>
        <w:jc w:val="center"/>
        <w:tblLook w:val="04A0" w:firstRow="1" w:lastRow="0" w:firstColumn="1" w:lastColumn="0" w:noHBand="0" w:noVBand="1"/>
      </w:tblPr>
      <w:tblGrid>
        <w:gridCol w:w="1799"/>
        <w:gridCol w:w="2054"/>
        <w:gridCol w:w="2161"/>
        <w:gridCol w:w="1759"/>
        <w:gridCol w:w="1866"/>
      </w:tblGrid>
      <w:tr w:rsidR="007E45C3" w:rsidRPr="00446FEC" w14:paraId="038879C3" w14:textId="77777777" w:rsidTr="009105AB">
        <w:trPr>
          <w:trHeight w:val="308"/>
          <w:jc w:val="center"/>
        </w:trPr>
        <w:tc>
          <w:tcPr>
            <w:tcW w:w="9553" w:type="dxa"/>
            <w:gridSpan w:val="5"/>
            <w:tcBorders>
              <w:bottom w:val="single" w:sz="4" w:space="0" w:color="auto"/>
            </w:tcBorders>
            <w:vAlign w:val="center"/>
          </w:tcPr>
          <w:p w14:paraId="1FC27ED5" w14:textId="4B11AC8C" w:rsidR="007E45C3" w:rsidRPr="00446FEC" w:rsidRDefault="007E45C3" w:rsidP="009105AB">
            <w:pPr>
              <w:pStyle w:val="TableNoTitle0"/>
              <w:rPr>
                <w:color w:val="000000"/>
              </w:rPr>
            </w:pPr>
            <w:r w:rsidRPr="00446FEC">
              <w:rPr>
                <w:color w:val="000000"/>
              </w:rPr>
              <w:t xml:space="preserve">Table B.4 </w:t>
            </w:r>
            <w:r w:rsidRPr="00446FEC">
              <w:rPr>
                <w:color w:val="000000"/>
              </w:rPr>
              <w:sym w:font="Symbol" w:char="F02D"/>
            </w:r>
            <w:r w:rsidRPr="00446FEC">
              <w:rPr>
                <w:color w:val="000000"/>
              </w:rPr>
              <w:t xml:space="preserve"> </w:t>
            </w:r>
            <w:r w:rsidRPr="00446FEC">
              <w:t>Cost modelling approach for calculating mobile service tariffs</w:t>
            </w:r>
          </w:p>
        </w:tc>
      </w:tr>
      <w:tr w:rsidR="007E45C3" w:rsidRPr="00446FEC" w14:paraId="6380FC77" w14:textId="77777777" w:rsidTr="009105AB">
        <w:trPr>
          <w:trHeight w:val="308"/>
          <w:jc w:val="center"/>
        </w:trPr>
        <w:tc>
          <w:tcPr>
            <w:tcW w:w="1783" w:type="dxa"/>
            <w:tcBorders>
              <w:top w:val="single" w:sz="4" w:space="0" w:color="auto"/>
              <w:left w:val="single" w:sz="4" w:space="0" w:color="auto"/>
              <w:bottom w:val="single" w:sz="4" w:space="0" w:color="auto"/>
              <w:right w:val="single" w:sz="4" w:space="0" w:color="auto"/>
            </w:tcBorders>
            <w:vAlign w:val="center"/>
            <w:hideMark/>
          </w:tcPr>
          <w:p w14:paraId="25B3F327" w14:textId="77777777" w:rsidR="007E45C3" w:rsidRPr="00446FEC" w:rsidRDefault="007E45C3" w:rsidP="0059411D">
            <w:pPr>
              <w:pStyle w:val="Tablehead"/>
            </w:pPr>
            <w:r w:rsidRPr="00446FEC">
              <w:t>Cost approach</w:t>
            </w:r>
          </w:p>
        </w:tc>
        <w:tc>
          <w:tcPr>
            <w:tcW w:w="2036" w:type="dxa"/>
            <w:tcBorders>
              <w:top w:val="single" w:sz="4" w:space="0" w:color="auto"/>
              <w:left w:val="nil"/>
              <w:bottom w:val="single" w:sz="4" w:space="0" w:color="auto"/>
              <w:right w:val="single" w:sz="4" w:space="0" w:color="auto"/>
            </w:tcBorders>
            <w:noWrap/>
            <w:vAlign w:val="center"/>
            <w:hideMark/>
          </w:tcPr>
          <w:p w14:paraId="0383D352" w14:textId="77777777" w:rsidR="007E45C3" w:rsidRPr="00446FEC" w:rsidRDefault="007E45C3" w:rsidP="0059411D">
            <w:pPr>
              <w:pStyle w:val="Tablehead"/>
            </w:pPr>
            <w:r w:rsidRPr="00446FEC">
              <w:t>Advanced wholesale services</w:t>
            </w:r>
          </w:p>
        </w:tc>
        <w:tc>
          <w:tcPr>
            <w:tcW w:w="2142" w:type="dxa"/>
            <w:tcBorders>
              <w:top w:val="single" w:sz="4" w:space="0" w:color="auto"/>
              <w:left w:val="nil"/>
              <w:bottom w:val="single" w:sz="4" w:space="0" w:color="auto"/>
              <w:right w:val="single" w:sz="4" w:space="0" w:color="auto"/>
            </w:tcBorders>
            <w:noWrap/>
            <w:vAlign w:val="center"/>
            <w:hideMark/>
          </w:tcPr>
          <w:p w14:paraId="734EB472" w14:textId="77777777" w:rsidR="007E45C3" w:rsidRPr="00446FEC" w:rsidRDefault="007E45C3" w:rsidP="0059411D">
            <w:pPr>
              <w:pStyle w:val="Tablehead"/>
            </w:pPr>
            <w:r w:rsidRPr="00446FEC">
              <w:t>Traditional wholesale services</w:t>
            </w:r>
          </w:p>
        </w:tc>
        <w:tc>
          <w:tcPr>
            <w:tcW w:w="1743" w:type="dxa"/>
            <w:tcBorders>
              <w:top w:val="single" w:sz="4" w:space="0" w:color="auto"/>
              <w:left w:val="nil"/>
              <w:bottom w:val="single" w:sz="4" w:space="0" w:color="auto"/>
              <w:right w:val="single" w:sz="4" w:space="0" w:color="auto"/>
            </w:tcBorders>
            <w:noWrap/>
            <w:vAlign w:val="center"/>
            <w:hideMark/>
          </w:tcPr>
          <w:p w14:paraId="2D6D7A71" w14:textId="77777777" w:rsidR="007E45C3" w:rsidRPr="00446FEC" w:rsidRDefault="007E45C3" w:rsidP="0059411D">
            <w:pPr>
              <w:pStyle w:val="Tablehead"/>
            </w:pPr>
            <w:r w:rsidRPr="00446FEC">
              <w:t>Advanced retail services</w:t>
            </w:r>
          </w:p>
        </w:tc>
        <w:tc>
          <w:tcPr>
            <w:tcW w:w="1849" w:type="dxa"/>
            <w:tcBorders>
              <w:top w:val="single" w:sz="4" w:space="0" w:color="auto"/>
              <w:left w:val="nil"/>
              <w:bottom w:val="single" w:sz="4" w:space="0" w:color="auto"/>
              <w:right w:val="single" w:sz="4" w:space="0" w:color="auto"/>
            </w:tcBorders>
            <w:noWrap/>
            <w:vAlign w:val="center"/>
            <w:hideMark/>
          </w:tcPr>
          <w:p w14:paraId="5BFF12CC" w14:textId="77777777" w:rsidR="007E45C3" w:rsidRPr="00446FEC" w:rsidRDefault="007E45C3" w:rsidP="0059411D">
            <w:pPr>
              <w:pStyle w:val="Tablehead"/>
            </w:pPr>
            <w:r w:rsidRPr="00446FEC">
              <w:t>Traditional retail services</w:t>
            </w:r>
          </w:p>
        </w:tc>
      </w:tr>
      <w:tr w:rsidR="007E45C3" w:rsidRPr="00446FEC" w14:paraId="6A8CCA6A" w14:textId="77777777" w:rsidTr="009105AB">
        <w:trPr>
          <w:trHeight w:val="308"/>
          <w:jc w:val="center"/>
        </w:trPr>
        <w:tc>
          <w:tcPr>
            <w:tcW w:w="1783" w:type="dxa"/>
            <w:tcBorders>
              <w:top w:val="nil"/>
              <w:left w:val="single" w:sz="4" w:space="0" w:color="auto"/>
              <w:bottom w:val="single" w:sz="4" w:space="0" w:color="auto"/>
              <w:right w:val="single" w:sz="4" w:space="0" w:color="auto"/>
            </w:tcBorders>
            <w:vAlign w:val="center"/>
            <w:hideMark/>
          </w:tcPr>
          <w:p w14:paraId="666251B2" w14:textId="77777777" w:rsidR="007E45C3" w:rsidRPr="00446FEC" w:rsidRDefault="007E45C3" w:rsidP="00813C37">
            <w:pPr>
              <w:pStyle w:val="Tabletext"/>
            </w:pPr>
            <w:r w:rsidRPr="00446FEC">
              <w:t>Bottom-up (BU)</w:t>
            </w:r>
          </w:p>
        </w:tc>
        <w:tc>
          <w:tcPr>
            <w:tcW w:w="2036" w:type="dxa"/>
            <w:tcBorders>
              <w:top w:val="nil"/>
              <w:left w:val="nil"/>
              <w:bottom w:val="single" w:sz="4" w:space="0" w:color="auto"/>
              <w:right w:val="single" w:sz="4" w:space="0" w:color="auto"/>
            </w:tcBorders>
            <w:vAlign w:val="center"/>
            <w:hideMark/>
          </w:tcPr>
          <w:p w14:paraId="64E50C27" w14:textId="77777777" w:rsidR="007E45C3" w:rsidRPr="00446FEC" w:rsidRDefault="007E45C3" w:rsidP="00813C37">
            <w:pPr>
              <w:pStyle w:val="Tabletext"/>
              <w:jc w:val="center"/>
            </w:pPr>
            <w:r w:rsidRPr="00446FEC">
              <w:t>17.30%</w:t>
            </w:r>
          </w:p>
        </w:tc>
        <w:tc>
          <w:tcPr>
            <w:tcW w:w="2142" w:type="dxa"/>
            <w:tcBorders>
              <w:top w:val="nil"/>
              <w:left w:val="nil"/>
              <w:bottom w:val="single" w:sz="4" w:space="0" w:color="auto"/>
              <w:right w:val="single" w:sz="4" w:space="0" w:color="auto"/>
            </w:tcBorders>
            <w:vAlign w:val="center"/>
            <w:hideMark/>
          </w:tcPr>
          <w:p w14:paraId="421022FD" w14:textId="77777777" w:rsidR="007E45C3" w:rsidRPr="00446FEC" w:rsidRDefault="007E45C3" w:rsidP="00813C37">
            <w:pPr>
              <w:pStyle w:val="Tabletext"/>
              <w:jc w:val="center"/>
            </w:pPr>
            <w:r w:rsidRPr="00446FEC">
              <w:t>23%</w:t>
            </w:r>
          </w:p>
        </w:tc>
        <w:tc>
          <w:tcPr>
            <w:tcW w:w="1743" w:type="dxa"/>
            <w:tcBorders>
              <w:top w:val="nil"/>
              <w:left w:val="nil"/>
              <w:bottom w:val="single" w:sz="4" w:space="0" w:color="auto"/>
              <w:right w:val="single" w:sz="4" w:space="0" w:color="auto"/>
            </w:tcBorders>
            <w:vAlign w:val="center"/>
            <w:hideMark/>
          </w:tcPr>
          <w:p w14:paraId="001B1031" w14:textId="77777777" w:rsidR="007E45C3" w:rsidRPr="00446FEC" w:rsidRDefault="007E45C3" w:rsidP="00813C37">
            <w:pPr>
              <w:pStyle w:val="Tabletext"/>
              <w:jc w:val="center"/>
            </w:pPr>
            <w:r w:rsidRPr="00446FEC">
              <w:t>6.63%</w:t>
            </w:r>
          </w:p>
        </w:tc>
        <w:tc>
          <w:tcPr>
            <w:tcW w:w="1849" w:type="dxa"/>
            <w:tcBorders>
              <w:top w:val="nil"/>
              <w:left w:val="nil"/>
              <w:bottom w:val="single" w:sz="4" w:space="0" w:color="auto"/>
              <w:right w:val="single" w:sz="4" w:space="0" w:color="auto"/>
            </w:tcBorders>
            <w:vAlign w:val="center"/>
            <w:hideMark/>
          </w:tcPr>
          <w:p w14:paraId="2948D7D5" w14:textId="77777777" w:rsidR="007E45C3" w:rsidRPr="00446FEC" w:rsidRDefault="007E45C3" w:rsidP="00813C37">
            <w:pPr>
              <w:pStyle w:val="Tabletext"/>
              <w:jc w:val="center"/>
            </w:pPr>
            <w:r w:rsidRPr="00446FEC">
              <w:t>7.14%</w:t>
            </w:r>
          </w:p>
        </w:tc>
      </w:tr>
      <w:tr w:rsidR="007E45C3" w:rsidRPr="00446FEC" w14:paraId="0AF62ECF" w14:textId="77777777" w:rsidTr="009105AB">
        <w:trPr>
          <w:trHeight w:val="308"/>
          <w:jc w:val="center"/>
        </w:trPr>
        <w:tc>
          <w:tcPr>
            <w:tcW w:w="1783" w:type="dxa"/>
            <w:tcBorders>
              <w:top w:val="nil"/>
              <w:left w:val="single" w:sz="4" w:space="0" w:color="auto"/>
              <w:bottom w:val="single" w:sz="4" w:space="0" w:color="auto"/>
              <w:right w:val="single" w:sz="4" w:space="0" w:color="auto"/>
            </w:tcBorders>
            <w:vAlign w:val="center"/>
            <w:hideMark/>
          </w:tcPr>
          <w:p w14:paraId="363E2A09" w14:textId="77777777" w:rsidR="007E45C3" w:rsidRPr="00446FEC" w:rsidRDefault="007E45C3" w:rsidP="00813C37">
            <w:pPr>
              <w:pStyle w:val="Tabletext"/>
            </w:pPr>
            <w:r w:rsidRPr="00446FEC">
              <w:t>Hybrid</w:t>
            </w:r>
          </w:p>
        </w:tc>
        <w:tc>
          <w:tcPr>
            <w:tcW w:w="2036" w:type="dxa"/>
            <w:tcBorders>
              <w:top w:val="nil"/>
              <w:left w:val="nil"/>
              <w:bottom w:val="single" w:sz="4" w:space="0" w:color="auto"/>
              <w:right w:val="single" w:sz="4" w:space="0" w:color="auto"/>
            </w:tcBorders>
            <w:vAlign w:val="center"/>
            <w:hideMark/>
          </w:tcPr>
          <w:p w14:paraId="09DF79D5" w14:textId="77777777" w:rsidR="007E45C3" w:rsidRPr="00446FEC" w:rsidRDefault="007E45C3" w:rsidP="00813C37">
            <w:pPr>
              <w:pStyle w:val="Tabletext"/>
              <w:jc w:val="center"/>
            </w:pPr>
            <w:r w:rsidRPr="00446FEC">
              <w:t>8.67%</w:t>
            </w:r>
          </w:p>
        </w:tc>
        <w:tc>
          <w:tcPr>
            <w:tcW w:w="2142" w:type="dxa"/>
            <w:tcBorders>
              <w:top w:val="nil"/>
              <w:left w:val="nil"/>
              <w:bottom w:val="single" w:sz="4" w:space="0" w:color="auto"/>
              <w:right w:val="single" w:sz="4" w:space="0" w:color="auto"/>
            </w:tcBorders>
            <w:vAlign w:val="center"/>
            <w:hideMark/>
          </w:tcPr>
          <w:p w14:paraId="5D519CB2" w14:textId="77777777" w:rsidR="007E45C3" w:rsidRPr="00446FEC" w:rsidRDefault="007E45C3" w:rsidP="00813C37">
            <w:pPr>
              <w:pStyle w:val="Tabletext"/>
              <w:jc w:val="center"/>
            </w:pPr>
            <w:r w:rsidRPr="00446FEC">
              <w:t>9.69%</w:t>
            </w:r>
          </w:p>
        </w:tc>
        <w:tc>
          <w:tcPr>
            <w:tcW w:w="1743" w:type="dxa"/>
            <w:tcBorders>
              <w:top w:val="nil"/>
              <w:left w:val="nil"/>
              <w:bottom w:val="single" w:sz="4" w:space="0" w:color="auto"/>
              <w:right w:val="single" w:sz="4" w:space="0" w:color="auto"/>
            </w:tcBorders>
            <w:vAlign w:val="center"/>
            <w:hideMark/>
          </w:tcPr>
          <w:p w14:paraId="1EF53AF9" w14:textId="77777777" w:rsidR="007E45C3" w:rsidRPr="00446FEC" w:rsidRDefault="007E45C3" w:rsidP="00813C37">
            <w:pPr>
              <w:pStyle w:val="Tabletext"/>
              <w:jc w:val="center"/>
            </w:pPr>
            <w:r w:rsidRPr="00446FEC">
              <w:t>6.12%</w:t>
            </w:r>
          </w:p>
        </w:tc>
        <w:tc>
          <w:tcPr>
            <w:tcW w:w="1849" w:type="dxa"/>
            <w:tcBorders>
              <w:top w:val="nil"/>
              <w:left w:val="nil"/>
              <w:bottom w:val="single" w:sz="4" w:space="0" w:color="auto"/>
              <w:right w:val="single" w:sz="4" w:space="0" w:color="auto"/>
            </w:tcBorders>
            <w:vAlign w:val="center"/>
            <w:hideMark/>
          </w:tcPr>
          <w:p w14:paraId="40E421EC" w14:textId="77777777" w:rsidR="007E45C3" w:rsidRPr="00446FEC" w:rsidRDefault="007E45C3" w:rsidP="00813C37">
            <w:pPr>
              <w:pStyle w:val="Tabletext"/>
              <w:jc w:val="center"/>
            </w:pPr>
            <w:r w:rsidRPr="00446FEC">
              <w:t>7.14%</w:t>
            </w:r>
          </w:p>
        </w:tc>
      </w:tr>
      <w:tr w:rsidR="007E45C3" w:rsidRPr="00446FEC" w14:paraId="37B6CEB5" w14:textId="77777777" w:rsidTr="009105AB">
        <w:trPr>
          <w:trHeight w:val="308"/>
          <w:jc w:val="center"/>
        </w:trPr>
        <w:tc>
          <w:tcPr>
            <w:tcW w:w="1783" w:type="dxa"/>
            <w:tcBorders>
              <w:top w:val="nil"/>
              <w:left w:val="single" w:sz="4" w:space="0" w:color="auto"/>
              <w:bottom w:val="single" w:sz="4" w:space="0" w:color="auto"/>
              <w:right w:val="single" w:sz="4" w:space="0" w:color="auto"/>
            </w:tcBorders>
            <w:vAlign w:val="center"/>
            <w:hideMark/>
          </w:tcPr>
          <w:p w14:paraId="216E6709" w14:textId="77777777" w:rsidR="007E45C3" w:rsidRPr="00446FEC" w:rsidRDefault="007E45C3" w:rsidP="00813C37">
            <w:pPr>
              <w:pStyle w:val="Tabletext"/>
            </w:pPr>
            <w:r w:rsidRPr="00446FEC">
              <w:t>Top-down (TD)</w:t>
            </w:r>
          </w:p>
        </w:tc>
        <w:tc>
          <w:tcPr>
            <w:tcW w:w="2036" w:type="dxa"/>
            <w:tcBorders>
              <w:top w:val="nil"/>
              <w:left w:val="nil"/>
              <w:bottom w:val="single" w:sz="4" w:space="0" w:color="auto"/>
              <w:right w:val="single" w:sz="4" w:space="0" w:color="auto"/>
            </w:tcBorders>
            <w:vAlign w:val="center"/>
            <w:hideMark/>
          </w:tcPr>
          <w:p w14:paraId="237381B6" w14:textId="77777777" w:rsidR="007E45C3" w:rsidRPr="00446FEC" w:rsidRDefault="007E45C3" w:rsidP="00813C37">
            <w:pPr>
              <w:pStyle w:val="Tabletext"/>
              <w:jc w:val="center"/>
            </w:pPr>
            <w:r w:rsidRPr="00446FEC">
              <w:t>7.14%</w:t>
            </w:r>
          </w:p>
        </w:tc>
        <w:tc>
          <w:tcPr>
            <w:tcW w:w="2142" w:type="dxa"/>
            <w:tcBorders>
              <w:top w:val="nil"/>
              <w:left w:val="nil"/>
              <w:bottom w:val="single" w:sz="4" w:space="0" w:color="auto"/>
              <w:right w:val="single" w:sz="4" w:space="0" w:color="auto"/>
            </w:tcBorders>
            <w:vAlign w:val="center"/>
            <w:hideMark/>
          </w:tcPr>
          <w:p w14:paraId="2143FADC" w14:textId="77777777" w:rsidR="007E45C3" w:rsidRPr="00446FEC" w:rsidRDefault="007E45C3" w:rsidP="00813C37">
            <w:pPr>
              <w:pStyle w:val="Tabletext"/>
              <w:jc w:val="center"/>
            </w:pPr>
            <w:r w:rsidRPr="00446FEC">
              <w:t>8.67%</w:t>
            </w:r>
          </w:p>
        </w:tc>
        <w:tc>
          <w:tcPr>
            <w:tcW w:w="1743" w:type="dxa"/>
            <w:tcBorders>
              <w:top w:val="nil"/>
              <w:left w:val="nil"/>
              <w:bottom w:val="single" w:sz="4" w:space="0" w:color="auto"/>
              <w:right w:val="single" w:sz="4" w:space="0" w:color="auto"/>
            </w:tcBorders>
            <w:vAlign w:val="center"/>
            <w:hideMark/>
          </w:tcPr>
          <w:p w14:paraId="47FB984C" w14:textId="77777777" w:rsidR="007E45C3" w:rsidRPr="00446FEC" w:rsidRDefault="007E45C3" w:rsidP="00813C37">
            <w:pPr>
              <w:pStyle w:val="Tabletext"/>
              <w:jc w:val="center"/>
            </w:pPr>
            <w:r w:rsidRPr="00446FEC">
              <w:t>5.61%</w:t>
            </w:r>
          </w:p>
        </w:tc>
        <w:tc>
          <w:tcPr>
            <w:tcW w:w="1849" w:type="dxa"/>
            <w:tcBorders>
              <w:top w:val="nil"/>
              <w:left w:val="nil"/>
              <w:bottom w:val="single" w:sz="4" w:space="0" w:color="auto"/>
              <w:right w:val="single" w:sz="4" w:space="0" w:color="auto"/>
            </w:tcBorders>
            <w:vAlign w:val="center"/>
            <w:hideMark/>
          </w:tcPr>
          <w:p w14:paraId="1A0E754D" w14:textId="77777777" w:rsidR="007E45C3" w:rsidRPr="00446FEC" w:rsidRDefault="007E45C3" w:rsidP="00813C37">
            <w:pPr>
              <w:pStyle w:val="Tabletext"/>
              <w:jc w:val="center"/>
            </w:pPr>
            <w:r w:rsidRPr="00446FEC">
              <w:t>7.65%</w:t>
            </w:r>
          </w:p>
        </w:tc>
      </w:tr>
      <w:tr w:rsidR="007E45C3" w:rsidRPr="00446FEC" w14:paraId="08579367" w14:textId="77777777" w:rsidTr="009105AB">
        <w:trPr>
          <w:trHeight w:val="308"/>
          <w:jc w:val="center"/>
        </w:trPr>
        <w:tc>
          <w:tcPr>
            <w:tcW w:w="1783" w:type="dxa"/>
            <w:tcBorders>
              <w:top w:val="nil"/>
              <w:left w:val="single" w:sz="4" w:space="0" w:color="auto"/>
              <w:bottom w:val="single" w:sz="4" w:space="0" w:color="auto"/>
              <w:right w:val="single" w:sz="4" w:space="0" w:color="auto"/>
            </w:tcBorders>
            <w:vAlign w:val="center"/>
            <w:hideMark/>
          </w:tcPr>
          <w:p w14:paraId="7B24D762" w14:textId="77777777" w:rsidR="007E45C3" w:rsidRPr="00446FEC" w:rsidRDefault="007E45C3" w:rsidP="00813C37">
            <w:pPr>
              <w:pStyle w:val="Tabletext"/>
            </w:pPr>
            <w:r w:rsidRPr="00446FEC">
              <w:t>Other</w:t>
            </w:r>
          </w:p>
        </w:tc>
        <w:tc>
          <w:tcPr>
            <w:tcW w:w="2036" w:type="dxa"/>
            <w:tcBorders>
              <w:top w:val="nil"/>
              <w:left w:val="nil"/>
              <w:bottom w:val="single" w:sz="4" w:space="0" w:color="auto"/>
              <w:right w:val="single" w:sz="4" w:space="0" w:color="auto"/>
            </w:tcBorders>
            <w:vAlign w:val="center"/>
            <w:hideMark/>
          </w:tcPr>
          <w:p w14:paraId="4F67BE71" w14:textId="77777777" w:rsidR="007E45C3" w:rsidRPr="00446FEC" w:rsidRDefault="007E45C3" w:rsidP="00813C37">
            <w:pPr>
              <w:pStyle w:val="Tabletext"/>
              <w:jc w:val="center"/>
            </w:pPr>
            <w:r w:rsidRPr="00446FEC">
              <w:t>11.20%</w:t>
            </w:r>
          </w:p>
        </w:tc>
        <w:tc>
          <w:tcPr>
            <w:tcW w:w="2142" w:type="dxa"/>
            <w:tcBorders>
              <w:top w:val="nil"/>
              <w:left w:val="nil"/>
              <w:bottom w:val="single" w:sz="4" w:space="0" w:color="auto"/>
              <w:right w:val="single" w:sz="4" w:space="0" w:color="auto"/>
            </w:tcBorders>
            <w:vAlign w:val="center"/>
            <w:hideMark/>
          </w:tcPr>
          <w:p w14:paraId="5A01C7FF" w14:textId="77777777" w:rsidR="007E45C3" w:rsidRPr="00446FEC" w:rsidRDefault="007E45C3" w:rsidP="00813C37">
            <w:pPr>
              <w:pStyle w:val="Tabletext"/>
              <w:jc w:val="center"/>
            </w:pPr>
            <w:r w:rsidRPr="00446FEC">
              <w:t>14.30%</w:t>
            </w:r>
          </w:p>
        </w:tc>
        <w:tc>
          <w:tcPr>
            <w:tcW w:w="1743" w:type="dxa"/>
            <w:tcBorders>
              <w:top w:val="nil"/>
              <w:left w:val="nil"/>
              <w:bottom w:val="single" w:sz="4" w:space="0" w:color="auto"/>
              <w:right w:val="single" w:sz="4" w:space="0" w:color="auto"/>
            </w:tcBorders>
            <w:vAlign w:val="center"/>
            <w:hideMark/>
          </w:tcPr>
          <w:p w14:paraId="11625E67" w14:textId="77777777" w:rsidR="007E45C3" w:rsidRPr="00446FEC" w:rsidRDefault="007E45C3" w:rsidP="00813C37">
            <w:pPr>
              <w:pStyle w:val="Tabletext"/>
              <w:jc w:val="center"/>
            </w:pPr>
            <w:r w:rsidRPr="00446FEC">
              <w:t>10.70%</w:t>
            </w:r>
          </w:p>
        </w:tc>
        <w:tc>
          <w:tcPr>
            <w:tcW w:w="1849" w:type="dxa"/>
            <w:tcBorders>
              <w:top w:val="nil"/>
              <w:left w:val="nil"/>
              <w:bottom w:val="single" w:sz="4" w:space="0" w:color="auto"/>
              <w:right w:val="single" w:sz="4" w:space="0" w:color="auto"/>
            </w:tcBorders>
            <w:vAlign w:val="center"/>
            <w:hideMark/>
          </w:tcPr>
          <w:p w14:paraId="05CC43F4" w14:textId="77777777" w:rsidR="007E45C3" w:rsidRPr="00446FEC" w:rsidRDefault="007E45C3" w:rsidP="00813C37">
            <w:pPr>
              <w:pStyle w:val="Tabletext"/>
              <w:jc w:val="center"/>
            </w:pPr>
            <w:r w:rsidRPr="00446FEC">
              <w:t>10.70%</w:t>
            </w:r>
          </w:p>
        </w:tc>
      </w:tr>
    </w:tbl>
    <w:p w14:paraId="032FE2B2" w14:textId="77777777" w:rsidR="007E45C3" w:rsidRPr="00446FEC" w:rsidRDefault="007E45C3" w:rsidP="00813C37">
      <w:r w:rsidRPr="00446FEC">
        <w:t>How are regulated service prices determined (see Table B.5)?</w:t>
      </w:r>
    </w:p>
    <w:tbl>
      <w:tblPr>
        <w:tblW w:w="9639" w:type="dxa"/>
        <w:jc w:val="center"/>
        <w:tblLook w:val="04A0" w:firstRow="1" w:lastRow="0" w:firstColumn="1" w:lastColumn="0" w:noHBand="0" w:noVBand="1"/>
      </w:tblPr>
      <w:tblGrid>
        <w:gridCol w:w="2806"/>
        <w:gridCol w:w="2215"/>
        <w:gridCol w:w="2123"/>
        <w:gridCol w:w="2566"/>
      </w:tblGrid>
      <w:tr w:rsidR="007E45C3" w:rsidRPr="00446FEC" w14:paraId="474C5D30" w14:textId="77777777" w:rsidTr="00813C37">
        <w:trPr>
          <w:trHeight w:val="290"/>
          <w:jc w:val="center"/>
        </w:trPr>
        <w:tc>
          <w:tcPr>
            <w:tcW w:w="9710" w:type="dxa"/>
            <w:gridSpan w:val="4"/>
            <w:tcBorders>
              <w:bottom w:val="single" w:sz="4" w:space="0" w:color="auto"/>
            </w:tcBorders>
            <w:noWrap/>
            <w:vAlign w:val="center"/>
          </w:tcPr>
          <w:p w14:paraId="5F186E4D" w14:textId="001558F2" w:rsidR="007E45C3" w:rsidRPr="00446FEC" w:rsidRDefault="007E45C3" w:rsidP="00A406B6">
            <w:pPr>
              <w:pStyle w:val="TableNoTitle0"/>
            </w:pPr>
            <w:r w:rsidRPr="00446FEC">
              <w:t xml:space="preserve">Table B.5 </w:t>
            </w:r>
            <w:r w:rsidRPr="00446FEC">
              <w:sym w:font="Symbol" w:char="F02D"/>
            </w:r>
            <w:r w:rsidRPr="00446FEC">
              <w:t xml:space="preserve"> How regulated service prices are determined</w:t>
            </w:r>
          </w:p>
        </w:tc>
      </w:tr>
      <w:tr w:rsidR="007E45C3" w:rsidRPr="00446FEC" w14:paraId="793BE3B6" w14:textId="77777777" w:rsidTr="00813C37">
        <w:trPr>
          <w:trHeight w:val="290"/>
          <w:jc w:val="center"/>
        </w:trPr>
        <w:tc>
          <w:tcPr>
            <w:tcW w:w="2806" w:type="dxa"/>
            <w:tcBorders>
              <w:top w:val="single" w:sz="4" w:space="0" w:color="auto"/>
              <w:left w:val="single" w:sz="4" w:space="0" w:color="auto"/>
              <w:bottom w:val="single" w:sz="4" w:space="0" w:color="auto"/>
              <w:right w:val="single" w:sz="4" w:space="0" w:color="auto"/>
            </w:tcBorders>
            <w:noWrap/>
            <w:vAlign w:val="center"/>
            <w:hideMark/>
          </w:tcPr>
          <w:p w14:paraId="579FC36B" w14:textId="77777777" w:rsidR="007E45C3" w:rsidRPr="00446FEC" w:rsidRDefault="007E45C3" w:rsidP="00813C37">
            <w:pPr>
              <w:pStyle w:val="Tablehead"/>
            </w:pPr>
            <w:r w:rsidRPr="00446FEC">
              <w:t>Factor</w:t>
            </w:r>
          </w:p>
        </w:tc>
        <w:tc>
          <w:tcPr>
            <w:tcW w:w="2215" w:type="dxa"/>
            <w:tcBorders>
              <w:top w:val="single" w:sz="4" w:space="0" w:color="auto"/>
              <w:left w:val="nil"/>
              <w:bottom w:val="single" w:sz="4" w:space="0" w:color="auto"/>
              <w:right w:val="single" w:sz="4" w:space="0" w:color="auto"/>
            </w:tcBorders>
            <w:noWrap/>
            <w:vAlign w:val="center"/>
            <w:hideMark/>
          </w:tcPr>
          <w:p w14:paraId="2718B691" w14:textId="77777777" w:rsidR="007E45C3" w:rsidRPr="00446FEC" w:rsidRDefault="007E45C3" w:rsidP="00813C37">
            <w:pPr>
              <w:pStyle w:val="Tablehead"/>
            </w:pPr>
            <w:r w:rsidRPr="00446FEC">
              <w:t>Traditional retail services</w:t>
            </w:r>
          </w:p>
        </w:tc>
        <w:tc>
          <w:tcPr>
            <w:tcW w:w="2123" w:type="dxa"/>
            <w:tcBorders>
              <w:top w:val="single" w:sz="4" w:space="0" w:color="auto"/>
              <w:left w:val="nil"/>
              <w:bottom w:val="single" w:sz="4" w:space="0" w:color="auto"/>
              <w:right w:val="single" w:sz="4" w:space="0" w:color="auto"/>
            </w:tcBorders>
            <w:noWrap/>
            <w:vAlign w:val="center"/>
            <w:hideMark/>
          </w:tcPr>
          <w:p w14:paraId="7A209238" w14:textId="77777777" w:rsidR="007E45C3" w:rsidRPr="00446FEC" w:rsidRDefault="007E45C3" w:rsidP="00813C37">
            <w:pPr>
              <w:pStyle w:val="Tablehead"/>
            </w:pPr>
            <w:r w:rsidRPr="00446FEC">
              <w:t>Advanced retail services</w:t>
            </w:r>
          </w:p>
        </w:tc>
        <w:tc>
          <w:tcPr>
            <w:tcW w:w="2566" w:type="dxa"/>
            <w:tcBorders>
              <w:top w:val="single" w:sz="4" w:space="0" w:color="auto"/>
              <w:left w:val="nil"/>
              <w:bottom w:val="single" w:sz="4" w:space="0" w:color="auto"/>
              <w:right w:val="single" w:sz="4" w:space="0" w:color="auto"/>
            </w:tcBorders>
            <w:noWrap/>
            <w:vAlign w:val="center"/>
            <w:hideMark/>
          </w:tcPr>
          <w:p w14:paraId="4E965B5D" w14:textId="77777777" w:rsidR="007E45C3" w:rsidRPr="00446FEC" w:rsidRDefault="007E45C3" w:rsidP="00813C37">
            <w:pPr>
              <w:pStyle w:val="Tablehead"/>
            </w:pPr>
            <w:r w:rsidRPr="00446FEC">
              <w:rPr>
                <w:color w:val="000000" w:themeColor="text1"/>
              </w:rPr>
              <w:t>Advanced wholesale services</w:t>
            </w:r>
          </w:p>
        </w:tc>
      </w:tr>
      <w:tr w:rsidR="007E45C3" w:rsidRPr="00446FEC" w14:paraId="4B504FB0" w14:textId="77777777" w:rsidTr="00813C37">
        <w:trPr>
          <w:trHeight w:val="310"/>
          <w:jc w:val="center"/>
        </w:trPr>
        <w:tc>
          <w:tcPr>
            <w:tcW w:w="2806" w:type="dxa"/>
            <w:tcBorders>
              <w:top w:val="nil"/>
              <w:left w:val="single" w:sz="4" w:space="0" w:color="auto"/>
              <w:bottom w:val="single" w:sz="4" w:space="0" w:color="auto"/>
              <w:right w:val="single" w:sz="4" w:space="0" w:color="auto"/>
            </w:tcBorders>
            <w:vAlign w:val="center"/>
            <w:hideMark/>
          </w:tcPr>
          <w:p w14:paraId="099BB0A9" w14:textId="77777777" w:rsidR="007E45C3" w:rsidRPr="00446FEC" w:rsidRDefault="007E45C3" w:rsidP="00A406B6">
            <w:pPr>
              <w:pStyle w:val="Tabletext"/>
            </w:pPr>
            <w:r w:rsidRPr="00446FEC">
              <w:t>Benchmarking of tariffs</w:t>
            </w:r>
          </w:p>
        </w:tc>
        <w:tc>
          <w:tcPr>
            <w:tcW w:w="2215" w:type="dxa"/>
            <w:tcBorders>
              <w:top w:val="nil"/>
              <w:left w:val="nil"/>
              <w:bottom w:val="single" w:sz="4" w:space="0" w:color="auto"/>
              <w:right w:val="single" w:sz="4" w:space="0" w:color="auto"/>
            </w:tcBorders>
            <w:vAlign w:val="center"/>
            <w:hideMark/>
          </w:tcPr>
          <w:p w14:paraId="34D4FA78" w14:textId="77777777" w:rsidR="007E45C3" w:rsidRPr="00446FEC" w:rsidRDefault="007E45C3" w:rsidP="00A406B6">
            <w:pPr>
              <w:pStyle w:val="Tabletext"/>
              <w:jc w:val="center"/>
            </w:pPr>
            <w:r w:rsidRPr="00446FEC">
              <w:t>11.20%</w:t>
            </w:r>
          </w:p>
        </w:tc>
        <w:tc>
          <w:tcPr>
            <w:tcW w:w="2123" w:type="dxa"/>
            <w:tcBorders>
              <w:top w:val="nil"/>
              <w:left w:val="nil"/>
              <w:bottom w:val="single" w:sz="4" w:space="0" w:color="auto"/>
              <w:right w:val="single" w:sz="4" w:space="0" w:color="auto"/>
            </w:tcBorders>
            <w:vAlign w:val="center"/>
            <w:hideMark/>
          </w:tcPr>
          <w:p w14:paraId="69999479" w14:textId="77777777" w:rsidR="007E45C3" w:rsidRPr="00446FEC" w:rsidRDefault="007E45C3" w:rsidP="00A406B6">
            <w:pPr>
              <w:pStyle w:val="Tabletext"/>
              <w:jc w:val="center"/>
            </w:pPr>
            <w:r w:rsidRPr="00446FEC">
              <w:t>10.70%</w:t>
            </w:r>
          </w:p>
        </w:tc>
        <w:tc>
          <w:tcPr>
            <w:tcW w:w="2566" w:type="dxa"/>
            <w:tcBorders>
              <w:top w:val="nil"/>
              <w:left w:val="nil"/>
              <w:bottom w:val="single" w:sz="4" w:space="0" w:color="auto"/>
              <w:right w:val="single" w:sz="4" w:space="0" w:color="auto"/>
            </w:tcBorders>
            <w:vAlign w:val="center"/>
            <w:hideMark/>
          </w:tcPr>
          <w:p w14:paraId="43E1DFB7" w14:textId="77777777" w:rsidR="007E45C3" w:rsidRPr="00446FEC" w:rsidRDefault="007E45C3" w:rsidP="00A406B6">
            <w:pPr>
              <w:pStyle w:val="Tabletext"/>
              <w:jc w:val="center"/>
            </w:pPr>
            <w:r w:rsidRPr="00446FEC">
              <w:t>11.70%</w:t>
            </w:r>
          </w:p>
        </w:tc>
      </w:tr>
      <w:tr w:rsidR="007E45C3" w:rsidRPr="00446FEC" w14:paraId="3E3844F7" w14:textId="77777777" w:rsidTr="00813C37">
        <w:trPr>
          <w:trHeight w:val="620"/>
          <w:jc w:val="center"/>
        </w:trPr>
        <w:tc>
          <w:tcPr>
            <w:tcW w:w="2806" w:type="dxa"/>
            <w:tcBorders>
              <w:top w:val="nil"/>
              <w:left w:val="single" w:sz="4" w:space="0" w:color="auto"/>
              <w:bottom w:val="single" w:sz="4" w:space="0" w:color="auto"/>
              <w:right w:val="single" w:sz="4" w:space="0" w:color="auto"/>
            </w:tcBorders>
            <w:vAlign w:val="center"/>
            <w:hideMark/>
          </w:tcPr>
          <w:p w14:paraId="630DF577" w14:textId="77777777" w:rsidR="007E45C3" w:rsidRPr="00446FEC" w:rsidRDefault="007E45C3" w:rsidP="00A406B6">
            <w:pPr>
              <w:pStyle w:val="Tabletext"/>
            </w:pPr>
            <w:r w:rsidRPr="00446FEC">
              <w:t>Cost orientation (using cost models)</w:t>
            </w:r>
          </w:p>
        </w:tc>
        <w:tc>
          <w:tcPr>
            <w:tcW w:w="2215" w:type="dxa"/>
            <w:tcBorders>
              <w:top w:val="nil"/>
              <w:left w:val="nil"/>
              <w:bottom w:val="single" w:sz="4" w:space="0" w:color="auto"/>
              <w:right w:val="single" w:sz="4" w:space="0" w:color="auto"/>
            </w:tcBorders>
            <w:vAlign w:val="center"/>
            <w:hideMark/>
          </w:tcPr>
          <w:p w14:paraId="298ED0F7" w14:textId="77777777" w:rsidR="007E45C3" w:rsidRPr="00446FEC" w:rsidRDefault="007E45C3" w:rsidP="00A406B6">
            <w:pPr>
              <w:pStyle w:val="Tabletext"/>
              <w:jc w:val="center"/>
            </w:pPr>
            <w:r w:rsidRPr="00446FEC">
              <w:t>18.40%</w:t>
            </w:r>
          </w:p>
        </w:tc>
        <w:tc>
          <w:tcPr>
            <w:tcW w:w="2123" w:type="dxa"/>
            <w:tcBorders>
              <w:top w:val="nil"/>
              <w:left w:val="nil"/>
              <w:bottom w:val="single" w:sz="4" w:space="0" w:color="auto"/>
              <w:right w:val="single" w:sz="4" w:space="0" w:color="auto"/>
            </w:tcBorders>
            <w:vAlign w:val="center"/>
            <w:hideMark/>
          </w:tcPr>
          <w:p w14:paraId="66F35B6F" w14:textId="77777777" w:rsidR="007E45C3" w:rsidRPr="00446FEC" w:rsidRDefault="007E45C3" w:rsidP="00A406B6">
            <w:pPr>
              <w:pStyle w:val="Tabletext"/>
              <w:jc w:val="center"/>
            </w:pPr>
            <w:r w:rsidRPr="00446FEC">
              <w:t>14.80%</w:t>
            </w:r>
          </w:p>
        </w:tc>
        <w:tc>
          <w:tcPr>
            <w:tcW w:w="2566" w:type="dxa"/>
            <w:tcBorders>
              <w:top w:val="nil"/>
              <w:left w:val="nil"/>
              <w:bottom w:val="single" w:sz="4" w:space="0" w:color="auto"/>
              <w:right w:val="single" w:sz="4" w:space="0" w:color="auto"/>
            </w:tcBorders>
            <w:vAlign w:val="center"/>
            <w:hideMark/>
          </w:tcPr>
          <w:p w14:paraId="2107AB03" w14:textId="77777777" w:rsidR="007E45C3" w:rsidRPr="00446FEC" w:rsidRDefault="007E45C3" w:rsidP="00A406B6">
            <w:pPr>
              <w:pStyle w:val="Tabletext"/>
              <w:jc w:val="center"/>
            </w:pPr>
            <w:r w:rsidRPr="00446FEC">
              <w:t>35.70%</w:t>
            </w:r>
          </w:p>
        </w:tc>
      </w:tr>
      <w:tr w:rsidR="007E45C3" w:rsidRPr="00446FEC" w14:paraId="20E6C0FE" w14:textId="77777777" w:rsidTr="00813C37">
        <w:trPr>
          <w:trHeight w:val="310"/>
          <w:jc w:val="center"/>
        </w:trPr>
        <w:tc>
          <w:tcPr>
            <w:tcW w:w="2806" w:type="dxa"/>
            <w:tcBorders>
              <w:top w:val="nil"/>
              <w:left w:val="single" w:sz="4" w:space="0" w:color="auto"/>
              <w:bottom w:val="single" w:sz="4" w:space="0" w:color="auto"/>
              <w:right w:val="single" w:sz="4" w:space="0" w:color="auto"/>
            </w:tcBorders>
            <w:vAlign w:val="center"/>
            <w:hideMark/>
          </w:tcPr>
          <w:p w14:paraId="0FBA9E63" w14:textId="77777777" w:rsidR="007E45C3" w:rsidRPr="00446FEC" w:rsidRDefault="007E45C3" w:rsidP="00A406B6">
            <w:pPr>
              <w:pStyle w:val="Tabletext"/>
            </w:pPr>
            <w:r w:rsidRPr="00446FEC">
              <w:t>Other</w:t>
            </w:r>
          </w:p>
        </w:tc>
        <w:tc>
          <w:tcPr>
            <w:tcW w:w="2215" w:type="dxa"/>
            <w:tcBorders>
              <w:top w:val="nil"/>
              <w:left w:val="nil"/>
              <w:bottom w:val="single" w:sz="4" w:space="0" w:color="auto"/>
              <w:right w:val="single" w:sz="4" w:space="0" w:color="auto"/>
            </w:tcBorders>
            <w:vAlign w:val="center"/>
            <w:hideMark/>
          </w:tcPr>
          <w:p w14:paraId="055AE99A" w14:textId="77777777" w:rsidR="007E45C3" w:rsidRPr="00446FEC" w:rsidRDefault="007E45C3" w:rsidP="00A406B6">
            <w:pPr>
              <w:pStyle w:val="Tabletext"/>
              <w:jc w:val="center"/>
            </w:pPr>
            <w:r w:rsidRPr="00446FEC">
              <w:t>10.70%</w:t>
            </w:r>
          </w:p>
        </w:tc>
        <w:tc>
          <w:tcPr>
            <w:tcW w:w="2123" w:type="dxa"/>
            <w:tcBorders>
              <w:top w:val="nil"/>
              <w:left w:val="nil"/>
              <w:bottom w:val="single" w:sz="4" w:space="0" w:color="auto"/>
              <w:right w:val="single" w:sz="4" w:space="0" w:color="auto"/>
            </w:tcBorders>
            <w:vAlign w:val="center"/>
            <w:hideMark/>
          </w:tcPr>
          <w:p w14:paraId="0BC05DD0" w14:textId="77777777" w:rsidR="007E45C3" w:rsidRPr="00446FEC" w:rsidRDefault="007E45C3" w:rsidP="00A406B6">
            <w:pPr>
              <w:pStyle w:val="Tabletext"/>
              <w:jc w:val="center"/>
            </w:pPr>
            <w:r w:rsidRPr="00446FEC">
              <w:t>10.70%</w:t>
            </w:r>
          </w:p>
        </w:tc>
        <w:tc>
          <w:tcPr>
            <w:tcW w:w="2566" w:type="dxa"/>
            <w:tcBorders>
              <w:top w:val="nil"/>
              <w:left w:val="nil"/>
              <w:bottom w:val="single" w:sz="4" w:space="0" w:color="auto"/>
              <w:right w:val="single" w:sz="4" w:space="0" w:color="auto"/>
            </w:tcBorders>
            <w:vAlign w:val="center"/>
            <w:hideMark/>
          </w:tcPr>
          <w:p w14:paraId="6DDBB61F" w14:textId="77777777" w:rsidR="007E45C3" w:rsidRPr="00446FEC" w:rsidRDefault="007E45C3" w:rsidP="00A406B6">
            <w:pPr>
              <w:pStyle w:val="Tabletext"/>
              <w:jc w:val="center"/>
            </w:pPr>
            <w:r w:rsidRPr="00446FEC">
              <w:t>8.67%</w:t>
            </w:r>
          </w:p>
        </w:tc>
      </w:tr>
      <w:tr w:rsidR="007E45C3" w:rsidRPr="00446FEC" w14:paraId="14823CDF" w14:textId="77777777" w:rsidTr="00813C37">
        <w:trPr>
          <w:trHeight w:val="310"/>
          <w:jc w:val="center"/>
        </w:trPr>
        <w:tc>
          <w:tcPr>
            <w:tcW w:w="2806" w:type="dxa"/>
            <w:tcBorders>
              <w:top w:val="nil"/>
              <w:left w:val="single" w:sz="4" w:space="0" w:color="auto"/>
              <w:bottom w:val="single" w:sz="4" w:space="0" w:color="auto"/>
              <w:right w:val="single" w:sz="4" w:space="0" w:color="auto"/>
            </w:tcBorders>
            <w:vAlign w:val="center"/>
            <w:hideMark/>
          </w:tcPr>
          <w:p w14:paraId="4F86A252" w14:textId="77777777" w:rsidR="007E45C3" w:rsidRPr="00446FEC" w:rsidRDefault="007E45C3" w:rsidP="00A406B6">
            <w:pPr>
              <w:pStyle w:val="Tabletext"/>
            </w:pPr>
            <w:r w:rsidRPr="00446FEC">
              <w:t>Price cap</w:t>
            </w:r>
          </w:p>
        </w:tc>
        <w:tc>
          <w:tcPr>
            <w:tcW w:w="2215" w:type="dxa"/>
            <w:tcBorders>
              <w:top w:val="nil"/>
              <w:left w:val="nil"/>
              <w:bottom w:val="single" w:sz="4" w:space="0" w:color="auto"/>
              <w:right w:val="single" w:sz="4" w:space="0" w:color="auto"/>
            </w:tcBorders>
            <w:vAlign w:val="center"/>
            <w:hideMark/>
          </w:tcPr>
          <w:p w14:paraId="7B0DF9A7" w14:textId="77777777" w:rsidR="007E45C3" w:rsidRPr="00446FEC" w:rsidRDefault="007E45C3" w:rsidP="00A406B6">
            <w:pPr>
              <w:pStyle w:val="Tabletext"/>
              <w:jc w:val="center"/>
            </w:pPr>
            <w:r w:rsidRPr="00446FEC">
              <w:t>11.20%</w:t>
            </w:r>
          </w:p>
        </w:tc>
        <w:tc>
          <w:tcPr>
            <w:tcW w:w="2123" w:type="dxa"/>
            <w:tcBorders>
              <w:top w:val="nil"/>
              <w:left w:val="nil"/>
              <w:bottom w:val="single" w:sz="4" w:space="0" w:color="auto"/>
              <w:right w:val="single" w:sz="4" w:space="0" w:color="auto"/>
            </w:tcBorders>
            <w:vAlign w:val="center"/>
            <w:hideMark/>
          </w:tcPr>
          <w:p w14:paraId="622F8203" w14:textId="77777777" w:rsidR="007E45C3" w:rsidRPr="00446FEC" w:rsidRDefault="007E45C3" w:rsidP="00A406B6">
            <w:pPr>
              <w:pStyle w:val="Tabletext"/>
              <w:jc w:val="center"/>
            </w:pPr>
            <w:r w:rsidRPr="00446FEC">
              <w:t>5.61%</w:t>
            </w:r>
          </w:p>
        </w:tc>
        <w:tc>
          <w:tcPr>
            <w:tcW w:w="2566" w:type="dxa"/>
            <w:tcBorders>
              <w:top w:val="nil"/>
              <w:left w:val="nil"/>
              <w:bottom w:val="single" w:sz="4" w:space="0" w:color="auto"/>
              <w:right w:val="single" w:sz="4" w:space="0" w:color="auto"/>
            </w:tcBorders>
            <w:vAlign w:val="center"/>
            <w:hideMark/>
          </w:tcPr>
          <w:p w14:paraId="539BA127" w14:textId="77777777" w:rsidR="007E45C3" w:rsidRPr="00446FEC" w:rsidRDefault="007E45C3" w:rsidP="00A406B6">
            <w:pPr>
              <w:pStyle w:val="Tabletext"/>
              <w:jc w:val="center"/>
            </w:pPr>
            <w:r w:rsidRPr="00446FEC">
              <w:t>6.12%</w:t>
            </w:r>
          </w:p>
        </w:tc>
      </w:tr>
      <w:tr w:rsidR="007E45C3" w:rsidRPr="00446FEC" w14:paraId="3BA94B8C" w14:textId="77777777" w:rsidTr="00813C37">
        <w:trPr>
          <w:trHeight w:val="310"/>
          <w:jc w:val="center"/>
        </w:trPr>
        <w:tc>
          <w:tcPr>
            <w:tcW w:w="2806" w:type="dxa"/>
            <w:tcBorders>
              <w:top w:val="nil"/>
              <w:left w:val="single" w:sz="4" w:space="0" w:color="auto"/>
              <w:bottom w:val="single" w:sz="4" w:space="0" w:color="auto"/>
              <w:right w:val="single" w:sz="4" w:space="0" w:color="auto"/>
            </w:tcBorders>
            <w:vAlign w:val="center"/>
            <w:hideMark/>
          </w:tcPr>
          <w:p w14:paraId="6365F979" w14:textId="77777777" w:rsidR="007E45C3" w:rsidRPr="00446FEC" w:rsidRDefault="007E45C3" w:rsidP="00A406B6">
            <w:pPr>
              <w:pStyle w:val="Tabletext"/>
            </w:pPr>
            <w:r w:rsidRPr="00446FEC">
              <w:t>Price ceiling set by the State</w:t>
            </w:r>
          </w:p>
        </w:tc>
        <w:tc>
          <w:tcPr>
            <w:tcW w:w="2215" w:type="dxa"/>
            <w:tcBorders>
              <w:top w:val="nil"/>
              <w:left w:val="nil"/>
              <w:bottom w:val="single" w:sz="4" w:space="0" w:color="auto"/>
              <w:right w:val="single" w:sz="4" w:space="0" w:color="auto"/>
            </w:tcBorders>
            <w:vAlign w:val="center"/>
            <w:hideMark/>
          </w:tcPr>
          <w:p w14:paraId="5A207537" w14:textId="77777777" w:rsidR="007E45C3" w:rsidRPr="00446FEC" w:rsidRDefault="007E45C3" w:rsidP="00A406B6">
            <w:pPr>
              <w:pStyle w:val="Tabletext"/>
              <w:jc w:val="center"/>
            </w:pPr>
            <w:r w:rsidRPr="00446FEC">
              <w:t>7.14%</w:t>
            </w:r>
          </w:p>
        </w:tc>
        <w:tc>
          <w:tcPr>
            <w:tcW w:w="2123" w:type="dxa"/>
            <w:tcBorders>
              <w:top w:val="nil"/>
              <w:left w:val="nil"/>
              <w:bottom w:val="single" w:sz="4" w:space="0" w:color="auto"/>
              <w:right w:val="single" w:sz="4" w:space="0" w:color="auto"/>
            </w:tcBorders>
            <w:vAlign w:val="center"/>
            <w:hideMark/>
          </w:tcPr>
          <w:p w14:paraId="2A3DAC27" w14:textId="77777777" w:rsidR="007E45C3" w:rsidRPr="00446FEC" w:rsidRDefault="007E45C3" w:rsidP="00A406B6">
            <w:pPr>
              <w:pStyle w:val="Tabletext"/>
              <w:jc w:val="center"/>
            </w:pPr>
            <w:r w:rsidRPr="00446FEC">
              <w:t>4.59%</w:t>
            </w:r>
          </w:p>
        </w:tc>
        <w:tc>
          <w:tcPr>
            <w:tcW w:w="2566" w:type="dxa"/>
            <w:tcBorders>
              <w:top w:val="nil"/>
              <w:left w:val="nil"/>
              <w:bottom w:val="single" w:sz="4" w:space="0" w:color="auto"/>
              <w:right w:val="single" w:sz="4" w:space="0" w:color="auto"/>
            </w:tcBorders>
            <w:vAlign w:val="center"/>
            <w:hideMark/>
          </w:tcPr>
          <w:p w14:paraId="1B022099" w14:textId="77777777" w:rsidR="007E45C3" w:rsidRPr="00446FEC" w:rsidRDefault="007E45C3" w:rsidP="00A406B6">
            <w:pPr>
              <w:pStyle w:val="Tabletext"/>
              <w:jc w:val="center"/>
            </w:pPr>
            <w:r w:rsidRPr="00446FEC">
              <w:t>6.63%</w:t>
            </w:r>
          </w:p>
        </w:tc>
      </w:tr>
      <w:tr w:rsidR="007E45C3" w:rsidRPr="00446FEC" w14:paraId="03F2CACC" w14:textId="77777777" w:rsidTr="00813C37">
        <w:trPr>
          <w:trHeight w:val="310"/>
          <w:jc w:val="center"/>
        </w:trPr>
        <w:tc>
          <w:tcPr>
            <w:tcW w:w="2806" w:type="dxa"/>
            <w:tcBorders>
              <w:top w:val="nil"/>
              <w:left w:val="single" w:sz="4" w:space="0" w:color="auto"/>
              <w:bottom w:val="single" w:sz="4" w:space="0" w:color="auto"/>
              <w:right w:val="single" w:sz="4" w:space="0" w:color="auto"/>
            </w:tcBorders>
            <w:vAlign w:val="center"/>
            <w:hideMark/>
          </w:tcPr>
          <w:p w14:paraId="68C41C03" w14:textId="77777777" w:rsidR="007E45C3" w:rsidRPr="00446FEC" w:rsidRDefault="007E45C3" w:rsidP="00A406B6">
            <w:pPr>
              <w:pStyle w:val="Tabletext"/>
            </w:pPr>
            <w:r w:rsidRPr="00446FEC">
              <w:t>Rate of return regulation</w:t>
            </w:r>
          </w:p>
        </w:tc>
        <w:tc>
          <w:tcPr>
            <w:tcW w:w="2215" w:type="dxa"/>
            <w:tcBorders>
              <w:top w:val="nil"/>
              <w:left w:val="nil"/>
              <w:bottom w:val="single" w:sz="4" w:space="0" w:color="auto"/>
              <w:right w:val="single" w:sz="4" w:space="0" w:color="auto"/>
            </w:tcBorders>
            <w:vAlign w:val="center"/>
            <w:hideMark/>
          </w:tcPr>
          <w:p w14:paraId="46739D58" w14:textId="77777777" w:rsidR="007E45C3" w:rsidRPr="00446FEC" w:rsidRDefault="007E45C3" w:rsidP="00A406B6">
            <w:pPr>
              <w:pStyle w:val="Tabletext"/>
              <w:jc w:val="center"/>
            </w:pPr>
            <w:r w:rsidRPr="00446FEC">
              <w:t>4.59%</w:t>
            </w:r>
          </w:p>
        </w:tc>
        <w:tc>
          <w:tcPr>
            <w:tcW w:w="2123" w:type="dxa"/>
            <w:tcBorders>
              <w:top w:val="nil"/>
              <w:left w:val="nil"/>
              <w:bottom w:val="single" w:sz="4" w:space="0" w:color="auto"/>
              <w:right w:val="single" w:sz="4" w:space="0" w:color="auto"/>
            </w:tcBorders>
            <w:vAlign w:val="center"/>
            <w:hideMark/>
          </w:tcPr>
          <w:p w14:paraId="5C681547" w14:textId="77777777" w:rsidR="007E45C3" w:rsidRPr="00446FEC" w:rsidRDefault="007E45C3" w:rsidP="00A406B6">
            <w:pPr>
              <w:pStyle w:val="Tabletext"/>
              <w:jc w:val="center"/>
            </w:pPr>
            <w:r w:rsidRPr="00446FEC">
              <w:t>3.57%</w:t>
            </w:r>
          </w:p>
        </w:tc>
        <w:tc>
          <w:tcPr>
            <w:tcW w:w="2566" w:type="dxa"/>
            <w:tcBorders>
              <w:top w:val="nil"/>
              <w:left w:val="nil"/>
              <w:bottom w:val="single" w:sz="4" w:space="0" w:color="auto"/>
              <w:right w:val="single" w:sz="4" w:space="0" w:color="auto"/>
            </w:tcBorders>
            <w:vAlign w:val="center"/>
            <w:hideMark/>
          </w:tcPr>
          <w:p w14:paraId="20053C9B" w14:textId="77777777" w:rsidR="007E45C3" w:rsidRPr="00446FEC" w:rsidRDefault="007E45C3" w:rsidP="00A406B6">
            <w:pPr>
              <w:pStyle w:val="Tabletext"/>
              <w:jc w:val="center"/>
            </w:pPr>
            <w:r w:rsidRPr="00446FEC">
              <w:t>4.59%</w:t>
            </w:r>
          </w:p>
        </w:tc>
      </w:tr>
      <w:tr w:rsidR="007E45C3" w:rsidRPr="00446FEC" w14:paraId="47CFC3B8" w14:textId="77777777" w:rsidTr="00813C37">
        <w:trPr>
          <w:trHeight w:val="310"/>
          <w:jc w:val="center"/>
        </w:trPr>
        <w:tc>
          <w:tcPr>
            <w:tcW w:w="2806" w:type="dxa"/>
            <w:tcBorders>
              <w:top w:val="nil"/>
              <w:left w:val="single" w:sz="4" w:space="0" w:color="auto"/>
              <w:bottom w:val="single" w:sz="4" w:space="0" w:color="auto"/>
              <w:right w:val="single" w:sz="4" w:space="0" w:color="auto"/>
            </w:tcBorders>
            <w:vAlign w:val="center"/>
            <w:hideMark/>
          </w:tcPr>
          <w:p w14:paraId="145AA856" w14:textId="77777777" w:rsidR="007E45C3" w:rsidRPr="00446FEC" w:rsidRDefault="007E45C3" w:rsidP="00A406B6">
            <w:pPr>
              <w:pStyle w:val="Tabletext"/>
            </w:pPr>
            <w:r w:rsidRPr="00446FEC">
              <w:t>Retail minus approach</w:t>
            </w:r>
          </w:p>
        </w:tc>
        <w:tc>
          <w:tcPr>
            <w:tcW w:w="2215" w:type="dxa"/>
            <w:tcBorders>
              <w:top w:val="nil"/>
              <w:left w:val="nil"/>
              <w:bottom w:val="single" w:sz="4" w:space="0" w:color="auto"/>
              <w:right w:val="single" w:sz="4" w:space="0" w:color="auto"/>
            </w:tcBorders>
            <w:vAlign w:val="center"/>
            <w:hideMark/>
          </w:tcPr>
          <w:p w14:paraId="74F8B5DE" w14:textId="77777777" w:rsidR="007E45C3" w:rsidRPr="00446FEC" w:rsidRDefault="007E45C3" w:rsidP="00A406B6">
            <w:pPr>
              <w:pStyle w:val="Tabletext"/>
              <w:jc w:val="center"/>
            </w:pPr>
            <w:r w:rsidRPr="00446FEC">
              <w:t>1.53%</w:t>
            </w:r>
          </w:p>
        </w:tc>
        <w:tc>
          <w:tcPr>
            <w:tcW w:w="2123" w:type="dxa"/>
            <w:tcBorders>
              <w:top w:val="nil"/>
              <w:left w:val="nil"/>
              <w:bottom w:val="single" w:sz="4" w:space="0" w:color="auto"/>
              <w:right w:val="single" w:sz="4" w:space="0" w:color="auto"/>
            </w:tcBorders>
            <w:vAlign w:val="center"/>
            <w:hideMark/>
          </w:tcPr>
          <w:p w14:paraId="0466028F" w14:textId="77777777" w:rsidR="007E45C3" w:rsidRPr="00446FEC" w:rsidRDefault="007E45C3" w:rsidP="00A406B6">
            <w:pPr>
              <w:pStyle w:val="Tabletext"/>
              <w:jc w:val="center"/>
            </w:pPr>
            <w:r w:rsidRPr="00446FEC">
              <w:t>2.04%</w:t>
            </w:r>
          </w:p>
        </w:tc>
        <w:tc>
          <w:tcPr>
            <w:tcW w:w="2566" w:type="dxa"/>
            <w:tcBorders>
              <w:top w:val="nil"/>
              <w:left w:val="nil"/>
              <w:bottom w:val="single" w:sz="4" w:space="0" w:color="auto"/>
              <w:right w:val="single" w:sz="4" w:space="0" w:color="auto"/>
            </w:tcBorders>
            <w:vAlign w:val="center"/>
            <w:hideMark/>
          </w:tcPr>
          <w:p w14:paraId="587CD3A2" w14:textId="77777777" w:rsidR="007E45C3" w:rsidRPr="00446FEC" w:rsidRDefault="007E45C3" w:rsidP="00A406B6">
            <w:pPr>
              <w:pStyle w:val="Tabletext"/>
              <w:jc w:val="center"/>
            </w:pPr>
            <w:r w:rsidRPr="00446FEC">
              <w:t>8.16%</w:t>
            </w:r>
          </w:p>
        </w:tc>
      </w:tr>
    </w:tbl>
    <w:p w14:paraId="089449D5" w14:textId="77777777" w:rsidR="007E45C3" w:rsidRPr="00446FEC" w:rsidRDefault="007E45C3" w:rsidP="00592FE6">
      <w:pPr>
        <w:rPr>
          <w:kern w:val="32"/>
          <w:szCs w:val="32"/>
        </w:rPr>
      </w:pPr>
      <w:r w:rsidRPr="00446FEC">
        <w:br w:type="page"/>
      </w:r>
    </w:p>
    <w:p w14:paraId="3BE117A4" w14:textId="6B138A25" w:rsidR="007E45C3" w:rsidRPr="00446FEC" w:rsidRDefault="007E45C3" w:rsidP="00592FE6">
      <w:pPr>
        <w:pStyle w:val="AnnexNoTitle0"/>
      </w:pPr>
      <w:bookmarkStart w:id="557" w:name="_Toc209722325"/>
      <w:bookmarkStart w:id="558" w:name="_Toc239193554"/>
      <w:bookmarkStart w:id="559" w:name="_Toc239232798"/>
      <w:bookmarkStart w:id="560" w:name="_Toc239240565"/>
      <w:r w:rsidRPr="00446FEC">
        <w:lastRenderedPageBreak/>
        <w:t xml:space="preserve">Annex C </w:t>
      </w:r>
      <w:r w:rsidR="00592FE6" w:rsidRPr="00446FEC">
        <w:br/>
      </w:r>
      <w:r w:rsidR="00592FE6" w:rsidRPr="00446FEC">
        <w:br/>
      </w:r>
      <w:r w:rsidRPr="00446FEC">
        <w:t>Country and regional case studies and innovative practices</w:t>
      </w:r>
      <w:bookmarkEnd w:id="557"/>
      <w:bookmarkEnd w:id="558"/>
      <w:bookmarkEnd w:id="559"/>
      <w:bookmarkEnd w:id="560"/>
    </w:p>
    <w:p w14:paraId="4554CF50" w14:textId="77777777" w:rsidR="007E45C3" w:rsidRPr="00446FEC" w:rsidRDefault="007E45C3" w:rsidP="00E73324">
      <w:pPr>
        <w:pStyle w:val="Normalaftertitle"/>
        <w:rPr>
          <w:lang w:bidi="ar-DZ"/>
        </w:rPr>
      </w:pPr>
      <w:r w:rsidRPr="00446FEC">
        <w:rPr>
          <w:lang w:bidi="ar-DZ"/>
        </w:rPr>
        <w:t>The evolution of the telecommunications industry has facilitated and continues to facilitate the development of new and enhanced services globally across both fixed and mobile networks/platforms. Thus, given the importance of communication and being connected, it is imperative that regions across the globe and, by extension, the inhabitants therein have access to affordable means of connectivity and communication. Considering the foregoing, to inform government fiscal policy in this regard, an appreciation of the magnitude of costs incurred in the provisioning of these enhanced services must be attained. This position is premised on the principle that cost is one of the primary factors considered by decision makers (service providers) in determining the volume/level of (capital) investment that should be expended.</w:t>
      </w:r>
    </w:p>
    <w:p w14:paraId="61A1F6A5" w14:textId="77777777" w:rsidR="007E45C3" w:rsidRPr="00446FEC" w:rsidRDefault="007E45C3" w:rsidP="007E45C3">
      <w:pPr>
        <w:rPr>
          <w:lang w:bidi="ar-DZ"/>
        </w:rPr>
      </w:pPr>
      <w:r w:rsidRPr="00446FEC">
        <w:rPr>
          <w:lang w:bidi="ar-DZ"/>
        </w:rPr>
        <w:t>It is worth noting that there is extensive research ongoing globally to prescribe efficient interconnection and network access rates. O</w:t>
      </w:r>
      <w:r w:rsidRPr="00446FEC">
        <w:t xml:space="preserve">perators, however, have postulated that cost models premised on incremental cost still may not provide rates adequate to compensate for the exorbitant level of capital investment required to facilitate access. This, therefore, highlights the need for a harmonious approach between the governments, national regulatory agencies and operators to achieve increased access via affordable services to end-users/consumers. Furthermore, having acquired an understanding of the capital expended and costs incurred by operators, proposed fiscal incentives should be geared towards stimulating competition and profitability, which in turn is expected to have positive socio-economic effects. </w:t>
      </w:r>
    </w:p>
    <w:p w14:paraId="1D7FF5D4" w14:textId="77777777" w:rsidR="007E45C3" w:rsidRPr="00446FEC" w:rsidRDefault="007E45C3" w:rsidP="007E45C3">
      <w:pPr>
        <w:rPr>
          <w:lang w:bidi="ar-DZ"/>
        </w:rPr>
      </w:pPr>
      <w:r w:rsidRPr="00446FEC">
        <w:rPr>
          <w:lang w:bidi="ar-DZ"/>
        </w:rPr>
        <w:t>The case studies on the interconnection cost models adopted by various regions are presented below.</w:t>
      </w:r>
    </w:p>
    <w:p w14:paraId="51069058" w14:textId="77777777" w:rsidR="007E45C3" w:rsidRPr="00446FEC" w:rsidRDefault="007E45C3" w:rsidP="007E45C3">
      <w:pPr>
        <w:rPr>
          <w:sz w:val="2"/>
          <w:szCs w:val="2"/>
          <w:lang w:bidi="ar-DZ"/>
        </w:rPr>
      </w:pPr>
    </w:p>
    <w:p w14:paraId="03DC6101" w14:textId="3D467F16" w:rsidR="007E45C3" w:rsidRPr="00446FEC" w:rsidRDefault="00C73A74" w:rsidP="00C73A74">
      <w:pPr>
        <w:pStyle w:val="Heading2"/>
        <w:rPr>
          <w:lang w:bidi="ar-DZ"/>
        </w:rPr>
      </w:pPr>
      <w:bookmarkStart w:id="561" w:name="_Toc239193555"/>
      <w:bookmarkStart w:id="562" w:name="_Toc239232799"/>
      <w:bookmarkStart w:id="563" w:name="_Toc239240566"/>
      <w:r w:rsidRPr="00446FEC">
        <w:rPr>
          <w:lang w:bidi="ar-DZ"/>
        </w:rPr>
        <w:t>C.</w:t>
      </w:r>
      <w:r w:rsidR="007E45C3" w:rsidRPr="00446FEC">
        <w:rPr>
          <w:lang w:bidi="ar-DZ"/>
        </w:rPr>
        <w:t>1</w:t>
      </w:r>
      <w:r w:rsidRPr="00446FEC">
        <w:rPr>
          <w:lang w:bidi="ar-DZ"/>
        </w:rPr>
        <w:tab/>
      </w:r>
      <w:r w:rsidR="007E45C3" w:rsidRPr="00446FEC">
        <w:rPr>
          <w:lang w:bidi="ar-DZ"/>
        </w:rPr>
        <w:t>AFRICA – Case study on costing strategies for digital services [b-Regulatory]</w:t>
      </w:r>
      <w:bookmarkEnd w:id="561"/>
      <w:bookmarkEnd w:id="562"/>
      <w:bookmarkEnd w:id="563"/>
    </w:p>
    <w:p w14:paraId="38821F75" w14:textId="77777777" w:rsidR="007E45C3" w:rsidRPr="00446FEC" w:rsidRDefault="007E45C3" w:rsidP="00F86DCD">
      <w:r w:rsidRPr="00446FEC">
        <w:t>African nations are navigating the complexities of developing cost models for digital services amid technological advancements, economic variability and diverse market structures. While traditional circuit-switched networks have established costing methodologies, the advent of 5G networks introduces new challenges and necessitates innovative approaches.</w:t>
      </w:r>
    </w:p>
    <w:p w14:paraId="72FD98E7" w14:textId="77777777" w:rsidR="007E45C3" w:rsidRPr="00446FEC" w:rsidRDefault="007E45C3" w:rsidP="00DF5ABA">
      <w:pPr>
        <w:spacing w:after="120"/>
      </w:pPr>
      <w:r w:rsidRPr="00446FEC">
        <w:t>The following table provides a comparative overview of the key differences between costing strategies for circuit-switched and 5G networks in the African context:</w:t>
      </w:r>
    </w:p>
    <w:tbl>
      <w:tblPr>
        <w:tblStyle w:val="TableGrid"/>
        <w:tblW w:w="0" w:type="auto"/>
        <w:tblLook w:val="04A0" w:firstRow="1" w:lastRow="0" w:firstColumn="1" w:lastColumn="0" w:noHBand="0" w:noVBand="1"/>
      </w:tblPr>
      <w:tblGrid>
        <w:gridCol w:w="3205"/>
        <w:gridCol w:w="3217"/>
        <w:gridCol w:w="3206"/>
      </w:tblGrid>
      <w:tr w:rsidR="008D5B6C" w:rsidRPr="00446FEC" w14:paraId="63EE47C0" w14:textId="77777777" w:rsidTr="00DF5ABA">
        <w:trPr>
          <w:tblHeader/>
        </w:trPr>
        <w:tc>
          <w:tcPr>
            <w:tcW w:w="3205" w:type="dxa"/>
          </w:tcPr>
          <w:p w14:paraId="663A27B9" w14:textId="67492878" w:rsidR="008D5B6C" w:rsidRPr="00446FEC" w:rsidRDefault="008D5B6C" w:rsidP="008D5B6C">
            <w:pPr>
              <w:pStyle w:val="Tablehead"/>
            </w:pPr>
            <w:r w:rsidRPr="00446FEC">
              <w:t>Process</w:t>
            </w:r>
          </w:p>
        </w:tc>
        <w:tc>
          <w:tcPr>
            <w:tcW w:w="3217" w:type="dxa"/>
          </w:tcPr>
          <w:p w14:paraId="6012DF50" w14:textId="04D97499" w:rsidR="008D5B6C" w:rsidRPr="00446FEC" w:rsidRDefault="008D5B6C" w:rsidP="008D5B6C">
            <w:pPr>
              <w:pStyle w:val="Tablehead"/>
            </w:pPr>
            <w:r w:rsidRPr="00446FEC">
              <w:t>Circuit-switched networks</w:t>
            </w:r>
          </w:p>
        </w:tc>
        <w:tc>
          <w:tcPr>
            <w:tcW w:w="3206" w:type="dxa"/>
          </w:tcPr>
          <w:p w14:paraId="4F0DEA9C" w14:textId="0349F83B" w:rsidR="008D5B6C" w:rsidRPr="00446FEC" w:rsidRDefault="008D5B6C" w:rsidP="008D5B6C">
            <w:pPr>
              <w:pStyle w:val="Tablehead"/>
            </w:pPr>
            <w:r w:rsidRPr="00446FEC">
              <w:t>5G networks</w:t>
            </w:r>
          </w:p>
        </w:tc>
      </w:tr>
      <w:tr w:rsidR="008D5B6C" w:rsidRPr="00446FEC" w14:paraId="0C4A9C00" w14:textId="77777777" w:rsidTr="00DF5ABA">
        <w:tc>
          <w:tcPr>
            <w:tcW w:w="3205" w:type="dxa"/>
          </w:tcPr>
          <w:p w14:paraId="47436BDD" w14:textId="4EBDE179" w:rsidR="008D5B6C" w:rsidRPr="00446FEC" w:rsidRDefault="008D5B6C" w:rsidP="008D5B6C">
            <w:pPr>
              <w:pStyle w:val="Tabletext"/>
            </w:pPr>
            <w:proofErr w:type="spellStart"/>
            <w:r w:rsidRPr="00446FEC">
              <w:t>Geotype</w:t>
            </w:r>
            <w:proofErr w:type="spellEnd"/>
            <w:r w:rsidRPr="00446FEC">
              <w:t xml:space="preserve"> segmentation</w:t>
            </w:r>
          </w:p>
        </w:tc>
        <w:tc>
          <w:tcPr>
            <w:tcW w:w="3217" w:type="dxa"/>
          </w:tcPr>
          <w:p w14:paraId="008DD255" w14:textId="4A18F3B9" w:rsidR="008D5B6C" w:rsidRPr="00446FEC" w:rsidRDefault="008D5B6C" w:rsidP="008D5B6C">
            <w:pPr>
              <w:pStyle w:val="Tabletext"/>
            </w:pPr>
            <w:r w:rsidRPr="00446FEC">
              <w:t>Based on straightforward population and geographic factors.</w:t>
            </w:r>
          </w:p>
        </w:tc>
        <w:tc>
          <w:tcPr>
            <w:tcW w:w="3206" w:type="dxa"/>
          </w:tcPr>
          <w:p w14:paraId="5BCAC093" w14:textId="1A2BF4EE" w:rsidR="008D5B6C" w:rsidRPr="00446FEC" w:rsidRDefault="008D5B6C" w:rsidP="008D5B6C">
            <w:pPr>
              <w:pStyle w:val="Tabletext"/>
            </w:pPr>
            <w:r w:rsidRPr="00446FEC">
              <w:t>Dependent on population density, area, site densification and integrated spectrum planning strategies.</w:t>
            </w:r>
          </w:p>
        </w:tc>
      </w:tr>
      <w:tr w:rsidR="008D5B6C" w:rsidRPr="00446FEC" w14:paraId="6F82EF95" w14:textId="77777777" w:rsidTr="00DF5ABA">
        <w:tc>
          <w:tcPr>
            <w:tcW w:w="3205" w:type="dxa"/>
          </w:tcPr>
          <w:p w14:paraId="254F6DB7" w14:textId="7E07BFCC" w:rsidR="008D5B6C" w:rsidRPr="00446FEC" w:rsidRDefault="008D5B6C" w:rsidP="008D5B6C">
            <w:pPr>
              <w:pStyle w:val="Tabletext"/>
            </w:pPr>
            <w:r w:rsidRPr="00446FEC">
              <w:t>Demand estimation</w:t>
            </w:r>
          </w:p>
        </w:tc>
        <w:tc>
          <w:tcPr>
            <w:tcW w:w="3217" w:type="dxa"/>
          </w:tcPr>
          <w:p w14:paraId="7330C46B" w14:textId="74A8CAD9" w:rsidR="008D5B6C" w:rsidRPr="00446FEC" w:rsidRDefault="008D5B6C" w:rsidP="008D5B6C">
            <w:pPr>
              <w:pStyle w:val="Tabletext"/>
            </w:pPr>
            <w:r w:rsidRPr="00446FEC">
              <w:t>Relatively simple, with dedicated services (e.g., voice) over defined circuits making demand forecasting easier.</w:t>
            </w:r>
          </w:p>
        </w:tc>
        <w:tc>
          <w:tcPr>
            <w:tcW w:w="3206" w:type="dxa"/>
          </w:tcPr>
          <w:p w14:paraId="30EC2CE4" w14:textId="44881A36" w:rsidR="008D5B6C" w:rsidRPr="00446FEC" w:rsidRDefault="008D5B6C" w:rsidP="008D5B6C">
            <w:pPr>
              <w:pStyle w:val="Tabletext"/>
            </w:pPr>
            <w:r w:rsidRPr="00446FEC">
              <w:t>Complex, as 5G supports multiple service types (voice, video, data, IoT) with varying quality of service requirements, making demand estimation challenging.</w:t>
            </w:r>
          </w:p>
        </w:tc>
      </w:tr>
      <w:tr w:rsidR="008D5B6C" w:rsidRPr="00446FEC" w14:paraId="47B9AAF4" w14:textId="77777777" w:rsidTr="00DF5ABA">
        <w:tc>
          <w:tcPr>
            <w:tcW w:w="3205" w:type="dxa"/>
          </w:tcPr>
          <w:p w14:paraId="0D2E0F48" w14:textId="37ED7208" w:rsidR="008D5B6C" w:rsidRPr="00446FEC" w:rsidRDefault="008D5B6C" w:rsidP="008D5B6C">
            <w:pPr>
              <w:pStyle w:val="Tabletext"/>
            </w:pPr>
            <w:r w:rsidRPr="00446FEC">
              <w:t>Network dimensioning</w:t>
            </w:r>
          </w:p>
        </w:tc>
        <w:tc>
          <w:tcPr>
            <w:tcW w:w="3217" w:type="dxa"/>
          </w:tcPr>
          <w:p w14:paraId="3B0D0337" w14:textId="4A47C83E" w:rsidR="008D5B6C" w:rsidRPr="00446FEC" w:rsidRDefault="008D5B6C" w:rsidP="008D5B6C">
            <w:pPr>
              <w:pStyle w:val="Tabletext"/>
            </w:pPr>
            <w:r w:rsidRPr="00446FEC">
              <w:t>Predictable busy-hour traffic based on limited, well-defined services.</w:t>
            </w:r>
          </w:p>
        </w:tc>
        <w:tc>
          <w:tcPr>
            <w:tcW w:w="3206" w:type="dxa"/>
          </w:tcPr>
          <w:p w14:paraId="7D412872" w14:textId="4BB2C8CF" w:rsidR="008D5B6C" w:rsidRPr="00446FEC" w:rsidRDefault="008D5B6C" w:rsidP="008D5B6C">
            <w:pPr>
              <w:pStyle w:val="Tabletext"/>
            </w:pPr>
            <w:r w:rsidRPr="00446FEC">
              <w:t>Dynamic and harder to estimate, given variable service profiles and differentiated service</w:t>
            </w:r>
            <w:r w:rsidR="00C87687" w:rsidRPr="00446FEC">
              <w:t>-</w:t>
            </w:r>
            <w:r w:rsidRPr="00446FEC">
              <w:t>level agreements (SLAs).</w:t>
            </w:r>
          </w:p>
        </w:tc>
      </w:tr>
      <w:tr w:rsidR="008D5B6C" w:rsidRPr="00446FEC" w14:paraId="4F2A9E93" w14:textId="77777777" w:rsidTr="00DF5ABA">
        <w:tc>
          <w:tcPr>
            <w:tcW w:w="3205" w:type="dxa"/>
          </w:tcPr>
          <w:p w14:paraId="38E03120" w14:textId="7FB818D6" w:rsidR="008D5B6C" w:rsidRPr="00446FEC" w:rsidRDefault="008D5B6C" w:rsidP="008D5B6C">
            <w:pPr>
              <w:pStyle w:val="Tabletext"/>
            </w:pPr>
            <w:r w:rsidRPr="00446FEC">
              <w:lastRenderedPageBreak/>
              <w:t>Cost Estimation</w:t>
            </w:r>
          </w:p>
        </w:tc>
        <w:tc>
          <w:tcPr>
            <w:tcW w:w="3217" w:type="dxa"/>
          </w:tcPr>
          <w:p w14:paraId="0BC97457" w14:textId="411C7C43" w:rsidR="008D5B6C" w:rsidRPr="00446FEC" w:rsidRDefault="008D5B6C" w:rsidP="008D5B6C">
            <w:pPr>
              <w:pStyle w:val="Tabletext"/>
            </w:pPr>
            <w:r w:rsidRPr="00446FEC">
              <w:t>CAPEX and OPEX readily mapped to distinct network layers (switching, access, transmission).</w:t>
            </w:r>
          </w:p>
        </w:tc>
        <w:tc>
          <w:tcPr>
            <w:tcW w:w="3206" w:type="dxa"/>
          </w:tcPr>
          <w:p w14:paraId="4A80EDAB" w14:textId="3D42F60C" w:rsidR="008D5B6C" w:rsidRPr="00446FEC" w:rsidRDefault="008D5B6C" w:rsidP="008D5B6C">
            <w:pPr>
              <w:pStyle w:val="Tabletext"/>
            </w:pPr>
            <w:r w:rsidRPr="00446FEC">
              <w:t>Costing is highly variable, influenced by local deployment models (greenfield or brownfield), ownership structures and site-specific expansion strategies.</w:t>
            </w:r>
          </w:p>
        </w:tc>
      </w:tr>
      <w:tr w:rsidR="008D5B6C" w:rsidRPr="00446FEC" w14:paraId="7A09BFEA" w14:textId="77777777" w:rsidTr="00DF5ABA">
        <w:tc>
          <w:tcPr>
            <w:tcW w:w="3205" w:type="dxa"/>
          </w:tcPr>
          <w:p w14:paraId="4A2A2699" w14:textId="543F84DA" w:rsidR="008D5B6C" w:rsidRPr="00446FEC" w:rsidRDefault="008D5B6C" w:rsidP="008D5B6C">
            <w:pPr>
              <w:pStyle w:val="Tabletext"/>
            </w:pPr>
            <w:r w:rsidRPr="00446FEC">
              <w:t>Cost Allocation</w:t>
            </w:r>
          </w:p>
        </w:tc>
        <w:tc>
          <w:tcPr>
            <w:tcW w:w="3217" w:type="dxa"/>
          </w:tcPr>
          <w:p w14:paraId="4E1791D3" w14:textId="1095C6D9" w:rsidR="008D5B6C" w:rsidRPr="00446FEC" w:rsidRDefault="008D5B6C" w:rsidP="008D5B6C">
            <w:pPr>
              <w:pStyle w:val="Tabletext"/>
            </w:pPr>
            <w:r w:rsidRPr="00446FEC">
              <w:t>Straightforward allocation using predefined routing tables linked to network element usage.</w:t>
            </w:r>
          </w:p>
        </w:tc>
        <w:tc>
          <w:tcPr>
            <w:tcW w:w="3206" w:type="dxa"/>
          </w:tcPr>
          <w:p w14:paraId="7942281C" w14:textId="34A9133C" w:rsidR="008D5B6C" w:rsidRPr="00446FEC" w:rsidRDefault="008D5B6C" w:rsidP="008D5B6C">
            <w:pPr>
              <w:pStyle w:val="Tabletext"/>
            </w:pPr>
            <w:r w:rsidRPr="00446FEC">
              <w:t>Challenging, as dynamic traffic routing and virtualized services complicate the application of traditional cost allocation methods.</w:t>
            </w:r>
          </w:p>
        </w:tc>
      </w:tr>
    </w:tbl>
    <w:p w14:paraId="0B406C4F" w14:textId="77777777" w:rsidR="007E45C3" w:rsidRPr="00446FEC" w:rsidRDefault="007E45C3" w:rsidP="00B26B45">
      <w:r w:rsidRPr="00446FEC">
        <w:t>These distinctions underscore the need for adaptable and context-sensitive costing methodologies that can accommodate the unique characteristics of 5G networks. The increased complexity of multi-service 5G environments, including network slicing, virtualized infrastructures and variable quality of service parameters, poses significant challenges for cost estimation and allocation in Africa and elsewhere.</w:t>
      </w:r>
    </w:p>
    <w:p w14:paraId="4187D948" w14:textId="77777777" w:rsidR="007E45C3" w:rsidRPr="00446FEC" w:rsidRDefault="007E45C3" w:rsidP="00B26B45">
      <w:r w:rsidRPr="00446FEC">
        <w:t>Recognizing these challenges, regional organizations such as the East African Communications Organisation (EACO) have developed guidelines to assist regulators and operators in navigating this complexity. [b-EACO] emphasizes that the choice of an appropriate cost model should balance economic efficiency, competition and investment promotion objectives. These principles aim to ensure that cost-based pricing not only reflects operational realities but also promotes market growth and service affordability.</w:t>
      </w:r>
    </w:p>
    <w:p w14:paraId="13A77D0B" w14:textId="30031BDB" w:rsidR="007E45C3" w:rsidRPr="00446FEC" w:rsidRDefault="007E45C3" w:rsidP="00B26B45">
      <w:r w:rsidRPr="00446FEC">
        <w:t>Details of EACO</w:t>
      </w:r>
      <w:r w:rsidR="006E6D1D" w:rsidRPr="00446FEC">
        <w:t>'</w:t>
      </w:r>
      <w:r w:rsidRPr="00446FEC">
        <w:t xml:space="preserve">s recommended principles, objectives and methodologies </w:t>
      </w:r>
      <w:r w:rsidR="00C448AF" w:rsidRPr="00446FEC">
        <w:t>–</w:t>
      </w:r>
      <w:r w:rsidRPr="00446FEC">
        <w:t xml:space="preserve"> covering areas such as infrastructure sharing, interconnection and roaming </w:t>
      </w:r>
      <w:r w:rsidR="00C448AF" w:rsidRPr="00446FEC">
        <w:t>–</w:t>
      </w:r>
      <w:r w:rsidRPr="00446FEC">
        <w:t xml:space="preserve"> are provided in Annex C of this report for further reference.</w:t>
      </w:r>
    </w:p>
    <w:p w14:paraId="1B74D954" w14:textId="77777777" w:rsidR="007E45C3" w:rsidRPr="00446FEC" w:rsidRDefault="007E45C3" w:rsidP="007E45C3">
      <w:pPr>
        <w:rPr>
          <w:sz w:val="2"/>
          <w:szCs w:val="2"/>
        </w:rPr>
      </w:pPr>
    </w:p>
    <w:p w14:paraId="6CC2262F" w14:textId="3C705F13" w:rsidR="007E45C3" w:rsidRPr="00446FEC" w:rsidRDefault="00B26B45" w:rsidP="00B26B45">
      <w:pPr>
        <w:pStyle w:val="Heading2"/>
      </w:pPr>
      <w:bookmarkStart w:id="564" w:name="_Toc239193556"/>
      <w:bookmarkStart w:id="565" w:name="_Toc239232800"/>
      <w:bookmarkStart w:id="566" w:name="_Toc239240567"/>
      <w:r w:rsidRPr="00446FEC">
        <w:t>C.</w:t>
      </w:r>
      <w:r w:rsidR="007E45C3" w:rsidRPr="00446FEC">
        <w:t>2</w:t>
      </w:r>
      <w:r w:rsidRPr="00446FEC">
        <w:tab/>
      </w:r>
      <w:r w:rsidR="007E45C3" w:rsidRPr="00446FEC">
        <w:t>BARBADOS – A case on cost modelling using the LRIC for fixed and mobile networks</w:t>
      </w:r>
      <w:bookmarkEnd w:id="564"/>
      <w:bookmarkEnd w:id="565"/>
      <w:bookmarkEnd w:id="566"/>
    </w:p>
    <w:p w14:paraId="6F3FBB87" w14:textId="5A71C293" w:rsidR="007E45C3" w:rsidRPr="00446FEC" w:rsidRDefault="007E45C3" w:rsidP="00B26B45">
      <w:r w:rsidRPr="00446FEC">
        <w:t>In 2015, Barbados adjusted its cost model using long run incremental costing, for fixed and mobile networks [b-FTC]. It was based on the rates that an efficient provider would incur in providing interconnection services in a competitive market. The results of the model determined interconnection rates for fixed transit, fixed termination, mobile transit and mobile termination services. Furthermore, the rate structure for interconnection services under the LRIC is based on a single per minute tariff. The LRIC model was developed using contributions from all stakeholders which promoted transparency.</w:t>
      </w:r>
    </w:p>
    <w:p w14:paraId="7B0A1DF4" w14:textId="77777777" w:rsidR="007E45C3" w:rsidRPr="00446FEC" w:rsidRDefault="007E45C3" w:rsidP="00B26B45">
      <w:r w:rsidRPr="00446FEC">
        <w:t>Therefore, through an iterative and interactive process, stakeholders were consulted and the various submissions received were considered by the commission and its consultants. At all stages of the modelling process, feedback was communicated to cable and wireless and the other stakeholders as necessary. Phase 1 established model guidelines and specifications for model building. Phase 2 involved the construction of the models and evaluation of the model results which established the LRIC costs. Phase 3 then determined the LRIC interconnection rates and implementation approach to be adopted in effecting the LRIC – based rates.</w:t>
      </w:r>
    </w:p>
    <w:p w14:paraId="4E2C19D8" w14:textId="77777777" w:rsidR="007E45C3" w:rsidRPr="00446FEC" w:rsidRDefault="007E45C3" w:rsidP="007E45C3">
      <w:pPr>
        <w:rPr>
          <w:sz w:val="2"/>
          <w:szCs w:val="2"/>
        </w:rPr>
      </w:pPr>
    </w:p>
    <w:p w14:paraId="0CE84538" w14:textId="57B45C32" w:rsidR="007E45C3" w:rsidRPr="00446FEC" w:rsidRDefault="00B26B45" w:rsidP="00B26B45">
      <w:pPr>
        <w:pStyle w:val="Heading2"/>
      </w:pPr>
      <w:bookmarkStart w:id="567" w:name="_Toc239193557"/>
      <w:bookmarkStart w:id="568" w:name="_Toc239232801"/>
      <w:bookmarkStart w:id="569" w:name="_Toc239240568"/>
      <w:r w:rsidRPr="00446FEC">
        <w:t>C.</w:t>
      </w:r>
      <w:r w:rsidR="007E45C3" w:rsidRPr="00446FEC">
        <w:t>3</w:t>
      </w:r>
      <w:r w:rsidRPr="00446FEC">
        <w:tab/>
      </w:r>
      <w:r w:rsidR="007E45C3" w:rsidRPr="00446FEC">
        <w:t>BAHRAIN</w:t>
      </w:r>
      <w:r w:rsidR="00C87687" w:rsidRPr="00446FEC">
        <w:t xml:space="preserve"> </w:t>
      </w:r>
      <w:r w:rsidR="007E45C3" w:rsidRPr="00446FEC">
        <w:t>– A case on understanding telecommunications cost drivers via BU-LRIC</w:t>
      </w:r>
      <w:bookmarkEnd w:id="567"/>
      <w:bookmarkEnd w:id="568"/>
      <w:bookmarkEnd w:id="569"/>
    </w:p>
    <w:p w14:paraId="45B42F57" w14:textId="3FE9172E" w:rsidR="007E45C3" w:rsidRPr="00446FEC" w:rsidRDefault="007E45C3" w:rsidP="007E45C3">
      <w:r w:rsidRPr="00446FEC">
        <w:t xml:space="preserve">The cost model adopted by Bahrain is the BU-LRIC approach, which represents a bottom-up long-run increment cost Model. The key features of the BU-LRIC model are transparency, flexibility and efficiency. The BU-LRIC model gives regulators a clear understanding of telecommunication services cost drivers. It achieves this by relying on public and transparent engineering and allocation </w:t>
      </w:r>
      <w:r w:rsidRPr="00446FEC">
        <w:lastRenderedPageBreak/>
        <w:t xml:space="preserve">rules, thereby providing a tool to remove information asymmetries with the regulated entities. The BU-LRIC approach is suited for the telecommunications sector because it provides a consistent and economically transparent approach to allocate indirect network costs to each product or service using the network. Furthermore, the BU-LRIC approach can send </w:t>
      </w:r>
      <w:r w:rsidR="00296649" w:rsidRPr="00446FEC">
        <w:t>"</w:t>
      </w:r>
      <w:r w:rsidRPr="00446FEC">
        <w:t>build or buy</w:t>
      </w:r>
      <w:r w:rsidR="00296649" w:rsidRPr="00446FEC">
        <w:t>"</w:t>
      </w:r>
      <w:r w:rsidRPr="00446FEC">
        <w:t xml:space="preserve"> signals to new entrants since it can determine the costs that access seekers would incur if deploying their own infrastructure.</w:t>
      </w:r>
    </w:p>
    <w:p w14:paraId="2C88E6B6" w14:textId="774EC192" w:rsidR="007E45C3" w:rsidRPr="00446FEC" w:rsidRDefault="00B26B45" w:rsidP="00B26B45">
      <w:pPr>
        <w:pStyle w:val="Heading2"/>
      </w:pPr>
      <w:bookmarkStart w:id="570" w:name="_Toc239193558"/>
      <w:bookmarkStart w:id="571" w:name="_Toc239232802"/>
      <w:bookmarkStart w:id="572" w:name="_Toc239240569"/>
      <w:r w:rsidRPr="00446FEC">
        <w:t>C.</w:t>
      </w:r>
      <w:r w:rsidR="007E45C3" w:rsidRPr="00446FEC">
        <w:t>4</w:t>
      </w:r>
      <w:r w:rsidRPr="00446FEC">
        <w:tab/>
      </w:r>
      <w:r w:rsidR="007E45C3" w:rsidRPr="00446FEC">
        <w:t>BRAZIL – The usage of cost models for data services</w:t>
      </w:r>
      <w:bookmarkEnd w:id="570"/>
      <w:bookmarkEnd w:id="571"/>
      <w:bookmarkEnd w:id="572"/>
    </w:p>
    <w:p w14:paraId="1B07A03F" w14:textId="5AAC63EB" w:rsidR="007E45C3" w:rsidRPr="00446FEC" w:rsidRDefault="007E45C3" w:rsidP="00B26B45">
      <w:r w:rsidRPr="00446FEC">
        <w:t xml:space="preserve">In 2003, a presidential decree mandated the utilization of a long-run cost model for establishing interconnection tariffs and network element prices. To implement this, Anatel opted for the </w:t>
      </w:r>
      <w:r w:rsidR="006E6D1D" w:rsidRPr="00446FEC">
        <w:t>'</w:t>
      </w:r>
      <w:r w:rsidRPr="00446FEC">
        <w:t>TOP-DOWN</w:t>
      </w:r>
      <w:r w:rsidR="006E6D1D" w:rsidRPr="00446FEC">
        <w:t>'</w:t>
      </w:r>
      <w:r w:rsidRPr="00446FEC">
        <w:t xml:space="preserve"> approach. Based on these premises, in 2005, Anatel released the initial version of the Separation and Allocation of Accounts Regulation (RSAC).</w:t>
      </w:r>
    </w:p>
    <w:p w14:paraId="0E9B5959" w14:textId="71FE0C09" w:rsidR="007E45C3" w:rsidRPr="00446FEC" w:rsidRDefault="007E45C3" w:rsidP="00B26B45">
      <w:r w:rsidRPr="00446FEC">
        <w:t>The RSAC laid out the essential principles and guidelines that providers had to adhere to while formulating their regulatory cost models. However, upon scrutinizing the results from the regulatory models developed by these providers, it became evident that there was a lack of consistency. Also, results from one provider</w:t>
      </w:r>
      <w:r w:rsidR="006E6D1D" w:rsidRPr="00446FEC">
        <w:t>'</w:t>
      </w:r>
      <w:r w:rsidRPr="00446FEC">
        <w:t>s model could not be reasonably compared with those from another provider</w:t>
      </w:r>
      <w:r w:rsidR="006E6D1D" w:rsidRPr="00446FEC">
        <w:t>'</w:t>
      </w:r>
      <w:r w:rsidRPr="00446FEC">
        <w:t>s model. At that time, the primary issue identified was that Brazilian regulations had vague rules, making complete uniformity and precision challenging.</w:t>
      </w:r>
    </w:p>
    <w:p w14:paraId="78BF513E" w14:textId="4AE0DD11" w:rsidR="007E45C3" w:rsidRPr="00446FEC" w:rsidRDefault="007E45C3" w:rsidP="00B26B45">
      <w:r w:rsidRPr="00446FEC">
        <w:t>In 2011, Anatel engaged in a significant project with the support of the International Telecommunication Union (ITU). This endeavour led to a revision of the RSAC. This update introduced new allocation parameters and required additional documentation from the providers. This fresh information enabled Anatel to replicate the allocation processes adopted by service providers. Within the scope of that project, a Bottom-up cost model was also developed.</w:t>
      </w:r>
    </w:p>
    <w:p w14:paraId="5E9CB447" w14:textId="7451D7D5" w:rsidR="007E45C3" w:rsidRPr="00446FEC" w:rsidRDefault="007E45C3" w:rsidP="00B26B45">
      <w:r w:rsidRPr="00446FEC">
        <w:t>In 2020, Anatel developed a new bottom-up cost model and, currently, reference values for some services are transitioning from top-down to bottom-up. Firstly, roaming services underwent this transition in 2021 when one of the four major mobile companies was divided and sold to the other three. As a result, the remaining three companies had to adjust wholesale roaming service prices based on bottom-up model results. Additionally, pricing for high-capacity data transport is still guided by Top-down results according to the current version of the general plan of competition goals (PGMC). This is the agency</w:t>
      </w:r>
      <w:r w:rsidR="006E6D1D" w:rsidRPr="00446FEC">
        <w:t>'</w:t>
      </w:r>
      <w:r w:rsidRPr="00446FEC">
        <w:t>s primary tool for promoting competition; it is under revision and the ongoing technical studies for the next PGMC revision indicate a potential shift towards a bottom-up approach.</w:t>
      </w:r>
    </w:p>
    <w:p w14:paraId="3CBCF244" w14:textId="77777777" w:rsidR="007E45C3" w:rsidRPr="00446FEC" w:rsidRDefault="007E45C3" w:rsidP="00B26B45">
      <w:r w:rsidRPr="00446FEC">
        <w:t>The adoption of cost models for price regulation has created incentives for competition and brought benefits for the Brazilian population. For example, one of the main benefits is the increased number of households with fixed broadband access. As depicted in Figure C.1, Brazilian growth outpaced regional growth in the Americas.</w:t>
      </w:r>
    </w:p>
    <w:p w14:paraId="37A6F8D0" w14:textId="77777777" w:rsidR="007E45C3" w:rsidRPr="00446FEC" w:rsidRDefault="007E45C3" w:rsidP="00B26B45">
      <w:pPr>
        <w:pStyle w:val="Figure"/>
      </w:pPr>
      <w:r w:rsidRPr="00446FEC">
        <w:drawing>
          <wp:inline distT="0" distB="0" distL="0" distR="0" wp14:anchorId="655D73EF" wp14:editId="4D358BBD">
            <wp:extent cx="3369227" cy="1944000"/>
            <wp:effectExtent l="19050" t="19050" r="22225" b="18415"/>
            <wp:docPr id="861768823" name="Imagem 1" descr="Figure C.1 - Households (%) with Internet access at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768823" name="Imagem 1" descr="Figure C.1 - Households (%) with Internet access at home."/>
                    <pic:cNvPicPr/>
                  </pic:nvPicPr>
                  <pic:blipFill>
                    <a:blip r:embed="rId51"/>
                    <a:stretch>
                      <a:fillRect/>
                    </a:stretch>
                  </pic:blipFill>
                  <pic:spPr>
                    <a:xfrm>
                      <a:off x="0" y="0"/>
                      <a:ext cx="3369227" cy="1944000"/>
                    </a:xfrm>
                    <a:prstGeom prst="rect">
                      <a:avLst/>
                    </a:prstGeom>
                    <a:ln>
                      <a:solidFill>
                        <a:schemeClr val="tx1"/>
                      </a:solidFill>
                    </a:ln>
                  </pic:spPr>
                </pic:pic>
              </a:graphicData>
            </a:graphic>
          </wp:inline>
        </w:drawing>
      </w:r>
    </w:p>
    <w:p w14:paraId="1BA422CD" w14:textId="3A209B66" w:rsidR="007E45C3" w:rsidRPr="00446FEC" w:rsidRDefault="007E45C3" w:rsidP="00B26B45">
      <w:pPr>
        <w:pStyle w:val="FigureNoTitle"/>
      </w:pPr>
      <w:r w:rsidRPr="00446FEC">
        <w:t xml:space="preserve">Figure C.1 </w:t>
      </w:r>
      <w:r w:rsidRPr="00446FEC">
        <w:sym w:font="Symbol" w:char="F02D"/>
      </w:r>
      <w:r w:rsidRPr="00446FEC">
        <w:t xml:space="preserve"> Households (%) with Internet access at home</w:t>
      </w:r>
    </w:p>
    <w:p w14:paraId="02D7C0C8" w14:textId="4C98A7CB" w:rsidR="007E45C3" w:rsidRPr="00446FEC" w:rsidRDefault="007E45C3" w:rsidP="00B26B45">
      <w:pPr>
        <w:pStyle w:val="Normalaftertitle"/>
      </w:pPr>
      <w:r w:rsidRPr="00446FEC">
        <w:lastRenderedPageBreak/>
        <w:t>This success can be attributed to measures implemented through PGMC, as well as the simplification of the licensing process and regulations for small providers. This progress is evident in Figure C.2: despite having a modest market share in 2015, by 2023, small providers</w:t>
      </w:r>
      <w:r w:rsidR="006E6D1D" w:rsidRPr="00446FEC">
        <w:t>'</w:t>
      </w:r>
      <w:r w:rsidRPr="00446FEC">
        <w:t xml:space="preserve"> access has surpassed that of larger operators.</w:t>
      </w:r>
    </w:p>
    <w:p w14:paraId="2A0B75E0" w14:textId="77777777" w:rsidR="007E45C3" w:rsidRPr="00446FEC" w:rsidRDefault="007E45C3" w:rsidP="00B26B45">
      <w:pPr>
        <w:pStyle w:val="Figure"/>
      </w:pPr>
      <w:r w:rsidRPr="00446FEC">
        <w:drawing>
          <wp:inline distT="0" distB="0" distL="0" distR="0" wp14:anchorId="1A3EAB6D" wp14:editId="71433F4C">
            <wp:extent cx="3312000" cy="1289682"/>
            <wp:effectExtent l="19050" t="19050" r="22225" b="25400"/>
            <wp:docPr id="360979537" name="Imagem 1" descr="Figure C.2 - Total broadband ac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979537" name="Imagem 1" descr="Figure C.2 - Total broadband access."/>
                    <pic:cNvPicPr/>
                  </pic:nvPicPr>
                  <pic:blipFill>
                    <a:blip r:embed="rId52"/>
                    <a:stretch>
                      <a:fillRect/>
                    </a:stretch>
                  </pic:blipFill>
                  <pic:spPr>
                    <a:xfrm>
                      <a:off x="0" y="0"/>
                      <a:ext cx="3312000" cy="1289682"/>
                    </a:xfrm>
                    <a:prstGeom prst="rect">
                      <a:avLst/>
                    </a:prstGeom>
                    <a:ln>
                      <a:solidFill>
                        <a:schemeClr val="tx1"/>
                      </a:solidFill>
                    </a:ln>
                  </pic:spPr>
                </pic:pic>
              </a:graphicData>
            </a:graphic>
          </wp:inline>
        </w:drawing>
      </w:r>
    </w:p>
    <w:p w14:paraId="14B5D537" w14:textId="0FF661B6" w:rsidR="007E45C3" w:rsidRPr="00446FEC" w:rsidRDefault="007E45C3" w:rsidP="00B26B45">
      <w:pPr>
        <w:pStyle w:val="FigureNoTitle"/>
      </w:pPr>
      <w:r w:rsidRPr="00446FEC">
        <w:t xml:space="preserve">Figure C.2 </w:t>
      </w:r>
      <w:r w:rsidRPr="00446FEC">
        <w:sym w:font="Symbol" w:char="F02D"/>
      </w:r>
      <w:r w:rsidRPr="00446FEC">
        <w:t xml:space="preserve"> Total broadband access</w:t>
      </w:r>
    </w:p>
    <w:p w14:paraId="1EC16A5C" w14:textId="77777777" w:rsidR="007E45C3" w:rsidRPr="00446FEC" w:rsidRDefault="007E45C3" w:rsidP="00B26B45">
      <w:pPr>
        <w:pStyle w:val="Normalaftertitle"/>
      </w:pPr>
      <w:r w:rsidRPr="00446FEC">
        <w:t>Interestingly, this expansion was primarily driven by fibre. Although they surpassed larger providers only in 2023, small providers had already held the highest number of fibre accesses since 2018.</w:t>
      </w:r>
    </w:p>
    <w:p w14:paraId="7D1A1AEB" w14:textId="77777777" w:rsidR="007E45C3" w:rsidRPr="00446FEC" w:rsidRDefault="007E45C3" w:rsidP="00B26B45">
      <w:r w:rsidRPr="00446FEC">
        <w:t xml:space="preserve">Regarding the mobile market measures adopted, large providers still dominate mobile access. Nevertheless, small providers are gradually gaining ground. Over the past eight years, small providers have gained 4.7 million subscriptions, while large providers have lost 10 million. </w:t>
      </w:r>
    </w:p>
    <w:p w14:paraId="6D879EDB" w14:textId="5499062D" w:rsidR="007E45C3" w:rsidRPr="00446FEC" w:rsidRDefault="007E45C3" w:rsidP="00B26B45">
      <w:r w:rsidRPr="00446FEC">
        <w:t>It</w:t>
      </w:r>
      <w:r w:rsidR="006E6D1D" w:rsidRPr="00446FEC">
        <w:t>'</w:t>
      </w:r>
      <w:r w:rsidRPr="00446FEC">
        <w:t>s worth noting that this increase was not primarily due to the adoption of roaming competition measures. An analysis of small provider growth reveals that it was mainly driven by M2M services, typically a result of MVNO contracts. Anatel is presently analysing the MVNO market as part of the technical studies that will support the next PGMC revision.</w:t>
      </w:r>
    </w:p>
    <w:p w14:paraId="06E63092" w14:textId="705DE108" w:rsidR="007E45C3" w:rsidRPr="00446FEC" w:rsidRDefault="00B26B45" w:rsidP="00B26B45">
      <w:pPr>
        <w:pStyle w:val="Heading2"/>
      </w:pPr>
      <w:bookmarkStart w:id="573" w:name="_Toc239193559"/>
      <w:bookmarkStart w:id="574" w:name="_Toc239232803"/>
      <w:bookmarkStart w:id="575" w:name="_Toc239240570"/>
      <w:r w:rsidRPr="00446FEC">
        <w:t>C.</w:t>
      </w:r>
      <w:r w:rsidR="007E45C3" w:rsidRPr="00446FEC">
        <w:t>5</w:t>
      </w:r>
      <w:r w:rsidRPr="00446FEC">
        <w:tab/>
      </w:r>
      <w:r w:rsidR="007E45C3" w:rsidRPr="00446FEC">
        <w:t xml:space="preserve">Democratic Republic of Congo (DRC) </w:t>
      </w:r>
      <w:r w:rsidR="00380D67" w:rsidRPr="00446FEC">
        <w:t>–</w:t>
      </w:r>
      <w:r w:rsidR="007E45C3" w:rsidRPr="00446FEC">
        <w:t xml:space="preserve"> Affordability challenges and emerging approaches in data pricing</w:t>
      </w:r>
      <w:bookmarkEnd w:id="573"/>
      <w:bookmarkEnd w:id="574"/>
      <w:bookmarkEnd w:id="575"/>
    </w:p>
    <w:p w14:paraId="47E21200" w14:textId="77777777" w:rsidR="007E45C3" w:rsidRPr="00446FEC" w:rsidRDefault="007E45C3" w:rsidP="00B26B45">
      <w:r w:rsidRPr="00446FEC">
        <w:t xml:space="preserve">In the Democratic Republic of Congo, the challenge of delivering affordable data services is shaped by a combination of structural and market factors. Limited infrastructure, high operating costs, regulatory constraints, competition dynamics and the pressures of emerging technologies continue to influence both the cost base of operators and the affordability for consumers. Against this backdrop, operators employ a range of cost and pricing strategies that reflect the socio-economic profile of users. Prepaid plans with daily, weekly and monthly volumes are the dominant model, often complemented by night passes and social packages that seek to lower entry barriers. Zero-rated offers and free promotions are used selectively, while integrated bundles of voice, SMS and data remain common. Dynamic pricing through bonuses, discounts and temporary packages is frequently applied to respond to price sensitivity in the market. Fixed and mobile Internet solutions such as </w:t>
      </w:r>
      <w:proofErr w:type="spellStart"/>
      <w:r w:rsidRPr="00446FEC">
        <w:t>HomeBox</w:t>
      </w:r>
      <w:proofErr w:type="spellEnd"/>
      <w:r w:rsidRPr="00446FEC">
        <w:t xml:space="preserve"> are sometimes offered with instalment payments and targeted innovations have been introduced to reach low-income populations.</w:t>
      </w:r>
    </w:p>
    <w:p w14:paraId="46D97659" w14:textId="77777777" w:rsidR="007E45C3" w:rsidRPr="00446FEC" w:rsidRDefault="007E45C3" w:rsidP="00B26B45">
      <w:r w:rsidRPr="00446FEC">
        <w:t>Efforts to improve affordability and sustainability have also pointed towards several forward-looking measures. Extending coverage into rural and remote areas is considered essential to address persistent gaps and greater regulatory proactivity in areas such as taxation, cost structures and quality of service is seen as necessary to safeguard consumers. Ensuring stability in competition while maintaining incentives for investment remains a priority, as does the diversification of tariffs to match the needs of different population groups, particularly through inclusive social packages. Accelerated investment in 4G and preparation for 5G are identified as important levers to bring down the cost per gigabyte and enhance service quality over the medium term. At the same time, strengthening the financial capacity of households is recognised as a key dimension of demand-side affordability. Together, these elements illustrate how the interplay of infrastructure, regulation, operator strategies and socio-</w:t>
      </w:r>
      <w:r w:rsidRPr="00446FEC">
        <w:lastRenderedPageBreak/>
        <w:t>economic conditions shape the cost and pricing landscape in the Democratic Republic of Congo and how addressing affordability requires simultaneous attention to both supply and demand factors.</w:t>
      </w:r>
    </w:p>
    <w:p w14:paraId="1F9E00D6" w14:textId="4A8B9684" w:rsidR="007E45C3" w:rsidRPr="00446FEC" w:rsidRDefault="009A618A" w:rsidP="009A618A">
      <w:pPr>
        <w:pStyle w:val="Heading2"/>
        <w:rPr>
          <w:lang w:bidi="ar-DZ"/>
        </w:rPr>
      </w:pPr>
      <w:bookmarkStart w:id="576" w:name="_Toc239193560"/>
      <w:bookmarkStart w:id="577" w:name="_Toc239232804"/>
      <w:bookmarkStart w:id="578" w:name="_Toc239240571"/>
      <w:r w:rsidRPr="00446FEC">
        <w:rPr>
          <w:lang w:bidi="ar-DZ"/>
        </w:rPr>
        <w:t>C.</w:t>
      </w:r>
      <w:r w:rsidR="007E45C3" w:rsidRPr="00446FEC">
        <w:rPr>
          <w:lang w:bidi="ar-DZ"/>
        </w:rPr>
        <w:t>6</w:t>
      </w:r>
      <w:r w:rsidRPr="00446FEC">
        <w:rPr>
          <w:lang w:bidi="ar-DZ"/>
        </w:rPr>
        <w:tab/>
      </w:r>
      <w:r w:rsidR="007E45C3" w:rsidRPr="00446FEC">
        <w:rPr>
          <w:lang w:bidi="ar-DZ"/>
        </w:rPr>
        <w:t>COSTA RICA – The case of utilising cost models that make provision for the evolution of telecommunications networks technologies</w:t>
      </w:r>
      <w:bookmarkEnd w:id="576"/>
      <w:bookmarkEnd w:id="577"/>
      <w:bookmarkEnd w:id="578"/>
    </w:p>
    <w:p w14:paraId="0B92D6AE" w14:textId="50D8554F" w:rsidR="007E45C3" w:rsidRPr="00446FEC" w:rsidRDefault="007E45C3" w:rsidP="009A618A">
      <w:pPr>
        <w:rPr>
          <w:i/>
          <w:iCs/>
          <w:sz w:val="20"/>
        </w:rPr>
      </w:pPr>
      <w:r w:rsidRPr="00446FEC">
        <w:t>The SUTEL, the Telecommunications Superintendency of Costa Rica and industry regulator, has adopted a bottom-up LRIC cost model. SUTEL</w:t>
      </w:r>
      <w:r w:rsidR="006E6D1D" w:rsidRPr="00446FEC">
        <w:t>'</w:t>
      </w:r>
      <w:r w:rsidRPr="00446FEC">
        <w:t>s cost model makes provision for the evolution of telecommunications network technologies, spanning PSTN, ISDN, ADSL, HFC and FTTH generation technologies. Thereafter, the model then encompasses resource costing allocations for operational and capital expenditure and FDC cost allocations, from which network cost per service is estimated. Further, the SUTEL</w:t>
      </w:r>
      <w:r w:rsidR="006E6D1D" w:rsidRPr="00446FEC">
        <w:t>'</w:t>
      </w:r>
      <w:r w:rsidRPr="00446FEC">
        <w:t xml:space="preserve">s LRIC cost model utilises retail costs bases, which are assigned to derive retail cost estimates, and from which total cost per service is computed as </w:t>
      </w:r>
      <w:proofErr w:type="gramStart"/>
      <w:r w:rsidRPr="00446FEC">
        <w:t>the end result</w:t>
      </w:r>
      <w:proofErr w:type="gramEnd"/>
      <w:r w:rsidRPr="00446FEC">
        <w:t xml:space="preserve"> of the model. </w:t>
      </w:r>
    </w:p>
    <w:p w14:paraId="1B4288E3" w14:textId="389D2595" w:rsidR="007E45C3" w:rsidRPr="00446FEC" w:rsidRDefault="009610BC" w:rsidP="009610BC">
      <w:pPr>
        <w:pStyle w:val="Heading2"/>
        <w:rPr>
          <w:lang w:bidi="ar-DZ"/>
        </w:rPr>
      </w:pPr>
      <w:bookmarkStart w:id="579" w:name="_Toc239193561"/>
      <w:bookmarkStart w:id="580" w:name="_Toc239232805"/>
      <w:bookmarkStart w:id="581" w:name="_Toc239240572"/>
      <w:r w:rsidRPr="00446FEC">
        <w:rPr>
          <w:lang w:bidi="ar-DZ"/>
        </w:rPr>
        <w:t>C.</w:t>
      </w:r>
      <w:r w:rsidR="007E45C3" w:rsidRPr="00446FEC">
        <w:rPr>
          <w:lang w:bidi="ar-DZ"/>
        </w:rPr>
        <w:t>7</w:t>
      </w:r>
      <w:r w:rsidRPr="00446FEC">
        <w:rPr>
          <w:lang w:bidi="ar-DZ"/>
        </w:rPr>
        <w:tab/>
      </w:r>
      <w:r w:rsidR="007E45C3" w:rsidRPr="00446FEC">
        <w:rPr>
          <w:lang w:bidi="ar-DZ"/>
        </w:rPr>
        <w:t>ECTEL – The case on utilising cost modelling for network dimension optimization</w:t>
      </w:r>
      <w:bookmarkEnd w:id="579"/>
      <w:bookmarkEnd w:id="580"/>
      <w:bookmarkEnd w:id="581"/>
    </w:p>
    <w:p w14:paraId="628A1E5E" w14:textId="3009131C" w:rsidR="007E45C3" w:rsidRPr="00446FEC" w:rsidRDefault="007E45C3" w:rsidP="009610BC">
      <w:pPr>
        <w:rPr>
          <w:lang w:eastAsia="en-TT"/>
        </w:rPr>
      </w:pPr>
      <w:r w:rsidRPr="00446FEC">
        <w:rPr>
          <w:lang w:eastAsia="en-TT"/>
        </w:rPr>
        <w:t>The Eastern Caribbean Telecommunications Authority (ECTEL)</w:t>
      </w:r>
      <w:r w:rsidRPr="00446FEC">
        <w:rPr>
          <w:vertAlign w:val="superscript"/>
          <w:lang w:eastAsia="en-TT"/>
        </w:rPr>
        <w:footnoteReference w:id="1"/>
      </w:r>
      <w:r w:rsidRPr="00446FEC">
        <w:rPr>
          <w:lang w:eastAsia="en-TT"/>
        </w:rPr>
        <w:t xml:space="preserve"> has implemented cost models for the determination of termination rates utilizing the bottom-up costing approach for both mobile and fixed services in various national territories. In treating with mobile access technologies, ECTEL</w:t>
      </w:r>
      <w:r w:rsidR="006E6D1D" w:rsidRPr="00446FEC">
        <w:rPr>
          <w:lang w:eastAsia="en-TT"/>
        </w:rPr>
        <w:t>'</w:t>
      </w:r>
      <w:r w:rsidRPr="00446FEC">
        <w:rPr>
          <w:lang w:eastAsia="en-TT"/>
        </w:rPr>
        <w:t xml:space="preserve">s LRIC+ model uses a combination of 2G/3G/4G technologies, according to the availability of each for the operators. The model considers a </w:t>
      </w:r>
      <w:r w:rsidR="008D6F8B" w:rsidRPr="00446FEC">
        <w:rPr>
          <w:lang w:eastAsia="en-TT"/>
        </w:rPr>
        <w:t xml:space="preserve">3GPP </w:t>
      </w:r>
      <w:r w:rsidRPr="00446FEC">
        <w:rPr>
          <w:lang w:eastAsia="en-TT"/>
        </w:rPr>
        <w:t>legacy core network for the 2G and 3G access technologies and an evolved core network for the 4G access, as the core network and backbone. In the LRIC+, increments are defined based on service type, differentiating between voice</w:t>
      </w:r>
      <w:r w:rsidR="008D6F8B" w:rsidRPr="00446FEC">
        <w:rPr>
          <w:lang w:eastAsia="en-TT"/>
        </w:rPr>
        <w:t xml:space="preserve">, </w:t>
      </w:r>
      <w:r w:rsidRPr="00446FEC">
        <w:rPr>
          <w:lang w:eastAsia="en-TT"/>
        </w:rPr>
        <w:t xml:space="preserve">data and other services. </w:t>
      </w:r>
      <w:proofErr w:type="gramStart"/>
      <w:r w:rsidRPr="00446FEC">
        <w:rPr>
          <w:lang w:eastAsia="en-TT"/>
        </w:rPr>
        <w:t>For the purpose of</w:t>
      </w:r>
      <w:proofErr w:type="gramEnd"/>
      <w:r w:rsidRPr="00446FEC">
        <w:rPr>
          <w:lang w:eastAsia="en-TT"/>
        </w:rPr>
        <w:t xml:space="preserve"> network dimensioning optimization, the cost model utilises a yearly approach, by which the number of assets for a given year is calculated, without taking into consideration the network status in previous years. </w:t>
      </w:r>
    </w:p>
    <w:p w14:paraId="67BBD4F0" w14:textId="13D2A136" w:rsidR="007E45C3" w:rsidRPr="00446FEC" w:rsidRDefault="009610BC" w:rsidP="009610BC">
      <w:pPr>
        <w:pStyle w:val="Heading2"/>
        <w:rPr>
          <w:lang w:bidi="ar-DZ"/>
        </w:rPr>
      </w:pPr>
      <w:bookmarkStart w:id="582" w:name="_Toc239193562"/>
      <w:bookmarkStart w:id="583" w:name="_Toc239232806"/>
      <w:bookmarkStart w:id="584" w:name="_Toc239240573"/>
      <w:r w:rsidRPr="00446FEC">
        <w:rPr>
          <w:lang w:bidi="ar-DZ"/>
        </w:rPr>
        <w:t>C.</w:t>
      </w:r>
      <w:r w:rsidR="007E45C3" w:rsidRPr="00446FEC">
        <w:rPr>
          <w:lang w:bidi="ar-DZ"/>
        </w:rPr>
        <w:t>8</w:t>
      </w:r>
      <w:r w:rsidRPr="00446FEC">
        <w:rPr>
          <w:lang w:bidi="ar-DZ"/>
        </w:rPr>
        <w:tab/>
      </w:r>
      <w:r w:rsidR="007E45C3" w:rsidRPr="00446FEC">
        <w:rPr>
          <w:lang w:bidi="ar-DZ"/>
        </w:rPr>
        <w:t>THE EUROPEAN UNION (EU) – The case on the need for regulating cost-based access</w:t>
      </w:r>
      <w:bookmarkEnd w:id="582"/>
      <w:bookmarkEnd w:id="583"/>
      <w:bookmarkEnd w:id="584"/>
    </w:p>
    <w:p w14:paraId="2BE4DE65" w14:textId="1CE9CFDF" w:rsidR="007E45C3" w:rsidRPr="00446FEC" w:rsidRDefault="007E45C3" w:rsidP="00583AC8">
      <w:r w:rsidRPr="00446FEC">
        <w:t>The EU has adopted the bottom-up model. Furthermore, the EU accepts that cost models for the core IP network may not be required in the future as there is likely to have greater competition among firms and potentially less SMP and less need for ex-ante regulation. Pursuant to the ITU and World Bank</w:t>
      </w:r>
      <w:r w:rsidR="006E6D1D" w:rsidRPr="00446FEC">
        <w:t>'</w:t>
      </w:r>
      <w:r w:rsidRPr="00446FEC">
        <w:t xml:space="preserve">s Digital Regulation Platform on Competition and Economics a greater need for cost modelling in broadband access especially in cases where operation </w:t>
      </w:r>
      <w:proofErr w:type="gramStart"/>
      <w:r w:rsidRPr="00446FEC">
        <w:t>are</w:t>
      </w:r>
      <w:proofErr w:type="gramEnd"/>
      <w:r w:rsidRPr="00446FEC">
        <w:t xml:space="preserve"> bundling services is outlined e.g., quad play (fixed, mobile, </w:t>
      </w:r>
      <w:r w:rsidR="008D6F8B" w:rsidRPr="00446FEC">
        <w:t xml:space="preserve">Internet </w:t>
      </w:r>
      <w:r w:rsidRPr="00446FEC">
        <w:t xml:space="preserve">and TV). </w:t>
      </w:r>
    </w:p>
    <w:p w14:paraId="06348F0E" w14:textId="57152A2C" w:rsidR="007E45C3" w:rsidRPr="00446FEC" w:rsidRDefault="007E45C3" w:rsidP="00583AC8">
      <w:r w:rsidRPr="00446FEC">
        <w:t xml:space="preserve">The EU has stated that </w:t>
      </w:r>
      <w:r w:rsidR="006E6D1D" w:rsidRPr="00446FEC">
        <w:t>'</w:t>
      </w:r>
      <w:r w:rsidRPr="00446FEC">
        <w:t>the need for regulated cost-based interconnection is reducing whilst the need for regulating cost-based access is increasing</w:t>
      </w:r>
      <w:r w:rsidR="006E6D1D" w:rsidRPr="00446FEC">
        <w:t>'</w:t>
      </w:r>
      <w:r w:rsidRPr="00446FEC">
        <w:t>. Open access is required by providers to reach its</w:t>
      </w:r>
      <w:r w:rsidR="006E6D1D" w:rsidRPr="00446FEC">
        <w:t>'</w:t>
      </w:r>
      <w:r w:rsidRPr="00446FEC">
        <w:t xml:space="preserve"> customer. Regulators have identified cost modelling requirements. For instance, the mobile network cost model should include an efficient mix of mobile technologies, cost increments for coverage and capacity and capacity to be based on Mbps. The fixed access cost model includes different technologies, different local geographies and cost for different access products. Table C.1 summarizes the components of the LRIC model. </w:t>
      </w:r>
    </w:p>
    <w:p w14:paraId="7D1B0614" w14:textId="0D4711CB" w:rsidR="007E45C3" w:rsidRPr="00446FEC" w:rsidRDefault="007E45C3" w:rsidP="00583AC8">
      <w:pPr>
        <w:pStyle w:val="TableNoTitle0"/>
        <w:rPr>
          <w:sz w:val="20"/>
        </w:rPr>
      </w:pPr>
      <w:r w:rsidRPr="00446FEC">
        <w:t xml:space="preserve">Table C.1 </w:t>
      </w:r>
      <w:r w:rsidRPr="00446FEC">
        <w:sym w:font="Symbol" w:char="F02D"/>
      </w:r>
      <w:r w:rsidRPr="00446FEC">
        <w:t xml:space="preserve"> Components of European Commission</w:t>
      </w:r>
      <w:r w:rsidR="00C87687" w:rsidRPr="00446FEC">
        <w:t>'</w:t>
      </w:r>
      <w:r w:rsidRPr="00446FEC">
        <w:t>s LRIC model</w:t>
      </w:r>
    </w:p>
    <w:tbl>
      <w:tblPr>
        <w:tblStyle w:val="TableGrid"/>
        <w:tblW w:w="9639" w:type="dxa"/>
        <w:jc w:val="center"/>
        <w:tblLook w:val="04A0" w:firstRow="1" w:lastRow="0" w:firstColumn="1" w:lastColumn="0" w:noHBand="0" w:noVBand="1"/>
      </w:tblPr>
      <w:tblGrid>
        <w:gridCol w:w="3212"/>
        <w:gridCol w:w="3213"/>
        <w:gridCol w:w="3214"/>
      </w:tblGrid>
      <w:tr w:rsidR="007E45C3" w:rsidRPr="00446FEC" w14:paraId="5A9A3F84" w14:textId="77777777" w:rsidTr="00583AC8">
        <w:trPr>
          <w:jc w:val="center"/>
        </w:trPr>
        <w:tc>
          <w:tcPr>
            <w:tcW w:w="3005" w:type="dxa"/>
          </w:tcPr>
          <w:p w14:paraId="10C5338A" w14:textId="77777777" w:rsidR="007E45C3" w:rsidRPr="00446FEC" w:rsidRDefault="007E45C3" w:rsidP="00583AC8">
            <w:pPr>
              <w:pStyle w:val="Tabletext"/>
            </w:pPr>
            <w:r w:rsidRPr="00446FEC">
              <w:t>Inputs</w:t>
            </w:r>
          </w:p>
        </w:tc>
        <w:tc>
          <w:tcPr>
            <w:tcW w:w="3005" w:type="dxa"/>
          </w:tcPr>
          <w:p w14:paraId="7856FBC9" w14:textId="77777777" w:rsidR="007E45C3" w:rsidRPr="00446FEC" w:rsidRDefault="007E45C3" w:rsidP="00583AC8">
            <w:pPr>
              <w:pStyle w:val="Tabletext"/>
            </w:pPr>
            <w:r w:rsidRPr="00446FEC">
              <w:t>Modelling</w:t>
            </w:r>
          </w:p>
        </w:tc>
        <w:tc>
          <w:tcPr>
            <w:tcW w:w="3006" w:type="dxa"/>
          </w:tcPr>
          <w:p w14:paraId="3C06593D" w14:textId="77777777" w:rsidR="007E45C3" w:rsidRPr="00446FEC" w:rsidRDefault="007E45C3" w:rsidP="00583AC8">
            <w:pPr>
              <w:pStyle w:val="Tabletext"/>
            </w:pPr>
            <w:r w:rsidRPr="00446FEC">
              <w:t>Outputs</w:t>
            </w:r>
          </w:p>
        </w:tc>
      </w:tr>
      <w:tr w:rsidR="007E45C3" w:rsidRPr="00446FEC" w14:paraId="545C55C2" w14:textId="77777777" w:rsidTr="00583AC8">
        <w:trPr>
          <w:jc w:val="center"/>
        </w:trPr>
        <w:tc>
          <w:tcPr>
            <w:tcW w:w="3005" w:type="dxa"/>
          </w:tcPr>
          <w:p w14:paraId="6A839A4B" w14:textId="77777777" w:rsidR="007E45C3" w:rsidRPr="00446FEC" w:rsidRDefault="007E45C3" w:rsidP="00583AC8">
            <w:pPr>
              <w:pStyle w:val="Tabletext"/>
            </w:pPr>
            <w:r w:rsidRPr="00446FEC">
              <w:t>Country data</w:t>
            </w:r>
          </w:p>
        </w:tc>
        <w:tc>
          <w:tcPr>
            <w:tcW w:w="3005" w:type="dxa"/>
          </w:tcPr>
          <w:p w14:paraId="55C32C4D" w14:textId="77777777" w:rsidR="007E45C3" w:rsidRPr="00446FEC" w:rsidRDefault="007E45C3" w:rsidP="00583AC8">
            <w:pPr>
              <w:pStyle w:val="Tabletext"/>
            </w:pPr>
            <w:r w:rsidRPr="00446FEC">
              <w:t>Network elements</w:t>
            </w:r>
          </w:p>
        </w:tc>
        <w:tc>
          <w:tcPr>
            <w:tcW w:w="3006" w:type="dxa"/>
          </w:tcPr>
          <w:p w14:paraId="3B8765E2" w14:textId="77777777" w:rsidR="007E45C3" w:rsidRPr="00446FEC" w:rsidRDefault="007E45C3" w:rsidP="00583AC8">
            <w:pPr>
              <w:pStyle w:val="Tabletext"/>
            </w:pPr>
            <w:r w:rsidRPr="00446FEC">
              <w:t>LRIC product cost</w:t>
            </w:r>
          </w:p>
        </w:tc>
      </w:tr>
      <w:tr w:rsidR="007E45C3" w:rsidRPr="00446FEC" w14:paraId="3BCA73DC" w14:textId="77777777" w:rsidTr="00583AC8">
        <w:trPr>
          <w:jc w:val="center"/>
        </w:trPr>
        <w:tc>
          <w:tcPr>
            <w:tcW w:w="3005" w:type="dxa"/>
          </w:tcPr>
          <w:p w14:paraId="7552D854" w14:textId="77777777" w:rsidR="007E45C3" w:rsidRPr="00446FEC" w:rsidRDefault="007E45C3" w:rsidP="00583AC8">
            <w:pPr>
              <w:pStyle w:val="Tabletext"/>
            </w:pPr>
            <w:r w:rsidRPr="00446FEC">
              <w:t>Demand volumes</w:t>
            </w:r>
          </w:p>
        </w:tc>
        <w:tc>
          <w:tcPr>
            <w:tcW w:w="3005" w:type="dxa"/>
          </w:tcPr>
          <w:p w14:paraId="0641FB17" w14:textId="77777777" w:rsidR="007E45C3" w:rsidRPr="00446FEC" w:rsidRDefault="007E45C3" w:rsidP="00583AC8">
            <w:pPr>
              <w:pStyle w:val="Tabletext"/>
            </w:pPr>
            <w:r w:rsidRPr="00446FEC">
              <w:t>Routing tables</w:t>
            </w:r>
          </w:p>
        </w:tc>
        <w:tc>
          <w:tcPr>
            <w:tcW w:w="3006" w:type="dxa"/>
          </w:tcPr>
          <w:p w14:paraId="2C4A5C7A" w14:textId="77777777" w:rsidR="007E45C3" w:rsidRPr="00446FEC" w:rsidRDefault="007E45C3" w:rsidP="00583AC8">
            <w:pPr>
              <w:pStyle w:val="Tabletext"/>
            </w:pPr>
          </w:p>
        </w:tc>
      </w:tr>
      <w:tr w:rsidR="007E45C3" w:rsidRPr="00446FEC" w14:paraId="0AFD92BB" w14:textId="77777777" w:rsidTr="00583AC8">
        <w:trPr>
          <w:jc w:val="center"/>
        </w:trPr>
        <w:tc>
          <w:tcPr>
            <w:tcW w:w="3005" w:type="dxa"/>
          </w:tcPr>
          <w:p w14:paraId="60CB99F5" w14:textId="77777777" w:rsidR="007E45C3" w:rsidRPr="00446FEC" w:rsidRDefault="007E45C3" w:rsidP="00583AC8">
            <w:pPr>
              <w:pStyle w:val="Tabletext"/>
            </w:pPr>
            <w:r w:rsidRPr="00446FEC">
              <w:t>Network design</w:t>
            </w:r>
          </w:p>
        </w:tc>
        <w:tc>
          <w:tcPr>
            <w:tcW w:w="3005" w:type="dxa"/>
          </w:tcPr>
          <w:p w14:paraId="7DDE4070" w14:textId="77777777" w:rsidR="007E45C3" w:rsidRPr="00446FEC" w:rsidRDefault="007E45C3" w:rsidP="00583AC8">
            <w:pPr>
              <w:pStyle w:val="Tabletext"/>
            </w:pPr>
            <w:r w:rsidRPr="00446FEC">
              <w:t>Optimization</w:t>
            </w:r>
          </w:p>
        </w:tc>
        <w:tc>
          <w:tcPr>
            <w:tcW w:w="3006" w:type="dxa"/>
          </w:tcPr>
          <w:p w14:paraId="525B133B" w14:textId="77777777" w:rsidR="007E45C3" w:rsidRPr="00446FEC" w:rsidRDefault="007E45C3" w:rsidP="00583AC8">
            <w:pPr>
              <w:pStyle w:val="Tabletext"/>
            </w:pPr>
          </w:p>
        </w:tc>
      </w:tr>
      <w:tr w:rsidR="007E45C3" w:rsidRPr="00446FEC" w14:paraId="72E3888A" w14:textId="77777777" w:rsidTr="00583AC8">
        <w:trPr>
          <w:jc w:val="center"/>
        </w:trPr>
        <w:tc>
          <w:tcPr>
            <w:tcW w:w="3005" w:type="dxa"/>
          </w:tcPr>
          <w:p w14:paraId="3CF2D0AC" w14:textId="77777777" w:rsidR="007E45C3" w:rsidRPr="00446FEC" w:rsidRDefault="007E45C3" w:rsidP="00583AC8">
            <w:pPr>
              <w:pStyle w:val="Tabletext"/>
            </w:pPr>
            <w:r w:rsidRPr="00446FEC">
              <w:lastRenderedPageBreak/>
              <w:t>Parameters</w:t>
            </w:r>
          </w:p>
        </w:tc>
        <w:tc>
          <w:tcPr>
            <w:tcW w:w="3005" w:type="dxa"/>
          </w:tcPr>
          <w:p w14:paraId="4A3C2DED" w14:textId="77777777" w:rsidR="007E45C3" w:rsidRPr="00446FEC" w:rsidRDefault="007E45C3" w:rsidP="00583AC8">
            <w:pPr>
              <w:pStyle w:val="Tabletext"/>
            </w:pPr>
            <w:r w:rsidRPr="00446FEC">
              <w:t>Network costs</w:t>
            </w:r>
          </w:p>
        </w:tc>
        <w:tc>
          <w:tcPr>
            <w:tcW w:w="3006" w:type="dxa"/>
          </w:tcPr>
          <w:p w14:paraId="01BAB5F7" w14:textId="77777777" w:rsidR="007E45C3" w:rsidRPr="00446FEC" w:rsidRDefault="007E45C3" w:rsidP="00583AC8">
            <w:pPr>
              <w:pStyle w:val="Tabletext"/>
            </w:pPr>
          </w:p>
        </w:tc>
      </w:tr>
      <w:tr w:rsidR="007E45C3" w:rsidRPr="00446FEC" w14:paraId="5C3591BB" w14:textId="77777777" w:rsidTr="00583AC8">
        <w:trPr>
          <w:jc w:val="center"/>
        </w:trPr>
        <w:tc>
          <w:tcPr>
            <w:tcW w:w="3005" w:type="dxa"/>
          </w:tcPr>
          <w:p w14:paraId="1DF9FEBD" w14:textId="77777777" w:rsidR="007E45C3" w:rsidRPr="00446FEC" w:rsidRDefault="007E45C3" w:rsidP="00583AC8">
            <w:pPr>
              <w:pStyle w:val="Tabletext"/>
            </w:pPr>
            <w:r w:rsidRPr="00446FEC">
              <w:t>Products</w:t>
            </w:r>
          </w:p>
        </w:tc>
        <w:tc>
          <w:tcPr>
            <w:tcW w:w="3005" w:type="dxa"/>
          </w:tcPr>
          <w:p w14:paraId="1AAE52BB" w14:textId="77777777" w:rsidR="007E45C3" w:rsidRPr="00446FEC" w:rsidRDefault="007E45C3" w:rsidP="00583AC8">
            <w:pPr>
              <w:pStyle w:val="Tabletext"/>
            </w:pPr>
            <w:r w:rsidRPr="00446FEC">
              <w:t>Trenching cost</w:t>
            </w:r>
          </w:p>
        </w:tc>
        <w:tc>
          <w:tcPr>
            <w:tcW w:w="3006" w:type="dxa"/>
          </w:tcPr>
          <w:p w14:paraId="2CA8A102" w14:textId="77777777" w:rsidR="007E45C3" w:rsidRPr="00446FEC" w:rsidRDefault="007E45C3" w:rsidP="00583AC8">
            <w:pPr>
              <w:pStyle w:val="Tabletext"/>
            </w:pPr>
          </w:p>
        </w:tc>
      </w:tr>
      <w:tr w:rsidR="007E45C3" w:rsidRPr="00446FEC" w14:paraId="2605F542" w14:textId="77777777" w:rsidTr="00583AC8">
        <w:trPr>
          <w:jc w:val="center"/>
        </w:trPr>
        <w:tc>
          <w:tcPr>
            <w:tcW w:w="3005" w:type="dxa"/>
          </w:tcPr>
          <w:p w14:paraId="0E24A221" w14:textId="77777777" w:rsidR="007E45C3" w:rsidRPr="00446FEC" w:rsidRDefault="007E45C3" w:rsidP="00583AC8">
            <w:pPr>
              <w:pStyle w:val="Tabletext"/>
            </w:pPr>
            <w:r w:rsidRPr="00446FEC">
              <w:t>Network equipment</w:t>
            </w:r>
          </w:p>
        </w:tc>
        <w:tc>
          <w:tcPr>
            <w:tcW w:w="3005" w:type="dxa"/>
          </w:tcPr>
          <w:p w14:paraId="2E6C94BF" w14:textId="77777777" w:rsidR="007E45C3" w:rsidRPr="00446FEC" w:rsidRDefault="007E45C3" w:rsidP="00583AC8">
            <w:pPr>
              <w:pStyle w:val="Tabletext"/>
            </w:pPr>
            <w:r w:rsidRPr="00446FEC">
              <w:t>Common cost allocations</w:t>
            </w:r>
          </w:p>
        </w:tc>
        <w:tc>
          <w:tcPr>
            <w:tcW w:w="3006" w:type="dxa"/>
          </w:tcPr>
          <w:p w14:paraId="1693252D" w14:textId="77777777" w:rsidR="007E45C3" w:rsidRPr="00446FEC" w:rsidRDefault="007E45C3" w:rsidP="00583AC8">
            <w:pPr>
              <w:pStyle w:val="Tabletext"/>
            </w:pPr>
          </w:p>
        </w:tc>
      </w:tr>
      <w:tr w:rsidR="007E45C3" w:rsidRPr="00446FEC" w14:paraId="73D456BB" w14:textId="77777777" w:rsidTr="00583AC8">
        <w:trPr>
          <w:jc w:val="center"/>
        </w:trPr>
        <w:tc>
          <w:tcPr>
            <w:tcW w:w="3005" w:type="dxa"/>
          </w:tcPr>
          <w:p w14:paraId="4D9EAA82" w14:textId="77777777" w:rsidR="007E45C3" w:rsidRPr="00446FEC" w:rsidRDefault="007E45C3" w:rsidP="00583AC8">
            <w:pPr>
              <w:pStyle w:val="Tabletext"/>
            </w:pPr>
            <w:r w:rsidRPr="00446FEC">
              <w:t>Routing</w:t>
            </w:r>
          </w:p>
        </w:tc>
        <w:tc>
          <w:tcPr>
            <w:tcW w:w="3005" w:type="dxa"/>
          </w:tcPr>
          <w:p w14:paraId="5B002CA5" w14:textId="77777777" w:rsidR="007E45C3" w:rsidRPr="00446FEC" w:rsidRDefault="007E45C3" w:rsidP="00583AC8">
            <w:pPr>
              <w:pStyle w:val="Tabletext"/>
            </w:pPr>
            <w:r w:rsidRPr="00446FEC">
              <w:t>Annualization</w:t>
            </w:r>
          </w:p>
        </w:tc>
        <w:tc>
          <w:tcPr>
            <w:tcW w:w="3006" w:type="dxa"/>
          </w:tcPr>
          <w:p w14:paraId="30BD939A" w14:textId="77777777" w:rsidR="007E45C3" w:rsidRPr="00446FEC" w:rsidRDefault="007E45C3" w:rsidP="00583AC8">
            <w:pPr>
              <w:pStyle w:val="Tabletext"/>
            </w:pPr>
          </w:p>
        </w:tc>
      </w:tr>
      <w:tr w:rsidR="007E45C3" w:rsidRPr="00446FEC" w14:paraId="20C0458B" w14:textId="77777777" w:rsidTr="00583AC8">
        <w:trPr>
          <w:jc w:val="center"/>
        </w:trPr>
        <w:tc>
          <w:tcPr>
            <w:tcW w:w="3005" w:type="dxa"/>
          </w:tcPr>
          <w:p w14:paraId="34103154" w14:textId="77777777" w:rsidR="007E45C3" w:rsidRPr="00446FEC" w:rsidRDefault="007E45C3" w:rsidP="00583AC8">
            <w:pPr>
              <w:pStyle w:val="Tabletext"/>
            </w:pPr>
            <w:r w:rsidRPr="00446FEC">
              <w:t>Unit costs</w:t>
            </w:r>
          </w:p>
        </w:tc>
        <w:tc>
          <w:tcPr>
            <w:tcW w:w="3005" w:type="dxa"/>
          </w:tcPr>
          <w:p w14:paraId="6C4144D8" w14:textId="77777777" w:rsidR="007E45C3" w:rsidRPr="00446FEC" w:rsidRDefault="007E45C3" w:rsidP="00583AC8">
            <w:pPr>
              <w:pStyle w:val="Tabletext"/>
            </w:pPr>
          </w:p>
        </w:tc>
        <w:tc>
          <w:tcPr>
            <w:tcW w:w="3006" w:type="dxa"/>
          </w:tcPr>
          <w:p w14:paraId="1EFB10CD" w14:textId="77777777" w:rsidR="007E45C3" w:rsidRPr="00446FEC" w:rsidRDefault="007E45C3" w:rsidP="00583AC8">
            <w:pPr>
              <w:pStyle w:val="Tabletext"/>
            </w:pPr>
          </w:p>
        </w:tc>
      </w:tr>
    </w:tbl>
    <w:p w14:paraId="1587F7AD" w14:textId="5055C8A7" w:rsidR="007E45C3" w:rsidRPr="00446FEC" w:rsidRDefault="00BF790F" w:rsidP="00BF790F">
      <w:pPr>
        <w:pStyle w:val="Heading2"/>
        <w:rPr>
          <w:lang w:bidi="ar-DZ"/>
        </w:rPr>
      </w:pPr>
      <w:bookmarkStart w:id="585" w:name="_Toc239193563"/>
      <w:bookmarkStart w:id="586" w:name="_Toc239232807"/>
      <w:bookmarkStart w:id="587" w:name="_Toc239240574"/>
      <w:r w:rsidRPr="00446FEC">
        <w:rPr>
          <w:lang w:bidi="ar-DZ"/>
        </w:rPr>
        <w:t>C.</w:t>
      </w:r>
      <w:r w:rsidR="007E45C3" w:rsidRPr="00446FEC">
        <w:rPr>
          <w:lang w:bidi="ar-DZ"/>
        </w:rPr>
        <w:t>9</w:t>
      </w:r>
      <w:r w:rsidRPr="00446FEC">
        <w:rPr>
          <w:lang w:bidi="ar-DZ"/>
        </w:rPr>
        <w:tab/>
      </w:r>
      <w:r w:rsidR="007E45C3" w:rsidRPr="00446FEC">
        <w:rPr>
          <w:lang w:bidi="ar-DZ"/>
        </w:rPr>
        <w:t>FCC/USA [b-Crowe] – The case of encourage operators to compete on service and price</w:t>
      </w:r>
      <w:bookmarkEnd w:id="585"/>
      <w:bookmarkEnd w:id="586"/>
      <w:bookmarkEnd w:id="587"/>
    </w:p>
    <w:p w14:paraId="1C35594E" w14:textId="4C518C29" w:rsidR="007E45C3" w:rsidRPr="00446FEC" w:rsidRDefault="007E45C3" w:rsidP="00BF790F">
      <w:r w:rsidRPr="00446FEC">
        <w:t>The FCC does not regulate interstate services or set prices at the national level. Since 2000, the FCC has encouraged providers to compete on service and price</w:t>
      </w:r>
      <w:r w:rsidR="00380D67" w:rsidRPr="00446FEC">
        <w:t xml:space="preserve"> –</w:t>
      </w:r>
      <w:r w:rsidRPr="00446FEC">
        <w:t xml:space="preserve"> while using USF funding to fill any gaps.</w:t>
      </w:r>
      <w:r w:rsidRPr="00446FEC">
        <w:rPr>
          <w:rStyle w:val="FootnoteReference"/>
          <w:rFonts w:eastAsia="SimSun"/>
        </w:rPr>
        <w:footnoteReference w:id="2"/>
      </w:r>
      <w:r w:rsidRPr="00446FEC">
        <w:t xml:space="preserve"> </w:t>
      </w:r>
    </w:p>
    <w:p w14:paraId="45AFB451" w14:textId="77777777" w:rsidR="007E45C3" w:rsidRPr="00446FEC" w:rsidRDefault="007E45C3" w:rsidP="00BF790F">
      <w:r w:rsidRPr="00446FEC">
        <w:t>The focus for the Americas Region includes, advancing the following:</w:t>
      </w:r>
    </w:p>
    <w:p w14:paraId="00A55D00" w14:textId="554EC52D" w:rsidR="007E45C3" w:rsidRPr="00446FEC" w:rsidRDefault="007E45C3" w:rsidP="00BF790F">
      <w:pPr>
        <w:pStyle w:val="enumlev1"/>
      </w:pPr>
      <w:r w:rsidRPr="00446FEC">
        <w:rPr>
          <w:rFonts w:eastAsiaTheme="minorHAnsi"/>
        </w:rPr>
        <w:t>a)</w:t>
      </w:r>
      <w:r w:rsidRPr="00446FEC">
        <w:rPr>
          <w:rFonts w:eastAsiaTheme="minorHAnsi"/>
        </w:rPr>
        <w:tab/>
      </w:r>
      <w:proofErr w:type="gramStart"/>
      <w:r w:rsidRPr="00446FEC">
        <w:rPr>
          <w:b/>
          <w:bCs/>
        </w:rPr>
        <w:t>Public</w:t>
      </w:r>
      <w:proofErr w:type="gramEnd"/>
      <w:r w:rsidRPr="00446FEC">
        <w:rPr>
          <w:b/>
          <w:bCs/>
        </w:rPr>
        <w:t xml:space="preserve"> interest and </w:t>
      </w:r>
      <w:proofErr w:type="gramStart"/>
      <w:r w:rsidRPr="00446FEC">
        <w:rPr>
          <w:b/>
          <w:bCs/>
        </w:rPr>
        <w:t>stakeholders</w:t>
      </w:r>
      <w:proofErr w:type="gramEnd"/>
      <w:r w:rsidRPr="00446FEC">
        <w:rPr>
          <w:b/>
          <w:bCs/>
        </w:rPr>
        <w:t xml:space="preserve"> advocacy </w:t>
      </w:r>
      <w:r w:rsidR="00380D67" w:rsidRPr="00446FEC">
        <w:rPr>
          <w:b/>
          <w:bCs/>
        </w:rPr>
        <w:t>–</w:t>
      </w:r>
      <w:r w:rsidRPr="00446FEC">
        <w:rPr>
          <w:b/>
          <w:bCs/>
        </w:rPr>
        <w:t xml:space="preserve"> </w:t>
      </w:r>
      <w:r w:rsidRPr="00446FEC">
        <w:t xml:space="preserve">Consider formal and informal mechanisms to </w:t>
      </w:r>
      <w:proofErr w:type="gramStart"/>
      <w:r w:rsidRPr="00446FEC">
        <w:t>lift up</w:t>
      </w:r>
      <w:proofErr w:type="gramEnd"/>
      <w:r w:rsidRPr="00446FEC">
        <w:t xml:space="preserve"> local voices.</w:t>
      </w:r>
    </w:p>
    <w:p w14:paraId="62ED66BF" w14:textId="672ED929" w:rsidR="007E45C3" w:rsidRPr="00446FEC" w:rsidRDefault="007E45C3" w:rsidP="00BF790F">
      <w:pPr>
        <w:pStyle w:val="enumlev1"/>
      </w:pPr>
      <w:r w:rsidRPr="00446FEC">
        <w:rPr>
          <w:rFonts w:eastAsiaTheme="minorHAnsi"/>
        </w:rPr>
        <w:t>b)</w:t>
      </w:r>
      <w:r w:rsidRPr="00446FEC">
        <w:rPr>
          <w:rFonts w:eastAsiaTheme="minorHAnsi"/>
        </w:rPr>
        <w:tab/>
      </w:r>
      <w:r w:rsidRPr="00446FEC">
        <w:rPr>
          <w:b/>
          <w:bCs/>
        </w:rPr>
        <w:t xml:space="preserve">Digital inclusion </w:t>
      </w:r>
      <w:r w:rsidR="00380D67" w:rsidRPr="00446FEC">
        <w:rPr>
          <w:b/>
          <w:bCs/>
        </w:rPr>
        <w:t>–</w:t>
      </w:r>
      <w:r w:rsidRPr="00446FEC">
        <w:rPr>
          <w:b/>
          <w:bCs/>
        </w:rPr>
        <w:t xml:space="preserve"> </w:t>
      </w:r>
      <w:r w:rsidRPr="00446FEC">
        <w:t xml:space="preserve">Though advocacy, it is expected to </w:t>
      </w:r>
      <w:r w:rsidR="00296649" w:rsidRPr="00446FEC">
        <w:t>"</w:t>
      </w:r>
      <w:r w:rsidRPr="00446FEC">
        <w:t>build in</w:t>
      </w:r>
      <w:r w:rsidR="00296649" w:rsidRPr="00446FEC">
        <w:t>"</w:t>
      </w:r>
      <w:r w:rsidRPr="00446FEC">
        <w:t xml:space="preserve"> key aspects of digital inclusion.</w:t>
      </w:r>
    </w:p>
    <w:p w14:paraId="488B8B7F" w14:textId="7C8CAAD7" w:rsidR="007E45C3" w:rsidRPr="00446FEC" w:rsidRDefault="007E45C3" w:rsidP="00BF790F">
      <w:pPr>
        <w:pStyle w:val="enumlev1"/>
      </w:pPr>
      <w:r w:rsidRPr="00446FEC">
        <w:rPr>
          <w:rFonts w:eastAsiaTheme="minorHAnsi"/>
        </w:rPr>
        <w:t>c)</w:t>
      </w:r>
      <w:r w:rsidRPr="00446FEC">
        <w:rPr>
          <w:rFonts w:eastAsiaTheme="minorHAnsi"/>
        </w:rPr>
        <w:tab/>
      </w:r>
      <w:r w:rsidRPr="00446FEC">
        <w:rPr>
          <w:b/>
          <w:bCs/>
        </w:rPr>
        <w:t>Prices</w:t>
      </w:r>
      <w:r w:rsidRPr="00446FEC">
        <w:t xml:space="preserve"> </w:t>
      </w:r>
      <w:r w:rsidR="008D6F8B" w:rsidRPr="00446FEC">
        <w:t>–</w:t>
      </w:r>
      <w:r w:rsidRPr="00446FEC">
        <w:t xml:space="preserve"> Keep pricing in mind as service offerings </w:t>
      </w:r>
      <w:r w:rsidR="00380D67" w:rsidRPr="00446FEC">
        <w:t>–</w:t>
      </w:r>
      <w:r w:rsidRPr="00446FEC">
        <w:t xml:space="preserve"> particularly for 5G and 6G </w:t>
      </w:r>
      <w:r w:rsidR="00380D67" w:rsidRPr="00446FEC">
        <w:t>–</w:t>
      </w:r>
      <w:r w:rsidRPr="00446FEC">
        <w:t xml:space="preserve"> expand</w:t>
      </w:r>
      <w:r w:rsidR="008D6F8B" w:rsidRPr="00446FEC">
        <w:t>.</w:t>
      </w:r>
    </w:p>
    <w:p w14:paraId="2C7371D6" w14:textId="77777777" w:rsidR="007E45C3" w:rsidRPr="00446FEC" w:rsidRDefault="007E45C3" w:rsidP="00BF790F">
      <w:r w:rsidRPr="00446FEC">
        <w:t xml:space="preserve">Pursuant to the National Telecommunications and Information Administration (United States) the public utility commission are not the only stakeholder involved in this process: </w:t>
      </w:r>
    </w:p>
    <w:p w14:paraId="63E2EB64" w14:textId="505FE599" w:rsidR="007E45C3" w:rsidRPr="00446FEC" w:rsidRDefault="007E45C3" w:rsidP="00BF790F">
      <w:pPr>
        <w:pStyle w:val="enumlev1"/>
      </w:pPr>
      <w:r w:rsidRPr="00446FEC">
        <w:rPr>
          <w:rFonts w:eastAsiaTheme="minorHAnsi"/>
        </w:rPr>
        <w:t>a)</w:t>
      </w:r>
      <w:r w:rsidRPr="00446FEC">
        <w:rPr>
          <w:rFonts w:eastAsiaTheme="minorHAnsi"/>
        </w:rPr>
        <w:tab/>
      </w:r>
      <w:r w:rsidRPr="00446FEC">
        <w:t xml:space="preserve">Dynamic, market-driven competition </w:t>
      </w:r>
      <w:r w:rsidR="00380D67" w:rsidRPr="00446FEC">
        <w:t>–</w:t>
      </w:r>
      <w:r w:rsidRPr="00446FEC">
        <w:t xml:space="preserve"> be it at the state/local or national level </w:t>
      </w:r>
      <w:r w:rsidR="00380D67" w:rsidRPr="00446FEC">
        <w:t>–</w:t>
      </w:r>
      <w:r w:rsidRPr="00446FEC">
        <w:t xml:space="preserve"> is critical to providing access to telecommunication services.</w:t>
      </w:r>
    </w:p>
    <w:p w14:paraId="136D5491" w14:textId="5E33A586" w:rsidR="007E45C3" w:rsidRPr="00446FEC" w:rsidRDefault="007E45C3" w:rsidP="00BF790F">
      <w:pPr>
        <w:pStyle w:val="enumlev1"/>
      </w:pPr>
      <w:r w:rsidRPr="00446FEC">
        <w:rPr>
          <w:rFonts w:eastAsiaTheme="minorHAnsi"/>
        </w:rPr>
        <w:t>b)</w:t>
      </w:r>
      <w:r w:rsidRPr="00446FEC">
        <w:rPr>
          <w:rFonts w:eastAsiaTheme="minorHAnsi"/>
        </w:rPr>
        <w:tab/>
      </w:r>
      <w:r w:rsidRPr="00446FEC">
        <w:t>Emphasizing the importance of state/local, municipal and tribal authorities: states</w:t>
      </w:r>
      <w:r w:rsidR="006E6D1D" w:rsidRPr="00446FEC">
        <w:t>'</w:t>
      </w:r>
      <w:r w:rsidRPr="00446FEC">
        <w:t xml:space="preserve"> Attorneys General and consumer protection authorities act as an extra </w:t>
      </w:r>
      <w:r w:rsidR="00296649" w:rsidRPr="00446FEC">
        <w:t>"</w:t>
      </w:r>
      <w:r w:rsidRPr="00446FEC">
        <w:t>check</w:t>
      </w:r>
      <w:r w:rsidR="00C87687" w:rsidRPr="00446FEC">
        <w:t>"</w:t>
      </w:r>
      <w:r w:rsidRPr="00446FEC">
        <w:t>.</w:t>
      </w:r>
    </w:p>
    <w:p w14:paraId="6451EE1A" w14:textId="2A733E54" w:rsidR="007E45C3" w:rsidRPr="00446FEC" w:rsidRDefault="007E45C3" w:rsidP="00A05190">
      <w:r w:rsidRPr="00446FEC">
        <w:t>This ensures that the market and companies are fulfilling their necessary roles. Although the approach to costing and pricing by the US is decentralized, this allows inclusivity of local voices allows for the following:</w:t>
      </w:r>
    </w:p>
    <w:p w14:paraId="36285AD3" w14:textId="483D6F8A" w:rsidR="007E45C3" w:rsidRPr="00446FEC" w:rsidRDefault="007E45C3" w:rsidP="00A05190">
      <w:pPr>
        <w:pStyle w:val="enumlev1"/>
      </w:pPr>
      <w:r w:rsidRPr="00446FEC">
        <w:rPr>
          <w:rFonts w:eastAsiaTheme="minorHAnsi"/>
        </w:rPr>
        <w:t>a)</w:t>
      </w:r>
      <w:r w:rsidRPr="00446FEC">
        <w:rPr>
          <w:rFonts w:eastAsiaTheme="minorHAnsi"/>
        </w:rPr>
        <w:tab/>
      </w:r>
      <w:r w:rsidRPr="00446FEC">
        <w:t>Targeted to state and local needs.</w:t>
      </w:r>
    </w:p>
    <w:p w14:paraId="7ECB8553" w14:textId="34E8823D" w:rsidR="008D6F8B" w:rsidRPr="00446FEC" w:rsidRDefault="007E45C3" w:rsidP="00A05190">
      <w:pPr>
        <w:pStyle w:val="enumlev1"/>
      </w:pPr>
      <w:r w:rsidRPr="00446FEC">
        <w:rPr>
          <w:rFonts w:eastAsiaTheme="minorHAnsi"/>
        </w:rPr>
        <w:t>b)</w:t>
      </w:r>
      <w:r w:rsidRPr="00446FEC">
        <w:rPr>
          <w:rFonts w:eastAsiaTheme="minorHAnsi"/>
        </w:rPr>
        <w:tab/>
      </w:r>
      <w:proofErr w:type="gramStart"/>
      <w:r w:rsidRPr="00446FEC">
        <w:t>Greater</w:t>
      </w:r>
      <w:proofErr w:type="gramEnd"/>
      <w:r w:rsidRPr="00446FEC">
        <w:t xml:space="preserve"> efficiency in addressing these needs</w:t>
      </w:r>
      <w:r w:rsidR="008D6F8B" w:rsidRPr="00446FEC">
        <w:t>.</w:t>
      </w:r>
    </w:p>
    <w:p w14:paraId="45312266" w14:textId="7D3DB4FC" w:rsidR="007E45C3" w:rsidRPr="00446FEC" w:rsidRDefault="007E45C3" w:rsidP="00A05190">
      <w:pPr>
        <w:pStyle w:val="enumlev1"/>
      </w:pPr>
      <w:r w:rsidRPr="00446FEC">
        <w:t>c</w:t>
      </w:r>
      <w:r w:rsidR="008D6F8B" w:rsidRPr="00446FEC">
        <w:t>)</w:t>
      </w:r>
      <w:r w:rsidR="008D6F8B" w:rsidRPr="00446FEC">
        <w:tab/>
      </w:r>
      <w:r w:rsidRPr="00446FEC">
        <w:t>The formulation of state and local policies which allow for experimentation, which, at times informing the decisions the federal government takes.</w:t>
      </w:r>
    </w:p>
    <w:p w14:paraId="1A1B439D" w14:textId="56D93646" w:rsidR="007E45C3" w:rsidRPr="00446FEC" w:rsidRDefault="00A05190" w:rsidP="00A05190">
      <w:pPr>
        <w:pStyle w:val="Heading2"/>
      </w:pPr>
      <w:bookmarkStart w:id="588" w:name="_Toc239193564"/>
      <w:bookmarkStart w:id="589" w:name="_Toc239232808"/>
      <w:bookmarkStart w:id="590" w:name="_Toc239240575"/>
      <w:r w:rsidRPr="00446FEC">
        <w:t>C.</w:t>
      </w:r>
      <w:r w:rsidR="007E45C3" w:rsidRPr="00446FEC">
        <w:t>10</w:t>
      </w:r>
      <w:r w:rsidRPr="00446FEC">
        <w:tab/>
      </w:r>
      <w:r w:rsidR="007E45C3" w:rsidRPr="00446FEC">
        <w:t>INDIA</w:t>
      </w:r>
      <w:bookmarkEnd w:id="588"/>
      <w:bookmarkEnd w:id="589"/>
      <w:bookmarkEnd w:id="590"/>
    </w:p>
    <w:p w14:paraId="22FDAA2A" w14:textId="0C8EFEEC" w:rsidR="007E45C3" w:rsidRPr="00446FEC" w:rsidRDefault="007E45C3" w:rsidP="00A05190">
      <w:pPr>
        <w:pStyle w:val="Headingb"/>
        <w:ind w:left="794" w:hanging="794"/>
      </w:pPr>
      <w:r w:rsidRPr="00446FEC">
        <w:t>A</w:t>
      </w:r>
      <w:r w:rsidR="00A05190" w:rsidRPr="00446FEC">
        <w:tab/>
      </w:r>
      <w:r w:rsidRPr="00446FEC">
        <w:t>The Telecom Regulatory Authority of India (TRAI) – A case on the use of bill and keep (BAK)</w:t>
      </w:r>
    </w:p>
    <w:p w14:paraId="7875D5B6" w14:textId="66040CA5" w:rsidR="007E45C3" w:rsidRPr="00446FEC" w:rsidRDefault="007E45C3" w:rsidP="00A05190">
      <w:pPr>
        <w:rPr>
          <w:shd w:val="clear" w:color="auto" w:fill="FFFFFF"/>
        </w:rPr>
      </w:pPr>
      <w:r w:rsidRPr="00446FEC">
        <w:rPr>
          <w:shd w:val="clear" w:color="auto" w:fill="FFFFFF"/>
        </w:rPr>
        <w:t>In 2017</w:t>
      </w:r>
      <w:r w:rsidR="008D6F8B" w:rsidRPr="00446FEC">
        <w:rPr>
          <w:shd w:val="clear" w:color="auto" w:fill="FFFFFF"/>
        </w:rPr>
        <w:t>,</w:t>
      </w:r>
      <w:r w:rsidRPr="00446FEC">
        <w:rPr>
          <w:shd w:val="clear" w:color="auto" w:fill="FFFFFF"/>
        </w:rPr>
        <w:t xml:space="preserve"> TRAI took the decisions to (a) lower MTC from 14 paise to 6 paise; and (b) mandate that MTC shall be zero from January 1</w:t>
      </w:r>
      <w:proofErr w:type="gramStart"/>
      <w:r w:rsidRPr="00446FEC">
        <w:rPr>
          <w:shd w:val="clear" w:color="auto" w:fill="FFFFFF"/>
        </w:rPr>
        <w:t xml:space="preserve"> 2020</w:t>
      </w:r>
      <w:proofErr w:type="gramEnd"/>
      <w:r w:rsidRPr="00446FEC">
        <w:rPr>
          <w:shd w:val="clear" w:color="auto" w:fill="FFFFFF"/>
        </w:rPr>
        <w:t>. This was postulated to provide an opportunity to meet Digital goals for the country.</w:t>
      </w:r>
    </w:p>
    <w:p w14:paraId="5B9499C2" w14:textId="54BFAD36" w:rsidR="007E45C3" w:rsidRPr="00446FEC" w:rsidRDefault="007E45C3" w:rsidP="00A05190">
      <w:r w:rsidRPr="00446FEC">
        <w:rPr>
          <w:shd w:val="clear" w:color="auto" w:fill="FFFFFF"/>
        </w:rPr>
        <w:t xml:space="preserve">India adopted the </w:t>
      </w:r>
      <w:r w:rsidRPr="00446FEC">
        <w:rPr>
          <w:lang w:bidi="ar-DZ"/>
        </w:rPr>
        <w:t>calling party pays</w:t>
      </w:r>
      <w:r w:rsidRPr="00446FEC">
        <w:rPr>
          <w:shd w:val="clear" w:color="auto" w:fill="FFFFFF"/>
        </w:rPr>
        <w:t xml:space="preserve"> (CPP) regime in 2003 to promote growth and reduce tariffs. </w:t>
      </w:r>
      <w:r w:rsidRPr="00446FEC">
        <w:t xml:space="preserve">After the introduction of CPP regime in the country, the growth story of the telecommunication services sector in the country has been phenomenal. From a mobile </w:t>
      </w:r>
      <w:proofErr w:type="spellStart"/>
      <w:r w:rsidRPr="00446FEC">
        <w:t>teledensity</w:t>
      </w:r>
      <w:proofErr w:type="spellEnd"/>
      <w:r w:rsidRPr="00446FEC">
        <w:t xml:space="preserve"> of 1.01 in December 2002, the mobile </w:t>
      </w:r>
      <w:proofErr w:type="spellStart"/>
      <w:r w:rsidRPr="00446FEC">
        <w:t>teledensity</w:t>
      </w:r>
      <w:proofErr w:type="spellEnd"/>
      <w:r w:rsidRPr="00446FEC">
        <w:t xml:space="preserve"> leapfrogged to 81.18 in </w:t>
      </w:r>
      <w:r w:rsidR="008D6F8B" w:rsidRPr="00446FEC">
        <w:t xml:space="preserve">May </w:t>
      </w:r>
      <w:r w:rsidRPr="00446FEC">
        <w:t xml:space="preserve">2016. The average mobile tariffs for outgoing voice calls declined from 3.24 per minute in March 2003 to 0.47 per minute in December 2015. Today, the </w:t>
      </w:r>
      <w:r w:rsidRPr="00446FEC">
        <w:lastRenderedPageBreak/>
        <w:t>telecom services are considered ubiquitous throughout metropolis and hinterland villages of the country.</w:t>
      </w:r>
      <w:r w:rsidRPr="00446FEC">
        <w:rPr>
          <w:rStyle w:val="FootnoteReference"/>
          <w:rFonts w:eastAsia="SimSun"/>
        </w:rPr>
        <w:footnoteReference w:id="3"/>
      </w:r>
      <w:r w:rsidRPr="00446FEC">
        <w:t xml:space="preserve"> </w:t>
      </w:r>
    </w:p>
    <w:p w14:paraId="6EDB7E04" w14:textId="5864CA28" w:rsidR="007E45C3" w:rsidRPr="00446FEC" w:rsidRDefault="007E45C3" w:rsidP="00A05190">
      <w:r w:rsidRPr="00446FEC">
        <w:t>The country followed two approaches to determine domestic termination charges for differing call destinations, in 2015. These included the LRIC+ for wireless to wireless (mobile) and the BAK method (</w:t>
      </w:r>
      <w:r w:rsidRPr="00446FEC">
        <w:rPr>
          <w:shd w:val="clear" w:color="auto" w:fill="FFFFFF"/>
        </w:rPr>
        <w:t>Bill and Keep)</w:t>
      </w:r>
      <w:r w:rsidRPr="00446FEC">
        <w:t xml:space="preserve"> for wireline to wireless, wireless to wireline and wireline to wireline termination (TRAI 2016)</w:t>
      </w:r>
      <w:r w:rsidRPr="00446FEC">
        <w:rPr>
          <w:rStyle w:val="FootnoteReference"/>
          <w:rFonts w:eastAsia="SimSun"/>
        </w:rPr>
        <w:footnoteReference w:id="4"/>
      </w:r>
      <w:r w:rsidRPr="00446FEC">
        <w:t>.</w:t>
      </w:r>
    </w:p>
    <w:p w14:paraId="757E57C9" w14:textId="77777777" w:rsidR="007E45C3" w:rsidRPr="00446FEC" w:rsidRDefault="007E45C3" w:rsidP="00A05190">
      <w:r w:rsidRPr="00446FEC">
        <w:t xml:space="preserve">In making the decision, TRAI reportedly considered arguments from stakeholders on the adoption of 4G services by subscribers before implementation of BAK with effect from 1 January 2021, the levels of traffic asymmetry among TSPs and past practices relating to revision in rates of MTC. </w:t>
      </w:r>
    </w:p>
    <w:p w14:paraId="0AFAAF70" w14:textId="0CC29AEA" w:rsidR="007E45C3" w:rsidRPr="00446FEC" w:rsidRDefault="007E45C3" w:rsidP="00A05190">
      <w:pPr>
        <w:rPr>
          <w:b/>
          <w:bCs/>
        </w:rPr>
      </w:pPr>
      <w:r w:rsidRPr="00446FEC">
        <w:t xml:space="preserve">The BAK method is to be implemented from 1 January 2021, for MTC. The TRAI, noting the date from which the present MTC rate is in force </w:t>
      </w:r>
      <w:r w:rsidRPr="00446FEC">
        <w:sym w:font="Symbol" w:char="F02D"/>
      </w:r>
      <w:r w:rsidRPr="00446FEC">
        <w:t xml:space="preserve"> 1 October 2017 </w:t>
      </w:r>
      <w:r w:rsidRPr="00446FEC">
        <w:sym w:font="Symbol" w:char="F02D"/>
      </w:r>
      <w:r w:rsidRPr="00446FEC">
        <w:t xml:space="preserve"> would represent three years and three months only. This was compared to India tariff review cycle, which was generally considered to take approximately three years. TRAI, hence, considered that it was not prudent to start the implementation of the 2017 planned rates, given that it involved an exhaustive and complex exercise for limited remaining period before the implementation of </w:t>
      </w:r>
      <w:r w:rsidRPr="00446FEC">
        <w:rPr>
          <w:b/>
          <w:bCs/>
        </w:rPr>
        <w:t>BAK for wireless-to-wireless domestic calls from 1 January</w:t>
      </w:r>
      <w:r w:rsidRPr="00446FEC" w:rsidDel="00A26548">
        <w:rPr>
          <w:b/>
          <w:bCs/>
        </w:rPr>
        <w:t xml:space="preserve"> </w:t>
      </w:r>
      <w:r w:rsidRPr="00446FEC">
        <w:rPr>
          <w:b/>
          <w:bCs/>
        </w:rPr>
        <w:t>2021</w:t>
      </w:r>
      <w:r w:rsidRPr="00446FEC">
        <w:t>.</w:t>
      </w:r>
    </w:p>
    <w:p w14:paraId="4E290114" w14:textId="43A13C2D" w:rsidR="007E45C3" w:rsidRPr="00446FEC" w:rsidRDefault="007E45C3" w:rsidP="00A05190">
      <w:r w:rsidRPr="00446FEC">
        <w:t xml:space="preserve">In the BAK system, each operator is responsible for his or her own cost and no direct payment is exchanged between the operators. This model justifies the principle that each operator benefits from traffic originating and terminating on its network. In this system the role of field offices of Department of Telecommunication, </w:t>
      </w:r>
      <w:r w:rsidR="008D6F8B" w:rsidRPr="00446FEC">
        <w:t xml:space="preserve">Government </w:t>
      </w:r>
      <w:r w:rsidRPr="00446FEC">
        <w:t>of India becomes very important. The revenue spent by the operator in terminating the calls of other operators at their customer</w:t>
      </w:r>
      <w:r w:rsidR="006E6D1D" w:rsidRPr="00446FEC">
        <w:t>'</w:t>
      </w:r>
      <w:r w:rsidRPr="00446FEC">
        <w:t xml:space="preserve">s end is sought as deduction from their gross revenue to arrive at an adjusted gross revenue. The field offices verify the claims of the operators based on the documents submitted by them. This reduces the administrative and operational cost of </w:t>
      </w:r>
      <w:proofErr w:type="gramStart"/>
      <w:r w:rsidRPr="00446FEC">
        <w:t>TSPs,</w:t>
      </w:r>
      <w:proofErr w:type="gramEnd"/>
      <w:r w:rsidRPr="00446FEC">
        <w:t xml:space="preserve"> had they been involved in direct exchange of revenue with other operators.</w:t>
      </w:r>
    </w:p>
    <w:p w14:paraId="161B283F" w14:textId="614BAFD9" w:rsidR="007E45C3" w:rsidRPr="00446FEC" w:rsidRDefault="007E45C3" w:rsidP="00A05190">
      <w:pPr>
        <w:pStyle w:val="Headingb"/>
        <w:ind w:left="794" w:hanging="794"/>
      </w:pPr>
      <w:r w:rsidRPr="00446FEC">
        <w:t>B</w:t>
      </w:r>
      <w:r w:rsidR="00A05190" w:rsidRPr="00446FEC">
        <w:tab/>
      </w:r>
      <w:r w:rsidRPr="00446FEC">
        <w:t>The PM-WANI public Wi-Fi programme – A case on cost and regulatory aspects [b</w:t>
      </w:r>
      <w:r w:rsidR="004450AE" w:rsidRPr="00446FEC">
        <w:noBreakHyphen/>
      </w:r>
      <w:r w:rsidRPr="00446FEC">
        <w:t>Sandeep et al.]</w:t>
      </w:r>
    </w:p>
    <w:p w14:paraId="2AE3B368" w14:textId="664643B1" w:rsidR="007E45C3" w:rsidRPr="00446FEC" w:rsidRDefault="007E45C3" w:rsidP="007E45C3">
      <w:r w:rsidRPr="00446FEC">
        <w:t>In December 2020, India launched the Prime Minister Wi-Fi Access Network Interface (PM-WANI) scheme with the objective of expanding affordable public Wi-Fi access. The initiative established an open architecture where local entrepreneurs could become public data offices (PDOs) operating Wi</w:t>
      </w:r>
      <w:r w:rsidR="008D6F8B" w:rsidRPr="00446FEC">
        <w:noBreakHyphen/>
      </w:r>
      <w:r w:rsidRPr="00446FEC">
        <w:t>Fi hotspots, supported by public data office aggregators (PDOAs), app providers and a central registry to ensure interoperability. Unlike subsidy-driven models in other countries, PM-WANI was designed as a market-led framework to promote entrepreneurship while bridging the digital divide.</w:t>
      </w:r>
    </w:p>
    <w:p w14:paraId="1E864146" w14:textId="77777777" w:rsidR="00A05190" w:rsidRPr="00446FEC" w:rsidRDefault="007E45C3" w:rsidP="00A05190">
      <w:pPr>
        <w:pStyle w:val="Headingb"/>
      </w:pPr>
      <w:r w:rsidRPr="00446FEC">
        <w:t>Cost structure</w:t>
      </w:r>
    </w:p>
    <w:p w14:paraId="7C66714C" w14:textId="236CC31F" w:rsidR="007E45C3" w:rsidRPr="00446FEC" w:rsidRDefault="007E45C3" w:rsidP="00A05190">
      <w:r w:rsidRPr="00446FEC">
        <w:t>PDO operations involve three major cost components:</w:t>
      </w:r>
    </w:p>
    <w:p w14:paraId="01156C9F" w14:textId="1D7659E2" w:rsidR="007E45C3" w:rsidRPr="00446FEC" w:rsidRDefault="00A05190" w:rsidP="00A05190">
      <w:pPr>
        <w:pStyle w:val="enumlev1"/>
      </w:pPr>
      <w:r w:rsidRPr="00446FEC">
        <w:t>•</w:t>
      </w:r>
      <w:r w:rsidRPr="00446FEC">
        <w:tab/>
      </w:r>
      <w:r w:rsidR="007E45C3" w:rsidRPr="00446FEC">
        <w:rPr>
          <w:b/>
          <w:bCs/>
        </w:rPr>
        <w:t>Access network (one-time)</w:t>
      </w:r>
      <w:r w:rsidR="007E45C3" w:rsidRPr="00446FEC">
        <w:t>: Indoor deployments require lower-cost access points (~USD 60), whereas outdoor deployments (~USD 120) incur higher expenses due to weather-proofing and additional cabling.</w:t>
      </w:r>
    </w:p>
    <w:p w14:paraId="2DF4B48E" w14:textId="3E0D21C0" w:rsidR="007E45C3" w:rsidRPr="00446FEC" w:rsidRDefault="00A05190" w:rsidP="00A05190">
      <w:pPr>
        <w:pStyle w:val="enumlev1"/>
      </w:pPr>
      <w:r w:rsidRPr="00446FEC">
        <w:t>•</w:t>
      </w:r>
      <w:r w:rsidRPr="00446FEC">
        <w:tab/>
      </w:r>
      <w:r w:rsidR="007E45C3" w:rsidRPr="00446FEC">
        <w:rPr>
          <w:b/>
          <w:bCs/>
        </w:rPr>
        <w:t>Internet backhaul (recurring)</w:t>
      </w:r>
      <w:r w:rsidR="007E45C3" w:rsidRPr="00446FEC">
        <w:t>: PDOs must procure bandwidth from licensed ISPs/</w:t>
      </w:r>
      <w:proofErr w:type="spellStart"/>
      <w:r w:rsidR="007E45C3" w:rsidRPr="00446FEC">
        <w:t>TSPs.</w:t>
      </w:r>
      <w:proofErr w:type="spellEnd"/>
      <w:r w:rsidR="007E45C3" w:rsidRPr="00446FEC">
        <w:t xml:space="preserve"> FTTH-based backhaul costs approximately USD 240 per year, while Internet leased line (ILL) connections can exceed USD 4,800 annually, i.e., 20–40 times more expensive.</w:t>
      </w:r>
    </w:p>
    <w:p w14:paraId="1FBF662F" w14:textId="78F6952F" w:rsidR="007E45C3" w:rsidRPr="00446FEC" w:rsidRDefault="00A05190" w:rsidP="00A05190">
      <w:pPr>
        <w:pStyle w:val="enumlev1"/>
      </w:pPr>
      <w:r w:rsidRPr="00446FEC">
        <w:t>•</w:t>
      </w:r>
      <w:r w:rsidRPr="00446FEC">
        <w:tab/>
      </w:r>
      <w:r w:rsidR="007E45C3" w:rsidRPr="00446FEC">
        <w:rPr>
          <w:b/>
          <w:bCs/>
        </w:rPr>
        <w:t>Service cost</w:t>
      </w:r>
      <w:r w:rsidR="007E45C3" w:rsidRPr="00446FEC">
        <w:t>: PDOAs provide functions such as authorization, accounting and security. Charges are initially fixed but often transition to revenue-sharing based on usage or per-user models.</w:t>
      </w:r>
    </w:p>
    <w:p w14:paraId="0CBFD9B4" w14:textId="37E275FB" w:rsidR="007E45C3" w:rsidRPr="00446FEC" w:rsidRDefault="007E45C3" w:rsidP="007E45C3">
      <w:r w:rsidRPr="00446FEC">
        <w:lastRenderedPageBreak/>
        <w:t>The resulting cost differential is stark: a small indoor PDO using FTTH may operate at ~USD 300 annually, while an outdoor ILL-based PDO may face costs above USD 13</w:t>
      </w:r>
      <w:r w:rsidR="008D6F8B" w:rsidRPr="00446FEC">
        <w:t> </w:t>
      </w:r>
      <w:r w:rsidRPr="00446FEC">
        <w:t>000. This high fixed and recurring burden creates significant barriers to PDO sustainability.</w:t>
      </w:r>
    </w:p>
    <w:p w14:paraId="15D42704" w14:textId="309FDD0E" w:rsidR="00DB0B03" w:rsidRPr="00446FEC" w:rsidRDefault="007E45C3" w:rsidP="00DB0B03">
      <w:pPr>
        <w:pStyle w:val="Headingb"/>
      </w:pPr>
      <w:r w:rsidRPr="00446FEC">
        <w:t>Pricing and competition</w:t>
      </w:r>
    </w:p>
    <w:p w14:paraId="370F8833" w14:textId="79037CB5" w:rsidR="007E45C3" w:rsidRPr="00446FEC" w:rsidRDefault="007E45C3" w:rsidP="007E45C3">
      <w:r w:rsidRPr="00446FEC">
        <w:t>PDOs earn revenue by reselling bandwidth to users. To remain viable, prices must be benchmarked against existing mobile and broadband tariffs:</w:t>
      </w:r>
    </w:p>
    <w:p w14:paraId="69E8D864" w14:textId="33958179" w:rsidR="007E45C3" w:rsidRPr="00446FEC" w:rsidRDefault="00B51AAF" w:rsidP="00B51AAF">
      <w:pPr>
        <w:pStyle w:val="enumlev1"/>
      </w:pPr>
      <w:r w:rsidRPr="00446FEC">
        <w:t>•</w:t>
      </w:r>
      <w:r w:rsidRPr="00446FEC">
        <w:tab/>
      </w:r>
      <w:r w:rsidR="007E45C3" w:rsidRPr="00446FEC">
        <w:rPr>
          <w:b/>
          <w:bCs/>
        </w:rPr>
        <w:t>4G mobile data</w:t>
      </w:r>
      <w:r w:rsidR="007E45C3" w:rsidRPr="00446FEC">
        <w:t>: Average plan ~USD 3.6/month, providing ~2 GB/day (equivalent to ~USD 0.12/day, or USD 0.06 per GB).</w:t>
      </w:r>
    </w:p>
    <w:p w14:paraId="24C25DFB" w14:textId="6D7CAB82" w:rsidR="007E45C3" w:rsidRPr="00446FEC" w:rsidRDefault="00B51AAF" w:rsidP="00B51AAF">
      <w:pPr>
        <w:pStyle w:val="enumlev1"/>
      </w:pPr>
      <w:r w:rsidRPr="00446FEC">
        <w:t>•</w:t>
      </w:r>
      <w:r w:rsidRPr="00446FEC">
        <w:tab/>
      </w:r>
      <w:r w:rsidR="007E45C3" w:rsidRPr="00446FEC">
        <w:rPr>
          <w:b/>
          <w:bCs/>
        </w:rPr>
        <w:t>Home FTTH broadband</w:t>
      </w:r>
      <w:r w:rsidR="007E45C3" w:rsidRPr="00446FEC">
        <w:t>: Entry-level plans range from USD 8–18/month, generally shared across 4–5 devices, lowering the per-user cost to ~USD 0.20–0.30/day.</w:t>
      </w:r>
    </w:p>
    <w:p w14:paraId="4F9C1E01" w14:textId="5C10489F" w:rsidR="007E45C3" w:rsidRPr="00446FEC" w:rsidRDefault="00B51AAF" w:rsidP="00B51AAF">
      <w:pPr>
        <w:pStyle w:val="enumlev1"/>
      </w:pPr>
      <w:r w:rsidRPr="00446FEC">
        <w:t>•</w:t>
      </w:r>
      <w:r w:rsidRPr="00446FEC">
        <w:tab/>
      </w:r>
      <w:r w:rsidR="007E45C3" w:rsidRPr="00446FEC">
        <w:rPr>
          <w:b/>
          <w:bCs/>
        </w:rPr>
        <w:t>Public Wi-Fi via PDO</w:t>
      </w:r>
      <w:r w:rsidR="007E45C3" w:rsidRPr="00446FEC">
        <w:t>: To attract demand, PDO tariffs must remain below these levels. A typical offering is ~USD 0.06/day for 2 GB (~USD 0.02 per GB).</w:t>
      </w:r>
    </w:p>
    <w:p w14:paraId="3337F291" w14:textId="77777777" w:rsidR="007E45C3" w:rsidRPr="00446FEC" w:rsidRDefault="007E45C3" w:rsidP="007E45C3">
      <w:r w:rsidRPr="00446FEC">
        <w:t>This pricing pressure is compounded by the fact that the same ISPs/TSPs who supply backhaul also dominate the retail broadband and mobile markets, leaving PDOs in a structurally weak position.</w:t>
      </w:r>
    </w:p>
    <w:p w14:paraId="2F02C285" w14:textId="7FF0304F" w:rsidR="00B51AAF" w:rsidRPr="00446FEC" w:rsidRDefault="007E45C3" w:rsidP="00B51AAF">
      <w:pPr>
        <w:pStyle w:val="Headingb"/>
      </w:pPr>
      <w:r w:rsidRPr="00446FEC">
        <w:t>Sustainability and regulatory considerations</w:t>
      </w:r>
    </w:p>
    <w:p w14:paraId="0461753A" w14:textId="02CAF8D2" w:rsidR="007E45C3" w:rsidRPr="00446FEC" w:rsidRDefault="007E45C3" w:rsidP="007E45C3">
      <w:r w:rsidRPr="00446FEC">
        <w:t>Experience under PM-WANI has shown that while unbundling lowers entry barriers, PDO viability is constrained by high backhaul charges and overlapping competition. To address this, three regulatory mechanisms have been discussed:</w:t>
      </w:r>
    </w:p>
    <w:p w14:paraId="29DAEFAA" w14:textId="5A4F7EE9" w:rsidR="007E45C3" w:rsidRPr="00446FEC" w:rsidRDefault="006065BF" w:rsidP="006065BF">
      <w:pPr>
        <w:pStyle w:val="enumlev1"/>
      </w:pPr>
      <w:r w:rsidRPr="00446FEC">
        <w:t>•</w:t>
      </w:r>
      <w:r w:rsidRPr="00446FEC">
        <w:tab/>
      </w:r>
      <w:r w:rsidR="007E45C3" w:rsidRPr="00446FEC">
        <w:rPr>
          <w:b/>
          <w:bCs/>
        </w:rPr>
        <w:t>Wholesale price caps</w:t>
      </w:r>
      <w:r w:rsidR="007E45C3" w:rsidRPr="00446FEC">
        <w:t>: Setting ceilings on backhaul tariffs to prevent incumbent overcharging, particularly for ILL, could enable PDOs to operate sustainably.</w:t>
      </w:r>
    </w:p>
    <w:p w14:paraId="4F290C12" w14:textId="4B7C4B36" w:rsidR="007E45C3" w:rsidRPr="00446FEC" w:rsidRDefault="006065BF" w:rsidP="006065BF">
      <w:pPr>
        <w:pStyle w:val="enumlev1"/>
      </w:pPr>
      <w:r w:rsidRPr="00446FEC">
        <w:t>•</w:t>
      </w:r>
      <w:r w:rsidRPr="00446FEC">
        <w:tab/>
      </w:r>
      <w:r w:rsidR="007E45C3" w:rsidRPr="00446FEC">
        <w:rPr>
          <w:b/>
          <w:bCs/>
        </w:rPr>
        <w:t>Targeted subsidies</w:t>
      </w:r>
      <w:r w:rsidR="007E45C3" w:rsidRPr="00446FEC">
        <w:t>: Drawing from the Universal Service Obligation Fund (USOF) to defray rural backhaul costs can help address market failure where private investment alone is insufficient.</w:t>
      </w:r>
    </w:p>
    <w:p w14:paraId="74C0FB08" w14:textId="00DC1629" w:rsidR="007E45C3" w:rsidRPr="00446FEC" w:rsidRDefault="006065BF" w:rsidP="006065BF">
      <w:pPr>
        <w:pStyle w:val="enumlev1"/>
      </w:pPr>
      <w:r w:rsidRPr="00446FEC">
        <w:t>•</w:t>
      </w:r>
      <w:r w:rsidRPr="00446FEC">
        <w:tab/>
      </w:r>
      <w:r w:rsidR="007E45C3" w:rsidRPr="00446FEC">
        <w:rPr>
          <w:b/>
          <w:bCs/>
        </w:rPr>
        <w:t>User or capacity caps</w:t>
      </w:r>
      <w:r w:rsidR="007E45C3" w:rsidRPr="00446FEC">
        <w:t>: Regulating the distribution of users across PDOs may promote competition and reduce congestion, though poorly designed caps risk undermining individual PDO economics.</w:t>
      </w:r>
    </w:p>
    <w:p w14:paraId="2A6B62B6" w14:textId="1E06B2B5" w:rsidR="007E45C3" w:rsidRPr="00446FEC" w:rsidRDefault="007E45C3" w:rsidP="006065BF">
      <w:r w:rsidRPr="00446FEC">
        <w:t>The PM-WANI case illustrates that unbundled Wi-Fi ecosystems can expand affordable access and encourage local entrepreneurship. However, cost asymmetries in backhaul procurement and competitive imbalances with incumbent operators limit sustainability. Addressing these structural issues through calibrated price regulation, targeted subsidies and supportive policy interventions is critical for achieving the programme</w:t>
      </w:r>
      <w:r w:rsidR="006E6D1D" w:rsidRPr="00446FEC">
        <w:t>'</w:t>
      </w:r>
      <w:r w:rsidRPr="00446FEC">
        <w:t>s affordability and inclusion objectives.</w:t>
      </w:r>
    </w:p>
    <w:p w14:paraId="74B69CE2" w14:textId="42EFA083" w:rsidR="007E45C3" w:rsidRPr="00446FEC" w:rsidRDefault="00D85481" w:rsidP="00D85481">
      <w:pPr>
        <w:pStyle w:val="Heading2"/>
      </w:pPr>
      <w:bookmarkStart w:id="591" w:name="_Toc239193565"/>
      <w:bookmarkStart w:id="592" w:name="_Toc239232809"/>
      <w:bookmarkStart w:id="593" w:name="_Toc239240576"/>
      <w:r w:rsidRPr="00446FEC">
        <w:t>C.</w:t>
      </w:r>
      <w:r w:rsidR="007E45C3" w:rsidRPr="00446FEC">
        <w:t>11</w:t>
      </w:r>
      <w:r w:rsidR="006065BF" w:rsidRPr="00446FEC">
        <w:tab/>
      </w:r>
      <w:r w:rsidR="007E45C3" w:rsidRPr="00446FEC">
        <w:t>JAMAICA – The case on the implementation of LRIC, LRIC+ and SAC for cost-based termination rates</w:t>
      </w:r>
      <w:bookmarkEnd w:id="591"/>
      <w:bookmarkEnd w:id="592"/>
      <w:bookmarkEnd w:id="593"/>
    </w:p>
    <w:p w14:paraId="1CAD6FDB" w14:textId="77777777" w:rsidR="007E45C3" w:rsidRPr="00446FEC" w:rsidRDefault="007E45C3" w:rsidP="006065BF">
      <w:r w:rsidRPr="00446FEC">
        <w:t xml:space="preserve">Jamaica has implemented cost models for the determination of termination rates, also adopting the bottom-up costing approach. Jamaica utilises the </w:t>
      </w:r>
      <w:r w:rsidRPr="00446FEC">
        <w:rPr>
          <w:lang w:eastAsia="en-TT"/>
        </w:rPr>
        <w:t xml:space="preserve">LRIC, LRIC+ and SAC to obtain the cost of the </w:t>
      </w:r>
      <w:r w:rsidRPr="00446FEC">
        <w:rPr>
          <w:b/>
          <w:bCs/>
          <w:lang w:eastAsia="en-TT"/>
        </w:rPr>
        <w:t>fixed</w:t>
      </w:r>
      <w:r w:rsidRPr="00446FEC">
        <w:rPr>
          <w:lang w:eastAsia="en-TT"/>
        </w:rPr>
        <w:t xml:space="preserve"> services which are modelled.</w:t>
      </w:r>
      <w:r w:rsidRPr="00446FEC">
        <w:t xml:space="preserve"> The model c</w:t>
      </w:r>
      <w:r w:rsidRPr="00446FEC">
        <w:rPr>
          <w:lang w:eastAsia="en-TT"/>
        </w:rPr>
        <w:t xml:space="preserve">onsiders the following specific cost elements: network capital and operational expenditure, licenses, frequency usage fees, way fees, retail costs and </w:t>
      </w:r>
      <w:r w:rsidRPr="00446FEC">
        <w:t xml:space="preserve">general and administrative </w:t>
      </w:r>
      <w:r w:rsidRPr="00446FEC">
        <w:rPr>
          <w:lang w:eastAsia="en-TT"/>
        </w:rPr>
        <w:t>(G&amp;A) costs. Asset valuation is accomplished by use of a static current cost accounting approach, by which all the assets are valued every year based on the price of that year.</w:t>
      </w:r>
    </w:p>
    <w:p w14:paraId="44A8F1CF" w14:textId="05D4DFAD" w:rsidR="007E45C3" w:rsidRPr="00446FEC" w:rsidRDefault="00D85481" w:rsidP="00D85481">
      <w:pPr>
        <w:pStyle w:val="Heading2"/>
      </w:pPr>
      <w:bookmarkStart w:id="594" w:name="_Toc239193566"/>
      <w:bookmarkStart w:id="595" w:name="_Toc239232810"/>
      <w:bookmarkStart w:id="596" w:name="_Toc239240577"/>
      <w:r w:rsidRPr="00446FEC">
        <w:lastRenderedPageBreak/>
        <w:t>C.</w:t>
      </w:r>
      <w:r w:rsidR="007E45C3" w:rsidRPr="00446FEC">
        <w:t>12</w:t>
      </w:r>
      <w:r w:rsidR="007E1A64" w:rsidRPr="00446FEC">
        <w:tab/>
      </w:r>
      <w:r w:rsidR="007E45C3" w:rsidRPr="00446FEC">
        <w:t xml:space="preserve">Jordan </w:t>
      </w:r>
      <w:r w:rsidR="007E1A64" w:rsidRPr="00446FEC">
        <w:t>–</w:t>
      </w:r>
      <w:r w:rsidR="007E45C3" w:rsidRPr="00446FEC">
        <w:t xml:space="preserve"> The case on the implementation of LRIC and its ability to support the financial performance in companies</w:t>
      </w:r>
      <w:bookmarkEnd w:id="594"/>
      <w:bookmarkEnd w:id="595"/>
      <w:bookmarkEnd w:id="596"/>
    </w:p>
    <w:p w14:paraId="20517675" w14:textId="77777777" w:rsidR="007E45C3" w:rsidRPr="00446FEC" w:rsidRDefault="007E45C3" w:rsidP="007E1A64">
      <w:r w:rsidRPr="00446FEC">
        <w:t>The cost model developed and applied by Jordan</w:t>
      </w:r>
      <w:r w:rsidRPr="00446FEC">
        <w:rPr>
          <w:rStyle w:val="FootnoteReference"/>
          <w:rFonts w:eastAsia="SimSun"/>
        </w:rPr>
        <w:footnoteReference w:id="5"/>
      </w:r>
      <w:r w:rsidRPr="00446FEC">
        <w:t xml:space="preserve"> is the long run increment cost model. The LRIC model is used to determine efficient cost in telecoms pricing regulation in Jordan. </w:t>
      </w:r>
    </w:p>
    <w:p w14:paraId="703A1B53" w14:textId="77777777" w:rsidR="007E45C3" w:rsidRPr="00446FEC" w:rsidRDefault="007E45C3" w:rsidP="007E1A64">
      <w:r w:rsidRPr="00446FEC">
        <w:t>Table C.2 provides a summary of the observed cost modelling approaches implemented by a cross section of territories.</w:t>
      </w:r>
    </w:p>
    <w:p w14:paraId="62D9B3FA" w14:textId="32629E04" w:rsidR="007E45C3" w:rsidRPr="00446FEC" w:rsidRDefault="007E45C3" w:rsidP="00B24663">
      <w:pPr>
        <w:pStyle w:val="TableNoTitle0"/>
      </w:pPr>
      <w:r w:rsidRPr="00446FEC">
        <w:t>Table C.2</w:t>
      </w:r>
      <w:r w:rsidR="00B24663" w:rsidRPr="00446FEC">
        <w:t xml:space="preserve"> –</w:t>
      </w:r>
      <w:r w:rsidRPr="00446FEC">
        <w:t xml:space="preserve"> Summary of the observed cost modelling approaches implemented globally</w:t>
      </w:r>
    </w:p>
    <w:tbl>
      <w:tblPr>
        <w:tblStyle w:val="TableGrid"/>
        <w:tblW w:w="0" w:type="auto"/>
        <w:tblLook w:val="04A0" w:firstRow="1" w:lastRow="0" w:firstColumn="1" w:lastColumn="0" w:noHBand="0" w:noVBand="1"/>
      </w:tblPr>
      <w:tblGrid>
        <w:gridCol w:w="1980"/>
        <w:gridCol w:w="7648"/>
      </w:tblGrid>
      <w:tr w:rsidR="00252C57" w:rsidRPr="00446FEC" w14:paraId="50A45B20" w14:textId="77777777" w:rsidTr="00252C57">
        <w:tc>
          <w:tcPr>
            <w:tcW w:w="1980" w:type="dxa"/>
          </w:tcPr>
          <w:p w14:paraId="579423BC" w14:textId="4A81573F" w:rsidR="00252C57" w:rsidRPr="00446FEC" w:rsidRDefault="00252C57" w:rsidP="00252C57">
            <w:pPr>
              <w:pStyle w:val="Tabletext"/>
            </w:pPr>
            <w:r w:rsidRPr="00446FEC">
              <w:t>Africa</w:t>
            </w:r>
          </w:p>
        </w:tc>
        <w:tc>
          <w:tcPr>
            <w:tcW w:w="7648" w:type="dxa"/>
          </w:tcPr>
          <w:p w14:paraId="692BCEAB" w14:textId="00F0C513" w:rsidR="00252C57" w:rsidRPr="00446FEC" w:rsidRDefault="00252C57" w:rsidP="00252C57">
            <w:pPr>
              <w:pStyle w:val="Tabletext"/>
            </w:pPr>
            <w:r w:rsidRPr="00446FEC">
              <w:t>LRIC and Distributive Costs Assignments</w:t>
            </w:r>
          </w:p>
        </w:tc>
      </w:tr>
      <w:tr w:rsidR="00252C57" w:rsidRPr="00446FEC" w14:paraId="2307A99E" w14:textId="77777777" w:rsidTr="00252C57">
        <w:tc>
          <w:tcPr>
            <w:tcW w:w="1980" w:type="dxa"/>
          </w:tcPr>
          <w:p w14:paraId="4C48AEC5" w14:textId="030EFB80" w:rsidR="00252C57" w:rsidRPr="00446FEC" w:rsidRDefault="00252C57" w:rsidP="00252C57">
            <w:pPr>
              <w:pStyle w:val="Tabletext"/>
            </w:pPr>
            <w:r w:rsidRPr="00446FEC">
              <w:t>Barbados</w:t>
            </w:r>
          </w:p>
        </w:tc>
        <w:tc>
          <w:tcPr>
            <w:tcW w:w="7648" w:type="dxa"/>
          </w:tcPr>
          <w:p w14:paraId="1B6594BC" w14:textId="563A9559" w:rsidR="00252C57" w:rsidRPr="00446FEC" w:rsidRDefault="00252C57" w:rsidP="00252C57">
            <w:pPr>
              <w:pStyle w:val="Tabletext"/>
            </w:pPr>
            <w:r w:rsidRPr="00446FEC">
              <w:t>LRIC</w:t>
            </w:r>
          </w:p>
        </w:tc>
      </w:tr>
      <w:tr w:rsidR="00252C57" w:rsidRPr="00446FEC" w14:paraId="42B88E5C" w14:textId="77777777" w:rsidTr="00252C57">
        <w:tc>
          <w:tcPr>
            <w:tcW w:w="1980" w:type="dxa"/>
          </w:tcPr>
          <w:p w14:paraId="7802EA83" w14:textId="6E30D165" w:rsidR="00252C57" w:rsidRPr="00446FEC" w:rsidRDefault="00252C57" w:rsidP="00252C57">
            <w:pPr>
              <w:pStyle w:val="Tabletext"/>
            </w:pPr>
            <w:r w:rsidRPr="00446FEC">
              <w:t>Bahrain</w:t>
            </w:r>
          </w:p>
        </w:tc>
        <w:tc>
          <w:tcPr>
            <w:tcW w:w="7648" w:type="dxa"/>
          </w:tcPr>
          <w:p w14:paraId="22EB94CF" w14:textId="4DD1FD3D" w:rsidR="00252C57" w:rsidRPr="00446FEC" w:rsidRDefault="00252C57" w:rsidP="00252C57">
            <w:pPr>
              <w:pStyle w:val="Tabletext"/>
            </w:pPr>
            <w:r w:rsidRPr="00446FEC">
              <w:t>BU-LRIC (Bottom-up Long-Run Increment Cost Model)</w:t>
            </w:r>
          </w:p>
        </w:tc>
      </w:tr>
      <w:tr w:rsidR="00252C57" w:rsidRPr="00446FEC" w14:paraId="2E1FC2D5" w14:textId="77777777" w:rsidTr="00252C57">
        <w:tc>
          <w:tcPr>
            <w:tcW w:w="1980" w:type="dxa"/>
          </w:tcPr>
          <w:p w14:paraId="3D3A2C00" w14:textId="6EFFE7CB" w:rsidR="00252C57" w:rsidRPr="00446FEC" w:rsidRDefault="00252C57" w:rsidP="00252C57">
            <w:pPr>
              <w:pStyle w:val="Tabletext"/>
            </w:pPr>
            <w:r w:rsidRPr="00446FEC">
              <w:t>Brazil</w:t>
            </w:r>
          </w:p>
        </w:tc>
        <w:tc>
          <w:tcPr>
            <w:tcW w:w="7648" w:type="dxa"/>
          </w:tcPr>
          <w:p w14:paraId="7BB6C7E6" w14:textId="6C5674F4" w:rsidR="00252C57" w:rsidRPr="00446FEC" w:rsidRDefault="00252C57" w:rsidP="00252C57">
            <w:pPr>
              <w:pStyle w:val="Tabletext"/>
            </w:pPr>
            <w:r w:rsidRPr="00446FEC">
              <w:t>LRIC+</w:t>
            </w:r>
          </w:p>
        </w:tc>
      </w:tr>
      <w:tr w:rsidR="00252C57" w:rsidRPr="00446FEC" w14:paraId="2E25E998" w14:textId="77777777" w:rsidTr="00252C57">
        <w:tc>
          <w:tcPr>
            <w:tcW w:w="1980" w:type="dxa"/>
          </w:tcPr>
          <w:p w14:paraId="13823E06" w14:textId="59C8DA22" w:rsidR="00252C57" w:rsidRPr="00446FEC" w:rsidRDefault="00252C57" w:rsidP="00252C57">
            <w:pPr>
              <w:pStyle w:val="Tabletext"/>
            </w:pPr>
            <w:r w:rsidRPr="00446FEC">
              <w:t>Costa Rica</w:t>
            </w:r>
          </w:p>
        </w:tc>
        <w:tc>
          <w:tcPr>
            <w:tcW w:w="7648" w:type="dxa"/>
          </w:tcPr>
          <w:p w14:paraId="06921B17" w14:textId="0E1C15B1" w:rsidR="00252C57" w:rsidRPr="00446FEC" w:rsidRDefault="00252C57" w:rsidP="00252C57">
            <w:pPr>
              <w:pStyle w:val="Tabletext"/>
            </w:pPr>
            <w:r w:rsidRPr="00446FEC">
              <w:t>BU-LRIC+ and TD-CTD</w:t>
            </w:r>
          </w:p>
        </w:tc>
      </w:tr>
      <w:tr w:rsidR="00252C57" w:rsidRPr="00446FEC" w14:paraId="3D096D6C" w14:textId="77777777" w:rsidTr="00252C57">
        <w:tc>
          <w:tcPr>
            <w:tcW w:w="1980" w:type="dxa"/>
          </w:tcPr>
          <w:p w14:paraId="7F7F3472" w14:textId="3BC552BC" w:rsidR="00252C57" w:rsidRPr="00446FEC" w:rsidRDefault="00252C57" w:rsidP="00252C57">
            <w:pPr>
              <w:pStyle w:val="Tabletext"/>
            </w:pPr>
            <w:r w:rsidRPr="00446FEC">
              <w:t>ECTEL</w:t>
            </w:r>
          </w:p>
        </w:tc>
        <w:tc>
          <w:tcPr>
            <w:tcW w:w="7648" w:type="dxa"/>
          </w:tcPr>
          <w:p w14:paraId="4E0BFD83" w14:textId="5526217B" w:rsidR="00252C57" w:rsidRPr="00446FEC" w:rsidRDefault="00252C57" w:rsidP="00252C57">
            <w:pPr>
              <w:pStyle w:val="Tabletext"/>
            </w:pPr>
            <w:r w:rsidRPr="00446FEC">
              <w:t>LRIC+</w:t>
            </w:r>
          </w:p>
        </w:tc>
      </w:tr>
      <w:tr w:rsidR="00252C57" w:rsidRPr="00446FEC" w14:paraId="4627107F" w14:textId="77777777" w:rsidTr="00252C57">
        <w:tc>
          <w:tcPr>
            <w:tcW w:w="1980" w:type="dxa"/>
          </w:tcPr>
          <w:p w14:paraId="58A6978D" w14:textId="3399006F" w:rsidR="00252C57" w:rsidRPr="00446FEC" w:rsidRDefault="00252C57" w:rsidP="00252C57">
            <w:pPr>
              <w:pStyle w:val="Tabletext"/>
            </w:pPr>
            <w:r w:rsidRPr="00446FEC">
              <w:t>EU</w:t>
            </w:r>
          </w:p>
        </w:tc>
        <w:tc>
          <w:tcPr>
            <w:tcW w:w="7648" w:type="dxa"/>
          </w:tcPr>
          <w:p w14:paraId="0A10EB7F" w14:textId="40BE13C6" w:rsidR="00252C57" w:rsidRPr="00446FEC" w:rsidRDefault="00252C57" w:rsidP="00252C57">
            <w:pPr>
              <w:pStyle w:val="Tabletext"/>
            </w:pPr>
            <w:r w:rsidRPr="00446FEC">
              <w:t xml:space="preserve">LRIC (Bottom-up)  </w:t>
            </w:r>
          </w:p>
        </w:tc>
      </w:tr>
      <w:tr w:rsidR="00252C57" w:rsidRPr="00446FEC" w14:paraId="4CE39BFB" w14:textId="77777777" w:rsidTr="00252C57">
        <w:tc>
          <w:tcPr>
            <w:tcW w:w="1980" w:type="dxa"/>
          </w:tcPr>
          <w:p w14:paraId="4FE41D4B" w14:textId="518BA1E0" w:rsidR="00252C57" w:rsidRPr="00446FEC" w:rsidRDefault="00252C57" w:rsidP="00252C57">
            <w:pPr>
              <w:pStyle w:val="Tabletext"/>
            </w:pPr>
            <w:r w:rsidRPr="00446FEC">
              <w:t>FCC/USA</w:t>
            </w:r>
          </w:p>
        </w:tc>
        <w:tc>
          <w:tcPr>
            <w:tcW w:w="7648" w:type="dxa"/>
          </w:tcPr>
          <w:p w14:paraId="7D44A10E" w14:textId="7F0FF152" w:rsidR="00252C57" w:rsidRPr="00446FEC" w:rsidRDefault="00252C57" w:rsidP="00252C57">
            <w:pPr>
              <w:pStyle w:val="Tabletext"/>
            </w:pPr>
            <w:r w:rsidRPr="00446FEC">
              <w:t>PUC decentralized negotiations</w:t>
            </w:r>
          </w:p>
        </w:tc>
      </w:tr>
      <w:tr w:rsidR="00252C57" w:rsidRPr="00446FEC" w14:paraId="23B523C6" w14:textId="77777777" w:rsidTr="00252C57">
        <w:tc>
          <w:tcPr>
            <w:tcW w:w="1980" w:type="dxa"/>
          </w:tcPr>
          <w:p w14:paraId="63F53458" w14:textId="5BD6C43F" w:rsidR="00252C57" w:rsidRPr="00446FEC" w:rsidRDefault="00252C57" w:rsidP="00252C57">
            <w:pPr>
              <w:pStyle w:val="Tabletext"/>
            </w:pPr>
            <w:r w:rsidRPr="00446FEC">
              <w:t>India</w:t>
            </w:r>
          </w:p>
        </w:tc>
        <w:tc>
          <w:tcPr>
            <w:tcW w:w="7648" w:type="dxa"/>
          </w:tcPr>
          <w:p w14:paraId="50E6075C" w14:textId="2E4DEB99" w:rsidR="00252C57" w:rsidRPr="00446FEC" w:rsidRDefault="00252C57" w:rsidP="00252C57">
            <w:pPr>
              <w:pStyle w:val="Tabletext"/>
            </w:pPr>
            <w:r w:rsidRPr="00446FEC">
              <w:t>Bill and Keep (BAK)</w:t>
            </w:r>
          </w:p>
        </w:tc>
      </w:tr>
      <w:tr w:rsidR="00252C57" w:rsidRPr="00446FEC" w14:paraId="44F4D005" w14:textId="77777777" w:rsidTr="00252C57">
        <w:tc>
          <w:tcPr>
            <w:tcW w:w="1980" w:type="dxa"/>
          </w:tcPr>
          <w:p w14:paraId="0C589E9A" w14:textId="1D74F9F7" w:rsidR="00252C57" w:rsidRPr="00446FEC" w:rsidRDefault="00252C57" w:rsidP="00252C57">
            <w:pPr>
              <w:pStyle w:val="Tabletext"/>
            </w:pPr>
            <w:r w:rsidRPr="00446FEC">
              <w:t>Jamaica</w:t>
            </w:r>
          </w:p>
        </w:tc>
        <w:tc>
          <w:tcPr>
            <w:tcW w:w="7648" w:type="dxa"/>
          </w:tcPr>
          <w:p w14:paraId="3EC9209C" w14:textId="0DCBEF32" w:rsidR="00252C57" w:rsidRPr="00446FEC" w:rsidRDefault="00252C57" w:rsidP="00252C57">
            <w:pPr>
              <w:pStyle w:val="Tabletext"/>
            </w:pPr>
            <w:r w:rsidRPr="00446FEC">
              <w:t>LRIC, LRIC+ and SAC</w:t>
            </w:r>
          </w:p>
        </w:tc>
      </w:tr>
      <w:tr w:rsidR="00252C57" w:rsidRPr="00446FEC" w14:paraId="22E64746" w14:textId="77777777" w:rsidTr="00252C57">
        <w:tc>
          <w:tcPr>
            <w:tcW w:w="1980" w:type="dxa"/>
          </w:tcPr>
          <w:p w14:paraId="69E8FBD8" w14:textId="5DFF1EEF" w:rsidR="00252C57" w:rsidRPr="00446FEC" w:rsidRDefault="00252C57" w:rsidP="00252C57">
            <w:pPr>
              <w:pStyle w:val="Tabletext"/>
            </w:pPr>
            <w:r w:rsidRPr="00446FEC">
              <w:t>Jordan</w:t>
            </w:r>
          </w:p>
        </w:tc>
        <w:tc>
          <w:tcPr>
            <w:tcW w:w="7648" w:type="dxa"/>
          </w:tcPr>
          <w:p w14:paraId="2A1280DC" w14:textId="34DD3011" w:rsidR="00252C57" w:rsidRPr="00446FEC" w:rsidRDefault="00252C57" w:rsidP="00252C57">
            <w:pPr>
              <w:pStyle w:val="Tabletext"/>
            </w:pPr>
            <w:r w:rsidRPr="00446FEC">
              <w:t>LRIC</w:t>
            </w:r>
          </w:p>
        </w:tc>
      </w:tr>
    </w:tbl>
    <w:p w14:paraId="6B2CF1DC" w14:textId="4A0B468E" w:rsidR="007E45C3" w:rsidRPr="00446FEC" w:rsidRDefault="00D85481" w:rsidP="00D85481">
      <w:pPr>
        <w:pStyle w:val="Heading2"/>
        <w:rPr>
          <w:lang w:bidi="ar-DZ"/>
        </w:rPr>
      </w:pPr>
      <w:bookmarkStart w:id="597" w:name="_Toc239193567"/>
      <w:bookmarkStart w:id="598" w:name="_Toc239232811"/>
      <w:bookmarkStart w:id="599" w:name="_Toc239240578"/>
      <w:r w:rsidRPr="00446FEC">
        <w:rPr>
          <w:lang w:bidi="ar-DZ"/>
        </w:rPr>
        <w:t>C.</w:t>
      </w:r>
      <w:r w:rsidR="007E45C3" w:rsidRPr="00446FEC">
        <w:rPr>
          <w:lang w:bidi="ar-DZ"/>
        </w:rPr>
        <w:t>13</w:t>
      </w:r>
      <w:r w:rsidR="00B24663" w:rsidRPr="00446FEC">
        <w:rPr>
          <w:lang w:bidi="ar-DZ"/>
        </w:rPr>
        <w:tab/>
      </w:r>
      <w:r w:rsidR="007E45C3" w:rsidRPr="00446FEC">
        <w:rPr>
          <w:lang w:bidi="ar-DZ"/>
        </w:rPr>
        <w:t>Case study of RJio in India and other global case studies of revolutionary changes by the TSPs within the telecommunication sector</w:t>
      </w:r>
      <w:bookmarkEnd w:id="597"/>
      <w:bookmarkEnd w:id="598"/>
      <w:bookmarkEnd w:id="599"/>
    </w:p>
    <w:p w14:paraId="36476F8C" w14:textId="77777777" w:rsidR="007E45C3" w:rsidRPr="00446FEC" w:rsidRDefault="007E45C3" w:rsidP="00D85481">
      <w:pPr>
        <w:pStyle w:val="Headingb"/>
      </w:pPr>
      <w:r w:rsidRPr="00446FEC">
        <w:t>Background: The Indian telecommunications landscape pre-Jio</w:t>
      </w:r>
    </w:p>
    <w:p w14:paraId="6D8F139D" w14:textId="77777777" w:rsidR="007E45C3" w:rsidRPr="00446FEC" w:rsidRDefault="007E45C3" w:rsidP="007E45C3">
      <w:r w:rsidRPr="00446FEC">
        <w:t xml:space="preserve">Before the entry of Reliance Jio in September 2016, the Indian telecommunications sector was characterized by high data tariffs and relatively low Internet penetration. The market was dominated by several key players who had established a stable customer base with traditional pricing models. Data services were considered a premium </w:t>
      </w:r>
      <w:proofErr w:type="gramStart"/>
      <w:r w:rsidRPr="00446FEC">
        <w:t>offering</w:t>
      </w:r>
      <w:proofErr w:type="gramEnd"/>
      <w:r w:rsidRPr="00446FEC">
        <w:t xml:space="preserve"> and the cost of voice calls and SMS was still a significant part of the revenue for telecom operators. The infrastructure for 4G services was in a nascent stage, with limited coverage and adoption. Consumers faced issues such as inconsistent network quality, high costs for data plans and a general lack of competitive pricing that would drive down costs.</w:t>
      </w:r>
    </w:p>
    <w:p w14:paraId="24F0725C" w14:textId="77777777" w:rsidR="007E45C3" w:rsidRPr="00446FEC" w:rsidRDefault="007E45C3" w:rsidP="00B24663">
      <w:pPr>
        <w:pStyle w:val="Headingb"/>
      </w:pPr>
      <w:r w:rsidRPr="00446FEC">
        <w:t>The disruption caused by Reliance Jio</w:t>
      </w:r>
    </w:p>
    <w:p w14:paraId="376004DF" w14:textId="5E09393E" w:rsidR="007E45C3" w:rsidRPr="00446FEC" w:rsidRDefault="007E45C3" w:rsidP="00B24663">
      <w:r w:rsidRPr="00446FEC">
        <w:t>Reliance Jio</w:t>
      </w:r>
      <w:r w:rsidR="006E6D1D" w:rsidRPr="00446FEC">
        <w:t>'</w:t>
      </w:r>
      <w:r w:rsidRPr="00446FEC">
        <w:t xml:space="preserve">s entry into the market was marked by an aggressive strategy that aimed to revolutionize the Indian telecom landscape. Jio introduced a simple and innovative pricing model that offered significantly lower data tariffs and completely free voice calls. This was a radical departure from the existing pricing schemes and had a profound impact on consumer behaviour and the </w:t>
      </w:r>
      <w:proofErr w:type="gramStart"/>
      <w:r w:rsidRPr="00446FEC">
        <w:t>market as a whole</w:t>
      </w:r>
      <w:proofErr w:type="gramEnd"/>
      <w:r w:rsidRPr="00446FEC">
        <w:t>.</w:t>
      </w:r>
    </w:p>
    <w:p w14:paraId="79A7A37E" w14:textId="77777777" w:rsidR="007E45C3" w:rsidRPr="00446FEC" w:rsidRDefault="007E45C3" w:rsidP="00B24663">
      <w:pPr>
        <w:pStyle w:val="Headingb"/>
      </w:pPr>
      <w:r w:rsidRPr="00446FEC">
        <w:t>Impact on the market and consumers</w:t>
      </w:r>
    </w:p>
    <w:p w14:paraId="2F3819BA" w14:textId="0BAEED63" w:rsidR="007E45C3" w:rsidRPr="00446FEC" w:rsidRDefault="007E45C3" w:rsidP="002508CE">
      <w:pPr>
        <w:pStyle w:val="enumlev1"/>
        <w:rPr>
          <w:rFonts w:eastAsia="SimSun"/>
          <w:iCs/>
        </w:rPr>
      </w:pPr>
      <w:r w:rsidRPr="00446FEC">
        <w:rPr>
          <w:rFonts w:eastAsia="SimSun"/>
          <w:iCs/>
        </w:rPr>
        <w:t>1</w:t>
      </w:r>
      <w:r w:rsidR="002508CE" w:rsidRPr="00446FEC">
        <w:rPr>
          <w:rFonts w:eastAsia="SimSun"/>
          <w:iCs/>
        </w:rPr>
        <w:t>)</w:t>
      </w:r>
      <w:r w:rsidRPr="00446FEC">
        <w:rPr>
          <w:rFonts w:eastAsia="SimSun"/>
          <w:iCs/>
        </w:rPr>
        <w:tab/>
        <w:t>Data tariff reduction: Jio</w:t>
      </w:r>
      <w:r w:rsidR="006E6D1D" w:rsidRPr="00446FEC">
        <w:rPr>
          <w:rFonts w:eastAsia="SimSun"/>
          <w:iCs/>
        </w:rPr>
        <w:t>'</w:t>
      </w:r>
      <w:r w:rsidRPr="00446FEC">
        <w:rPr>
          <w:rFonts w:eastAsia="SimSun"/>
          <w:iCs/>
        </w:rPr>
        <w:t>s competitive pricing forced other telecom operators to lower their data tariffs, making Internet access more affordable for a larger segment of the population.</w:t>
      </w:r>
    </w:p>
    <w:p w14:paraId="163FBF47" w14:textId="2C7E14FA" w:rsidR="007E45C3" w:rsidRPr="00446FEC" w:rsidRDefault="007E45C3" w:rsidP="002508CE">
      <w:pPr>
        <w:pStyle w:val="enumlev1"/>
        <w:rPr>
          <w:rFonts w:eastAsia="SimSun"/>
          <w:iCs/>
        </w:rPr>
      </w:pPr>
      <w:r w:rsidRPr="00446FEC">
        <w:rPr>
          <w:rFonts w:eastAsia="SimSun"/>
          <w:iCs/>
        </w:rPr>
        <w:lastRenderedPageBreak/>
        <w:t>2</w:t>
      </w:r>
      <w:r w:rsidR="002508CE" w:rsidRPr="00446FEC">
        <w:rPr>
          <w:rFonts w:eastAsia="SimSun"/>
          <w:iCs/>
        </w:rPr>
        <w:t>)</w:t>
      </w:r>
      <w:r w:rsidRPr="00446FEC">
        <w:rPr>
          <w:rFonts w:eastAsia="SimSun"/>
          <w:iCs/>
        </w:rPr>
        <w:tab/>
        <w:t>Increased data consumption: With lower costs, data consumption in India surged. Jio</w:t>
      </w:r>
      <w:r w:rsidR="006E6D1D" w:rsidRPr="00446FEC">
        <w:rPr>
          <w:rFonts w:eastAsia="SimSun"/>
          <w:iCs/>
        </w:rPr>
        <w:t>'</w:t>
      </w:r>
      <w:r w:rsidRPr="00446FEC">
        <w:rPr>
          <w:rFonts w:eastAsia="SimSun"/>
          <w:iCs/>
        </w:rPr>
        <w:t>s network was built to handle increased data traffic, which encouraged users to explore a variety of Internet services, including streaming, online gaming and digital transactions.</w:t>
      </w:r>
    </w:p>
    <w:p w14:paraId="2699BDF1" w14:textId="62E116A5" w:rsidR="007E45C3" w:rsidRPr="00446FEC" w:rsidRDefault="007E45C3" w:rsidP="002508CE">
      <w:pPr>
        <w:pStyle w:val="enumlev1"/>
        <w:rPr>
          <w:rFonts w:eastAsia="SimSun"/>
          <w:iCs/>
        </w:rPr>
      </w:pPr>
      <w:r w:rsidRPr="00446FEC">
        <w:rPr>
          <w:rFonts w:eastAsia="SimSun"/>
          <w:iCs/>
        </w:rPr>
        <w:t>3</w:t>
      </w:r>
      <w:r w:rsidR="002508CE" w:rsidRPr="00446FEC">
        <w:rPr>
          <w:rFonts w:eastAsia="SimSun"/>
          <w:iCs/>
        </w:rPr>
        <w:t>)</w:t>
      </w:r>
      <w:r w:rsidRPr="00446FEC">
        <w:rPr>
          <w:rFonts w:eastAsia="SimSun"/>
          <w:iCs/>
        </w:rPr>
        <w:tab/>
        <w:t>Market consolidation: The financial pressure from Jio</w:t>
      </w:r>
      <w:r w:rsidR="006E6D1D" w:rsidRPr="00446FEC">
        <w:rPr>
          <w:rFonts w:eastAsia="SimSun"/>
          <w:iCs/>
        </w:rPr>
        <w:t>'</w:t>
      </w:r>
      <w:r w:rsidRPr="00446FEC">
        <w:rPr>
          <w:rFonts w:eastAsia="SimSun"/>
          <w:iCs/>
        </w:rPr>
        <w:t>s pricing led to a wave of mergers and acquisitions in the telecom sector, resulting in a more consolidated market with fewer but stronger players.</w:t>
      </w:r>
    </w:p>
    <w:p w14:paraId="73189466" w14:textId="4728257B" w:rsidR="007E45C3" w:rsidRPr="00446FEC" w:rsidRDefault="007E45C3" w:rsidP="002508CE">
      <w:pPr>
        <w:pStyle w:val="enumlev1"/>
        <w:rPr>
          <w:rFonts w:eastAsia="SimSun"/>
          <w:iCs/>
        </w:rPr>
      </w:pPr>
      <w:r w:rsidRPr="00446FEC">
        <w:rPr>
          <w:rFonts w:eastAsia="SimSun"/>
          <w:iCs/>
        </w:rPr>
        <w:t>4</w:t>
      </w:r>
      <w:r w:rsidR="002508CE" w:rsidRPr="00446FEC">
        <w:rPr>
          <w:rFonts w:eastAsia="SimSun"/>
          <w:iCs/>
        </w:rPr>
        <w:t>)</w:t>
      </w:r>
      <w:r w:rsidRPr="00446FEC">
        <w:rPr>
          <w:rFonts w:eastAsia="SimSun"/>
          <w:iCs/>
        </w:rPr>
        <w:tab/>
        <w:t>Infrastructure development: To compete with Jio, other telecom operators accelerated their investment in 4G infrastructure, leading to improved network coverage and quality across the country.</w:t>
      </w:r>
    </w:p>
    <w:p w14:paraId="110202B2" w14:textId="37F5907D" w:rsidR="007E45C3" w:rsidRPr="00446FEC" w:rsidRDefault="007E45C3" w:rsidP="002508CE">
      <w:pPr>
        <w:pStyle w:val="enumlev1"/>
        <w:rPr>
          <w:rFonts w:eastAsia="SimSun"/>
          <w:iCs/>
        </w:rPr>
      </w:pPr>
      <w:r w:rsidRPr="00446FEC">
        <w:rPr>
          <w:rFonts w:eastAsia="SimSun"/>
          <w:iCs/>
        </w:rPr>
        <w:t>5</w:t>
      </w:r>
      <w:r w:rsidR="002508CE" w:rsidRPr="00446FEC">
        <w:rPr>
          <w:rFonts w:eastAsia="SimSun"/>
          <w:iCs/>
        </w:rPr>
        <w:t>)</w:t>
      </w:r>
      <w:r w:rsidRPr="00446FEC">
        <w:rPr>
          <w:rFonts w:eastAsia="SimSun"/>
          <w:iCs/>
        </w:rPr>
        <w:tab/>
        <w:t>Digital inclusion: Jio</w:t>
      </w:r>
      <w:r w:rsidR="006E6D1D" w:rsidRPr="00446FEC">
        <w:rPr>
          <w:rFonts w:eastAsia="SimSun"/>
          <w:iCs/>
        </w:rPr>
        <w:t>'</w:t>
      </w:r>
      <w:r w:rsidRPr="00446FEC">
        <w:rPr>
          <w:rFonts w:eastAsia="SimSun"/>
          <w:iCs/>
        </w:rPr>
        <w:t>s affordable data services played a significant role in bridging the digital divide, enabling millions of new users to access the Internet, particularly in rural areas.</w:t>
      </w:r>
    </w:p>
    <w:p w14:paraId="152E2109" w14:textId="5097DC40" w:rsidR="007E45C3" w:rsidRPr="00446FEC" w:rsidRDefault="007E45C3" w:rsidP="002508CE">
      <w:pPr>
        <w:pStyle w:val="enumlev1"/>
        <w:rPr>
          <w:rFonts w:eastAsia="SimSun"/>
          <w:iCs/>
        </w:rPr>
      </w:pPr>
      <w:r w:rsidRPr="00446FEC">
        <w:rPr>
          <w:rFonts w:eastAsia="SimSun"/>
          <w:iCs/>
        </w:rPr>
        <w:t>6</w:t>
      </w:r>
      <w:r w:rsidR="002508CE" w:rsidRPr="00446FEC">
        <w:rPr>
          <w:rFonts w:eastAsia="SimSun"/>
          <w:iCs/>
        </w:rPr>
        <w:t>)</w:t>
      </w:r>
      <w:r w:rsidRPr="00446FEC">
        <w:rPr>
          <w:rFonts w:eastAsia="SimSun"/>
          <w:iCs/>
        </w:rPr>
        <w:tab/>
        <w:t>Innovation and new services: The increased data usage spurred innovation in the digital services space, with a rise in online education, healthcare, fintech and e-commerce platforms tailored for the Indian market.</w:t>
      </w:r>
    </w:p>
    <w:p w14:paraId="25B61CDB" w14:textId="77777777" w:rsidR="007E45C3" w:rsidRPr="00446FEC" w:rsidRDefault="007E45C3" w:rsidP="002508CE">
      <w:pPr>
        <w:pStyle w:val="Headingb"/>
      </w:pPr>
      <w:r w:rsidRPr="00446FEC">
        <w:t>Conclusion</w:t>
      </w:r>
    </w:p>
    <w:p w14:paraId="567DB514" w14:textId="7DCB6D5C" w:rsidR="007E45C3" w:rsidRPr="00446FEC" w:rsidRDefault="007E45C3" w:rsidP="002508CE">
      <w:r w:rsidRPr="00446FEC">
        <w:t>Reliance Jio</w:t>
      </w:r>
      <w:r w:rsidR="006E6D1D" w:rsidRPr="00446FEC">
        <w:t>'</w:t>
      </w:r>
      <w:r w:rsidRPr="00446FEC">
        <w:t>s strategic entry into the Indian telecommunications sector acted as a catalyst for change, driving down costs and democratizing data consumption. Its impact extended beyond just the telecom industry, influencing social behaviour and contributing to the digital economy</w:t>
      </w:r>
      <w:r w:rsidR="006E6D1D" w:rsidRPr="00446FEC">
        <w:t>'</w:t>
      </w:r>
      <w:r w:rsidRPr="00446FEC">
        <w:t>s growth. Jio</w:t>
      </w:r>
      <w:r w:rsidR="006E6D1D" w:rsidRPr="00446FEC">
        <w:t>'</w:t>
      </w:r>
      <w:r w:rsidRPr="00446FEC">
        <w:t>s case is a prime example of how disruptive business models can alter the competitive landscape and enhance consumer welfare by making essential services like data more accessible and affordable.</w:t>
      </w:r>
    </w:p>
    <w:p w14:paraId="0FC9880A" w14:textId="77777777" w:rsidR="007E45C3" w:rsidRPr="00446FEC" w:rsidRDefault="007E45C3" w:rsidP="001D27C6">
      <w:r w:rsidRPr="00446FEC">
        <w:t>Financial data showed in Tables C.3 – C.6 is related to Reliance Jio:</w:t>
      </w:r>
    </w:p>
    <w:p w14:paraId="4174A3BA" w14:textId="72998066" w:rsidR="007E45C3" w:rsidRPr="00446FEC" w:rsidRDefault="001D27C6" w:rsidP="001D27C6">
      <w:pPr>
        <w:pStyle w:val="TableNoTitle0"/>
      </w:pPr>
      <w:r w:rsidRPr="00446FEC">
        <w:t xml:space="preserve">Table C.3 </w:t>
      </w:r>
      <w:r w:rsidRPr="00446FEC">
        <w:sym w:font="Symbol" w:char="F02D"/>
      </w:r>
      <w:r w:rsidRPr="00446FEC">
        <w:t xml:space="preserve"> Average revenue per user</w:t>
      </w:r>
    </w:p>
    <w:tbl>
      <w:tblPr>
        <w:tblStyle w:val="TableGrid"/>
        <w:tblW w:w="9639" w:type="dxa"/>
        <w:jc w:val="center"/>
        <w:tblLook w:val="04A0" w:firstRow="1" w:lastRow="0" w:firstColumn="1" w:lastColumn="0" w:noHBand="0" w:noVBand="1"/>
      </w:tblPr>
      <w:tblGrid>
        <w:gridCol w:w="2405"/>
        <w:gridCol w:w="1418"/>
        <w:gridCol w:w="1559"/>
        <w:gridCol w:w="1559"/>
        <w:gridCol w:w="1418"/>
        <w:gridCol w:w="1280"/>
      </w:tblGrid>
      <w:tr w:rsidR="007E45C3" w:rsidRPr="00446FEC" w14:paraId="371A6BF7" w14:textId="77777777" w:rsidTr="001D27C6">
        <w:trPr>
          <w:trHeight w:val="694"/>
          <w:jc w:val="center"/>
        </w:trPr>
        <w:tc>
          <w:tcPr>
            <w:tcW w:w="2405" w:type="dxa"/>
          </w:tcPr>
          <w:p w14:paraId="59FE2A77" w14:textId="77777777" w:rsidR="007E45C3" w:rsidRPr="00446FEC" w:rsidRDefault="007E45C3" w:rsidP="001D27C6">
            <w:pPr>
              <w:pStyle w:val="Tablehead"/>
            </w:pPr>
            <w:r w:rsidRPr="00446FEC">
              <w:t>Average revenue per user (ARPU)</w:t>
            </w:r>
          </w:p>
        </w:tc>
        <w:tc>
          <w:tcPr>
            <w:tcW w:w="1418" w:type="dxa"/>
          </w:tcPr>
          <w:p w14:paraId="06AFF3FF" w14:textId="77777777" w:rsidR="007E45C3" w:rsidRPr="00446FEC" w:rsidRDefault="007E45C3" w:rsidP="001D27C6">
            <w:pPr>
              <w:pStyle w:val="Tablehead"/>
            </w:pPr>
            <w:r w:rsidRPr="00446FEC">
              <w:t>2019-20</w:t>
            </w:r>
          </w:p>
        </w:tc>
        <w:tc>
          <w:tcPr>
            <w:tcW w:w="1559" w:type="dxa"/>
          </w:tcPr>
          <w:p w14:paraId="27302C2B" w14:textId="77777777" w:rsidR="007E45C3" w:rsidRPr="00446FEC" w:rsidRDefault="007E45C3" w:rsidP="001D27C6">
            <w:pPr>
              <w:pStyle w:val="Tablehead"/>
            </w:pPr>
            <w:r w:rsidRPr="00446FEC">
              <w:t>2020-21</w:t>
            </w:r>
          </w:p>
        </w:tc>
        <w:tc>
          <w:tcPr>
            <w:tcW w:w="1559" w:type="dxa"/>
          </w:tcPr>
          <w:p w14:paraId="7E1B3FBD" w14:textId="77777777" w:rsidR="007E45C3" w:rsidRPr="00446FEC" w:rsidRDefault="007E45C3" w:rsidP="001D27C6">
            <w:pPr>
              <w:pStyle w:val="Tablehead"/>
            </w:pPr>
            <w:r w:rsidRPr="00446FEC">
              <w:t>2021-22</w:t>
            </w:r>
          </w:p>
        </w:tc>
        <w:tc>
          <w:tcPr>
            <w:tcW w:w="1418" w:type="dxa"/>
          </w:tcPr>
          <w:p w14:paraId="766938DB" w14:textId="77777777" w:rsidR="007E45C3" w:rsidRPr="00446FEC" w:rsidRDefault="007E45C3" w:rsidP="001D27C6">
            <w:pPr>
              <w:pStyle w:val="Tablehead"/>
            </w:pPr>
            <w:r w:rsidRPr="00446FEC">
              <w:t>2022-23</w:t>
            </w:r>
          </w:p>
        </w:tc>
        <w:tc>
          <w:tcPr>
            <w:tcW w:w="1280" w:type="dxa"/>
          </w:tcPr>
          <w:p w14:paraId="3DB72BDC" w14:textId="77777777" w:rsidR="007E45C3" w:rsidRPr="00446FEC" w:rsidRDefault="007E45C3" w:rsidP="001D27C6">
            <w:pPr>
              <w:pStyle w:val="Tablehead"/>
            </w:pPr>
            <w:r w:rsidRPr="00446FEC">
              <w:t>2023-24</w:t>
            </w:r>
          </w:p>
        </w:tc>
      </w:tr>
      <w:tr w:rsidR="007E45C3" w:rsidRPr="00446FEC" w14:paraId="607C5F52" w14:textId="77777777" w:rsidTr="001D27C6">
        <w:trPr>
          <w:jc w:val="center"/>
        </w:trPr>
        <w:tc>
          <w:tcPr>
            <w:tcW w:w="2405" w:type="dxa"/>
          </w:tcPr>
          <w:p w14:paraId="0BACC2CB" w14:textId="77777777" w:rsidR="007E45C3" w:rsidRPr="00446FEC" w:rsidRDefault="007E45C3" w:rsidP="001D27C6">
            <w:pPr>
              <w:pStyle w:val="Tabletext"/>
              <w:jc w:val="center"/>
            </w:pPr>
            <w:r w:rsidRPr="00446FEC">
              <w:t>Quarter 1</w:t>
            </w:r>
          </w:p>
        </w:tc>
        <w:tc>
          <w:tcPr>
            <w:tcW w:w="1418" w:type="dxa"/>
            <w:vAlign w:val="center"/>
          </w:tcPr>
          <w:p w14:paraId="7DB993F9" w14:textId="77777777" w:rsidR="007E45C3" w:rsidRPr="00446FEC" w:rsidRDefault="007E45C3" w:rsidP="001D27C6">
            <w:pPr>
              <w:pStyle w:val="Tabletext"/>
              <w:jc w:val="center"/>
            </w:pPr>
            <w:r w:rsidRPr="00446FEC">
              <w:t>122</w:t>
            </w:r>
          </w:p>
        </w:tc>
        <w:tc>
          <w:tcPr>
            <w:tcW w:w="1559" w:type="dxa"/>
            <w:vAlign w:val="bottom"/>
          </w:tcPr>
          <w:p w14:paraId="536EBA6E" w14:textId="77777777" w:rsidR="007E45C3" w:rsidRPr="00446FEC" w:rsidRDefault="007E45C3" w:rsidP="001D27C6">
            <w:pPr>
              <w:pStyle w:val="Tabletext"/>
              <w:jc w:val="center"/>
            </w:pPr>
            <w:r w:rsidRPr="00446FEC">
              <w:rPr>
                <w:color w:val="000000"/>
              </w:rPr>
              <w:t>140</w:t>
            </w:r>
          </w:p>
        </w:tc>
        <w:tc>
          <w:tcPr>
            <w:tcW w:w="1559" w:type="dxa"/>
            <w:vAlign w:val="bottom"/>
          </w:tcPr>
          <w:p w14:paraId="59F2FB48" w14:textId="77777777" w:rsidR="007E45C3" w:rsidRPr="00446FEC" w:rsidRDefault="007E45C3" w:rsidP="001D27C6">
            <w:pPr>
              <w:pStyle w:val="Tabletext"/>
              <w:jc w:val="center"/>
            </w:pPr>
            <w:r w:rsidRPr="00446FEC">
              <w:rPr>
                <w:color w:val="000000"/>
              </w:rPr>
              <w:t>138</w:t>
            </w:r>
          </w:p>
        </w:tc>
        <w:tc>
          <w:tcPr>
            <w:tcW w:w="1418" w:type="dxa"/>
            <w:vAlign w:val="bottom"/>
          </w:tcPr>
          <w:p w14:paraId="599ED385" w14:textId="77777777" w:rsidR="007E45C3" w:rsidRPr="00446FEC" w:rsidRDefault="007E45C3" w:rsidP="001D27C6">
            <w:pPr>
              <w:pStyle w:val="Tabletext"/>
              <w:jc w:val="center"/>
            </w:pPr>
            <w:r w:rsidRPr="00446FEC">
              <w:rPr>
                <w:color w:val="000000"/>
              </w:rPr>
              <w:t>176</w:t>
            </w:r>
          </w:p>
        </w:tc>
        <w:tc>
          <w:tcPr>
            <w:tcW w:w="1280" w:type="dxa"/>
            <w:vAlign w:val="bottom"/>
          </w:tcPr>
          <w:p w14:paraId="3D257167" w14:textId="77777777" w:rsidR="007E45C3" w:rsidRPr="00446FEC" w:rsidRDefault="007E45C3" w:rsidP="001D27C6">
            <w:pPr>
              <w:pStyle w:val="Tabletext"/>
              <w:jc w:val="center"/>
            </w:pPr>
            <w:r w:rsidRPr="00446FEC">
              <w:rPr>
                <w:color w:val="000000"/>
              </w:rPr>
              <w:t>181</w:t>
            </w:r>
          </w:p>
        </w:tc>
      </w:tr>
      <w:tr w:rsidR="007E45C3" w:rsidRPr="00446FEC" w14:paraId="502A5A84" w14:textId="77777777" w:rsidTr="001D27C6">
        <w:trPr>
          <w:jc w:val="center"/>
        </w:trPr>
        <w:tc>
          <w:tcPr>
            <w:tcW w:w="2405" w:type="dxa"/>
          </w:tcPr>
          <w:p w14:paraId="1E61C401" w14:textId="77777777" w:rsidR="007E45C3" w:rsidRPr="00446FEC" w:rsidRDefault="007E45C3" w:rsidP="001D27C6">
            <w:pPr>
              <w:pStyle w:val="Tabletext"/>
              <w:jc w:val="center"/>
            </w:pPr>
            <w:r w:rsidRPr="00446FEC">
              <w:t>Quarter 2</w:t>
            </w:r>
          </w:p>
        </w:tc>
        <w:tc>
          <w:tcPr>
            <w:tcW w:w="1418" w:type="dxa"/>
            <w:vAlign w:val="center"/>
          </w:tcPr>
          <w:p w14:paraId="27A90D77" w14:textId="77777777" w:rsidR="007E45C3" w:rsidRPr="00446FEC" w:rsidRDefault="007E45C3" w:rsidP="001D27C6">
            <w:pPr>
              <w:pStyle w:val="Tabletext"/>
              <w:jc w:val="center"/>
            </w:pPr>
            <w:r w:rsidRPr="00446FEC">
              <w:t>120</w:t>
            </w:r>
          </w:p>
        </w:tc>
        <w:tc>
          <w:tcPr>
            <w:tcW w:w="1559" w:type="dxa"/>
            <w:vAlign w:val="bottom"/>
          </w:tcPr>
          <w:p w14:paraId="1B76636D" w14:textId="77777777" w:rsidR="007E45C3" w:rsidRPr="00446FEC" w:rsidRDefault="007E45C3" w:rsidP="001D27C6">
            <w:pPr>
              <w:pStyle w:val="Tabletext"/>
              <w:jc w:val="center"/>
            </w:pPr>
            <w:r w:rsidRPr="00446FEC">
              <w:rPr>
                <w:color w:val="000000"/>
              </w:rPr>
              <w:t>145</w:t>
            </w:r>
          </w:p>
        </w:tc>
        <w:tc>
          <w:tcPr>
            <w:tcW w:w="1559" w:type="dxa"/>
            <w:vAlign w:val="bottom"/>
          </w:tcPr>
          <w:p w14:paraId="27D1143B" w14:textId="77777777" w:rsidR="007E45C3" w:rsidRPr="00446FEC" w:rsidRDefault="007E45C3" w:rsidP="001D27C6">
            <w:pPr>
              <w:pStyle w:val="Tabletext"/>
              <w:jc w:val="center"/>
            </w:pPr>
            <w:r w:rsidRPr="00446FEC">
              <w:rPr>
                <w:color w:val="000000"/>
              </w:rPr>
              <w:t>144</w:t>
            </w:r>
          </w:p>
        </w:tc>
        <w:tc>
          <w:tcPr>
            <w:tcW w:w="1418" w:type="dxa"/>
            <w:vAlign w:val="bottom"/>
          </w:tcPr>
          <w:p w14:paraId="1B01E7CA" w14:textId="77777777" w:rsidR="007E45C3" w:rsidRPr="00446FEC" w:rsidRDefault="007E45C3" w:rsidP="001D27C6">
            <w:pPr>
              <w:pStyle w:val="Tabletext"/>
              <w:jc w:val="center"/>
            </w:pPr>
            <w:r w:rsidRPr="00446FEC">
              <w:rPr>
                <w:color w:val="000000"/>
              </w:rPr>
              <w:t>177</w:t>
            </w:r>
          </w:p>
        </w:tc>
        <w:tc>
          <w:tcPr>
            <w:tcW w:w="1280" w:type="dxa"/>
            <w:vAlign w:val="bottom"/>
          </w:tcPr>
          <w:p w14:paraId="3325E762" w14:textId="77777777" w:rsidR="007E45C3" w:rsidRPr="00446FEC" w:rsidRDefault="007E45C3" w:rsidP="001D27C6">
            <w:pPr>
              <w:pStyle w:val="Tabletext"/>
              <w:jc w:val="center"/>
            </w:pPr>
            <w:r w:rsidRPr="00446FEC">
              <w:rPr>
                <w:color w:val="000000"/>
              </w:rPr>
              <w:t>182</w:t>
            </w:r>
          </w:p>
        </w:tc>
      </w:tr>
      <w:tr w:rsidR="007E45C3" w:rsidRPr="00446FEC" w14:paraId="65AAE248" w14:textId="77777777" w:rsidTr="001D27C6">
        <w:trPr>
          <w:jc w:val="center"/>
        </w:trPr>
        <w:tc>
          <w:tcPr>
            <w:tcW w:w="2405" w:type="dxa"/>
          </w:tcPr>
          <w:p w14:paraId="03DF5179" w14:textId="77777777" w:rsidR="007E45C3" w:rsidRPr="00446FEC" w:rsidRDefault="007E45C3" w:rsidP="001D27C6">
            <w:pPr>
              <w:pStyle w:val="Tabletext"/>
              <w:jc w:val="center"/>
            </w:pPr>
            <w:r w:rsidRPr="00446FEC">
              <w:t>Quarter 3</w:t>
            </w:r>
          </w:p>
        </w:tc>
        <w:tc>
          <w:tcPr>
            <w:tcW w:w="1418" w:type="dxa"/>
            <w:vAlign w:val="bottom"/>
          </w:tcPr>
          <w:p w14:paraId="2945486E" w14:textId="77777777" w:rsidR="007E45C3" w:rsidRPr="00446FEC" w:rsidRDefault="007E45C3" w:rsidP="001D27C6">
            <w:pPr>
              <w:pStyle w:val="Tabletext"/>
              <w:jc w:val="center"/>
            </w:pPr>
            <w:r w:rsidRPr="00446FEC">
              <w:rPr>
                <w:color w:val="000000"/>
              </w:rPr>
              <w:t>128</w:t>
            </w:r>
          </w:p>
        </w:tc>
        <w:tc>
          <w:tcPr>
            <w:tcW w:w="1559" w:type="dxa"/>
            <w:vAlign w:val="bottom"/>
          </w:tcPr>
          <w:p w14:paraId="61F863A6" w14:textId="77777777" w:rsidR="007E45C3" w:rsidRPr="00446FEC" w:rsidRDefault="007E45C3" w:rsidP="001D27C6">
            <w:pPr>
              <w:pStyle w:val="Tabletext"/>
              <w:jc w:val="center"/>
            </w:pPr>
            <w:r w:rsidRPr="00446FEC">
              <w:rPr>
                <w:color w:val="000000"/>
              </w:rPr>
              <w:t>151</w:t>
            </w:r>
          </w:p>
        </w:tc>
        <w:tc>
          <w:tcPr>
            <w:tcW w:w="1559" w:type="dxa"/>
            <w:vAlign w:val="bottom"/>
          </w:tcPr>
          <w:p w14:paraId="1113C048" w14:textId="77777777" w:rsidR="007E45C3" w:rsidRPr="00446FEC" w:rsidRDefault="007E45C3" w:rsidP="001D27C6">
            <w:pPr>
              <w:pStyle w:val="Tabletext"/>
              <w:jc w:val="center"/>
            </w:pPr>
            <w:r w:rsidRPr="00446FEC">
              <w:rPr>
                <w:color w:val="000000"/>
              </w:rPr>
              <w:t>152</w:t>
            </w:r>
          </w:p>
        </w:tc>
        <w:tc>
          <w:tcPr>
            <w:tcW w:w="1418" w:type="dxa"/>
            <w:vAlign w:val="bottom"/>
          </w:tcPr>
          <w:p w14:paraId="3DC44FFD" w14:textId="77777777" w:rsidR="007E45C3" w:rsidRPr="00446FEC" w:rsidRDefault="007E45C3" w:rsidP="001D27C6">
            <w:pPr>
              <w:pStyle w:val="Tabletext"/>
              <w:jc w:val="center"/>
            </w:pPr>
            <w:r w:rsidRPr="00446FEC">
              <w:rPr>
                <w:color w:val="000000"/>
              </w:rPr>
              <w:t>178</w:t>
            </w:r>
          </w:p>
        </w:tc>
        <w:tc>
          <w:tcPr>
            <w:tcW w:w="1280" w:type="dxa"/>
            <w:vAlign w:val="bottom"/>
          </w:tcPr>
          <w:p w14:paraId="2F3D81D7" w14:textId="77777777" w:rsidR="007E45C3" w:rsidRPr="00446FEC" w:rsidRDefault="007E45C3" w:rsidP="001D27C6">
            <w:pPr>
              <w:pStyle w:val="Tabletext"/>
              <w:jc w:val="center"/>
            </w:pPr>
            <w:r w:rsidRPr="00446FEC">
              <w:rPr>
                <w:color w:val="000000"/>
              </w:rPr>
              <w:t>182</w:t>
            </w:r>
          </w:p>
        </w:tc>
      </w:tr>
      <w:tr w:rsidR="007E45C3" w:rsidRPr="00446FEC" w14:paraId="7AE62108" w14:textId="77777777" w:rsidTr="001D27C6">
        <w:trPr>
          <w:jc w:val="center"/>
        </w:trPr>
        <w:tc>
          <w:tcPr>
            <w:tcW w:w="2405" w:type="dxa"/>
          </w:tcPr>
          <w:p w14:paraId="67B7C171" w14:textId="77777777" w:rsidR="007E45C3" w:rsidRPr="00446FEC" w:rsidRDefault="007E45C3" w:rsidP="001D27C6">
            <w:pPr>
              <w:pStyle w:val="Tabletext"/>
              <w:jc w:val="center"/>
            </w:pPr>
            <w:r w:rsidRPr="00446FEC">
              <w:t>Quarter 4</w:t>
            </w:r>
          </w:p>
        </w:tc>
        <w:tc>
          <w:tcPr>
            <w:tcW w:w="1418" w:type="dxa"/>
            <w:vAlign w:val="bottom"/>
          </w:tcPr>
          <w:p w14:paraId="0F84EB5D" w14:textId="77777777" w:rsidR="007E45C3" w:rsidRPr="00446FEC" w:rsidRDefault="007E45C3" w:rsidP="001D27C6">
            <w:pPr>
              <w:pStyle w:val="Tabletext"/>
              <w:jc w:val="center"/>
            </w:pPr>
            <w:r w:rsidRPr="00446FEC">
              <w:rPr>
                <w:color w:val="000000"/>
              </w:rPr>
              <w:t>131</w:t>
            </w:r>
          </w:p>
        </w:tc>
        <w:tc>
          <w:tcPr>
            <w:tcW w:w="1559" w:type="dxa"/>
            <w:vAlign w:val="bottom"/>
          </w:tcPr>
          <w:p w14:paraId="7946040E" w14:textId="77777777" w:rsidR="007E45C3" w:rsidRPr="00446FEC" w:rsidRDefault="007E45C3" w:rsidP="001D27C6">
            <w:pPr>
              <w:pStyle w:val="Tabletext"/>
              <w:jc w:val="center"/>
            </w:pPr>
            <w:r w:rsidRPr="00446FEC">
              <w:rPr>
                <w:color w:val="000000"/>
              </w:rPr>
              <w:t>138</w:t>
            </w:r>
          </w:p>
        </w:tc>
        <w:tc>
          <w:tcPr>
            <w:tcW w:w="1559" w:type="dxa"/>
            <w:vAlign w:val="bottom"/>
          </w:tcPr>
          <w:p w14:paraId="0E1692E9" w14:textId="77777777" w:rsidR="007E45C3" w:rsidRPr="00446FEC" w:rsidRDefault="007E45C3" w:rsidP="001D27C6">
            <w:pPr>
              <w:pStyle w:val="Tabletext"/>
              <w:jc w:val="center"/>
            </w:pPr>
            <w:r w:rsidRPr="00446FEC">
              <w:rPr>
                <w:color w:val="000000"/>
              </w:rPr>
              <w:t>168</w:t>
            </w:r>
          </w:p>
        </w:tc>
        <w:tc>
          <w:tcPr>
            <w:tcW w:w="1418" w:type="dxa"/>
            <w:vAlign w:val="bottom"/>
          </w:tcPr>
          <w:p w14:paraId="130EB802" w14:textId="77777777" w:rsidR="007E45C3" w:rsidRPr="00446FEC" w:rsidRDefault="007E45C3" w:rsidP="001D27C6">
            <w:pPr>
              <w:pStyle w:val="Tabletext"/>
              <w:jc w:val="center"/>
            </w:pPr>
            <w:r w:rsidRPr="00446FEC">
              <w:rPr>
                <w:color w:val="000000"/>
              </w:rPr>
              <w:t>179</w:t>
            </w:r>
          </w:p>
        </w:tc>
        <w:tc>
          <w:tcPr>
            <w:tcW w:w="1280" w:type="dxa"/>
            <w:vAlign w:val="bottom"/>
          </w:tcPr>
          <w:p w14:paraId="36B5E384" w14:textId="77777777" w:rsidR="007E45C3" w:rsidRPr="00446FEC" w:rsidRDefault="007E45C3" w:rsidP="001D27C6">
            <w:pPr>
              <w:pStyle w:val="Tabletext"/>
              <w:jc w:val="center"/>
            </w:pPr>
            <w:r w:rsidRPr="00446FEC">
              <w:rPr>
                <w:color w:val="000000"/>
              </w:rPr>
              <w:t>182</w:t>
            </w:r>
          </w:p>
        </w:tc>
      </w:tr>
    </w:tbl>
    <w:p w14:paraId="29EFCE3E" w14:textId="5D928B94" w:rsidR="00A22E8A" w:rsidRPr="00446FEC" w:rsidRDefault="001D27C6" w:rsidP="00252C57">
      <w:pPr>
        <w:pStyle w:val="TableNoTitle0"/>
      </w:pPr>
      <w:r w:rsidRPr="00446FEC">
        <w:t xml:space="preserve">Table C.4 </w:t>
      </w:r>
      <w:r w:rsidRPr="00446FEC">
        <w:sym w:font="Symbol" w:char="F02D"/>
      </w:r>
      <w:r w:rsidRPr="00446FEC">
        <w:t xml:space="preserve"> Total revenue as per the KPIs report</w:t>
      </w:r>
    </w:p>
    <w:tbl>
      <w:tblPr>
        <w:tblStyle w:val="TableGrid"/>
        <w:tblW w:w="9639" w:type="dxa"/>
        <w:jc w:val="center"/>
        <w:tblLook w:val="04A0" w:firstRow="1" w:lastRow="0" w:firstColumn="1" w:lastColumn="0" w:noHBand="0" w:noVBand="1"/>
      </w:tblPr>
      <w:tblGrid>
        <w:gridCol w:w="2398"/>
        <w:gridCol w:w="1566"/>
        <w:gridCol w:w="1560"/>
        <w:gridCol w:w="1275"/>
        <w:gridCol w:w="1418"/>
        <w:gridCol w:w="1422"/>
      </w:tblGrid>
      <w:tr w:rsidR="007E45C3" w:rsidRPr="00446FEC" w14:paraId="5C2465C6" w14:textId="77777777" w:rsidTr="00A22E8A">
        <w:trPr>
          <w:trHeight w:val="694"/>
          <w:jc w:val="center"/>
        </w:trPr>
        <w:tc>
          <w:tcPr>
            <w:tcW w:w="2398" w:type="dxa"/>
          </w:tcPr>
          <w:p w14:paraId="6A24C404" w14:textId="58B254F1" w:rsidR="007E45C3" w:rsidRPr="00446FEC" w:rsidRDefault="007E45C3" w:rsidP="00252C57">
            <w:pPr>
              <w:pStyle w:val="Tablehead"/>
              <w:keepLines/>
            </w:pPr>
            <w:r w:rsidRPr="00446FEC">
              <w:t xml:space="preserve">Total </w:t>
            </w:r>
            <w:r w:rsidR="000013AD" w:rsidRPr="00446FEC">
              <w:t>revenue</w:t>
            </w:r>
            <w:r w:rsidRPr="00446FEC">
              <w:t xml:space="preserve"> as per the KPIs report (revenue consolidated)</w:t>
            </w:r>
          </w:p>
        </w:tc>
        <w:tc>
          <w:tcPr>
            <w:tcW w:w="1566" w:type="dxa"/>
          </w:tcPr>
          <w:p w14:paraId="1F80BCA6" w14:textId="77777777" w:rsidR="007E45C3" w:rsidRPr="00446FEC" w:rsidRDefault="007E45C3" w:rsidP="00252C57">
            <w:pPr>
              <w:pStyle w:val="Tablehead"/>
              <w:keepLines/>
            </w:pPr>
            <w:r w:rsidRPr="00446FEC">
              <w:t>2019-20</w:t>
            </w:r>
          </w:p>
        </w:tc>
        <w:tc>
          <w:tcPr>
            <w:tcW w:w="1560" w:type="dxa"/>
          </w:tcPr>
          <w:p w14:paraId="28D1F510" w14:textId="77777777" w:rsidR="007E45C3" w:rsidRPr="00446FEC" w:rsidRDefault="007E45C3" w:rsidP="00252C57">
            <w:pPr>
              <w:pStyle w:val="Tablehead"/>
              <w:keepLines/>
            </w:pPr>
            <w:r w:rsidRPr="00446FEC">
              <w:t>2020-21</w:t>
            </w:r>
          </w:p>
        </w:tc>
        <w:tc>
          <w:tcPr>
            <w:tcW w:w="1275" w:type="dxa"/>
          </w:tcPr>
          <w:p w14:paraId="19B3289A" w14:textId="77777777" w:rsidR="007E45C3" w:rsidRPr="00446FEC" w:rsidRDefault="007E45C3" w:rsidP="00252C57">
            <w:pPr>
              <w:pStyle w:val="Tablehead"/>
              <w:keepLines/>
            </w:pPr>
            <w:r w:rsidRPr="00446FEC">
              <w:t>2021-22</w:t>
            </w:r>
          </w:p>
        </w:tc>
        <w:tc>
          <w:tcPr>
            <w:tcW w:w="1418" w:type="dxa"/>
          </w:tcPr>
          <w:p w14:paraId="092961DB" w14:textId="77777777" w:rsidR="007E45C3" w:rsidRPr="00446FEC" w:rsidRDefault="007E45C3" w:rsidP="00252C57">
            <w:pPr>
              <w:pStyle w:val="Tablehead"/>
              <w:keepLines/>
            </w:pPr>
            <w:r w:rsidRPr="00446FEC">
              <w:t>2022-23</w:t>
            </w:r>
          </w:p>
        </w:tc>
        <w:tc>
          <w:tcPr>
            <w:tcW w:w="1422" w:type="dxa"/>
          </w:tcPr>
          <w:p w14:paraId="139BD418" w14:textId="77777777" w:rsidR="007E45C3" w:rsidRPr="00446FEC" w:rsidRDefault="007E45C3" w:rsidP="00252C57">
            <w:pPr>
              <w:pStyle w:val="Tablehead"/>
              <w:keepLines/>
            </w:pPr>
            <w:r w:rsidRPr="00446FEC">
              <w:t>2023-24</w:t>
            </w:r>
          </w:p>
        </w:tc>
      </w:tr>
      <w:tr w:rsidR="007E45C3" w:rsidRPr="00446FEC" w14:paraId="30ED90E2" w14:textId="77777777" w:rsidTr="00A22E8A">
        <w:trPr>
          <w:jc w:val="center"/>
        </w:trPr>
        <w:tc>
          <w:tcPr>
            <w:tcW w:w="2398" w:type="dxa"/>
          </w:tcPr>
          <w:p w14:paraId="7B613A96" w14:textId="77777777" w:rsidR="007E45C3" w:rsidRPr="00446FEC" w:rsidRDefault="007E45C3" w:rsidP="00252C57">
            <w:pPr>
              <w:pStyle w:val="Tabletext"/>
              <w:keepNext/>
              <w:keepLines/>
              <w:jc w:val="center"/>
            </w:pPr>
            <w:r w:rsidRPr="00446FEC">
              <w:t>Quarter 1</w:t>
            </w:r>
          </w:p>
        </w:tc>
        <w:tc>
          <w:tcPr>
            <w:tcW w:w="1566" w:type="dxa"/>
            <w:vAlign w:val="bottom"/>
          </w:tcPr>
          <w:p w14:paraId="5C118EA4" w14:textId="529599E2" w:rsidR="007E45C3" w:rsidRPr="00446FEC" w:rsidRDefault="007E45C3" w:rsidP="00252C57">
            <w:pPr>
              <w:pStyle w:val="Tabletext"/>
              <w:keepNext/>
              <w:keepLines/>
              <w:jc w:val="center"/>
            </w:pPr>
            <w:r w:rsidRPr="00446FEC">
              <w:t>11</w:t>
            </w:r>
            <w:r w:rsidR="008D6F8B" w:rsidRPr="00446FEC">
              <w:t> </w:t>
            </w:r>
            <w:r w:rsidRPr="00446FEC">
              <w:t>679</w:t>
            </w:r>
          </w:p>
        </w:tc>
        <w:tc>
          <w:tcPr>
            <w:tcW w:w="1560" w:type="dxa"/>
            <w:vAlign w:val="bottom"/>
          </w:tcPr>
          <w:p w14:paraId="289A170D" w14:textId="46A00315" w:rsidR="007E45C3" w:rsidRPr="00446FEC" w:rsidRDefault="007E45C3" w:rsidP="00252C57">
            <w:pPr>
              <w:pStyle w:val="Tabletext"/>
              <w:keepNext/>
              <w:keepLines/>
              <w:jc w:val="center"/>
            </w:pPr>
            <w:r w:rsidRPr="00446FEC">
              <w:rPr>
                <w:color w:val="000000"/>
              </w:rPr>
              <w:t>20</w:t>
            </w:r>
            <w:r w:rsidR="008D6F8B" w:rsidRPr="00446FEC">
              <w:rPr>
                <w:color w:val="000000"/>
              </w:rPr>
              <w:t> </w:t>
            </w:r>
            <w:r w:rsidRPr="00446FEC">
              <w:rPr>
                <w:color w:val="000000"/>
              </w:rPr>
              <w:t>277</w:t>
            </w:r>
          </w:p>
        </w:tc>
        <w:tc>
          <w:tcPr>
            <w:tcW w:w="1275" w:type="dxa"/>
            <w:vAlign w:val="bottom"/>
          </w:tcPr>
          <w:p w14:paraId="3A730FA9" w14:textId="73CB8F4D" w:rsidR="007E45C3" w:rsidRPr="00446FEC" w:rsidRDefault="007E45C3" w:rsidP="00252C57">
            <w:pPr>
              <w:pStyle w:val="Tabletext"/>
              <w:keepNext/>
              <w:keepLines/>
              <w:jc w:val="center"/>
            </w:pPr>
            <w:r w:rsidRPr="00446FEC">
              <w:rPr>
                <w:color w:val="000000"/>
              </w:rPr>
              <w:t>22</w:t>
            </w:r>
            <w:r w:rsidR="008D6F8B" w:rsidRPr="00446FEC">
              <w:rPr>
                <w:color w:val="000000"/>
              </w:rPr>
              <w:t> </w:t>
            </w:r>
            <w:r w:rsidRPr="00446FEC">
              <w:rPr>
                <w:color w:val="000000"/>
              </w:rPr>
              <w:t>267</w:t>
            </w:r>
          </w:p>
        </w:tc>
        <w:tc>
          <w:tcPr>
            <w:tcW w:w="1418" w:type="dxa"/>
            <w:vAlign w:val="bottom"/>
          </w:tcPr>
          <w:p w14:paraId="6B2C9A3D" w14:textId="5FD997A4" w:rsidR="007E45C3" w:rsidRPr="00446FEC" w:rsidRDefault="007E45C3" w:rsidP="00252C57">
            <w:pPr>
              <w:pStyle w:val="Tabletext"/>
              <w:keepNext/>
              <w:keepLines/>
              <w:jc w:val="center"/>
            </w:pPr>
            <w:r w:rsidRPr="00446FEC">
              <w:rPr>
                <w:color w:val="000000"/>
              </w:rPr>
              <w:t>27</w:t>
            </w:r>
            <w:r w:rsidR="008D6F8B" w:rsidRPr="00446FEC">
              <w:rPr>
                <w:color w:val="000000"/>
              </w:rPr>
              <w:t> </w:t>
            </w:r>
            <w:r w:rsidRPr="00446FEC">
              <w:rPr>
                <w:color w:val="000000"/>
              </w:rPr>
              <w:t>527</w:t>
            </w:r>
          </w:p>
        </w:tc>
        <w:tc>
          <w:tcPr>
            <w:tcW w:w="1422" w:type="dxa"/>
            <w:vAlign w:val="bottom"/>
          </w:tcPr>
          <w:p w14:paraId="2925F9D1" w14:textId="14FEF0BC" w:rsidR="007E45C3" w:rsidRPr="00446FEC" w:rsidRDefault="007E45C3" w:rsidP="00252C57">
            <w:pPr>
              <w:pStyle w:val="Tabletext"/>
              <w:keepNext/>
              <w:keepLines/>
              <w:jc w:val="center"/>
            </w:pPr>
            <w:r w:rsidRPr="00446FEC">
              <w:rPr>
                <w:color w:val="000000"/>
              </w:rPr>
              <w:t>30</w:t>
            </w:r>
            <w:r w:rsidR="008D6F8B" w:rsidRPr="00446FEC">
              <w:rPr>
                <w:color w:val="000000"/>
              </w:rPr>
              <w:t> </w:t>
            </w:r>
            <w:r w:rsidRPr="00446FEC">
              <w:rPr>
                <w:color w:val="000000"/>
              </w:rPr>
              <w:t>640</w:t>
            </w:r>
          </w:p>
        </w:tc>
      </w:tr>
      <w:tr w:rsidR="007E45C3" w:rsidRPr="00446FEC" w14:paraId="4F0FA5C9" w14:textId="77777777" w:rsidTr="00A22E8A">
        <w:trPr>
          <w:jc w:val="center"/>
        </w:trPr>
        <w:tc>
          <w:tcPr>
            <w:tcW w:w="2398" w:type="dxa"/>
          </w:tcPr>
          <w:p w14:paraId="24DBEC4B" w14:textId="77777777" w:rsidR="007E45C3" w:rsidRPr="00446FEC" w:rsidRDefault="007E45C3" w:rsidP="00252C57">
            <w:pPr>
              <w:pStyle w:val="Tabletext"/>
              <w:keepNext/>
              <w:keepLines/>
              <w:jc w:val="center"/>
            </w:pPr>
            <w:r w:rsidRPr="00446FEC">
              <w:t>Quarter 2</w:t>
            </w:r>
          </w:p>
        </w:tc>
        <w:tc>
          <w:tcPr>
            <w:tcW w:w="1566" w:type="dxa"/>
            <w:vAlign w:val="bottom"/>
          </w:tcPr>
          <w:p w14:paraId="2404C9F2" w14:textId="503D491E" w:rsidR="007E45C3" w:rsidRPr="00446FEC" w:rsidRDefault="007E45C3" w:rsidP="00252C57">
            <w:pPr>
              <w:pStyle w:val="Tabletext"/>
              <w:keepNext/>
              <w:keepLines/>
              <w:jc w:val="center"/>
            </w:pPr>
            <w:r w:rsidRPr="00446FEC">
              <w:t>14</w:t>
            </w:r>
            <w:r w:rsidR="008D6F8B" w:rsidRPr="00446FEC">
              <w:t> </w:t>
            </w:r>
            <w:r w:rsidRPr="00446FEC">
              <w:t>562</w:t>
            </w:r>
          </w:p>
        </w:tc>
        <w:tc>
          <w:tcPr>
            <w:tcW w:w="1560" w:type="dxa"/>
            <w:vAlign w:val="bottom"/>
          </w:tcPr>
          <w:p w14:paraId="66C41471" w14:textId="256D8B11" w:rsidR="007E45C3" w:rsidRPr="00446FEC" w:rsidRDefault="007E45C3" w:rsidP="00252C57">
            <w:pPr>
              <w:pStyle w:val="Tabletext"/>
              <w:keepNext/>
              <w:keepLines/>
              <w:jc w:val="center"/>
            </w:pPr>
            <w:r w:rsidRPr="00446FEC">
              <w:rPr>
                <w:color w:val="000000"/>
              </w:rPr>
              <w:t>21</w:t>
            </w:r>
            <w:r w:rsidR="008D6F8B" w:rsidRPr="00446FEC">
              <w:rPr>
                <w:color w:val="000000"/>
              </w:rPr>
              <w:t> </w:t>
            </w:r>
            <w:r w:rsidRPr="00446FEC">
              <w:rPr>
                <w:color w:val="000000"/>
              </w:rPr>
              <w:t>708</w:t>
            </w:r>
          </w:p>
        </w:tc>
        <w:tc>
          <w:tcPr>
            <w:tcW w:w="1275" w:type="dxa"/>
            <w:vAlign w:val="bottom"/>
          </w:tcPr>
          <w:p w14:paraId="0B51107D" w14:textId="7C75725E" w:rsidR="007E45C3" w:rsidRPr="00446FEC" w:rsidRDefault="007E45C3" w:rsidP="00252C57">
            <w:pPr>
              <w:pStyle w:val="Tabletext"/>
              <w:keepNext/>
              <w:keepLines/>
              <w:jc w:val="center"/>
            </w:pPr>
            <w:r w:rsidRPr="00446FEC">
              <w:rPr>
                <w:color w:val="000000"/>
              </w:rPr>
              <w:t>23</w:t>
            </w:r>
            <w:r w:rsidR="008D6F8B" w:rsidRPr="00446FEC">
              <w:rPr>
                <w:color w:val="000000"/>
              </w:rPr>
              <w:t> </w:t>
            </w:r>
            <w:r w:rsidRPr="00446FEC">
              <w:rPr>
                <w:color w:val="000000"/>
              </w:rPr>
              <w:t>222</w:t>
            </w:r>
          </w:p>
        </w:tc>
        <w:tc>
          <w:tcPr>
            <w:tcW w:w="1418" w:type="dxa"/>
            <w:vAlign w:val="bottom"/>
          </w:tcPr>
          <w:p w14:paraId="3FF2524B" w14:textId="18C8196C" w:rsidR="007E45C3" w:rsidRPr="00446FEC" w:rsidRDefault="007E45C3" w:rsidP="00252C57">
            <w:pPr>
              <w:pStyle w:val="Tabletext"/>
              <w:keepNext/>
              <w:keepLines/>
              <w:jc w:val="center"/>
            </w:pPr>
            <w:r w:rsidRPr="00446FEC">
              <w:rPr>
                <w:color w:val="000000"/>
              </w:rPr>
              <w:t>28</w:t>
            </w:r>
            <w:r w:rsidR="008D6F8B" w:rsidRPr="00446FEC">
              <w:rPr>
                <w:color w:val="000000"/>
              </w:rPr>
              <w:t> </w:t>
            </w:r>
            <w:r w:rsidRPr="00446FEC">
              <w:rPr>
                <w:color w:val="000000"/>
              </w:rPr>
              <w:t>506</w:t>
            </w:r>
          </w:p>
        </w:tc>
        <w:tc>
          <w:tcPr>
            <w:tcW w:w="1422" w:type="dxa"/>
            <w:vAlign w:val="bottom"/>
          </w:tcPr>
          <w:p w14:paraId="4E4BDAA4" w14:textId="4CD1381A" w:rsidR="007E45C3" w:rsidRPr="00446FEC" w:rsidRDefault="007E45C3" w:rsidP="00252C57">
            <w:pPr>
              <w:pStyle w:val="Tabletext"/>
              <w:keepNext/>
              <w:keepLines/>
              <w:jc w:val="center"/>
            </w:pPr>
            <w:r w:rsidRPr="00446FEC">
              <w:rPr>
                <w:color w:val="000000"/>
              </w:rPr>
              <w:t>31</w:t>
            </w:r>
            <w:r w:rsidR="008D6F8B" w:rsidRPr="00446FEC">
              <w:rPr>
                <w:color w:val="000000"/>
              </w:rPr>
              <w:t> </w:t>
            </w:r>
            <w:r w:rsidRPr="00446FEC">
              <w:rPr>
                <w:color w:val="000000"/>
              </w:rPr>
              <w:t>537</w:t>
            </w:r>
          </w:p>
        </w:tc>
      </w:tr>
      <w:tr w:rsidR="007E45C3" w:rsidRPr="00446FEC" w14:paraId="6D1EB0A5" w14:textId="77777777" w:rsidTr="00A22E8A">
        <w:trPr>
          <w:jc w:val="center"/>
        </w:trPr>
        <w:tc>
          <w:tcPr>
            <w:tcW w:w="2398" w:type="dxa"/>
          </w:tcPr>
          <w:p w14:paraId="2657F28D" w14:textId="77777777" w:rsidR="007E45C3" w:rsidRPr="00446FEC" w:rsidRDefault="007E45C3" w:rsidP="00A22E8A">
            <w:pPr>
              <w:pStyle w:val="Tabletext"/>
              <w:jc w:val="center"/>
            </w:pPr>
            <w:r w:rsidRPr="00446FEC">
              <w:t>Quarter 3</w:t>
            </w:r>
          </w:p>
        </w:tc>
        <w:tc>
          <w:tcPr>
            <w:tcW w:w="1566" w:type="dxa"/>
            <w:vAlign w:val="bottom"/>
          </w:tcPr>
          <w:p w14:paraId="1700DF98" w14:textId="28EA2EA2" w:rsidR="007E45C3" w:rsidRPr="00446FEC" w:rsidRDefault="007E45C3" w:rsidP="00A22E8A">
            <w:pPr>
              <w:pStyle w:val="Tabletext"/>
              <w:jc w:val="center"/>
            </w:pPr>
            <w:r w:rsidRPr="00446FEC">
              <w:rPr>
                <w:color w:val="000000"/>
              </w:rPr>
              <w:t>16</w:t>
            </w:r>
            <w:r w:rsidR="008D6F8B" w:rsidRPr="00446FEC">
              <w:rPr>
                <w:color w:val="000000"/>
              </w:rPr>
              <w:t> </w:t>
            </w:r>
            <w:r w:rsidRPr="00446FEC">
              <w:rPr>
                <w:color w:val="000000"/>
              </w:rPr>
              <w:t>517</w:t>
            </w:r>
          </w:p>
        </w:tc>
        <w:tc>
          <w:tcPr>
            <w:tcW w:w="1560" w:type="dxa"/>
            <w:vAlign w:val="bottom"/>
          </w:tcPr>
          <w:p w14:paraId="178E91EE" w14:textId="2C0C6E6F" w:rsidR="007E45C3" w:rsidRPr="00446FEC" w:rsidRDefault="007E45C3" w:rsidP="00A22E8A">
            <w:pPr>
              <w:pStyle w:val="Tabletext"/>
              <w:jc w:val="center"/>
            </w:pPr>
            <w:r w:rsidRPr="00446FEC">
              <w:rPr>
                <w:color w:val="000000"/>
              </w:rPr>
              <w:t>22</w:t>
            </w:r>
            <w:r w:rsidR="008D6F8B" w:rsidRPr="00446FEC">
              <w:rPr>
                <w:color w:val="000000"/>
              </w:rPr>
              <w:t> </w:t>
            </w:r>
            <w:r w:rsidRPr="00446FEC">
              <w:rPr>
                <w:color w:val="000000"/>
              </w:rPr>
              <w:t>858</w:t>
            </w:r>
          </w:p>
        </w:tc>
        <w:tc>
          <w:tcPr>
            <w:tcW w:w="1275" w:type="dxa"/>
            <w:vAlign w:val="bottom"/>
          </w:tcPr>
          <w:p w14:paraId="5381046B" w14:textId="72318A10" w:rsidR="007E45C3" w:rsidRPr="00446FEC" w:rsidRDefault="007E45C3" w:rsidP="00A22E8A">
            <w:pPr>
              <w:pStyle w:val="Tabletext"/>
              <w:jc w:val="center"/>
            </w:pPr>
            <w:r w:rsidRPr="00446FEC">
              <w:rPr>
                <w:color w:val="000000"/>
              </w:rPr>
              <w:t>24</w:t>
            </w:r>
            <w:r w:rsidR="008D6F8B" w:rsidRPr="00446FEC">
              <w:rPr>
                <w:color w:val="000000"/>
              </w:rPr>
              <w:t> </w:t>
            </w:r>
            <w:r w:rsidRPr="00446FEC">
              <w:rPr>
                <w:color w:val="000000"/>
              </w:rPr>
              <w:t>176</w:t>
            </w:r>
          </w:p>
        </w:tc>
        <w:tc>
          <w:tcPr>
            <w:tcW w:w="1418" w:type="dxa"/>
            <w:vAlign w:val="bottom"/>
          </w:tcPr>
          <w:p w14:paraId="1793561D" w14:textId="13C5DE2C" w:rsidR="007E45C3" w:rsidRPr="00446FEC" w:rsidRDefault="007E45C3" w:rsidP="00A22E8A">
            <w:pPr>
              <w:pStyle w:val="Tabletext"/>
              <w:jc w:val="center"/>
            </w:pPr>
            <w:r w:rsidRPr="00446FEC">
              <w:rPr>
                <w:color w:val="000000"/>
              </w:rPr>
              <w:t>29</w:t>
            </w:r>
            <w:r w:rsidR="008D6F8B" w:rsidRPr="00446FEC">
              <w:rPr>
                <w:color w:val="000000"/>
              </w:rPr>
              <w:t> </w:t>
            </w:r>
            <w:r w:rsidRPr="00446FEC">
              <w:rPr>
                <w:color w:val="000000"/>
              </w:rPr>
              <w:t>195</w:t>
            </w:r>
          </w:p>
        </w:tc>
        <w:tc>
          <w:tcPr>
            <w:tcW w:w="1422" w:type="dxa"/>
            <w:vAlign w:val="bottom"/>
          </w:tcPr>
          <w:p w14:paraId="0A5B56D4" w14:textId="7C660EB4" w:rsidR="007E45C3" w:rsidRPr="00446FEC" w:rsidRDefault="007E45C3" w:rsidP="00A22E8A">
            <w:pPr>
              <w:pStyle w:val="Tabletext"/>
              <w:jc w:val="center"/>
            </w:pPr>
            <w:r w:rsidRPr="00446FEC">
              <w:rPr>
                <w:color w:val="000000"/>
              </w:rPr>
              <w:t>32</w:t>
            </w:r>
            <w:r w:rsidR="008D6F8B" w:rsidRPr="00446FEC">
              <w:rPr>
                <w:color w:val="000000"/>
              </w:rPr>
              <w:t> </w:t>
            </w:r>
            <w:r w:rsidRPr="00446FEC">
              <w:rPr>
                <w:color w:val="000000"/>
              </w:rPr>
              <w:t>510</w:t>
            </w:r>
          </w:p>
        </w:tc>
      </w:tr>
      <w:tr w:rsidR="007E45C3" w:rsidRPr="00446FEC" w14:paraId="55FF57BD" w14:textId="77777777" w:rsidTr="00A22E8A">
        <w:trPr>
          <w:jc w:val="center"/>
        </w:trPr>
        <w:tc>
          <w:tcPr>
            <w:tcW w:w="2398" w:type="dxa"/>
          </w:tcPr>
          <w:p w14:paraId="4D6B9B88" w14:textId="77777777" w:rsidR="007E45C3" w:rsidRPr="00446FEC" w:rsidRDefault="007E45C3" w:rsidP="00A22E8A">
            <w:pPr>
              <w:pStyle w:val="Tabletext"/>
              <w:jc w:val="center"/>
            </w:pPr>
            <w:r w:rsidRPr="00446FEC">
              <w:t>Quarter 4</w:t>
            </w:r>
          </w:p>
        </w:tc>
        <w:tc>
          <w:tcPr>
            <w:tcW w:w="1566" w:type="dxa"/>
            <w:vAlign w:val="bottom"/>
          </w:tcPr>
          <w:p w14:paraId="343A9855" w14:textId="6F7708B5" w:rsidR="007E45C3" w:rsidRPr="00446FEC" w:rsidRDefault="007E45C3" w:rsidP="00A22E8A">
            <w:pPr>
              <w:pStyle w:val="Tabletext"/>
              <w:jc w:val="center"/>
            </w:pPr>
            <w:r w:rsidRPr="00446FEC">
              <w:rPr>
                <w:color w:val="000000"/>
              </w:rPr>
              <w:t>14</w:t>
            </w:r>
            <w:r w:rsidR="008D6F8B" w:rsidRPr="00446FEC">
              <w:rPr>
                <w:color w:val="000000"/>
              </w:rPr>
              <w:t> </w:t>
            </w:r>
            <w:r w:rsidRPr="00446FEC">
              <w:rPr>
                <w:color w:val="000000"/>
              </w:rPr>
              <w:t>593</w:t>
            </w:r>
          </w:p>
        </w:tc>
        <w:tc>
          <w:tcPr>
            <w:tcW w:w="1560" w:type="dxa"/>
            <w:vAlign w:val="bottom"/>
          </w:tcPr>
          <w:p w14:paraId="46F2CC3F" w14:textId="28E1D5AD" w:rsidR="007E45C3" w:rsidRPr="00446FEC" w:rsidRDefault="007E45C3" w:rsidP="00A22E8A">
            <w:pPr>
              <w:pStyle w:val="Tabletext"/>
              <w:jc w:val="center"/>
            </w:pPr>
            <w:r w:rsidRPr="00446FEC">
              <w:rPr>
                <w:color w:val="000000"/>
              </w:rPr>
              <w:t>21</w:t>
            </w:r>
            <w:r w:rsidR="008D6F8B" w:rsidRPr="00446FEC">
              <w:rPr>
                <w:color w:val="000000"/>
              </w:rPr>
              <w:t> </w:t>
            </w:r>
            <w:r w:rsidRPr="00446FEC">
              <w:rPr>
                <w:color w:val="000000"/>
              </w:rPr>
              <w:t>650</w:t>
            </w:r>
          </w:p>
        </w:tc>
        <w:tc>
          <w:tcPr>
            <w:tcW w:w="1275" w:type="dxa"/>
            <w:vAlign w:val="bottom"/>
          </w:tcPr>
          <w:p w14:paraId="6B925EC8" w14:textId="66272619" w:rsidR="007E45C3" w:rsidRPr="00446FEC" w:rsidRDefault="007E45C3" w:rsidP="00A22E8A">
            <w:pPr>
              <w:pStyle w:val="Tabletext"/>
              <w:jc w:val="center"/>
            </w:pPr>
            <w:r w:rsidRPr="00446FEC">
              <w:rPr>
                <w:color w:val="000000"/>
              </w:rPr>
              <w:t>26</w:t>
            </w:r>
            <w:r w:rsidR="008D6F8B" w:rsidRPr="00446FEC">
              <w:rPr>
                <w:color w:val="000000"/>
              </w:rPr>
              <w:t> </w:t>
            </w:r>
            <w:r w:rsidRPr="00446FEC">
              <w:rPr>
                <w:color w:val="000000"/>
              </w:rPr>
              <w:t>139</w:t>
            </w:r>
          </w:p>
        </w:tc>
        <w:tc>
          <w:tcPr>
            <w:tcW w:w="1418" w:type="dxa"/>
            <w:vAlign w:val="bottom"/>
          </w:tcPr>
          <w:p w14:paraId="694B0CF3" w14:textId="0E0DB051" w:rsidR="007E45C3" w:rsidRPr="00446FEC" w:rsidRDefault="007E45C3" w:rsidP="00A22E8A">
            <w:pPr>
              <w:pStyle w:val="Tabletext"/>
              <w:jc w:val="center"/>
            </w:pPr>
            <w:r w:rsidRPr="00446FEC">
              <w:rPr>
                <w:color w:val="000000"/>
              </w:rPr>
              <w:t>29</w:t>
            </w:r>
            <w:r w:rsidR="008D6F8B" w:rsidRPr="00446FEC">
              <w:rPr>
                <w:color w:val="000000"/>
              </w:rPr>
              <w:t> </w:t>
            </w:r>
            <w:r w:rsidRPr="00446FEC">
              <w:rPr>
                <w:color w:val="000000"/>
              </w:rPr>
              <w:t>871</w:t>
            </w:r>
          </w:p>
        </w:tc>
        <w:tc>
          <w:tcPr>
            <w:tcW w:w="1422" w:type="dxa"/>
            <w:vAlign w:val="bottom"/>
          </w:tcPr>
          <w:p w14:paraId="7F3CAE80" w14:textId="5DD6CECF" w:rsidR="007E45C3" w:rsidRPr="00446FEC" w:rsidRDefault="007E45C3" w:rsidP="00A22E8A">
            <w:pPr>
              <w:pStyle w:val="Tabletext"/>
              <w:jc w:val="center"/>
            </w:pPr>
            <w:r w:rsidRPr="00446FEC">
              <w:rPr>
                <w:color w:val="000000"/>
              </w:rPr>
              <w:t>33</w:t>
            </w:r>
            <w:r w:rsidR="008D6F8B" w:rsidRPr="00446FEC">
              <w:rPr>
                <w:color w:val="000000"/>
              </w:rPr>
              <w:t> </w:t>
            </w:r>
            <w:r w:rsidRPr="00446FEC">
              <w:rPr>
                <w:color w:val="000000"/>
              </w:rPr>
              <w:t>835</w:t>
            </w:r>
          </w:p>
        </w:tc>
      </w:tr>
    </w:tbl>
    <w:p w14:paraId="09D1AA25" w14:textId="043C349C" w:rsidR="00B87D09" w:rsidRPr="00446FEC" w:rsidRDefault="00B87D09" w:rsidP="00B87D09">
      <w:pPr>
        <w:pStyle w:val="TableNoTitle0"/>
      </w:pPr>
      <w:r w:rsidRPr="00446FEC">
        <w:t xml:space="preserve">Table C.5 </w:t>
      </w:r>
      <w:r w:rsidRPr="00446FEC">
        <w:sym w:font="Symbol" w:char="F02D"/>
      </w:r>
      <w:r w:rsidRPr="00446FEC">
        <w:t xml:space="preserve"> EBITDA data</w:t>
      </w:r>
    </w:p>
    <w:tbl>
      <w:tblPr>
        <w:tblStyle w:val="TableGrid"/>
        <w:tblW w:w="9639" w:type="dxa"/>
        <w:jc w:val="center"/>
        <w:tblLook w:val="04A0" w:firstRow="1" w:lastRow="0" w:firstColumn="1" w:lastColumn="0" w:noHBand="0" w:noVBand="1"/>
      </w:tblPr>
      <w:tblGrid>
        <w:gridCol w:w="1617"/>
        <w:gridCol w:w="1602"/>
        <w:gridCol w:w="1602"/>
        <w:gridCol w:w="1606"/>
        <w:gridCol w:w="1606"/>
        <w:gridCol w:w="1606"/>
      </w:tblGrid>
      <w:tr w:rsidR="007E45C3" w:rsidRPr="00446FEC" w14:paraId="567FBEEC" w14:textId="77777777" w:rsidTr="00B87D09">
        <w:trPr>
          <w:trHeight w:val="371"/>
          <w:jc w:val="center"/>
        </w:trPr>
        <w:tc>
          <w:tcPr>
            <w:tcW w:w="1641" w:type="dxa"/>
          </w:tcPr>
          <w:p w14:paraId="73C10738" w14:textId="77777777" w:rsidR="007E45C3" w:rsidRPr="00446FEC" w:rsidRDefault="007E45C3" w:rsidP="00B87D09">
            <w:pPr>
              <w:pStyle w:val="Tablehead"/>
              <w:rPr>
                <w:rFonts w:ascii="Times New Roman" w:hAnsi="Times New Roman"/>
              </w:rPr>
            </w:pPr>
            <w:r w:rsidRPr="00446FEC">
              <w:rPr>
                <w:rFonts w:ascii="Times New Roman" w:hAnsi="Times New Roman"/>
              </w:rPr>
              <w:t>EBITDA</w:t>
            </w:r>
          </w:p>
        </w:tc>
        <w:tc>
          <w:tcPr>
            <w:tcW w:w="1641" w:type="dxa"/>
          </w:tcPr>
          <w:p w14:paraId="4F3ED792" w14:textId="77777777" w:rsidR="007E45C3" w:rsidRPr="00446FEC" w:rsidRDefault="007E45C3" w:rsidP="00B87D09">
            <w:pPr>
              <w:pStyle w:val="Tablehead"/>
              <w:rPr>
                <w:rFonts w:ascii="Times New Roman" w:hAnsi="Times New Roman"/>
              </w:rPr>
            </w:pPr>
            <w:r w:rsidRPr="00446FEC">
              <w:rPr>
                <w:rFonts w:ascii="Times New Roman" w:hAnsi="Times New Roman"/>
              </w:rPr>
              <w:t>2019-20</w:t>
            </w:r>
          </w:p>
        </w:tc>
        <w:tc>
          <w:tcPr>
            <w:tcW w:w="1642" w:type="dxa"/>
          </w:tcPr>
          <w:p w14:paraId="38E0C8FE" w14:textId="77777777" w:rsidR="007E45C3" w:rsidRPr="00446FEC" w:rsidRDefault="007E45C3" w:rsidP="00B87D09">
            <w:pPr>
              <w:pStyle w:val="Tablehead"/>
              <w:rPr>
                <w:rFonts w:ascii="Times New Roman" w:hAnsi="Times New Roman"/>
              </w:rPr>
            </w:pPr>
            <w:r w:rsidRPr="00446FEC">
              <w:rPr>
                <w:rFonts w:ascii="Times New Roman" w:hAnsi="Times New Roman"/>
              </w:rPr>
              <w:t>2020-21</w:t>
            </w:r>
          </w:p>
        </w:tc>
        <w:tc>
          <w:tcPr>
            <w:tcW w:w="1642" w:type="dxa"/>
          </w:tcPr>
          <w:p w14:paraId="228B80A8" w14:textId="77777777" w:rsidR="007E45C3" w:rsidRPr="00446FEC" w:rsidRDefault="007E45C3" w:rsidP="00B87D09">
            <w:pPr>
              <w:pStyle w:val="Tablehead"/>
              <w:rPr>
                <w:rFonts w:ascii="Times New Roman" w:hAnsi="Times New Roman"/>
              </w:rPr>
            </w:pPr>
            <w:r w:rsidRPr="00446FEC">
              <w:rPr>
                <w:rFonts w:ascii="Times New Roman" w:hAnsi="Times New Roman"/>
              </w:rPr>
              <w:t>2021-22</w:t>
            </w:r>
          </w:p>
        </w:tc>
        <w:tc>
          <w:tcPr>
            <w:tcW w:w="1642" w:type="dxa"/>
          </w:tcPr>
          <w:p w14:paraId="5CD37257" w14:textId="77777777" w:rsidR="007E45C3" w:rsidRPr="00446FEC" w:rsidRDefault="007E45C3" w:rsidP="00B87D09">
            <w:pPr>
              <w:pStyle w:val="Tablehead"/>
              <w:rPr>
                <w:rFonts w:ascii="Times New Roman" w:hAnsi="Times New Roman"/>
              </w:rPr>
            </w:pPr>
            <w:r w:rsidRPr="00446FEC">
              <w:rPr>
                <w:rFonts w:ascii="Times New Roman" w:hAnsi="Times New Roman"/>
              </w:rPr>
              <w:t>2022-23</w:t>
            </w:r>
          </w:p>
        </w:tc>
        <w:tc>
          <w:tcPr>
            <w:tcW w:w="1642" w:type="dxa"/>
          </w:tcPr>
          <w:p w14:paraId="36D64E1F" w14:textId="77777777" w:rsidR="007E45C3" w:rsidRPr="00446FEC" w:rsidRDefault="007E45C3" w:rsidP="00B87D09">
            <w:pPr>
              <w:pStyle w:val="Tablehead"/>
              <w:rPr>
                <w:rFonts w:ascii="Times New Roman" w:hAnsi="Times New Roman"/>
              </w:rPr>
            </w:pPr>
            <w:r w:rsidRPr="00446FEC">
              <w:rPr>
                <w:rFonts w:ascii="Times New Roman" w:hAnsi="Times New Roman"/>
              </w:rPr>
              <w:t>2023-24</w:t>
            </w:r>
          </w:p>
        </w:tc>
      </w:tr>
      <w:tr w:rsidR="007E45C3" w:rsidRPr="00446FEC" w14:paraId="58B094D1" w14:textId="77777777" w:rsidTr="00B87D09">
        <w:trPr>
          <w:jc w:val="center"/>
        </w:trPr>
        <w:tc>
          <w:tcPr>
            <w:tcW w:w="1641" w:type="dxa"/>
          </w:tcPr>
          <w:p w14:paraId="7DCC3E65" w14:textId="77777777" w:rsidR="007E45C3" w:rsidRPr="00446FEC" w:rsidRDefault="007E45C3" w:rsidP="00B87D09">
            <w:pPr>
              <w:pStyle w:val="Tabletext"/>
              <w:jc w:val="center"/>
              <w:rPr>
                <w:rFonts w:ascii="Times New Roman" w:hAnsi="Times New Roman"/>
              </w:rPr>
            </w:pPr>
            <w:r w:rsidRPr="00446FEC">
              <w:rPr>
                <w:rFonts w:ascii="Times New Roman" w:hAnsi="Times New Roman"/>
              </w:rPr>
              <w:t>Quarter 1</w:t>
            </w:r>
          </w:p>
        </w:tc>
        <w:tc>
          <w:tcPr>
            <w:tcW w:w="1641" w:type="dxa"/>
            <w:vAlign w:val="bottom"/>
          </w:tcPr>
          <w:p w14:paraId="1F82A0A7" w14:textId="14C8C992" w:rsidR="007E45C3" w:rsidRPr="00446FEC" w:rsidRDefault="007E45C3" w:rsidP="00B87D09">
            <w:pPr>
              <w:pStyle w:val="Tabletext"/>
              <w:jc w:val="center"/>
              <w:rPr>
                <w:rFonts w:ascii="Times New Roman" w:hAnsi="Times New Roman"/>
              </w:rPr>
            </w:pPr>
            <w:r w:rsidRPr="00446FEC">
              <w:rPr>
                <w:rFonts w:ascii="Times New Roman" w:hAnsi="Times New Roman"/>
              </w:rPr>
              <w:t>4</w:t>
            </w:r>
            <w:r w:rsidR="008D6F8B" w:rsidRPr="00446FEC">
              <w:rPr>
                <w:rFonts w:ascii="Times New Roman" w:hAnsi="Times New Roman"/>
              </w:rPr>
              <w:t> </w:t>
            </w:r>
            <w:r w:rsidRPr="00446FEC">
              <w:rPr>
                <w:rFonts w:ascii="Times New Roman" w:hAnsi="Times New Roman"/>
              </w:rPr>
              <w:t>686</w:t>
            </w:r>
          </w:p>
        </w:tc>
        <w:tc>
          <w:tcPr>
            <w:tcW w:w="1642" w:type="dxa"/>
            <w:vAlign w:val="bottom"/>
          </w:tcPr>
          <w:p w14:paraId="7159F929" w14:textId="7AAD0986" w:rsidR="007E45C3" w:rsidRPr="00446FEC" w:rsidRDefault="007E45C3" w:rsidP="00B87D09">
            <w:pPr>
              <w:pStyle w:val="Tabletext"/>
              <w:jc w:val="center"/>
              <w:rPr>
                <w:rFonts w:ascii="Times New Roman" w:hAnsi="Times New Roman"/>
              </w:rPr>
            </w:pPr>
            <w:r w:rsidRPr="00446FEC">
              <w:rPr>
                <w:rFonts w:ascii="Times New Roman" w:hAnsi="Times New Roman"/>
                <w:color w:val="000000"/>
              </w:rPr>
              <w:t>7</w:t>
            </w:r>
            <w:r w:rsidR="008D6F8B" w:rsidRPr="00446FEC">
              <w:rPr>
                <w:rFonts w:ascii="Times New Roman" w:hAnsi="Times New Roman"/>
                <w:color w:val="000000"/>
              </w:rPr>
              <w:t> </w:t>
            </w:r>
            <w:r w:rsidRPr="00446FEC">
              <w:rPr>
                <w:rFonts w:ascii="Times New Roman" w:hAnsi="Times New Roman"/>
                <w:color w:val="000000"/>
              </w:rPr>
              <w:t>332</w:t>
            </w:r>
          </w:p>
        </w:tc>
        <w:tc>
          <w:tcPr>
            <w:tcW w:w="1642" w:type="dxa"/>
            <w:vAlign w:val="bottom"/>
          </w:tcPr>
          <w:p w14:paraId="23B89993" w14:textId="4BE7CB2B" w:rsidR="007E45C3" w:rsidRPr="00446FEC" w:rsidRDefault="007E45C3" w:rsidP="00B87D09">
            <w:pPr>
              <w:pStyle w:val="Tabletext"/>
              <w:jc w:val="center"/>
              <w:rPr>
                <w:rFonts w:ascii="Times New Roman" w:hAnsi="Times New Roman"/>
              </w:rPr>
            </w:pPr>
            <w:r w:rsidRPr="00446FEC">
              <w:rPr>
                <w:rFonts w:ascii="Times New Roman" w:hAnsi="Times New Roman"/>
                <w:color w:val="000000"/>
              </w:rPr>
              <w:t>8</w:t>
            </w:r>
            <w:r w:rsidR="008D6F8B" w:rsidRPr="00446FEC">
              <w:rPr>
                <w:rFonts w:ascii="Times New Roman" w:hAnsi="Times New Roman"/>
                <w:color w:val="000000"/>
              </w:rPr>
              <w:t> </w:t>
            </w:r>
            <w:r w:rsidRPr="00446FEC">
              <w:rPr>
                <w:rFonts w:ascii="Times New Roman" w:hAnsi="Times New Roman"/>
                <w:color w:val="000000"/>
              </w:rPr>
              <w:t>892</w:t>
            </w:r>
          </w:p>
        </w:tc>
        <w:tc>
          <w:tcPr>
            <w:tcW w:w="1642" w:type="dxa"/>
            <w:vAlign w:val="bottom"/>
          </w:tcPr>
          <w:p w14:paraId="7BE863A8" w14:textId="3C1E1E05" w:rsidR="007E45C3" w:rsidRPr="00446FEC" w:rsidRDefault="007E45C3" w:rsidP="00B87D09">
            <w:pPr>
              <w:pStyle w:val="Tabletext"/>
              <w:jc w:val="center"/>
              <w:rPr>
                <w:rFonts w:ascii="Times New Roman" w:hAnsi="Times New Roman"/>
              </w:rPr>
            </w:pPr>
            <w:r w:rsidRPr="00446FEC">
              <w:rPr>
                <w:rFonts w:ascii="Times New Roman" w:hAnsi="Times New Roman"/>
                <w:color w:val="000000"/>
              </w:rPr>
              <w:t>11</w:t>
            </w:r>
            <w:r w:rsidR="008D6F8B" w:rsidRPr="00446FEC">
              <w:rPr>
                <w:rFonts w:ascii="Times New Roman" w:hAnsi="Times New Roman"/>
                <w:color w:val="000000"/>
              </w:rPr>
              <w:t> </w:t>
            </w:r>
            <w:r w:rsidRPr="00446FEC">
              <w:rPr>
                <w:rFonts w:ascii="Times New Roman" w:hAnsi="Times New Roman"/>
                <w:color w:val="000000"/>
              </w:rPr>
              <w:t>424</w:t>
            </w:r>
          </w:p>
        </w:tc>
        <w:tc>
          <w:tcPr>
            <w:tcW w:w="1642" w:type="dxa"/>
            <w:vAlign w:val="bottom"/>
          </w:tcPr>
          <w:p w14:paraId="1D441A45" w14:textId="515C31B3" w:rsidR="007E45C3" w:rsidRPr="00446FEC" w:rsidRDefault="007E45C3" w:rsidP="00B87D09">
            <w:pPr>
              <w:pStyle w:val="Tabletext"/>
              <w:jc w:val="center"/>
              <w:rPr>
                <w:rFonts w:ascii="Times New Roman" w:hAnsi="Times New Roman"/>
              </w:rPr>
            </w:pPr>
            <w:r w:rsidRPr="00446FEC">
              <w:rPr>
                <w:rFonts w:ascii="Times New Roman" w:hAnsi="Times New Roman"/>
                <w:color w:val="000000"/>
              </w:rPr>
              <w:t>13</w:t>
            </w:r>
            <w:r w:rsidR="008D6F8B" w:rsidRPr="00446FEC">
              <w:rPr>
                <w:rFonts w:ascii="Times New Roman" w:hAnsi="Times New Roman"/>
                <w:color w:val="000000"/>
              </w:rPr>
              <w:t> </w:t>
            </w:r>
            <w:r w:rsidRPr="00446FEC">
              <w:rPr>
                <w:rFonts w:ascii="Times New Roman" w:hAnsi="Times New Roman"/>
                <w:color w:val="000000"/>
              </w:rPr>
              <w:t>116</w:t>
            </w:r>
          </w:p>
        </w:tc>
      </w:tr>
      <w:tr w:rsidR="007E45C3" w:rsidRPr="00446FEC" w14:paraId="1F3024E5" w14:textId="77777777" w:rsidTr="00B87D09">
        <w:trPr>
          <w:jc w:val="center"/>
        </w:trPr>
        <w:tc>
          <w:tcPr>
            <w:tcW w:w="1641" w:type="dxa"/>
          </w:tcPr>
          <w:p w14:paraId="094A0845" w14:textId="77777777" w:rsidR="007E45C3" w:rsidRPr="00446FEC" w:rsidRDefault="007E45C3" w:rsidP="00B87D09">
            <w:pPr>
              <w:pStyle w:val="Tabletext"/>
              <w:jc w:val="center"/>
              <w:rPr>
                <w:rFonts w:ascii="Times New Roman" w:hAnsi="Times New Roman"/>
              </w:rPr>
            </w:pPr>
            <w:r w:rsidRPr="00446FEC">
              <w:rPr>
                <w:rFonts w:ascii="Times New Roman" w:hAnsi="Times New Roman"/>
              </w:rPr>
              <w:t>Quarter 2</w:t>
            </w:r>
          </w:p>
        </w:tc>
        <w:tc>
          <w:tcPr>
            <w:tcW w:w="1641" w:type="dxa"/>
            <w:vAlign w:val="bottom"/>
          </w:tcPr>
          <w:p w14:paraId="782BF995" w14:textId="75E9AEDE" w:rsidR="007E45C3" w:rsidRPr="00446FEC" w:rsidRDefault="007E45C3" w:rsidP="00B87D09">
            <w:pPr>
              <w:pStyle w:val="Tabletext"/>
              <w:jc w:val="center"/>
              <w:rPr>
                <w:rFonts w:ascii="Times New Roman" w:hAnsi="Times New Roman"/>
              </w:rPr>
            </w:pPr>
            <w:r w:rsidRPr="00446FEC">
              <w:rPr>
                <w:rFonts w:ascii="Times New Roman" w:hAnsi="Times New Roman"/>
              </w:rPr>
              <w:t>5</w:t>
            </w:r>
            <w:r w:rsidR="008D6F8B" w:rsidRPr="00446FEC">
              <w:rPr>
                <w:rFonts w:ascii="Times New Roman" w:hAnsi="Times New Roman"/>
              </w:rPr>
              <w:t> </w:t>
            </w:r>
            <w:r w:rsidRPr="00446FEC">
              <w:rPr>
                <w:rFonts w:ascii="Times New Roman" w:hAnsi="Times New Roman"/>
              </w:rPr>
              <w:t>166</w:t>
            </w:r>
          </w:p>
        </w:tc>
        <w:tc>
          <w:tcPr>
            <w:tcW w:w="1642" w:type="dxa"/>
            <w:vAlign w:val="bottom"/>
          </w:tcPr>
          <w:p w14:paraId="4A12C403" w14:textId="28526156" w:rsidR="007E45C3" w:rsidRPr="00446FEC" w:rsidRDefault="007E45C3" w:rsidP="00B87D09">
            <w:pPr>
              <w:pStyle w:val="Tabletext"/>
              <w:jc w:val="center"/>
              <w:rPr>
                <w:rFonts w:ascii="Times New Roman" w:hAnsi="Times New Roman"/>
              </w:rPr>
            </w:pPr>
            <w:r w:rsidRPr="00446FEC">
              <w:rPr>
                <w:rFonts w:ascii="Times New Roman" w:hAnsi="Times New Roman"/>
                <w:color w:val="000000"/>
              </w:rPr>
              <w:t>7</w:t>
            </w:r>
            <w:r w:rsidR="008D6F8B" w:rsidRPr="00446FEC">
              <w:rPr>
                <w:rFonts w:ascii="Times New Roman" w:hAnsi="Times New Roman"/>
                <w:color w:val="000000"/>
              </w:rPr>
              <w:t> </w:t>
            </w:r>
            <w:r w:rsidRPr="00446FEC">
              <w:rPr>
                <w:rFonts w:ascii="Times New Roman" w:hAnsi="Times New Roman"/>
                <w:color w:val="000000"/>
              </w:rPr>
              <w:t>971</w:t>
            </w:r>
          </w:p>
        </w:tc>
        <w:tc>
          <w:tcPr>
            <w:tcW w:w="1642" w:type="dxa"/>
            <w:vAlign w:val="bottom"/>
          </w:tcPr>
          <w:p w14:paraId="4CF67CBB" w14:textId="7E569491" w:rsidR="007E45C3" w:rsidRPr="00446FEC" w:rsidRDefault="007E45C3" w:rsidP="00B87D09">
            <w:pPr>
              <w:pStyle w:val="Tabletext"/>
              <w:jc w:val="center"/>
              <w:rPr>
                <w:rFonts w:ascii="Times New Roman" w:hAnsi="Times New Roman"/>
              </w:rPr>
            </w:pPr>
            <w:r w:rsidRPr="00446FEC">
              <w:rPr>
                <w:rFonts w:ascii="Times New Roman" w:hAnsi="Times New Roman"/>
                <w:color w:val="000000"/>
              </w:rPr>
              <w:t>9</w:t>
            </w:r>
            <w:r w:rsidR="008D6F8B" w:rsidRPr="00446FEC">
              <w:rPr>
                <w:rFonts w:ascii="Times New Roman" w:hAnsi="Times New Roman"/>
                <w:color w:val="000000"/>
              </w:rPr>
              <w:t> </w:t>
            </w:r>
            <w:r w:rsidRPr="00446FEC">
              <w:rPr>
                <w:rFonts w:ascii="Times New Roman" w:hAnsi="Times New Roman"/>
                <w:color w:val="000000"/>
              </w:rPr>
              <w:t>294</w:t>
            </w:r>
          </w:p>
        </w:tc>
        <w:tc>
          <w:tcPr>
            <w:tcW w:w="1642" w:type="dxa"/>
            <w:vAlign w:val="bottom"/>
          </w:tcPr>
          <w:p w14:paraId="271C0360" w14:textId="46CE93BC" w:rsidR="007E45C3" w:rsidRPr="00446FEC" w:rsidRDefault="007E45C3" w:rsidP="00B87D09">
            <w:pPr>
              <w:pStyle w:val="Tabletext"/>
              <w:jc w:val="center"/>
              <w:rPr>
                <w:rFonts w:ascii="Times New Roman" w:hAnsi="Times New Roman"/>
              </w:rPr>
            </w:pPr>
            <w:r w:rsidRPr="00446FEC">
              <w:rPr>
                <w:rFonts w:ascii="Times New Roman" w:hAnsi="Times New Roman"/>
                <w:color w:val="000000"/>
              </w:rPr>
              <w:t>12</w:t>
            </w:r>
            <w:r w:rsidR="008D6F8B" w:rsidRPr="00446FEC">
              <w:rPr>
                <w:rFonts w:ascii="Times New Roman" w:hAnsi="Times New Roman"/>
                <w:color w:val="000000"/>
              </w:rPr>
              <w:t> </w:t>
            </w:r>
            <w:r w:rsidRPr="00446FEC">
              <w:rPr>
                <w:rFonts w:ascii="Times New Roman" w:hAnsi="Times New Roman"/>
                <w:color w:val="000000"/>
              </w:rPr>
              <w:t>011</w:t>
            </w:r>
          </w:p>
        </w:tc>
        <w:tc>
          <w:tcPr>
            <w:tcW w:w="1642" w:type="dxa"/>
            <w:vAlign w:val="bottom"/>
          </w:tcPr>
          <w:p w14:paraId="78BA53DC" w14:textId="5BA3B759" w:rsidR="007E45C3" w:rsidRPr="00446FEC" w:rsidRDefault="007E45C3" w:rsidP="00B87D09">
            <w:pPr>
              <w:pStyle w:val="Tabletext"/>
              <w:jc w:val="center"/>
              <w:rPr>
                <w:rFonts w:ascii="Times New Roman" w:hAnsi="Times New Roman"/>
              </w:rPr>
            </w:pPr>
            <w:r w:rsidRPr="00446FEC">
              <w:rPr>
                <w:rFonts w:ascii="Times New Roman" w:hAnsi="Times New Roman"/>
                <w:color w:val="000000"/>
              </w:rPr>
              <w:t>13</w:t>
            </w:r>
            <w:r w:rsidR="008D6F8B" w:rsidRPr="00446FEC">
              <w:rPr>
                <w:rFonts w:ascii="Times New Roman" w:hAnsi="Times New Roman"/>
                <w:color w:val="000000"/>
              </w:rPr>
              <w:t> </w:t>
            </w:r>
            <w:r w:rsidRPr="00446FEC">
              <w:rPr>
                <w:rFonts w:ascii="Times New Roman" w:hAnsi="Times New Roman"/>
                <w:color w:val="000000"/>
              </w:rPr>
              <w:t>528</w:t>
            </w:r>
          </w:p>
        </w:tc>
      </w:tr>
      <w:tr w:rsidR="007E45C3" w:rsidRPr="00446FEC" w14:paraId="06349E1D" w14:textId="77777777" w:rsidTr="00B87D09">
        <w:trPr>
          <w:jc w:val="center"/>
        </w:trPr>
        <w:tc>
          <w:tcPr>
            <w:tcW w:w="1641" w:type="dxa"/>
          </w:tcPr>
          <w:p w14:paraId="15043657" w14:textId="77777777" w:rsidR="007E45C3" w:rsidRPr="00446FEC" w:rsidRDefault="007E45C3" w:rsidP="00B87D09">
            <w:pPr>
              <w:pStyle w:val="Tabletext"/>
              <w:jc w:val="center"/>
              <w:rPr>
                <w:rFonts w:ascii="Times New Roman" w:hAnsi="Times New Roman"/>
              </w:rPr>
            </w:pPr>
            <w:r w:rsidRPr="00446FEC">
              <w:rPr>
                <w:rFonts w:ascii="Times New Roman" w:hAnsi="Times New Roman"/>
              </w:rPr>
              <w:lastRenderedPageBreak/>
              <w:t>Quarter 3</w:t>
            </w:r>
          </w:p>
        </w:tc>
        <w:tc>
          <w:tcPr>
            <w:tcW w:w="1641" w:type="dxa"/>
            <w:vAlign w:val="bottom"/>
          </w:tcPr>
          <w:p w14:paraId="5DA57694" w14:textId="42746C6E" w:rsidR="007E45C3" w:rsidRPr="00446FEC" w:rsidRDefault="007E45C3" w:rsidP="00B87D09">
            <w:pPr>
              <w:pStyle w:val="Tabletext"/>
              <w:jc w:val="center"/>
              <w:rPr>
                <w:rFonts w:ascii="Times New Roman" w:hAnsi="Times New Roman"/>
              </w:rPr>
            </w:pPr>
            <w:r w:rsidRPr="00446FEC">
              <w:rPr>
                <w:rFonts w:ascii="Times New Roman" w:hAnsi="Times New Roman"/>
                <w:color w:val="000000"/>
              </w:rPr>
              <w:t>5</w:t>
            </w:r>
            <w:r w:rsidR="008D6F8B" w:rsidRPr="00446FEC">
              <w:rPr>
                <w:rFonts w:ascii="Times New Roman" w:hAnsi="Times New Roman"/>
                <w:color w:val="000000"/>
              </w:rPr>
              <w:t> </w:t>
            </w:r>
            <w:r w:rsidRPr="00446FEC">
              <w:rPr>
                <w:rFonts w:ascii="Times New Roman" w:hAnsi="Times New Roman"/>
                <w:color w:val="000000"/>
              </w:rPr>
              <w:t>630</w:t>
            </w:r>
          </w:p>
        </w:tc>
        <w:tc>
          <w:tcPr>
            <w:tcW w:w="1642" w:type="dxa"/>
            <w:vAlign w:val="bottom"/>
          </w:tcPr>
          <w:p w14:paraId="2FC2F6D7" w14:textId="1E1930EF" w:rsidR="007E45C3" w:rsidRPr="00446FEC" w:rsidRDefault="007E45C3" w:rsidP="00B87D09">
            <w:pPr>
              <w:pStyle w:val="Tabletext"/>
              <w:jc w:val="center"/>
              <w:rPr>
                <w:rFonts w:ascii="Times New Roman" w:hAnsi="Times New Roman"/>
              </w:rPr>
            </w:pPr>
            <w:r w:rsidRPr="00446FEC">
              <w:rPr>
                <w:rFonts w:ascii="Times New Roman" w:hAnsi="Times New Roman"/>
                <w:color w:val="000000"/>
              </w:rPr>
              <w:t>8</w:t>
            </w:r>
            <w:r w:rsidR="008D6F8B" w:rsidRPr="00446FEC">
              <w:rPr>
                <w:rFonts w:ascii="Times New Roman" w:hAnsi="Times New Roman"/>
                <w:color w:val="000000"/>
              </w:rPr>
              <w:t> </w:t>
            </w:r>
            <w:r w:rsidRPr="00446FEC">
              <w:rPr>
                <w:rFonts w:ascii="Times New Roman" w:hAnsi="Times New Roman"/>
                <w:color w:val="000000"/>
              </w:rPr>
              <w:t>483</w:t>
            </w:r>
          </w:p>
        </w:tc>
        <w:tc>
          <w:tcPr>
            <w:tcW w:w="1642" w:type="dxa"/>
            <w:vAlign w:val="bottom"/>
          </w:tcPr>
          <w:p w14:paraId="65845F3C" w14:textId="29DF75E1" w:rsidR="007E45C3" w:rsidRPr="00446FEC" w:rsidRDefault="007E45C3" w:rsidP="00B87D09">
            <w:pPr>
              <w:pStyle w:val="Tabletext"/>
              <w:jc w:val="center"/>
              <w:rPr>
                <w:rFonts w:ascii="Times New Roman" w:hAnsi="Times New Roman"/>
              </w:rPr>
            </w:pPr>
            <w:r w:rsidRPr="00446FEC">
              <w:rPr>
                <w:rFonts w:ascii="Times New Roman" w:hAnsi="Times New Roman"/>
                <w:color w:val="000000"/>
              </w:rPr>
              <w:t>10</w:t>
            </w:r>
            <w:r w:rsidR="008D6F8B" w:rsidRPr="00446FEC">
              <w:rPr>
                <w:rFonts w:ascii="Times New Roman" w:hAnsi="Times New Roman"/>
                <w:color w:val="000000"/>
              </w:rPr>
              <w:t> </w:t>
            </w:r>
            <w:r w:rsidRPr="00446FEC">
              <w:rPr>
                <w:rFonts w:ascii="Times New Roman" w:hAnsi="Times New Roman"/>
                <w:color w:val="000000"/>
              </w:rPr>
              <w:t>008</w:t>
            </w:r>
          </w:p>
        </w:tc>
        <w:tc>
          <w:tcPr>
            <w:tcW w:w="1642" w:type="dxa"/>
            <w:vAlign w:val="bottom"/>
          </w:tcPr>
          <w:p w14:paraId="2246656D" w14:textId="59CECFC7" w:rsidR="007E45C3" w:rsidRPr="00446FEC" w:rsidRDefault="007E45C3" w:rsidP="00B87D09">
            <w:pPr>
              <w:pStyle w:val="Tabletext"/>
              <w:jc w:val="center"/>
              <w:rPr>
                <w:rFonts w:ascii="Times New Roman" w:hAnsi="Times New Roman"/>
              </w:rPr>
            </w:pPr>
            <w:r w:rsidRPr="00446FEC">
              <w:rPr>
                <w:rFonts w:ascii="Times New Roman" w:hAnsi="Times New Roman"/>
                <w:color w:val="000000"/>
              </w:rPr>
              <w:t>12</w:t>
            </w:r>
            <w:r w:rsidR="008D6F8B" w:rsidRPr="00446FEC">
              <w:rPr>
                <w:rFonts w:ascii="Times New Roman" w:hAnsi="Times New Roman"/>
                <w:color w:val="000000"/>
              </w:rPr>
              <w:t> </w:t>
            </w:r>
            <w:r w:rsidRPr="00446FEC">
              <w:rPr>
                <w:rFonts w:ascii="Times New Roman" w:hAnsi="Times New Roman"/>
                <w:color w:val="000000"/>
              </w:rPr>
              <w:t>519</w:t>
            </w:r>
          </w:p>
        </w:tc>
        <w:tc>
          <w:tcPr>
            <w:tcW w:w="1642" w:type="dxa"/>
            <w:vAlign w:val="bottom"/>
          </w:tcPr>
          <w:p w14:paraId="01ADDE45" w14:textId="313CEA14" w:rsidR="007E45C3" w:rsidRPr="00446FEC" w:rsidRDefault="007E45C3" w:rsidP="00B87D09">
            <w:pPr>
              <w:pStyle w:val="Tabletext"/>
              <w:jc w:val="center"/>
              <w:rPr>
                <w:rFonts w:ascii="Times New Roman" w:hAnsi="Times New Roman"/>
              </w:rPr>
            </w:pPr>
            <w:r w:rsidRPr="00446FEC">
              <w:rPr>
                <w:rFonts w:ascii="Times New Roman" w:hAnsi="Times New Roman"/>
                <w:color w:val="000000"/>
              </w:rPr>
              <w:t>13</w:t>
            </w:r>
            <w:r w:rsidR="008D6F8B" w:rsidRPr="00446FEC">
              <w:rPr>
                <w:rFonts w:ascii="Times New Roman" w:hAnsi="Times New Roman"/>
                <w:color w:val="000000"/>
              </w:rPr>
              <w:t> </w:t>
            </w:r>
            <w:r w:rsidRPr="00446FEC">
              <w:rPr>
                <w:rFonts w:ascii="Times New Roman" w:hAnsi="Times New Roman"/>
                <w:color w:val="000000"/>
              </w:rPr>
              <w:t>955</w:t>
            </w:r>
          </w:p>
        </w:tc>
      </w:tr>
      <w:tr w:rsidR="007E45C3" w:rsidRPr="00446FEC" w14:paraId="36009066" w14:textId="77777777" w:rsidTr="00B87D09">
        <w:trPr>
          <w:jc w:val="center"/>
        </w:trPr>
        <w:tc>
          <w:tcPr>
            <w:tcW w:w="1641" w:type="dxa"/>
          </w:tcPr>
          <w:p w14:paraId="2BA275FC" w14:textId="77777777" w:rsidR="007E45C3" w:rsidRPr="00446FEC" w:rsidRDefault="007E45C3" w:rsidP="00B87D09">
            <w:pPr>
              <w:pStyle w:val="Tabletext"/>
              <w:jc w:val="center"/>
              <w:rPr>
                <w:rFonts w:ascii="Times New Roman" w:hAnsi="Times New Roman"/>
              </w:rPr>
            </w:pPr>
            <w:r w:rsidRPr="00446FEC">
              <w:rPr>
                <w:rFonts w:ascii="Times New Roman" w:hAnsi="Times New Roman"/>
              </w:rPr>
              <w:t>Quarter 4</w:t>
            </w:r>
          </w:p>
        </w:tc>
        <w:tc>
          <w:tcPr>
            <w:tcW w:w="1641" w:type="dxa"/>
            <w:vAlign w:val="bottom"/>
          </w:tcPr>
          <w:p w14:paraId="12951EE7" w14:textId="02A4ED86" w:rsidR="007E45C3" w:rsidRPr="00446FEC" w:rsidRDefault="007E45C3" w:rsidP="00B87D09">
            <w:pPr>
              <w:pStyle w:val="Tabletext"/>
              <w:jc w:val="center"/>
              <w:rPr>
                <w:rFonts w:ascii="Times New Roman" w:hAnsi="Times New Roman"/>
              </w:rPr>
            </w:pPr>
            <w:r w:rsidRPr="00446FEC">
              <w:rPr>
                <w:rFonts w:ascii="Times New Roman" w:hAnsi="Times New Roman"/>
                <w:color w:val="000000"/>
              </w:rPr>
              <w:t>4</w:t>
            </w:r>
            <w:r w:rsidR="008D6F8B" w:rsidRPr="00446FEC">
              <w:rPr>
                <w:rFonts w:ascii="Times New Roman" w:hAnsi="Times New Roman"/>
                <w:color w:val="000000"/>
              </w:rPr>
              <w:t> </w:t>
            </w:r>
            <w:r w:rsidRPr="00446FEC">
              <w:rPr>
                <w:rFonts w:ascii="Times New Roman" w:hAnsi="Times New Roman"/>
                <w:color w:val="000000"/>
              </w:rPr>
              <w:t>686</w:t>
            </w:r>
          </w:p>
        </w:tc>
        <w:tc>
          <w:tcPr>
            <w:tcW w:w="1642" w:type="dxa"/>
            <w:vAlign w:val="bottom"/>
          </w:tcPr>
          <w:p w14:paraId="7DCF50C1" w14:textId="3B69E9EB" w:rsidR="007E45C3" w:rsidRPr="00446FEC" w:rsidRDefault="007E45C3" w:rsidP="00B87D09">
            <w:pPr>
              <w:pStyle w:val="Tabletext"/>
              <w:jc w:val="center"/>
              <w:rPr>
                <w:rFonts w:ascii="Times New Roman" w:hAnsi="Times New Roman"/>
              </w:rPr>
            </w:pPr>
            <w:r w:rsidRPr="00446FEC">
              <w:rPr>
                <w:rFonts w:ascii="Times New Roman" w:hAnsi="Times New Roman"/>
                <w:color w:val="000000"/>
              </w:rPr>
              <w:t>8</w:t>
            </w:r>
            <w:r w:rsidR="008D6F8B" w:rsidRPr="00446FEC">
              <w:rPr>
                <w:rFonts w:ascii="Times New Roman" w:hAnsi="Times New Roman"/>
                <w:color w:val="000000"/>
              </w:rPr>
              <w:t> </w:t>
            </w:r>
            <w:r w:rsidRPr="00446FEC">
              <w:rPr>
                <w:rFonts w:ascii="Times New Roman" w:hAnsi="Times New Roman"/>
                <w:color w:val="000000"/>
              </w:rPr>
              <w:t>573</w:t>
            </w:r>
          </w:p>
        </w:tc>
        <w:tc>
          <w:tcPr>
            <w:tcW w:w="1642" w:type="dxa"/>
            <w:vAlign w:val="bottom"/>
          </w:tcPr>
          <w:p w14:paraId="1559F397" w14:textId="08D4F009" w:rsidR="007E45C3" w:rsidRPr="00446FEC" w:rsidRDefault="007E45C3" w:rsidP="00B87D09">
            <w:pPr>
              <w:pStyle w:val="Tabletext"/>
              <w:jc w:val="center"/>
              <w:rPr>
                <w:rFonts w:ascii="Times New Roman" w:hAnsi="Times New Roman"/>
              </w:rPr>
            </w:pPr>
            <w:r w:rsidRPr="00446FEC">
              <w:rPr>
                <w:rFonts w:ascii="Times New Roman" w:hAnsi="Times New Roman"/>
                <w:color w:val="000000"/>
              </w:rPr>
              <w:t>10</w:t>
            </w:r>
            <w:r w:rsidR="008D6F8B" w:rsidRPr="00446FEC">
              <w:rPr>
                <w:rFonts w:ascii="Times New Roman" w:hAnsi="Times New Roman"/>
                <w:color w:val="000000"/>
              </w:rPr>
              <w:t> </w:t>
            </w:r>
            <w:r w:rsidRPr="00446FEC">
              <w:rPr>
                <w:rFonts w:ascii="Times New Roman" w:hAnsi="Times New Roman"/>
                <w:color w:val="000000"/>
              </w:rPr>
              <w:t>918</w:t>
            </w:r>
          </w:p>
        </w:tc>
        <w:tc>
          <w:tcPr>
            <w:tcW w:w="1642" w:type="dxa"/>
            <w:vAlign w:val="bottom"/>
          </w:tcPr>
          <w:p w14:paraId="36E2A047" w14:textId="766FBD6E" w:rsidR="007E45C3" w:rsidRPr="00446FEC" w:rsidRDefault="007E45C3" w:rsidP="00B87D09">
            <w:pPr>
              <w:pStyle w:val="Tabletext"/>
              <w:jc w:val="center"/>
              <w:rPr>
                <w:rFonts w:ascii="Times New Roman" w:hAnsi="Times New Roman"/>
              </w:rPr>
            </w:pPr>
            <w:r w:rsidRPr="00446FEC">
              <w:rPr>
                <w:rFonts w:ascii="Times New Roman" w:hAnsi="Times New Roman"/>
                <w:color w:val="000000"/>
              </w:rPr>
              <w:t>12</w:t>
            </w:r>
            <w:r w:rsidR="008D6F8B" w:rsidRPr="00446FEC">
              <w:rPr>
                <w:rFonts w:ascii="Times New Roman" w:hAnsi="Times New Roman"/>
                <w:color w:val="000000"/>
              </w:rPr>
              <w:t> </w:t>
            </w:r>
            <w:r w:rsidRPr="00446FEC">
              <w:rPr>
                <w:rFonts w:ascii="Times New Roman" w:hAnsi="Times New Roman"/>
                <w:color w:val="000000"/>
              </w:rPr>
              <w:t>767</w:t>
            </w:r>
          </w:p>
        </w:tc>
        <w:tc>
          <w:tcPr>
            <w:tcW w:w="1642" w:type="dxa"/>
            <w:vAlign w:val="bottom"/>
          </w:tcPr>
          <w:p w14:paraId="2F2B9504" w14:textId="0298813C" w:rsidR="007E45C3" w:rsidRPr="00446FEC" w:rsidRDefault="007E45C3" w:rsidP="00B87D09">
            <w:pPr>
              <w:pStyle w:val="Tabletext"/>
              <w:jc w:val="center"/>
              <w:rPr>
                <w:rFonts w:ascii="Times New Roman" w:hAnsi="Times New Roman"/>
              </w:rPr>
            </w:pPr>
            <w:r w:rsidRPr="00446FEC">
              <w:rPr>
                <w:rFonts w:ascii="Times New Roman" w:hAnsi="Times New Roman"/>
                <w:color w:val="000000"/>
              </w:rPr>
              <w:t>14</w:t>
            </w:r>
            <w:r w:rsidR="008D6F8B" w:rsidRPr="00446FEC">
              <w:rPr>
                <w:rFonts w:ascii="Times New Roman" w:hAnsi="Times New Roman"/>
                <w:color w:val="000000"/>
              </w:rPr>
              <w:t> </w:t>
            </w:r>
            <w:r w:rsidRPr="00446FEC">
              <w:rPr>
                <w:rFonts w:ascii="Times New Roman" w:hAnsi="Times New Roman"/>
                <w:color w:val="000000"/>
              </w:rPr>
              <w:t>360</w:t>
            </w:r>
          </w:p>
        </w:tc>
      </w:tr>
    </w:tbl>
    <w:p w14:paraId="0C0672B5" w14:textId="15062D73" w:rsidR="00DF131A" w:rsidRPr="00446FEC" w:rsidRDefault="00DF131A" w:rsidP="00DF131A">
      <w:pPr>
        <w:pStyle w:val="TableNoTitle0"/>
        <w:rPr>
          <w:bCs/>
        </w:rPr>
      </w:pPr>
      <w:r w:rsidRPr="00446FEC">
        <w:rPr>
          <w:bCs/>
        </w:rPr>
        <w:t xml:space="preserve">Table C.6 </w:t>
      </w:r>
      <w:r w:rsidRPr="00446FEC">
        <w:rPr>
          <w:bCs/>
        </w:rPr>
        <w:sym w:font="Symbol" w:char="F02D"/>
      </w:r>
      <w:r w:rsidRPr="00446FEC">
        <w:rPr>
          <w:bCs/>
        </w:rPr>
        <w:t xml:space="preserve"> EBITDA margin data</w:t>
      </w:r>
    </w:p>
    <w:tbl>
      <w:tblPr>
        <w:tblStyle w:val="TableGrid"/>
        <w:tblW w:w="9639" w:type="dxa"/>
        <w:jc w:val="center"/>
        <w:tblLook w:val="04A0" w:firstRow="1" w:lastRow="0" w:firstColumn="1" w:lastColumn="0" w:noHBand="0" w:noVBand="1"/>
      </w:tblPr>
      <w:tblGrid>
        <w:gridCol w:w="1980"/>
        <w:gridCol w:w="1239"/>
        <w:gridCol w:w="1605"/>
        <w:gridCol w:w="1605"/>
        <w:gridCol w:w="1605"/>
        <w:gridCol w:w="1605"/>
      </w:tblGrid>
      <w:tr w:rsidR="00DF131A" w:rsidRPr="00446FEC" w14:paraId="25597990" w14:textId="77777777" w:rsidTr="008E0BA9">
        <w:trPr>
          <w:trHeight w:val="278"/>
          <w:jc w:val="center"/>
        </w:trPr>
        <w:tc>
          <w:tcPr>
            <w:tcW w:w="1980" w:type="dxa"/>
          </w:tcPr>
          <w:p w14:paraId="39F1CDED" w14:textId="77777777" w:rsidR="00DF131A" w:rsidRPr="00446FEC" w:rsidRDefault="00DF131A" w:rsidP="00DF131A">
            <w:pPr>
              <w:pStyle w:val="Tablehead"/>
            </w:pPr>
            <w:r w:rsidRPr="00446FEC">
              <w:t>EBITDA margin</w:t>
            </w:r>
          </w:p>
        </w:tc>
        <w:tc>
          <w:tcPr>
            <w:tcW w:w="1239" w:type="dxa"/>
          </w:tcPr>
          <w:p w14:paraId="0C75E10E" w14:textId="77777777" w:rsidR="00DF131A" w:rsidRPr="00446FEC" w:rsidRDefault="00DF131A" w:rsidP="00DF131A">
            <w:pPr>
              <w:pStyle w:val="Tablehead"/>
            </w:pPr>
            <w:r w:rsidRPr="00446FEC">
              <w:t>2019-20</w:t>
            </w:r>
          </w:p>
        </w:tc>
        <w:tc>
          <w:tcPr>
            <w:tcW w:w="1605" w:type="dxa"/>
          </w:tcPr>
          <w:p w14:paraId="21479567" w14:textId="77777777" w:rsidR="00DF131A" w:rsidRPr="00446FEC" w:rsidRDefault="00DF131A" w:rsidP="00DF131A">
            <w:pPr>
              <w:pStyle w:val="Tablehead"/>
            </w:pPr>
            <w:r w:rsidRPr="00446FEC">
              <w:t>2020-21</w:t>
            </w:r>
          </w:p>
        </w:tc>
        <w:tc>
          <w:tcPr>
            <w:tcW w:w="1605" w:type="dxa"/>
          </w:tcPr>
          <w:p w14:paraId="523B568D" w14:textId="77777777" w:rsidR="00DF131A" w:rsidRPr="00446FEC" w:rsidRDefault="00DF131A" w:rsidP="00DF131A">
            <w:pPr>
              <w:pStyle w:val="Tablehead"/>
            </w:pPr>
            <w:r w:rsidRPr="00446FEC">
              <w:t>2021-22</w:t>
            </w:r>
          </w:p>
        </w:tc>
        <w:tc>
          <w:tcPr>
            <w:tcW w:w="1605" w:type="dxa"/>
          </w:tcPr>
          <w:p w14:paraId="497439A9" w14:textId="77777777" w:rsidR="00DF131A" w:rsidRPr="00446FEC" w:rsidRDefault="00DF131A" w:rsidP="00DF131A">
            <w:pPr>
              <w:pStyle w:val="Tablehead"/>
            </w:pPr>
            <w:r w:rsidRPr="00446FEC">
              <w:t>2022-23</w:t>
            </w:r>
          </w:p>
        </w:tc>
        <w:tc>
          <w:tcPr>
            <w:tcW w:w="1605" w:type="dxa"/>
          </w:tcPr>
          <w:p w14:paraId="0AD4EB74" w14:textId="77777777" w:rsidR="00DF131A" w:rsidRPr="00446FEC" w:rsidRDefault="00DF131A" w:rsidP="00DF131A">
            <w:pPr>
              <w:pStyle w:val="Tablehead"/>
            </w:pPr>
            <w:r w:rsidRPr="00446FEC">
              <w:t>2023-24</w:t>
            </w:r>
          </w:p>
        </w:tc>
      </w:tr>
      <w:tr w:rsidR="007E45C3" w:rsidRPr="00446FEC" w14:paraId="4CB3657B" w14:textId="77777777" w:rsidTr="008E0BA9">
        <w:trPr>
          <w:jc w:val="center"/>
        </w:trPr>
        <w:tc>
          <w:tcPr>
            <w:tcW w:w="1980" w:type="dxa"/>
          </w:tcPr>
          <w:p w14:paraId="70719EB1" w14:textId="77777777" w:rsidR="007E45C3" w:rsidRPr="00446FEC" w:rsidRDefault="007E45C3" w:rsidP="00445743">
            <w:pPr>
              <w:pStyle w:val="Tabletext"/>
              <w:jc w:val="center"/>
              <w:rPr>
                <w:rFonts w:ascii="Times New Roman" w:hAnsi="Times New Roman"/>
              </w:rPr>
            </w:pPr>
            <w:r w:rsidRPr="00446FEC">
              <w:rPr>
                <w:rFonts w:ascii="Times New Roman" w:hAnsi="Times New Roman"/>
              </w:rPr>
              <w:t>Quarter 1</w:t>
            </w:r>
          </w:p>
        </w:tc>
        <w:tc>
          <w:tcPr>
            <w:tcW w:w="1239" w:type="dxa"/>
            <w:vAlign w:val="bottom"/>
          </w:tcPr>
          <w:p w14:paraId="51E1D187" w14:textId="77777777" w:rsidR="007E45C3" w:rsidRPr="00446FEC" w:rsidRDefault="007E45C3" w:rsidP="00445743">
            <w:pPr>
              <w:pStyle w:val="Tabletext"/>
              <w:jc w:val="center"/>
              <w:rPr>
                <w:rFonts w:ascii="Times New Roman" w:hAnsi="Times New Roman"/>
              </w:rPr>
            </w:pPr>
            <w:r w:rsidRPr="00446FEC">
              <w:rPr>
                <w:rFonts w:ascii="Times New Roman" w:hAnsi="Times New Roman"/>
              </w:rPr>
              <w:t>40.10%</w:t>
            </w:r>
          </w:p>
        </w:tc>
        <w:tc>
          <w:tcPr>
            <w:tcW w:w="1605" w:type="dxa"/>
            <w:vAlign w:val="bottom"/>
          </w:tcPr>
          <w:p w14:paraId="5F30112A" w14:textId="77777777" w:rsidR="007E45C3" w:rsidRPr="00446FEC" w:rsidRDefault="007E45C3" w:rsidP="00445743">
            <w:pPr>
              <w:pStyle w:val="Tabletext"/>
              <w:jc w:val="center"/>
              <w:rPr>
                <w:rFonts w:ascii="Times New Roman" w:hAnsi="Times New Roman"/>
              </w:rPr>
            </w:pPr>
            <w:r w:rsidRPr="00446FEC">
              <w:rPr>
                <w:rFonts w:ascii="Times New Roman" w:hAnsi="Times New Roman"/>
                <w:color w:val="000000"/>
              </w:rPr>
              <w:t>42.50%</w:t>
            </w:r>
          </w:p>
        </w:tc>
        <w:tc>
          <w:tcPr>
            <w:tcW w:w="1605" w:type="dxa"/>
            <w:vAlign w:val="bottom"/>
          </w:tcPr>
          <w:p w14:paraId="520F7264" w14:textId="77777777" w:rsidR="007E45C3" w:rsidRPr="00446FEC" w:rsidRDefault="007E45C3" w:rsidP="00445743">
            <w:pPr>
              <w:pStyle w:val="Tabletext"/>
              <w:jc w:val="center"/>
              <w:rPr>
                <w:rFonts w:ascii="Times New Roman" w:hAnsi="Times New Roman"/>
              </w:rPr>
            </w:pPr>
            <w:r w:rsidRPr="00446FEC">
              <w:rPr>
                <w:rFonts w:ascii="Times New Roman" w:hAnsi="Times New Roman"/>
                <w:color w:val="000000"/>
              </w:rPr>
              <w:t>46.90%</w:t>
            </w:r>
          </w:p>
        </w:tc>
        <w:tc>
          <w:tcPr>
            <w:tcW w:w="1605" w:type="dxa"/>
            <w:vAlign w:val="bottom"/>
          </w:tcPr>
          <w:p w14:paraId="35A44304" w14:textId="77777777" w:rsidR="007E45C3" w:rsidRPr="00446FEC" w:rsidRDefault="007E45C3" w:rsidP="00445743">
            <w:pPr>
              <w:pStyle w:val="Tabletext"/>
              <w:jc w:val="center"/>
              <w:rPr>
                <w:rFonts w:ascii="Times New Roman" w:hAnsi="Times New Roman"/>
              </w:rPr>
            </w:pPr>
            <w:r w:rsidRPr="00446FEC">
              <w:rPr>
                <w:rFonts w:ascii="Times New Roman" w:hAnsi="Times New Roman"/>
                <w:color w:val="000000"/>
              </w:rPr>
              <w:t>48.70%</w:t>
            </w:r>
          </w:p>
        </w:tc>
        <w:tc>
          <w:tcPr>
            <w:tcW w:w="1605" w:type="dxa"/>
            <w:vAlign w:val="bottom"/>
          </w:tcPr>
          <w:p w14:paraId="79ABBE60" w14:textId="77777777" w:rsidR="007E45C3" w:rsidRPr="00446FEC" w:rsidRDefault="007E45C3" w:rsidP="00445743">
            <w:pPr>
              <w:pStyle w:val="Tabletext"/>
              <w:jc w:val="center"/>
              <w:rPr>
                <w:rFonts w:ascii="Times New Roman" w:hAnsi="Times New Roman"/>
              </w:rPr>
            </w:pPr>
            <w:r w:rsidRPr="00446FEC">
              <w:rPr>
                <w:rFonts w:ascii="Times New Roman" w:hAnsi="Times New Roman"/>
                <w:color w:val="000000"/>
              </w:rPr>
              <w:t>50.22%</w:t>
            </w:r>
          </w:p>
        </w:tc>
      </w:tr>
      <w:tr w:rsidR="007E45C3" w:rsidRPr="00446FEC" w14:paraId="28394BE5" w14:textId="77777777" w:rsidTr="008E0BA9">
        <w:trPr>
          <w:jc w:val="center"/>
        </w:trPr>
        <w:tc>
          <w:tcPr>
            <w:tcW w:w="1980" w:type="dxa"/>
          </w:tcPr>
          <w:p w14:paraId="1948FC39" w14:textId="77777777" w:rsidR="007E45C3" w:rsidRPr="00446FEC" w:rsidRDefault="007E45C3" w:rsidP="00445743">
            <w:pPr>
              <w:pStyle w:val="Tabletext"/>
              <w:jc w:val="center"/>
              <w:rPr>
                <w:rFonts w:ascii="Times New Roman" w:hAnsi="Times New Roman"/>
              </w:rPr>
            </w:pPr>
            <w:r w:rsidRPr="00446FEC">
              <w:rPr>
                <w:rFonts w:ascii="Times New Roman" w:hAnsi="Times New Roman"/>
              </w:rPr>
              <w:t>Quarter 2</w:t>
            </w:r>
          </w:p>
        </w:tc>
        <w:tc>
          <w:tcPr>
            <w:tcW w:w="1239" w:type="dxa"/>
            <w:vAlign w:val="bottom"/>
          </w:tcPr>
          <w:p w14:paraId="2000D6B3" w14:textId="77777777" w:rsidR="007E45C3" w:rsidRPr="00446FEC" w:rsidRDefault="007E45C3" w:rsidP="00445743">
            <w:pPr>
              <w:pStyle w:val="Tabletext"/>
              <w:jc w:val="center"/>
              <w:rPr>
                <w:rFonts w:ascii="Times New Roman" w:hAnsi="Times New Roman"/>
              </w:rPr>
            </w:pPr>
            <w:r w:rsidRPr="00446FEC">
              <w:rPr>
                <w:rFonts w:ascii="Times New Roman" w:hAnsi="Times New Roman"/>
              </w:rPr>
              <w:t>41.80%</w:t>
            </w:r>
          </w:p>
        </w:tc>
        <w:tc>
          <w:tcPr>
            <w:tcW w:w="1605" w:type="dxa"/>
            <w:vAlign w:val="bottom"/>
          </w:tcPr>
          <w:p w14:paraId="5B394926" w14:textId="77777777" w:rsidR="007E45C3" w:rsidRPr="00446FEC" w:rsidRDefault="007E45C3" w:rsidP="00445743">
            <w:pPr>
              <w:pStyle w:val="Tabletext"/>
              <w:jc w:val="center"/>
              <w:rPr>
                <w:rFonts w:ascii="Times New Roman" w:hAnsi="Times New Roman"/>
              </w:rPr>
            </w:pPr>
            <w:r w:rsidRPr="00446FEC">
              <w:rPr>
                <w:rFonts w:ascii="Times New Roman" w:hAnsi="Times New Roman"/>
                <w:color w:val="000000"/>
              </w:rPr>
              <w:t>43.10%</w:t>
            </w:r>
          </w:p>
        </w:tc>
        <w:tc>
          <w:tcPr>
            <w:tcW w:w="1605" w:type="dxa"/>
            <w:vAlign w:val="bottom"/>
          </w:tcPr>
          <w:p w14:paraId="3FB81284" w14:textId="77777777" w:rsidR="007E45C3" w:rsidRPr="00446FEC" w:rsidRDefault="007E45C3" w:rsidP="00445743">
            <w:pPr>
              <w:pStyle w:val="Tabletext"/>
              <w:jc w:val="center"/>
              <w:rPr>
                <w:rFonts w:ascii="Times New Roman" w:hAnsi="Times New Roman"/>
              </w:rPr>
            </w:pPr>
            <w:r w:rsidRPr="00446FEC">
              <w:rPr>
                <w:rFonts w:ascii="Times New Roman" w:hAnsi="Times New Roman"/>
                <w:color w:val="000000"/>
              </w:rPr>
              <w:t>47.00%</w:t>
            </w:r>
          </w:p>
        </w:tc>
        <w:tc>
          <w:tcPr>
            <w:tcW w:w="1605" w:type="dxa"/>
            <w:vAlign w:val="bottom"/>
          </w:tcPr>
          <w:p w14:paraId="13AB3862" w14:textId="77777777" w:rsidR="007E45C3" w:rsidRPr="00446FEC" w:rsidRDefault="007E45C3" w:rsidP="00445743">
            <w:pPr>
              <w:pStyle w:val="Tabletext"/>
              <w:jc w:val="center"/>
              <w:rPr>
                <w:rFonts w:ascii="Times New Roman" w:hAnsi="Times New Roman"/>
              </w:rPr>
            </w:pPr>
            <w:r w:rsidRPr="00446FEC">
              <w:rPr>
                <w:rFonts w:ascii="Times New Roman" w:hAnsi="Times New Roman"/>
                <w:color w:val="000000"/>
              </w:rPr>
              <w:t>49.50%</w:t>
            </w:r>
          </w:p>
        </w:tc>
        <w:tc>
          <w:tcPr>
            <w:tcW w:w="1605" w:type="dxa"/>
            <w:vAlign w:val="bottom"/>
          </w:tcPr>
          <w:p w14:paraId="2A9EC6B1" w14:textId="77777777" w:rsidR="007E45C3" w:rsidRPr="00446FEC" w:rsidRDefault="007E45C3" w:rsidP="00445743">
            <w:pPr>
              <w:pStyle w:val="Tabletext"/>
              <w:jc w:val="center"/>
              <w:rPr>
                <w:rFonts w:ascii="Times New Roman" w:hAnsi="Times New Roman"/>
              </w:rPr>
            </w:pPr>
            <w:r w:rsidRPr="00446FEC">
              <w:rPr>
                <w:rFonts w:ascii="Times New Roman" w:hAnsi="Times New Roman"/>
                <w:color w:val="000000"/>
              </w:rPr>
              <w:t>50.30%</w:t>
            </w:r>
          </w:p>
        </w:tc>
      </w:tr>
      <w:tr w:rsidR="007E45C3" w:rsidRPr="00446FEC" w14:paraId="5FEA6EBD" w14:textId="77777777" w:rsidTr="008E0BA9">
        <w:trPr>
          <w:jc w:val="center"/>
        </w:trPr>
        <w:tc>
          <w:tcPr>
            <w:tcW w:w="1980" w:type="dxa"/>
          </w:tcPr>
          <w:p w14:paraId="392150A1" w14:textId="77777777" w:rsidR="007E45C3" w:rsidRPr="00446FEC" w:rsidRDefault="007E45C3" w:rsidP="00445743">
            <w:pPr>
              <w:pStyle w:val="Tabletext"/>
              <w:jc w:val="center"/>
              <w:rPr>
                <w:rFonts w:ascii="Times New Roman" w:hAnsi="Times New Roman"/>
              </w:rPr>
            </w:pPr>
            <w:r w:rsidRPr="00446FEC">
              <w:rPr>
                <w:rFonts w:ascii="Times New Roman" w:hAnsi="Times New Roman"/>
              </w:rPr>
              <w:t>Quarter 3</w:t>
            </w:r>
          </w:p>
        </w:tc>
        <w:tc>
          <w:tcPr>
            <w:tcW w:w="1239" w:type="dxa"/>
            <w:vAlign w:val="bottom"/>
          </w:tcPr>
          <w:p w14:paraId="4E1F126B" w14:textId="77777777" w:rsidR="007E45C3" w:rsidRPr="00446FEC" w:rsidRDefault="007E45C3" w:rsidP="00445743">
            <w:pPr>
              <w:pStyle w:val="Tabletext"/>
              <w:jc w:val="center"/>
              <w:rPr>
                <w:rFonts w:ascii="Times New Roman" w:hAnsi="Times New Roman"/>
              </w:rPr>
            </w:pPr>
            <w:r w:rsidRPr="00446FEC">
              <w:rPr>
                <w:rFonts w:ascii="Times New Roman" w:hAnsi="Times New Roman"/>
                <w:color w:val="000000"/>
              </w:rPr>
              <w:t>38.20%</w:t>
            </w:r>
          </w:p>
        </w:tc>
        <w:tc>
          <w:tcPr>
            <w:tcW w:w="1605" w:type="dxa"/>
            <w:vAlign w:val="bottom"/>
          </w:tcPr>
          <w:p w14:paraId="19127C39" w14:textId="77777777" w:rsidR="007E45C3" w:rsidRPr="00446FEC" w:rsidRDefault="007E45C3" w:rsidP="00445743">
            <w:pPr>
              <w:pStyle w:val="Tabletext"/>
              <w:jc w:val="center"/>
              <w:rPr>
                <w:rFonts w:ascii="Times New Roman" w:hAnsi="Times New Roman"/>
              </w:rPr>
            </w:pPr>
            <w:r w:rsidRPr="00446FEC">
              <w:rPr>
                <w:rFonts w:ascii="Times New Roman" w:hAnsi="Times New Roman"/>
                <w:color w:val="000000"/>
              </w:rPr>
              <w:t>43.60%</w:t>
            </w:r>
          </w:p>
        </w:tc>
        <w:tc>
          <w:tcPr>
            <w:tcW w:w="1605" w:type="dxa"/>
            <w:vAlign w:val="bottom"/>
          </w:tcPr>
          <w:p w14:paraId="75345904" w14:textId="77777777" w:rsidR="007E45C3" w:rsidRPr="00446FEC" w:rsidRDefault="007E45C3" w:rsidP="00445743">
            <w:pPr>
              <w:pStyle w:val="Tabletext"/>
              <w:jc w:val="center"/>
              <w:rPr>
                <w:rFonts w:ascii="Times New Roman" w:hAnsi="Times New Roman"/>
              </w:rPr>
            </w:pPr>
            <w:r w:rsidRPr="00446FEC">
              <w:rPr>
                <w:rFonts w:ascii="Times New Roman" w:hAnsi="Times New Roman"/>
                <w:color w:val="000000"/>
              </w:rPr>
              <w:t>48.60%</w:t>
            </w:r>
          </w:p>
        </w:tc>
        <w:tc>
          <w:tcPr>
            <w:tcW w:w="1605" w:type="dxa"/>
            <w:vAlign w:val="bottom"/>
          </w:tcPr>
          <w:p w14:paraId="7447E523" w14:textId="77777777" w:rsidR="007E45C3" w:rsidRPr="00446FEC" w:rsidRDefault="007E45C3" w:rsidP="00445743">
            <w:pPr>
              <w:pStyle w:val="Tabletext"/>
              <w:jc w:val="center"/>
              <w:rPr>
                <w:rFonts w:ascii="Times New Roman" w:hAnsi="Times New Roman"/>
              </w:rPr>
            </w:pPr>
            <w:r w:rsidRPr="00446FEC">
              <w:rPr>
                <w:rFonts w:ascii="Times New Roman" w:hAnsi="Times New Roman"/>
                <w:color w:val="000000"/>
              </w:rPr>
              <w:t>50.30%</w:t>
            </w:r>
          </w:p>
        </w:tc>
        <w:tc>
          <w:tcPr>
            <w:tcW w:w="1605" w:type="dxa"/>
            <w:vAlign w:val="bottom"/>
          </w:tcPr>
          <w:p w14:paraId="052E6522" w14:textId="77777777" w:rsidR="007E45C3" w:rsidRPr="00446FEC" w:rsidRDefault="007E45C3" w:rsidP="00445743">
            <w:pPr>
              <w:pStyle w:val="Tabletext"/>
              <w:jc w:val="center"/>
              <w:rPr>
                <w:rFonts w:ascii="Times New Roman" w:hAnsi="Times New Roman"/>
              </w:rPr>
            </w:pPr>
            <w:r w:rsidRPr="00446FEC">
              <w:rPr>
                <w:rFonts w:ascii="Times New Roman" w:hAnsi="Times New Roman"/>
                <w:color w:val="000000"/>
              </w:rPr>
              <w:t>50.40%</w:t>
            </w:r>
          </w:p>
        </w:tc>
      </w:tr>
      <w:tr w:rsidR="007E45C3" w:rsidRPr="00446FEC" w14:paraId="532ED941" w14:textId="77777777" w:rsidTr="008E0BA9">
        <w:trPr>
          <w:jc w:val="center"/>
        </w:trPr>
        <w:tc>
          <w:tcPr>
            <w:tcW w:w="1980" w:type="dxa"/>
          </w:tcPr>
          <w:p w14:paraId="3FA73B00" w14:textId="77777777" w:rsidR="007E45C3" w:rsidRPr="00446FEC" w:rsidRDefault="007E45C3" w:rsidP="00445743">
            <w:pPr>
              <w:pStyle w:val="Tabletext"/>
              <w:jc w:val="center"/>
              <w:rPr>
                <w:rFonts w:ascii="Times New Roman" w:hAnsi="Times New Roman"/>
              </w:rPr>
            </w:pPr>
            <w:r w:rsidRPr="00446FEC">
              <w:rPr>
                <w:rFonts w:ascii="Times New Roman" w:hAnsi="Times New Roman"/>
              </w:rPr>
              <w:t>Quarter 4</w:t>
            </w:r>
          </w:p>
        </w:tc>
        <w:tc>
          <w:tcPr>
            <w:tcW w:w="1239" w:type="dxa"/>
            <w:vAlign w:val="bottom"/>
          </w:tcPr>
          <w:p w14:paraId="0D8F4FE3" w14:textId="77777777" w:rsidR="007E45C3" w:rsidRPr="00446FEC" w:rsidRDefault="007E45C3" w:rsidP="00445743">
            <w:pPr>
              <w:pStyle w:val="Tabletext"/>
              <w:jc w:val="center"/>
              <w:rPr>
                <w:rFonts w:ascii="Times New Roman" w:hAnsi="Times New Roman"/>
              </w:rPr>
            </w:pPr>
            <w:r w:rsidRPr="00446FEC">
              <w:rPr>
                <w:rFonts w:ascii="Times New Roman" w:hAnsi="Times New Roman"/>
                <w:color w:val="000000"/>
              </w:rPr>
              <w:t>37.80%</w:t>
            </w:r>
          </w:p>
        </w:tc>
        <w:tc>
          <w:tcPr>
            <w:tcW w:w="1605" w:type="dxa"/>
            <w:vAlign w:val="bottom"/>
          </w:tcPr>
          <w:p w14:paraId="4DF8659F" w14:textId="77777777" w:rsidR="007E45C3" w:rsidRPr="00446FEC" w:rsidRDefault="007E45C3" w:rsidP="00445743">
            <w:pPr>
              <w:pStyle w:val="Tabletext"/>
              <w:jc w:val="center"/>
              <w:rPr>
                <w:rFonts w:ascii="Times New Roman" w:hAnsi="Times New Roman"/>
              </w:rPr>
            </w:pPr>
            <w:r w:rsidRPr="00446FEC">
              <w:rPr>
                <w:rFonts w:ascii="Times New Roman" w:hAnsi="Times New Roman"/>
                <w:color w:val="000000"/>
              </w:rPr>
              <w:t>46.90%</w:t>
            </w:r>
          </w:p>
        </w:tc>
        <w:tc>
          <w:tcPr>
            <w:tcW w:w="1605" w:type="dxa"/>
            <w:vAlign w:val="bottom"/>
          </w:tcPr>
          <w:p w14:paraId="4D5F5A67" w14:textId="77777777" w:rsidR="007E45C3" w:rsidRPr="00446FEC" w:rsidRDefault="007E45C3" w:rsidP="00445743">
            <w:pPr>
              <w:pStyle w:val="Tabletext"/>
              <w:jc w:val="center"/>
              <w:rPr>
                <w:rFonts w:ascii="Times New Roman" w:hAnsi="Times New Roman"/>
              </w:rPr>
            </w:pPr>
            <w:r w:rsidRPr="00446FEC">
              <w:rPr>
                <w:rFonts w:ascii="Times New Roman" w:hAnsi="Times New Roman"/>
                <w:color w:val="000000"/>
              </w:rPr>
              <w:t>49.00%</w:t>
            </w:r>
          </w:p>
        </w:tc>
        <w:tc>
          <w:tcPr>
            <w:tcW w:w="1605" w:type="dxa"/>
            <w:vAlign w:val="bottom"/>
          </w:tcPr>
          <w:p w14:paraId="5E1C12DC" w14:textId="77777777" w:rsidR="007E45C3" w:rsidRPr="00446FEC" w:rsidRDefault="007E45C3" w:rsidP="00445743">
            <w:pPr>
              <w:pStyle w:val="Tabletext"/>
              <w:jc w:val="center"/>
              <w:rPr>
                <w:rFonts w:ascii="Times New Roman" w:hAnsi="Times New Roman"/>
              </w:rPr>
            </w:pPr>
            <w:r w:rsidRPr="00446FEC">
              <w:rPr>
                <w:rFonts w:ascii="Times New Roman" w:hAnsi="Times New Roman"/>
                <w:color w:val="000000"/>
              </w:rPr>
              <w:t>50.13%</w:t>
            </w:r>
          </w:p>
        </w:tc>
        <w:tc>
          <w:tcPr>
            <w:tcW w:w="1605" w:type="dxa"/>
            <w:vAlign w:val="bottom"/>
          </w:tcPr>
          <w:p w14:paraId="760C5BE8" w14:textId="77777777" w:rsidR="007E45C3" w:rsidRPr="00446FEC" w:rsidRDefault="007E45C3" w:rsidP="00445743">
            <w:pPr>
              <w:pStyle w:val="Tabletext"/>
              <w:jc w:val="center"/>
              <w:rPr>
                <w:rFonts w:ascii="Times New Roman" w:hAnsi="Times New Roman"/>
              </w:rPr>
            </w:pPr>
            <w:r w:rsidRPr="00446FEC">
              <w:rPr>
                <w:rFonts w:ascii="Times New Roman" w:hAnsi="Times New Roman"/>
                <w:color w:val="000000"/>
              </w:rPr>
              <w:t>49.70%</w:t>
            </w:r>
          </w:p>
        </w:tc>
      </w:tr>
    </w:tbl>
    <w:p w14:paraId="28785CA3" w14:textId="77777777" w:rsidR="007E45C3" w:rsidRPr="00446FEC" w:rsidRDefault="007E45C3" w:rsidP="007E45C3">
      <w:r w:rsidRPr="00446FEC">
        <w:t>Table C.7 shows the global case studies of revolutionary changes by the TSPs within the telecommunication sector:</w:t>
      </w:r>
    </w:p>
    <w:tbl>
      <w:tblPr>
        <w:tblStyle w:val="TableGrid"/>
        <w:tblW w:w="9639" w:type="dxa"/>
        <w:jc w:val="center"/>
        <w:tblLook w:val="04A0" w:firstRow="1" w:lastRow="0" w:firstColumn="1" w:lastColumn="0" w:noHBand="0" w:noVBand="1"/>
      </w:tblPr>
      <w:tblGrid>
        <w:gridCol w:w="1809"/>
        <w:gridCol w:w="2632"/>
        <w:gridCol w:w="2637"/>
        <w:gridCol w:w="2561"/>
      </w:tblGrid>
      <w:tr w:rsidR="00252C57" w:rsidRPr="00446FEC" w14:paraId="1B5788BC" w14:textId="77777777" w:rsidTr="00252C57">
        <w:trPr>
          <w:trHeight w:val="57"/>
          <w:tblHeader/>
          <w:jc w:val="center"/>
        </w:trPr>
        <w:tc>
          <w:tcPr>
            <w:tcW w:w="9639" w:type="dxa"/>
            <w:gridSpan w:val="4"/>
            <w:tcBorders>
              <w:top w:val="nil"/>
              <w:left w:val="nil"/>
              <w:bottom w:val="single" w:sz="4" w:space="0" w:color="auto"/>
              <w:right w:val="nil"/>
            </w:tcBorders>
          </w:tcPr>
          <w:p w14:paraId="69592118" w14:textId="4B3BACA5" w:rsidR="00252C57" w:rsidRPr="00446FEC" w:rsidRDefault="00252C57" w:rsidP="00252C57">
            <w:pPr>
              <w:pStyle w:val="TableNoTitle0"/>
            </w:pPr>
            <w:r w:rsidRPr="00446FEC">
              <w:rPr>
                <w:bCs/>
              </w:rPr>
              <w:t xml:space="preserve">Table C.7 </w:t>
            </w:r>
            <w:r w:rsidRPr="00446FEC">
              <w:rPr>
                <w:bCs/>
              </w:rPr>
              <w:sym w:font="Symbol" w:char="F02D"/>
            </w:r>
            <w:r w:rsidRPr="00446FEC">
              <w:rPr>
                <w:bCs/>
              </w:rPr>
              <w:t xml:space="preserve"> </w:t>
            </w:r>
            <w:r w:rsidRPr="00446FEC">
              <w:t>Global case studies of revolutionary changes by the TSPs</w:t>
            </w:r>
          </w:p>
        </w:tc>
      </w:tr>
      <w:tr w:rsidR="007E45C3" w:rsidRPr="00446FEC" w14:paraId="6DA8822B" w14:textId="77777777" w:rsidTr="00252C57">
        <w:trPr>
          <w:trHeight w:val="57"/>
          <w:tblHeader/>
          <w:jc w:val="center"/>
        </w:trPr>
        <w:tc>
          <w:tcPr>
            <w:tcW w:w="1809" w:type="dxa"/>
            <w:tcBorders>
              <w:top w:val="single" w:sz="4" w:space="0" w:color="auto"/>
            </w:tcBorders>
          </w:tcPr>
          <w:p w14:paraId="0BE43B40" w14:textId="77777777" w:rsidR="007E45C3" w:rsidRPr="00446FEC" w:rsidRDefault="007E45C3" w:rsidP="004450AE">
            <w:pPr>
              <w:pStyle w:val="Tablehead"/>
              <w:keepLines/>
            </w:pPr>
            <w:r w:rsidRPr="00446FEC">
              <w:t>Title</w:t>
            </w:r>
          </w:p>
        </w:tc>
        <w:tc>
          <w:tcPr>
            <w:tcW w:w="2632" w:type="dxa"/>
            <w:tcBorders>
              <w:top w:val="single" w:sz="4" w:space="0" w:color="auto"/>
            </w:tcBorders>
          </w:tcPr>
          <w:p w14:paraId="4DC1CDA8" w14:textId="77777777" w:rsidR="007E45C3" w:rsidRPr="00446FEC" w:rsidRDefault="007E45C3" w:rsidP="004450AE">
            <w:pPr>
              <w:pStyle w:val="Tablehead"/>
              <w:keepLines/>
            </w:pPr>
            <w:r w:rsidRPr="00446FEC">
              <w:t>Background</w:t>
            </w:r>
          </w:p>
        </w:tc>
        <w:tc>
          <w:tcPr>
            <w:tcW w:w="2637" w:type="dxa"/>
            <w:tcBorders>
              <w:top w:val="single" w:sz="4" w:space="0" w:color="auto"/>
            </w:tcBorders>
          </w:tcPr>
          <w:p w14:paraId="1EFB83D8" w14:textId="77777777" w:rsidR="007E45C3" w:rsidRPr="00446FEC" w:rsidRDefault="007E45C3" w:rsidP="004450AE">
            <w:pPr>
              <w:pStyle w:val="Tablehead"/>
              <w:keepLines/>
            </w:pPr>
            <w:r w:rsidRPr="00446FEC">
              <w:t>Impact</w:t>
            </w:r>
          </w:p>
        </w:tc>
        <w:tc>
          <w:tcPr>
            <w:tcW w:w="2561" w:type="dxa"/>
            <w:tcBorders>
              <w:top w:val="single" w:sz="4" w:space="0" w:color="auto"/>
            </w:tcBorders>
          </w:tcPr>
          <w:p w14:paraId="31FDB8D5" w14:textId="77777777" w:rsidR="007E45C3" w:rsidRPr="00446FEC" w:rsidRDefault="007E45C3" w:rsidP="004450AE">
            <w:pPr>
              <w:pStyle w:val="Tablehead"/>
              <w:keepLines/>
            </w:pPr>
            <w:r w:rsidRPr="00446FEC">
              <w:t>Outcome</w:t>
            </w:r>
          </w:p>
        </w:tc>
      </w:tr>
      <w:tr w:rsidR="007E45C3" w:rsidRPr="00446FEC" w14:paraId="235902B8" w14:textId="77777777" w:rsidTr="00252C57">
        <w:trPr>
          <w:jc w:val="center"/>
        </w:trPr>
        <w:tc>
          <w:tcPr>
            <w:tcW w:w="1809" w:type="dxa"/>
          </w:tcPr>
          <w:p w14:paraId="74968DB3" w14:textId="77777777" w:rsidR="007E45C3" w:rsidRPr="00446FEC" w:rsidRDefault="007E45C3" w:rsidP="004450AE">
            <w:pPr>
              <w:pStyle w:val="Tabletext"/>
              <w:keepNext/>
              <w:keepLines/>
            </w:pPr>
            <w:r w:rsidRPr="00446FEC">
              <w:t>Iliad and the French telecom market</w:t>
            </w:r>
          </w:p>
        </w:tc>
        <w:tc>
          <w:tcPr>
            <w:tcW w:w="2632" w:type="dxa"/>
          </w:tcPr>
          <w:p w14:paraId="4EC70363" w14:textId="329D0041" w:rsidR="007E45C3" w:rsidRPr="00446FEC" w:rsidRDefault="007E45C3" w:rsidP="004450AE">
            <w:pPr>
              <w:pStyle w:val="Tabletext"/>
              <w:keepNext/>
              <w:keepLines/>
            </w:pPr>
            <w:r w:rsidRPr="00446FEC">
              <w:t>Before Iliad</w:t>
            </w:r>
            <w:r w:rsidR="006E6D1D" w:rsidRPr="00446FEC">
              <w:t>'</w:t>
            </w:r>
            <w:r w:rsidRPr="00446FEC">
              <w:t>s Free Mobile service launched in 2012, the French mobile market was dominated by three major operators with relatively high prices.</w:t>
            </w:r>
          </w:p>
        </w:tc>
        <w:tc>
          <w:tcPr>
            <w:tcW w:w="2637" w:type="dxa"/>
          </w:tcPr>
          <w:p w14:paraId="43D9D471" w14:textId="77777777" w:rsidR="007E45C3" w:rsidRPr="00446FEC" w:rsidRDefault="007E45C3" w:rsidP="004450AE">
            <w:pPr>
              <w:pStyle w:val="Tabletext"/>
              <w:keepNext/>
              <w:keepLines/>
            </w:pPr>
            <w:r w:rsidRPr="00446FEC">
              <w:t>Free Mobile entered the market with drastically lower prices and no-contract offers, which significantly disrupted the existing pricing structure and forced competitors to lower their tariffs.</w:t>
            </w:r>
          </w:p>
        </w:tc>
        <w:tc>
          <w:tcPr>
            <w:tcW w:w="2561" w:type="dxa"/>
          </w:tcPr>
          <w:p w14:paraId="16B7C6F9" w14:textId="77777777" w:rsidR="007E45C3" w:rsidRPr="00446FEC" w:rsidRDefault="007E45C3" w:rsidP="004450AE">
            <w:pPr>
              <w:pStyle w:val="Tabletext"/>
              <w:keepNext/>
              <w:keepLines/>
            </w:pPr>
            <w:r w:rsidRPr="00446FEC">
              <w:t>The entry of Free Mobile led to increased competition, resulting in more affordable services for consumers and a higher rate of mobile Internet adoption in France.</w:t>
            </w:r>
          </w:p>
        </w:tc>
      </w:tr>
      <w:tr w:rsidR="007E45C3" w:rsidRPr="00446FEC" w14:paraId="614BFE4F" w14:textId="77777777" w:rsidTr="00252C57">
        <w:trPr>
          <w:jc w:val="center"/>
        </w:trPr>
        <w:tc>
          <w:tcPr>
            <w:tcW w:w="1809" w:type="dxa"/>
          </w:tcPr>
          <w:p w14:paraId="28CA1287" w14:textId="676095AD" w:rsidR="007E45C3" w:rsidRPr="00446FEC" w:rsidRDefault="007E45C3" w:rsidP="003A11D1">
            <w:pPr>
              <w:pStyle w:val="Tabletext"/>
            </w:pPr>
            <w:r w:rsidRPr="00446FEC">
              <w:t xml:space="preserve">T-Mobile and the </w:t>
            </w:r>
            <w:r w:rsidR="00296649" w:rsidRPr="00446FEC">
              <w:t>"</w:t>
            </w:r>
            <w:r w:rsidRPr="00446FEC">
              <w:t>Un-carrier</w:t>
            </w:r>
            <w:r w:rsidR="00296649" w:rsidRPr="00446FEC">
              <w:t>"</w:t>
            </w:r>
            <w:r w:rsidRPr="00446FEC">
              <w:t xml:space="preserve"> strategy in the U.S.</w:t>
            </w:r>
          </w:p>
        </w:tc>
        <w:tc>
          <w:tcPr>
            <w:tcW w:w="2632" w:type="dxa"/>
          </w:tcPr>
          <w:p w14:paraId="6B359C08" w14:textId="77777777" w:rsidR="007E45C3" w:rsidRPr="00446FEC" w:rsidRDefault="007E45C3" w:rsidP="003A11D1">
            <w:pPr>
              <w:pStyle w:val="Tabletext"/>
            </w:pPr>
            <w:r w:rsidRPr="00446FEC">
              <w:t>The U.S. mobile market was characterized by long-term contracts and bundled pricing. T-Mobile was the smallest of the four major carriers and needed a strategy to differentiate itself.</w:t>
            </w:r>
          </w:p>
        </w:tc>
        <w:tc>
          <w:tcPr>
            <w:tcW w:w="2637" w:type="dxa"/>
          </w:tcPr>
          <w:p w14:paraId="02AFDAB1" w14:textId="381FA3D8" w:rsidR="007E45C3" w:rsidRPr="00446FEC" w:rsidRDefault="007E45C3" w:rsidP="003A11D1">
            <w:pPr>
              <w:pStyle w:val="Tabletext"/>
            </w:pPr>
            <w:r w:rsidRPr="00446FEC">
              <w:t>T-Mobile</w:t>
            </w:r>
            <w:r w:rsidR="006E6D1D" w:rsidRPr="00446FEC">
              <w:t>'</w:t>
            </w:r>
            <w:r w:rsidRPr="00446FEC">
              <w:t xml:space="preserve">s </w:t>
            </w:r>
            <w:r w:rsidR="00296649" w:rsidRPr="00446FEC">
              <w:t>"</w:t>
            </w:r>
            <w:r w:rsidRPr="00446FEC">
              <w:t>Un-carrier</w:t>
            </w:r>
            <w:r w:rsidR="00296649" w:rsidRPr="00446FEC">
              <w:t>"</w:t>
            </w:r>
            <w:r w:rsidRPr="00446FEC">
              <w:t xml:space="preserve"> movement, launched in 2013, eliminated contracts, introduced flat-rate plans with unlimited data and offered various customer-friendly initiatives.</w:t>
            </w:r>
          </w:p>
        </w:tc>
        <w:tc>
          <w:tcPr>
            <w:tcW w:w="2561" w:type="dxa"/>
          </w:tcPr>
          <w:p w14:paraId="2F656E7A" w14:textId="34FA7FBD" w:rsidR="007E45C3" w:rsidRPr="00446FEC" w:rsidRDefault="007E45C3" w:rsidP="003A11D1">
            <w:pPr>
              <w:pStyle w:val="Tabletext"/>
            </w:pPr>
            <w:r w:rsidRPr="00446FEC">
              <w:t xml:space="preserve">The </w:t>
            </w:r>
            <w:r w:rsidR="00296649" w:rsidRPr="00446FEC">
              <w:t>"</w:t>
            </w:r>
            <w:r w:rsidRPr="00446FEC">
              <w:t>Un-carrier</w:t>
            </w:r>
            <w:r w:rsidR="00296649" w:rsidRPr="00446FEC">
              <w:t>"</w:t>
            </w:r>
            <w:r w:rsidRPr="00446FEC">
              <w:t xml:space="preserve"> approach not only led to significant growth for T-Mobile but also prompted industry-wide changes, benefiting consumers with more flexible plans and transparent pricing.</w:t>
            </w:r>
          </w:p>
        </w:tc>
      </w:tr>
      <w:tr w:rsidR="007E45C3" w:rsidRPr="00446FEC" w14:paraId="087C8A86" w14:textId="77777777" w:rsidTr="00252C57">
        <w:trPr>
          <w:jc w:val="center"/>
        </w:trPr>
        <w:tc>
          <w:tcPr>
            <w:tcW w:w="1809" w:type="dxa"/>
          </w:tcPr>
          <w:p w14:paraId="3B681230" w14:textId="77777777" w:rsidR="007E45C3" w:rsidRPr="00446FEC" w:rsidRDefault="007E45C3" w:rsidP="00252C57">
            <w:pPr>
              <w:pStyle w:val="Tabletext"/>
              <w:keepNext/>
              <w:keepLines/>
            </w:pPr>
            <w:r w:rsidRPr="00446FEC">
              <w:t>Rakuten Mobile and the virtualized network in Japan</w:t>
            </w:r>
          </w:p>
        </w:tc>
        <w:tc>
          <w:tcPr>
            <w:tcW w:w="2632" w:type="dxa"/>
          </w:tcPr>
          <w:p w14:paraId="228E8E16" w14:textId="085AB499" w:rsidR="007E45C3" w:rsidRPr="00446FEC" w:rsidRDefault="007E45C3" w:rsidP="00252C57">
            <w:pPr>
              <w:pStyle w:val="Tabletext"/>
              <w:keepNext/>
              <w:keepLines/>
            </w:pPr>
            <w:r w:rsidRPr="00446FEC">
              <w:t>Japan</w:t>
            </w:r>
            <w:r w:rsidR="006E6D1D" w:rsidRPr="00446FEC">
              <w:t>'</w:t>
            </w:r>
            <w:r w:rsidRPr="00446FEC">
              <w:t>s mobile market was known for high-quality service but also high prices, with a few established players dominating the industry.</w:t>
            </w:r>
          </w:p>
        </w:tc>
        <w:tc>
          <w:tcPr>
            <w:tcW w:w="2637" w:type="dxa"/>
          </w:tcPr>
          <w:p w14:paraId="51EDA2E1" w14:textId="77777777" w:rsidR="007E45C3" w:rsidRPr="00446FEC" w:rsidRDefault="007E45C3" w:rsidP="00252C57">
            <w:pPr>
              <w:pStyle w:val="Tabletext"/>
              <w:keepNext/>
              <w:keepLines/>
            </w:pPr>
            <w:r w:rsidRPr="00446FEC">
              <w:t>Rakuten Mobile launched in 2020 as the first fully virtualized, end-to-end cloud-native network, which allowed for significant cost savings and more competitive pricing.</w:t>
            </w:r>
          </w:p>
        </w:tc>
        <w:tc>
          <w:tcPr>
            <w:tcW w:w="2561" w:type="dxa"/>
          </w:tcPr>
          <w:p w14:paraId="248E771E" w14:textId="107B1F39" w:rsidR="007E45C3" w:rsidRPr="00446FEC" w:rsidRDefault="007E45C3" w:rsidP="00252C57">
            <w:pPr>
              <w:pStyle w:val="Tabletext"/>
              <w:keepNext/>
              <w:keepLines/>
            </w:pPr>
            <w:r w:rsidRPr="00446FEC">
              <w:t>Rakuten</w:t>
            </w:r>
            <w:r w:rsidR="006E6D1D" w:rsidRPr="00446FEC">
              <w:t>'</w:t>
            </w:r>
            <w:r w:rsidRPr="00446FEC">
              <w:t>s innovative network approach is expected to drive down costs in the Japanese telecom market and could set a precedent for future network deployments worldwide.</w:t>
            </w:r>
          </w:p>
        </w:tc>
      </w:tr>
      <w:tr w:rsidR="007E45C3" w:rsidRPr="00446FEC" w14:paraId="5383617C" w14:textId="77777777" w:rsidTr="00252C57">
        <w:trPr>
          <w:jc w:val="center"/>
        </w:trPr>
        <w:tc>
          <w:tcPr>
            <w:tcW w:w="1809" w:type="dxa"/>
          </w:tcPr>
          <w:p w14:paraId="2CDAFB3E" w14:textId="77777777" w:rsidR="007E45C3" w:rsidRPr="00446FEC" w:rsidRDefault="007E45C3" w:rsidP="003A11D1">
            <w:pPr>
              <w:pStyle w:val="Tabletext"/>
            </w:pPr>
            <w:r w:rsidRPr="00446FEC">
              <w:t>Huawei and 5G deployment</w:t>
            </w:r>
          </w:p>
        </w:tc>
        <w:tc>
          <w:tcPr>
            <w:tcW w:w="2632" w:type="dxa"/>
          </w:tcPr>
          <w:p w14:paraId="67E534B7" w14:textId="77777777" w:rsidR="007E45C3" w:rsidRPr="00446FEC" w:rsidRDefault="007E45C3" w:rsidP="003A11D1">
            <w:pPr>
              <w:pStyle w:val="Tabletext"/>
            </w:pPr>
            <w:r w:rsidRPr="00446FEC">
              <w:t>The global race to deploy 5G networks promised to bring faster speeds and more reliable connections but required substantial investment in new infrastructure.</w:t>
            </w:r>
          </w:p>
        </w:tc>
        <w:tc>
          <w:tcPr>
            <w:tcW w:w="2637" w:type="dxa"/>
          </w:tcPr>
          <w:p w14:paraId="5F243D5A" w14:textId="77777777" w:rsidR="007E45C3" w:rsidRPr="00446FEC" w:rsidRDefault="007E45C3" w:rsidP="003A11D1">
            <w:pPr>
              <w:pStyle w:val="Tabletext"/>
            </w:pPr>
            <w:r w:rsidRPr="00446FEC">
              <w:t>Huawei has been at the forefront of 5G technology, offering competitive pricing and comprehensive solutions for 5G deployment, which has accelerated the roll-out in various markets.</w:t>
            </w:r>
          </w:p>
        </w:tc>
        <w:tc>
          <w:tcPr>
            <w:tcW w:w="2561" w:type="dxa"/>
          </w:tcPr>
          <w:p w14:paraId="0C527C9E" w14:textId="11768F46" w:rsidR="007E45C3" w:rsidRPr="00446FEC" w:rsidRDefault="007E45C3" w:rsidP="003A11D1">
            <w:pPr>
              <w:pStyle w:val="Tabletext"/>
            </w:pPr>
            <w:r w:rsidRPr="00446FEC">
              <w:t>Despite facing security concerns and restrictions in some countries, Huawei</w:t>
            </w:r>
            <w:r w:rsidR="006E6D1D" w:rsidRPr="00446FEC">
              <w:t>'</w:t>
            </w:r>
            <w:r w:rsidRPr="00446FEC">
              <w:t>s 5G technology has been widely adopted, influencing the global pace and cost of 5G network deployment.</w:t>
            </w:r>
          </w:p>
        </w:tc>
      </w:tr>
    </w:tbl>
    <w:p w14:paraId="10B7895F" w14:textId="37475664" w:rsidR="007E45C3" w:rsidRPr="00446FEC" w:rsidRDefault="00D85481" w:rsidP="00D85481">
      <w:pPr>
        <w:pStyle w:val="Heading2"/>
        <w:rPr>
          <w:lang w:bidi="ar-DZ"/>
        </w:rPr>
      </w:pPr>
      <w:bookmarkStart w:id="600" w:name="_Toc239193568"/>
      <w:bookmarkStart w:id="601" w:name="_Toc239232812"/>
      <w:bookmarkStart w:id="602" w:name="_Toc239240579"/>
      <w:r w:rsidRPr="00446FEC">
        <w:rPr>
          <w:lang w:bidi="ar-DZ"/>
        </w:rPr>
        <w:lastRenderedPageBreak/>
        <w:t>C.</w:t>
      </w:r>
      <w:r w:rsidR="007E45C3" w:rsidRPr="00446FEC">
        <w:rPr>
          <w:lang w:bidi="ar-DZ"/>
        </w:rPr>
        <w:t>14</w:t>
      </w:r>
      <w:r w:rsidR="00EB01E4" w:rsidRPr="00446FEC">
        <w:rPr>
          <w:lang w:bidi="ar-DZ"/>
        </w:rPr>
        <w:tab/>
      </w:r>
      <w:r w:rsidR="007E45C3" w:rsidRPr="00446FEC">
        <w:rPr>
          <w:lang w:bidi="ar-DZ"/>
        </w:rPr>
        <w:t>EACO guidelines on costing methodologies</w:t>
      </w:r>
      <w:bookmarkEnd w:id="600"/>
      <w:bookmarkEnd w:id="601"/>
      <w:bookmarkEnd w:id="602"/>
      <w:r w:rsidR="007E45C3" w:rsidRPr="00446FEC" w:rsidDel="00AE34BE">
        <w:rPr>
          <w:lang w:bidi="ar-DZ"/>
        </w:rPr>
        <w:t xml:space="preserve"> </w:t>
      </w:r>
    </w:p>
    <w:p w14:paraId="6C1DBD3A" w14:textId="77777777" w:rsidR="007E45C3" w:rsidRPr="00446FEC" w:rsidRDefault="007E45C3" w:rsidP="00EB01E4">
      <w:pPr>
        <w:pStyle w:val="Headingb"/>
        <w:rPr>
          <w:i/>
        </w:rPr>
      </w:pPr>
      <w:r w:rsidRPr="00446FEC">
        <w:t>Introduction</w:t>
      </w:r>
    </w:p>
    <w:p w14:paraId="4BF1515B" w14:textId="77777777" w:rsidR="007E45C3" w:rsidRPr="00446FEC" w:rsidRDefault="007E45C3" w:rsidP="00FC7E05">
      <w:pPr>
        <w:rPr>
          <w:rFonts w:eastAsia="SimSun"/>
        </w:rPr>
      </w:pPr>
      <w:r w:rsidRPr="00446FEC">
        <w:rPr>
          <w:rFonts w:eastAsia="SimSun"/>
        </w:rPr>
        <w:t>These guidelines will provide the principles, objectives and methodologies to be used</w:t>
      </w:r>
      <w:r w:rsidRPr="00446FEC">
        <w:rPr>
          <w:rFonts w:eastAsia="SimSun"/>
          <w:spacing w:val="1"/>
        </w:rPr>
        <w:t xml:space="preserve"> </w:t>
      </w:r>
      <w:r w:rsidRPr="00446FEC">
        <w:rPr>
          <w:rFonts w:eastAsia="SimSun"/>
        </w:rPr>
        <w:t>when</w:t>
      </w:r>
      <w:r w:rsidRPr="00446FEC">
        <w:rPr>
          <w:rFonts w:eastAsia="SimSun"/>
          <w:spacing w:val="1"/>
        </w:rPr>
        <w:t xml:space="preserve"> </w:t>
      </w:r>
      <w:r w:rsidRPr="00446FEC">
        <w:rPr>
          <w:rFonts w:eastAsia="SimSun"/>
        </w:rPr>
        <w:t>determining</w:t>
      </w:r>
      <w:r w:rsidRPr="00446FEC">
        <w:rPr>
          <w:rFonts w:eastAsia="SimSun"/>
          <w:spacing w:val="1"/>
        </w:rPr>
        <w:t xml:space="preserve"> </w:t>
      </w:r>
      <w:r w:rsidRPr="00446FEC">
        <w:rPr>
          <w:rFonts w:eastAsia="SimSun"/>
        </w:rPr>
        <w:t>the</w:t>
      </w:r>
      <w:r w:rsidRPr="00446FEC">
        <w:rPr>
          <w:rFonts w:eastAsia="SimSun"/>
          <w:spacing w:val="1"/>
        </w:rPr>
        <w:t xml:space="preserve"> </w:t>
      </w:r>
      <w:r w:rsidRPr="00446FEC">
        <w:rPr>
          <w:rFonts w:eastAsia="SimSun"/>
        </w:rPr>
        <w:t>costs</w:t>
      </w:r>
      <w:r w:rsidRPr="00446FEC">
        <w:rPr>
          <w:rFonts w:eastAsia="SimSun"/>
          <w:spacing w:val="1"/>
        </w:rPr>
        <w:t xml:space="preserve"> </w:t>
      </w:r>
      <w:r w:rsidRPr="00446FEC">
        <w:rPr>
          <w:rFonts w:eastAsia="SimSun"/>
        </w:rPr>
        <w:t>related</w:t>
      </w:r>
      <w:r w:rsidRPr="00446FEC">
        <w:rPr>
          <w:rFonts w:eastAsia="SimSun"/>
          <w:spacing w:val="1"/>
        </w:rPr>
        <w:t xml:space="preserve"> </w:t>
      </w:r>
      <w:r w:rsidRPr="00446FEC">
        <w:rPr>
          <w:rFonts w:eastAsia="SimSun"/>
        </w:rPr>
        <w:t>to</w:t>
      </w:r>
      <w:r w:rsidRPr="00446FEC">
        <w:rPr>
          <w:rFonts w:eastAsia="SimSun"/>
          <w:spacing w:val="1"/>
        </w:rPr>
        <w:t xml:space="preserve"> </w:t>
      </w:r>
      <w:r w:rsidRPr="00446FEC">
        <w:rPr>
          <w:rFonts w:eastAsia="SimSun"/>
        </w:rPr>
        <w:t>infrastructure</w:t>
      </w:r>
      <w:r w:rsidRPr="00446FEC">
        <w:rPr>
          <w:rFonts w:eastAsia="SimSun"/>
          <w:spacing w:val="1"/>
        </w:rPr>
        <w:t xml:space="preserve"> </w:t>
      </w:r>
      <w:r w:rsidRPr="00446FEC">
        <w:rPr>
          <w:rFonts w:eastAsia="SimSun"/>
        </w:rPr>
        <w:t>sharing,</w:t>
      </w:r>
      <w:r w:rsidRPr="00446FEC">
        <w:rPr>
          <w:rFonts w:eastAsia="SimSun"/>
          <w:spacing w:val="1"/>
        </w:rPr>
        <w:t xml:space="preserve"> </w:t>
      </w:r>
      <w:r w:rsidRPr="00446FEC">
        <w:rPr>
          <w:rFonts w:eastAsia="SimSun"/>
        </w:rPr>
        <w:t>interconnection</w:t>
      </w:r>
      <w:r w:rsidRPr="00446FEC">
        <w:rPr>
          <w:rFonts w:eastAsia="SimSun"/>
          <w:spacing w:val="1"/>
        </w:rPr>
        <w:t xml:space="preserve"> </w:t>
      </w:r>
      <w:r w:rsidRPr="00446FEC">
        <w:rPr>
          <w:rFonts w:eastAsia="SimSun"/>
        </w:rPr>
        <w:t>and</w:t>
      </w:r>
      <w:r w:rsidRPr="00446FEC">
        <w:rPr>
          <w:rFonts w:eastAsia="SimSun"/>
          <w:spacing w:val="1"/>
        </w:rPr>
        <w:t xml:space="preserve"> </w:t>
      </w:r>
      <w:r w:rsidRPr="00446FEC">
        <w:rPr>
          <w:rFonts w:eastAsia="SimSun"/>
        </w:rPr>
        <w:t>roaming.</w:t>
      </w:r>
      <w:r w:rsidRPr="00446FEC">
        <w:rPr>
          <w:rFonts w:eastAsia="SimSun"/>
          <w:spacing w:val="-14"/>
        </w:rPr>
        <w:t xml:space="preserve"> </w:t>
      </w:r>
      <w:r w:rsidRPr="00446FEC">
        <w:rPr>
          <w:rFonts w:eastAsia="SimSun"/>
        </w:rPr>
        <w:t>The</w:t>
      </w:r>
      <w:r w:rsidRPr="00446FEC">
        <w:rPr>
          <w:rFonts w:eastAsia="SimSun"/>
          <w:spacing w:val="-12"/>
        </w:rPr>
        <w:t xml:space="preserve"> </w:t>
      </w:r>
      <w:r w:rsidRPr="00446FEC">
        <w:rPr>
          <w:rFonts w:eastAsia="SimSun"/>
        </w:rPr>
        <w:t>guidelines</w:t>
      </w:r>
      <w:r w:rsidRPr="00446FEC">
        <w:rPr>
          <w:rFonts w:eastAsia="SimSun"/>
          <w:spacing w:val="-13"/>
        </w:rPr>
        <w:t xml:space="preserve"> </w:t>
      </w:r>
      <w:r w:rsidRPr="00446FEC">
        <w:rPr>
          <w:rFonts w:eastAsia="SimSun"/>
        </w:rPr>
        <w:t>will</w:t>
      </w:r>
      <w:r w:rsidRPr="00446FEC">
        <w:rPr>
          <w:rFonts w:eastAsia="SimSun"/>
          <w:spacing w:val="-14"/>
        </w:rPr>
        <w:t xml:space="preserve"> </w:t>
      </w:r>
      <w:r w:rsidRPr="00446FEC">
        <w:rPr>
          <w:rFonts w:eastAsia="SimSun"/>
        </w:rPr>
        <w:t>also</w:t>
      </w:r>
      <w:r w:rsidRPr="00446FEC">
        <w:rPr>
          <w:rFonts w:eastAsia="SimSun"/>
          <w:spacing w:val="-12"/>
        </w:rPr>
        <w:t xml:space="preserve"> </w:t>
      </w:r>
      <w:r w:rsidRPr="00446FEC">
        <w:rPr>
          <w:rFonts w:eastAsia="SimSun"/>
        </w:rPr>
        <w:t>set</w:t>
      </w:r>
      <w:r w:rsidRPr="00446FEC">
        <w:rPr>
          <w:rFonts w:eastAsia="SimSun"/>
          <w:spacing w:val="-12"/>
        </w:rPr>
        <w:t xml:space="preserve"> </w:t>
      </w:r>
      <w:r w:rsidRPr="00446FEC">
        <w:rPr>
          <w:rFonts w:eastAsia="SimSun"/>
        </w:rPr>
        <w:t>out</w:t>
      </w:r>
      <w:r w:rsidRPr="00446FEC">
        <w:rPr>
          <w:rFonts w:eastAsia="SimSun"/>
          <w:spacing w:val="-15"/>
        </w:rPr>
        <w:t xml:space="preserve"> </w:t>
      </w:r>
      <w:r w:rsidRPr="00446FEC">
        <w:rPr>
          <w:rFonts w:eastAsia="SimSun"/>
        </w:rPr>
        <w:t>the</w:t>
      </w:r>
      <w:r w:rsidRPr="00446FEC">
        <w:rPr>
          <w:rFonts w:eastAsia="SimSun"/>
          <w:spacing w:val="-15"/>
        </w:rPr>
        <w:t xml:space="preserve"> </w:t>
      </w:r>
      <w:r w:rsidRPr="00446FEC">
        <w:rPr>
          <w:rFonts w:eastAsia="SimSun"/>
        </w:rPr>
        <w:t>different</w:t>
      </w:r>
      <w:r w:rsidRPr="00446FEC">
        <w:rPr>
          <w:rFonts w:eastAsia="SimSun"/>
          <w:spacing w:val="-15"/>
        </w:rPr>
        <w:t xml:space="preserve"> </w:t>
      </w:r>
      <w:r w:rsidRPr="00446FEC">
        <w:rPr>
          <w:rFonts w:eastAsia="SimSun"/>
        </w:rPr>
        <w:t>best</w:t>
      </w:r>
      <w:r w:rsidRPr="00446FEC">
        <w:rPr>
          <w:rFonts w:eastAsia="SimSun"/>
          <w:spacing w:val="-15"/>
        </w:rPr>
        <w:t>-</w:t>
      </w:r>
      <w:r w:rsidRPr="00446FEC">
        <w:rPr>
          <w:rFonts w:eastAsia="SimSun"/>
        </w:rPr>
        <w:t>practice</w:t>
      </w:r>
      <w:r w:rsidRPr="00446FEC">
        <w:rPr>
          <w:rFonts w:eastAsia="SimSun"/>
          <w:spacing w:val="-12"/>
        </w:rPr>
        <w:t xml:space="preserve"> </w:t>
      </w:r>
      <w:r w:rsidRPr="00446FEC">
        <w:rPr>
          <w:rFonts w:eastAsia="SimSun"/>
        </w:rPr>
        <w:t>accounting</w:t>
      </w:r>
      <w:r w:rsidRPr="00446FEC">
        <w:rPr>
          <w:rFonts w:eastAsia="SimSun"/>
          <w:spacing w:val="-13"/>
        </w:rPr>
        <w:t xml:space="preserve"> </w:t>
      </w:r>
      <w:r w:rsidRPr="00446FEC">
        <w:rPr>
          <w:rFonts w:eastAsia="SimSun"/>
        </w:rPr>
        <w:t>standards,</w:t>
      </w:r>
      <w:r w:rsidRPr="00446FEC">
        <w:rPr>
          <w:rFonts w:eastAsia="SimSun"/>
          <w:spacing w:val="-65"/>
        </w:rPr>
        <w:t xml:space="preserve"> </w:t>
      </w:r>
      <w:r w:rsidRPr="00446FEC">
        <w:rPr>
          <w:rFonts w:eastAsia="SimSun"/>
        </w:rPr>
        <w:t>including</w:t>
      </w:r>
      <w:r w:rsidRPr="00446FEC">
        <w:rPr>
          <w:rFonts w:eastAsia="SimSun"/>
          <w:spacing w:val="1"/>
        </w:rPr>
        <w:t xml:space="preserve"> </w:t>
      </w:r>
      <w:r w:rsidRPr="00446FEC">
        <w:rPr>
          <w:rFonts w:eastAsia="SimSun"/>
        </w:rPr>
        <w:t>fully</w:t>
      </w:r>
      <w:r w:rsidRPr="00446FEC">
        <w:rPr>
          <w:rFonts w:eastAsia="SimSun"/>
          <w:spacing w:val="1"/>
        </w:rPr>
        <w:t xml:space="preserve"> </w:t>
      </w:r>
      <w:r w:rsidRPr="00446FEC">
        <w:rPr>
          <w:rFonts w:eastAsia="SimSun"/>
        </w:rPr>
        <w:t>allocated</w:t>
      </w:r>
      <w:r w:rsidRPr="00446FEC">
        <w:rPr>
          <w:rFonts w:eastAsia="SimSun"/>
          <w:spacing w:val="1"/>
        </w:rPr>
        <w:t xml:space="preserve"> </w:t>
      </w:r>
      <w:r w:rsidRPr="00446FEC">
        <w:rPr>
          <w:rFonts w:eastAsia="SimSun"/>
        </w:rPr>
        <w:t>cost</w:t>
      </w:r>
      <w:r w:rsidRPr="00446FEC">
        <w:rPr>
          <w:rFonts w:eastAsia="SimSun"/>
          <w:spacing w:val="1"/>
        </w:rPr>
        <w:t xml:space="preserve"> </w:t>
      </w:r>
      <w:r w:rsidRPr="00446FEC">
        <w:rPr>
          <w:rFonts w:eastAsia="SimSun"/>
        </w:rPr>
        <w:t>(FAC),</w:t>
      </w:r>
      <w:r w:rsidRPr="00446FEC">
        <w:rPr>
          <w:rFonts w:eastAsia="SimSun"/>
          <w:spacing w:val="1"/>
        </w:rPr>
        <w:t xml:space="preserve"> </w:t>
      </w:r>
      <w:r w:rsidRPr="00446FEC">
        <w:rPr>
          <w:rFonts w:eastAsia="SimSun"/>
        </w:rPr>
        <w:t>historical</w:t>
      </w:r>
      <w:r w:rsidRPr="00446FEC">
        <w:rPr>
          <w:rFonts w:eastAsia="SimSun"/>
          <w:spacing w:val="1"/>
        </w:rPr>
        <w:t xml:space="preserve"> </w:t>
      </w:r>
      <w:r w:rsidRPr="00446FEC">
        <w:rPr>
          <w:rFonts w:eastAsia="SimSun"/>
        </w:rPr>
        <w:t>cost,</w:t>
      </w:r>
      <w:r w:rsidRPr="00446FEC">
        <w:rPr>
          <w:rFonts w:eastAsia="SimSun"/>
          <w:spacing w:val="1"/>
        </w:rPr>
        <w:t xml:space="preserve"> </w:t>
      </w:r>
      <w:r w:rsidRPr="00446FEC">
        <w:rPr>
          <w:rFonts w:eastAsia="SimSun"/>
        </w:rPr>
        <w:t>current</w:t>
      </w:r>
      <w:r w:rsidRPr="00446FEC">
        <w:rPr>
          <w:rFonts w:eastAsia="SimSun"/>
          <w:spacing w:val="1"/>
        </w:rPr>
        <w:t xml:space="preserve"> </w:t>
      </w:r>
      <w:r w:rsidRPr="00446FEC">
        <w:rPr>
          <w:rFonts w:eastAsia="SimSun"/>
        </w:rPr>
        <w:t>cost</w:t>
      </w:r>
      <w:r w:rsidRPr="00446FEC">
        <w:rPr>
          <w:rFonts w:eastAsia="SimSun"/>
          <w:spacing w:val="1"/>
        </w:rPr>
        <w:t xml:space="preserve"> </w:t>
      </w:r>
      <w:r w:rsidRPr="00446FEC">
        <w:rPr>
          <w:rFonts w:eastAsia="SimSun"/>
        </w:rPr>
        <w:t>and</w:t>
      </w:r>
      <w:r w:rsidRPr="00446FEC">
        <w:rPr>
          <w:rFonts w:eastAsia="SimSun"/>
          <w:spacing w:val="1"/>
        </w:rPr>
        <w:t xml:space="preserve"> </w:t>
      </w:r>
      <w:r w:rsidRPr="00446FEC">
        <w:rPr>
          <w:rFonts w:eastAsia="SimSun"/>
        </w:rPr>
        <w:t>long</w:t>
      </w:r>
      <w:r w:rsidRPr="00446FEC">
        <w:rPr>
          <w:rFonts w:eastAsia="SimSun"/>
          <w:spacing w:val="1"/>
        </w:rPr>
        <w:t xml:space="preserve"> </w:t>
      </w:r>
      <w:r w:rsidRPr="00446FEC">
        <w:rPr>
          <w:rFonts w:eastAsia="SimSun"/>
        </w:rPr>
        <w:t>run</w:t>
      </w:r>
      <w:r w:rsidRPr="00446FEC">
        <w:rPr>
          <w:rFonts w:eastAsia="SimSun"/>
          <w:spacing w:val="-64"/>
        </w:rPr>
        <w:t xml:space="preserve"> </w:t>
      </w:r>
      <w:r w:rsidRPr="00446FEC">
        <w:rPr>
          <w:rFonts w:eastAsia="SimSun"/>
        </w:rPr>
        <w:t>incremental</w:t>
      </w:r>
      <w:r w:rsidRPr="00446FEC">
        <w:rPr>
          <w:rFonts w:eastAsia="SimSun"/>
          <w:spacing w:val="-4"/>
        </w:rPr>
        <w:t xml:space="preserve"> </w:t>
      </w:r>
      <w:r w:rsidRPr="00446FEC">
        <w:rPr>
          <w:rFonts w:eastAsia="SimSun"/>
        </w:rPr>
        <w:t>cost</w:t>
      </w:r>
      <w:r w:rsidRPr="00446FEC">
        <w:rPr>
          <w:rFonts w:eastAsia="SimSun"/>
          <w:spacing w:val="-3"/>
        </w:rPr>
        <w:t xml:space="preserve"> </w:t>
      </w:r>
      <w:r w:rsidRPr="00446FEC">
        <w:rPr>
          <w:rFonts w:eastAsia="SimSun"/>
        </w:rPr>
        <w:t>(LRIC),</w:t>
      </w:r>
      <w:r w:rsidRPr="00446FEC">
        <w:rPr>
          <w:rFonts w:eastAsia="SimSun"/>
          <w:spacing w:val="-3"/>
        </w:rPr>
        <w:t xml:space="preserve"> </w:t>
      </w:r>
      <w:r w:rsidRPr="00446FEC">
        <w:rPr>
          <w:rFonts w:eastAsia="SimSun"/>
        </w:rPr>
        <w:t>LRAIC,</w:t>
      </w:r>
      <w:r w:rsidRPr="00446FEC">
        <w:rPr>
          <w:rFonts w:eastAsia="SimSun"/>
          <w:spacing w:val="-3"/>
        </w:rPr>
        <w:t xml:space="preserve"> </w:t>
      </w:r>
      <w:r w:rsidRPr="00446FEC">
        <w:rPr>
          <w:rFonts w:eastAsia="SimSun"/>
        </w:rPr>
        <w:t>LRAIC+</w:t>
      </w:r>
      <w:r w:rsidRPr="00446FEC">
        <w:rPr>
          <w:rFonts w:eastAsia="SimSun"/>
          <w:spacing w:val="-3"/>
        </w:rPr>
        <w:t xml:space="preserve"> </w:t>
      </w:r>
      <w:r w:rsidRPr="00446FEC">
        <w:rPr>
          <w:rFonts w:eastAsia="SimSun"/>
        </w:rPr>
        <w:t>with</w:t>
      </w:r>
      <w:r w:rsidRPr="00446FEC">
        <w:rPr>
          <w:rFonts w:eastAsia="SimSun"/>
          <w:spacing w:val="-3"/>
        </w:rPr>
        <w:t xml:space="preserve"> </w:t>
      </w:r>
      <w:r w:rsidRPr="00446FEC">
        <w:rPr>
          <w:rFonts w:eastAsia="SimSun"/>
        </w:rPr>
        <w:t>a</w:t>
      </w:r>
      <w:r w:rsidRPr="00446FEC">
        <w:rPr>
          <w:rFonts w:eastAsia="SimSun"/>
          <w:spacing w:val="-3"/>
        </w:rPr>
        <w:t xml:space="preserve"> </w:t>
      </w:r>
      <w:r w:rsidRPr="00446FEC">
        <w:rPr>
          <w:rFonts w:eastAsia="SimSun"/>
        </w:rPr>
        <w:t>view</w:t>
      </w:r>
      <w:r w:rsidRPr="00446FEC">
        <w:rPr>
          <w:rFonts w:eastAsia="SimSun"/>
          <w:spacing w:val="-6"/>
        </w:rPr>
        <w:t xml:space="preserve"> </w:t>
      </w:r>
      <w:r w:rsidRPr="00446FEC">
        <w:rPr>
          <w:rFonts w:eastAsia="SimSun"/>
        </w:rPr>
        <w:t>to</w:t>
      </w:r>
      <w:r w:rsidRPr="00446FEC">
        <w:rPr>
          <w:rFonts w:eastAsia="SimSun"/>
          <w:spacing w:val="-2"/>
        </w:rPr>
        <w:t xml:space="preserve"> </w:t>
      </w:r>
      <w:r w:rsidRPr="00446FEC">
        <w:rPr>
          <w:rFonts w:eastAsia="SimSun"/>
        </w:rPr>
        <w:t>ensuring</w:t>
      </w:r>
      <w:r w:rsidRPr="00446FEC">
        <w:rPr>
          <w:rFonts w:eastAsia="SimSun"/>
          <w:spacing w:val="-3"/>
        </w:rPr>
        <w:t xml:space="preserve"> </w:t>
      </w:r>
      <w:r w:rsidRPr="00446FEC">
        <w:rPr>
          <w:rFonts w:eastAsia="SimSun"/>
        </w:rPr>
        <w:t>that</w:t>
      </w:r>
      <w:r w:rsidRPr="00446FEC">
        <w:rPr>
          <w:rFonts w:eastAsia="SimSun"/>
          <w:spacing w:val="-5"/>
        </w:rPr>
        <w:t xml:space="preserve"> </w:t>
      </w:r>
      <w:r w:rsidRPr="00446FEC">
        <w:rPr>
          <w:rFonts w:eastAsia="SimSun"/>
        </w:rPr>
        <w:t>the communications</w:t>
      </w:r>
      <w:r w:rsidRPr="00446FEC">
        <w:rPr>
          <w:rFonts w:eastAsia="SimSun"/>
          <w:spacing w:val="-64"/>
        </w:rPr>
        <w:t xml:space="preserve"> </w:t>
      </w:r>
      <w:r w:rsidRPr="00446FEC">
        <w:rPr>
          <w:rFonts w:eastAsia="SimSun"/>
        </w:rPr>
        <w:t>infrastructure is efficiently utilized, that is both technically and economically. The cost</w:t>
      </w:r>
      <w:r w:rsidRPr="00446FEC">
        <w:rPr>
          <w:rFonts w:eastAsia="SimSun"/>
          <w:spacing w:val="1"/>
        </w:rPr>
        <w:t xml:space="preserve"> </w:t>
      </w:r>
      <w:r w:rsidRPr="00446FEC">
        <w:rPr>
          <w:rFonts w:eastAsia="SimSun"/>
        </w:rPr>
        <w:t>accounting</w:t>
      </w:r>
      <w:r w:rsidRPr="00446FEC">
        <w:rPr>
          <w:rFonts w:eastAsia="SimSun"/>
          <w:spacing w:val="-3"/>
        </w:rPr>
        <w:t xml:space="preserve"> </w:t>
      </w:r>
      <w:r w:rsidRPr="00446FEC">
        <w:rPr>
          <w:rFonts w:eastAsia="SimSun"/>
        </w:rPr>
        <w:t>methods</w:t>
      </w:r>
      <w:r w:rsidRPr="00446FEC">
        <w:rPr>
          <w:rFonts w:eastAsia="SimSun"/>
          <w:spacing w:val="-2"/>
        </w:rPr>
        <w:t xml:space="preserve"> </w:t>
      </w:r>
      <w:r w:rsidRPr="00446FEC">
        <w:rPr>
          <w:rFonts w:eastAsia="SimSun"/>
        </w:rPr>
        <w:t>to</w:t>
      </w:r>
      <w:r w:rsidRPr="00446FEC">
        <w:rPr>
          <w:rFonts w:eastAsia="SimSun"/>
          <w:spacing w:val="-3"/>
        </w:rPr>
        <w:t xml:space="preserve"> </w:t>
      </w:r>
      <w:r w:rsidRPr="00446FEC">
        <w:rPr>
          <w:rFonts w:eastAsia="SimSun"/>
        </w:rPr>
        <w:t>be</w:t>
      </w:r>
      <w:r w:rsidRPr="00446FEC">
        <w:rPr>
          <w:rFonts w:eastAsia="SimSun"/>
          <w:spacing w:val="-3"/>
        </w:rPr>
        <w:t xml:space="preserve"> </w:t>
      </w:r>
      <w:r w:rsidRPr="00446FEC">
        <w:rPr>
          <w:rFonts w:eastAsia="SimSun"/>
        </w:rPr>
        <w:t>used</w:t>
      </w:r>
      <w:r w:rsidRPr="00446FEC">
        <w:rPr>
          <w:rFonts w:eastAsia="SimSun"/>
          <w:spacing w:val="-3"/>
        </w:rPr>
        <w:t xml:space="preserve"> </w:t>
      </w:r>
      <w:r w:rsidRPr="00446FEC">
        <w:rPr>
          <w:rFonts w:eastAsia="SimSun"/>
        </w:rPr>
        <w:t>should</w:t>
      </w:r>
      <w:r w:rsidRPr="00446FEC">
        <w:rPr>
          <w:rFonts w:eastAsia="SimSun"/>
          <w:spacing w:val="-1"/>
        </w:rPr>
        <w:t xml:space="preserve"> </w:t>
      </w:r>
      <w:r w:rsidRPr="00446FEC">
        <w:rPr>
          <w:rFonts w:eastAsia="SimSun"/>
        </w:rPr>
        <w:t>be</w:t>
      </w:r>
      <w:r w:rsidRPr="00446FEC">
        <w:rPr>
          <w:rFonts w:eastAsia="SimSun"/>
          <w:spacing w:val="-1"/>
        </w:rPr>
        <w:t xml:space="preserve"> </w:t>
      </w:r>
      <w:r w:rsidRPr="00446FEC">
        <w:rPr>
          <w:rFonts w:eastAsia="SimSun"/>
        </w:rPr>
        <w:t>objective,</w:t>
      </w:r>
      <w:r w:rsidRPr="00446FEC">
        <w:rPr>
          <w:rFonts w:eastAsia="SimSun"/>
          <w:spacing w:val="-1"/>
        </w:rPr>
        <w:t xml:space="preserve"> </w:t>
      </w:r>
      <w:r w:rsidRPr="00446FEC">
        <w:rPr>
          <w:rFonts w:eastAsia="SimSun"/>
        </w:rPr>
        <w:t>causative</w:t>
      </w:r>
      <w:r w:rsidRPr="00446FEC">
        <w:rPr>
          <w:rFonts w:eastAsia="SimSun"/>
          <w:spacing w:val="-1"/>
        </w:rPr>
        <w:t xml:space="preserve"> </w:t>
      </w:r>
      <w:r w:rsidRPr="00446FEC">
        <w:rPr>
          <w:rFonts w:eastAsia="SimSun"/>
        </w:rPr>
        <w:t>and</w:t>
      </w:r>
      <w:r w:rsidRPr="00446FEC">
        <w:rPr>
          <w:rFonts w:eastAsia="SimSun"/>
          <w:spacing w:val="-1"/>
        </w:rPr>
        <w:t xml:space="preserve"> </w:t>
      </w:r>
      <w:r w:rsidRPr="00446FEC">
        <w:rPr>
          <w:rFonts w:eastAsia="SimSun"/>
        </w:rPr>
        <w:t>transparent.</w:t>
      </w:r>
    </w:p>
    <w:p w14:paraId="03CAF07F" w14:textId="77777777" w:rsidR="007E45C3" w:rsidRPr="00446FEC" w:rsidRDefault="007E45C3" w:rsidP="00FC7E05">
      <w:pPr>
        <w:rPr>
          <w:rFonts w:eastAsia="SimSun"/>
        </w:rPr>
      </w:pPr>
      <w:r w:rsidRPr="00446FEC">
        <w:rPr>
          <w:rFonts w:eastAsia="SimSun"/>
        </w:rPr>
        <w:t>The</w:t>
      </w:r>
      <w:r w:rsidRPr="00446FEC">
        <w:rPr>
          <w:rFonts w:eastAsia="SimSun"/>
          <w:spacing w:val="-6"/>
        </w:rPr>
        <w:t xml:space="preserve"> </w:t>
      </w:r>
      <w:r w:rsidRPr="00446FEC">
        <w:rPr>
          <w:rFonts w:eastAsia="SimSun"/>
        </w:rPr>
        <w:t>aim</w:t>
      </w:r>
      <w:r w:rsidRPr="00446FEC">
        <w:rPr>
          <w:rFonts w:eastAsia="SimSun"/>
          <w:spacing w:val="-5"/>
        </w:rPr>
        <w:t xml:space="preserve"> </w:t>
      </w:r>
      <w:r w:rsidRPr="00446FEC">
        <w:rPr>
          <w:rFonts w:eastAsia="SimSun"/>
        </w:rPr>
        <w:t>of</w:t>
      </w:r>
      <w:r w:rsidRPr="00446FEC">
        <w:rPr>
          <w:rFonts w:eastAsia="SimSun"/>
          <w:spacing w:val="-5"/>
        </w:rPr>
        <w:t xml:space="preserve"> </w:t>
      </w:r>
      <w:r w:rsidRPr="00446FEC">
        <w:rPr>
          <w:rFonts w:eastAsia="SimSun"/>
        </w:rPr>
        <w:t>cost</w:t>
      </w:r>
      <w:r w:rsidRPr="00446FEC">
        <w:rPr>
          <w:rFonts w:eastAsia="SimSun"/>
          <w:spacing w:val="-8"/>
        </w:rPr>
        <w:t xml:space="preserve"> </w:t>
      </w:r>
      <w:r w:rsidRPr="00446FEC">
        <w:rPr>
          <w:rFonts w:eastAsia="SimSun"/>
        </w:rPr>
        <w:t>models</w:t>
      </w:r>
      <w:r w:rsidRPr="00446FEC">
        <w:rPr>
          <w:rFonts w:eastAsia="SimSun"/>
          <w:spacing w:val="-7"/>
        </w:rPr>
        <w:t xml:space="preserve"> </w:t>
      </w:r>
      <w:r w:rsidRPr="00446FEC">
        <w:rPr>
          <w:rFonts w:eastAsia="SimSun"/>
        </w:rPr>
        <w:t>is</w:t>
      </w:r>
      <w:r w:rsidRPr="00446FEC">
        <w:rPr>
          <w:rFonts w:eastAsia="SimSun"/>
          <w:spacing w:val="-7"/>
        </w:rPr>
        <w:t xml:space="preserve"> </w:t>
      </w:r>
      <w:r w:rsidRPr="00446FEC">
        <w:rPr>
          <w:rFonts w:eastAsia="SimSun"/>
        </w:rPr>
        <w:t>to</w:t>
      </w:r>
      <w:r w:rsidRPr="00446FEC">
        <w:rPr>
          <w:rFonts w:eastAsia="SimSun"/>
          <w:spacing w:val="-6"/>
        </w:rPr>
        <w:t xml:space="preserve"> </w:t>
      </w:r>
      <w:r w:rsidRPr="00446FEC">
        <w:rPr>
          <w:rFonts w:eastAsia="SimSun"/>
        </w:rPr>
        <w:t>calculate</w:t>
      </w:r>
      <w:r w:rsidRPr="00446FEC">
        <w:rPr>
          <w:rFonts w:eastAsia="SimSun"/>
          <w:spacing w:val="-6"/>
        </w:rPr>
        <w:t xml:space="preserve"> </w:t>
      </w:r>
      <w:r w:rsidRPr="00446FEC">
        <w:rPr>
          <w:rFonts w:eastAsia="SimSun"/>
        </w:rPr>
        <w:t>the</w:t>
      </w:r>
      <w:r w:rsidRPr="00446FEC">
        <w:rPr>
          <w:rFonts w:eastAsia="SimSun"/>
          <w:spacing w:val="-6"/>
        </w:rPr>
        <w:t xml:space="preserve"> </w:t>
      </w:r>
      <w:r w:rsidRPr="00446FEC">
        <w:rPr>
          <w:rFonts w:eastAsia="SimSun"/>
        </w:rPr>
        <w:t>unit</w:t>
      </w:r>
      <w:r w:rsidRPr="00446FEC">
        <w:rPr>
          <w:rFonts w:eastAsia="SimSun"/>
          <w:spacing w:val="-5"/>
        </w:rPr>
        <w:t xml:space="preserve"> </w:t>
      </w:r>
      <w:r w:rsidRPr="00446FEC">
        <w:rPr>
          <w:rFonts w:eastAsia="SimSun"/>
        </w:rPr>
        <w:t>costs</w:t>
      </w:r>
      <w:r w:rsidRPr="00446FEC">
        <w:rPr>
          <w:rFonts w:eastAsia="SimSun"/>
          <w:spacing w:val="-7"/>
        </w:rPr>
        <w:t xml:space="preserve"> </w:t>
      </w:r>
      <w:r w:rsidRPr="00446FEC">
        <w:rPr>
          <w:rFonts w:eastAsia="SimSun"/>
        </w:rPr>
        <w:t>for</w:t>
      </w:r>
      <w:r w:rsidRPr="00446FEC">
        <w:rPr>
          <w:rFonts w:eastAsia="SimSun"/>
          <w:spacing w:val="-8"/>
        </w:rPr>
        <w:t xml:space="preserve"> </w:t>
      </w:r>
      <w:r w:rsidRPr="00446FEC">
        <w:rPr>
          <w:rFonts w:eastAsia="SimSun"/>
        </w:rPr>
        <w:t>individual</w:t>
      </w:r>
      <w:r w:rsidRPr="00446FEC">
        <w:rPr>
          <w:rFonts w:eastAsia="SimSun"/>
          <w:spacing w:val="-7"/>
        </w:rPr>
        <w:t xml:space="preserve"> </w:t>
      </w:r>
      <w:r w:rsidRPr="00446FEC">
        <w:rPr>
          <w:rFonts w:eastAsia="SimSun"/>
        </w:rPr>
        <w:t>services.</w:t>
      </w:r>
      <w:r w:rsidRPr="00446FEC">
        <w:rPr>
          <w:rFonts w:eastAsia="SimSun"/>
          <w:spacing w:val="-6"/>
        </w:rPr>
        <w:t xml:space="preserve"> </w:t>
      </w:r>
      <w:r w:rsidRPr="00446FEC">
        <w:rPr>
          <w:rFonts w:eastAsia="SimSun"/>
        </w:rPr>
        <w:t>Since</w:t>
      </w:r>
      <w:r w:rsidRPr="00446FEC">
        <w:rPr>
          <w:rFonts w:eastAsia="SimSun"/>
          <w:spacing w:val="-6"/>
        </w:rPr>
        <w:t xml:space="preserve"> </w:t>
      </w:r>
      <w:r w:rsidRPr="00446FEC">
        <w:rPr>
          <w:rFonts w:eastAsia="SimSun"/>
        </w:rPr>
        <w:t>most</w:t>
      </w:r>
      <w:r w:rsidRPr="00446FEC">
        <w:rPr>
          <w:rFonts w:eastAsia="SimSun"/>
          <w:spacing w:val="-5"/>
        </w:rPr>
        <w:t xml:space="preserve"> </w:t>
      </w:r>
      <w:r w:rsidRPr="00446FEC">
        <w:rPr>
          <w:rFonts w:eastAsia="SimSun"/>
        </w:rPr>
        <w:t>of</w:t>
      </w:r>
      <w:r w:rsidRPr="00446FEC">
        <w:rPr>
          <w:rFonts w:eastAsia="SimSun"/>
          <w:spacing w:val="-65"/>
        </w:rPr>
        <w:t xml:space="preserve"> </w:t>
      </w:r>
      <w:r w:rsidRPr="00446FEC">
        <w:rPr>
          <w:rFonts w:eastAsia="SimSun"/>
        </w:rPr>
        <w:t>the costs incurred by a network operator support apply to more than one service, costs</w:t>
      </w:r>
      <w:r w:rsidRPr="00446FEC">
        <w:rPr>
          <w:rFonts w:eastAsia="SimSun"/>
          <w:spacing w:val="1"/>
        </w:rPr>
        <w:t xml:space="preserve"> </w:t>
      </w:r>
      <w:proofErr w:type="gramStart"/>
      <w:r w:rsidRPr="00446FEC">
        <w:rPr>
          <w:rFonts w:eastAsia="SimSun"/>
        </w:rPr>
        <w:t>have to</w:t>
      </w:r>
      <w:proofErr w:type="gramEnd"/>
      <w:r w:rsidRPr="00446FEC">
        <w:rPr>
          <w:rFonts w:eastAsia="SimSun"/>
          <w:spacing w:val="-2"/>
        </w:rPr>
        <w:t xml:space="preserve"> </w:t>
      </w:r>
      <w:r w:rsidRPr="00446FEC">
        <w:rPr>
          <w:rFonts w:eastAsia="SimSun"/>
        </w:rPr>
        <w:t>be</w:t>
      </w:r>
      <w:r w:rsidRPr="00446FEC">
        <w:rPr>
          <w:rFonts w:eastAsia="SimSun"/>
          <w:spacing w:val="-2"/>
        </w:rPr>
        <w:t xml:space="preserve"> </w:t>
      </w:r>
      <w:r w:rsidRPr="00446FEC">
        <w:rPr>
          <w:rFonts w:eastAsia="SimSun"/>
        </w:rPr>
        <w:t>allocated</w:t>
      </w:r>
      <w:r w:rsidRPr="00446FEC">
        <w:rPr>
          <w:rFonts w:eastAsia="SimSun"/>
          <w:spacing w:val="3"/>
        </w:rPr>
        <w:t xml:space="preserve"> </w:t>
      </w:r>
      <w:r w:rsidRPr="00446FEC">
        <w:rPr>
          <w:rFonts w:eastAsia="SimSun"/>
        </w:rPr>
        <w:t>to</w:t>
      </w:r>
      <w:r w:rsidRPr="00446FEC">
        <w:rPr>
          <w:rFonts w:eastAsia="SimSun"/>
          <w:spacing w:val="-1"/>
        </w:rPr>
        <w:t xml:space="preserve"> </w:t>
      </w:r>
      <w:r w:rsidRPr="00446FEC">
        <w:rPr>
          <w:rFonts w:eastAsia="SimSun"/>
        </w:rPr>
        <w:t>services</w:t>
      </w:r>
      <w:r w:rsidRPr="00446FEC">
        <w:rPr>
          <w:rFonts w:eastAsia="SimSun"/>
          <w:spacing w:val="2"/>
        </w:rPr>
        <w:t xml:space="preserve"> </w:t>
      </w:r>
      <w:r w:rsidRPr="00446FEC">
        <w:rPr>
          <w:rFonts w:eastAsia="SimSun"/>
        </w:rPr>
        <w:t>in</w:t>
      </w:r>
      <w:r w:rsidRPr="00446FEC">
        <w:rPr>
          <w:rFonts w:eastAsia="SimSun"/>
          <w:spacing w:val="3"/>
        </w:rPr>
        <w:t xml:space="preserve"> </w:t>
      </w:r>
      <w:r w:rsidRPr="00446FEC">
        <w:rPr>
          <w:rFonts w:eastAsia="SimSun"/>
        </w:rPr>
        <w:t>some manner.</w:t>
      </w:r>
    </w:p>
    <w:p w14:paraId="1B78E2D9" w14:textId="77777777" w:rsidR="007E45C3" w:rsidRPr="00446FEC" w:rsidRDefault="007E45C3" w:rsidP="00FC7E05">
      <w:pPr>
        <w:rPr>
          <w:rFonts w:eastAsia="SimSun"/>
        </w:rPr>
      </w:pPr>
      <w:r w:rsidRPr="00446FEC">
        <w:rPr>
          <w:rFonts w:eastAsia="SimSun"/>
        </w:rPr>
        <w:t>The</w:t>
      </w:r>
      <w:r w:rsidRPr="00446FEC">
        <w:rPr>
          <w:rFonts w:eastAsia="SimSun"/>
          <w:spacing w:val="-4"/>
        </w:rPr>
        <w:t xml:space="preserve"> </w:t>
      </w:r>
      <w:r w:rsidRPr="00446FEC">
        <w:rPr>
          <w:rFonts w:eastAsia="SimSun"/>
        </w:rPr>
        <w:t>choice</w:t>
      </w:r>
      <w:r w:rsidRPr="00446FEC">
        <w:rPr>
          <w:rFonts w:eastAsia="SimSun"/>
          <w:spacing w:val="-6"/>
        </w:rPr>
        <w:t xml:space="preserve"> </w:t>
      </w:r>
      <w:r w:rsidRPr="00446FEC">
        <w:rPr>
          <w:rFonts w:eastAsia="SimSun"/>
        </w:rPr>
        <w:t>of</w:t>
      </w:r>
      <w:r w:rsidRPr="00446FEC">
        <w:rPr>
          <w:rFonts w:eastAsia="SimSun"/>
          <w:spacing w:val="-2"/>
        </w:rPr>
        <w:t xml:space="preserve"> </w:t>
      </w:r>
      <w:r w:rsidRPr="00446FEC">
        <w:rPr>
          <w:rFonts w:eastAsia="SimSun"/>
        </w:rPr>
        <w:t>an</w:t>
      </w:r>
      <w:r w:rsidRPr="00446FEC">
        <w:rPr>
          <w:rFonts w:eastAsia="SimSun"/>
          <w:spacing w:val="-6"/>
        </w:rPr>
        <w:t xml:space="preserve"> </w:t>
      </w:r>
      <w:r w:rsidRPr="00446FEC">
        <w:rPr>
          <w:rFonts w:eastAsia="SimSun"/>
        </w:rPr>
        <w:t>appropriate</w:t>
      </w:r>
      <w:r w:rsidRPr="00446FEC">
        <w:rPr>
          <w:rFonts w:eastAsia="SimSun"/>
          <w:spacing w:val="-3"/>
        </w:rPr>
        <w:t xml:space="preserve"> </w:t>
      </w:r>
      <w:r w:rsidRPr="00446FEC">
        <w:rPr>
          <w:rFonts w:eastAsia="SimSun"/>
        </w:rPr>
        <w:t>costing</w:t>
      </w:r>
      <w:r w:rsidRPr="00446FEC">
        <w:rPr>
          <w:rFonts w:eastAsia="SimSun"/>
          <w:spacing w:val="-6"/>
        </w:rPr>
        <w:t xml:space="preserve"> </w:t>
      </w:r>
      <w:r w:rsidRPr="00446FEC">
        <w:rPr>
          <w:rFonts w:eastAsia="SimSun"/>
        </w:rPr>
        <w:t>approach</w:t>
      </w:r>
      <w:r w:rsidRPr="00446FEC">
        <w:rPr>
          <w:rFonts w:eastAsia="SimSun"/>
          <w:spacing w:val="-4"/>
        </w:rPr>
        <w:t xml:space="preserve"> </w:t>
      </w:r>
      <w:r w:rsidRPr="00446FEC">
        <w:rPr>
          <w:rFonts w:eastAsia="SimSun"/>
        </w:rPr>
        <w:t>should</w:t>
      </w:r>
      <w:r w:rsidRPr="00446FEC">
        <w:rPr>
          <w:rFonts w:eastAsia="SimSun"/>
          <w:spacing w:val="-6"/>
        </w:rPr>
        <w:t xml:space="preserve"> </w:t>
      </w:r>
      <w:r w:rsidRPr="00446FEC">
        <w:rPr>
          <w:rFonts w:eastAsia="SimSun"/>
        </w:rPr>
        <w:t>be</w:t>
      </w:r>
      <w:r w:rsidRPr="00446FEC">
        <w:rPr>
          <w:rFonts w:eastAsia="SimSun"/>
          <w:spacing w:val="-5"/>
        </w:rPr>
        <w:t xml:space="preserve"> </w:t>
      </w:r>
      <w:r w:rsidRPr="00446FEC">
        <w:rPr>
          <w:rFonts w:eastAsia="SimSun"/>
        </w:rPr>
        <w:t>made</w:t>
      </w:r>
      <w:r w:rsidRPr="00446FEC">
        <w:rPr>
          <w:rFonts w:eastAsia="SimSun"/>
          <w:spacing w:val="-4"/>
        </w:rPr>
        <w:t xml:space="preserve"> </w:t>
      </w:r>
      <w:r w:rsidRPr="00446FEC">
        <w:rPr>
          <w:rFonts w:eastAsia="SimSun"/>
        </w:rPr>
        <w:t>based</w:t>
      </w:r>
      <w:r w:rsidRPr="00446FEC">
        <w:rPr>
          <w:rFonts w:eastAsia="SimSun"/>
          <w:spacing w:val="-4"/>
        </w:rPr>
        <w:t xml:space="preserve"> </w:t>
      </w:r>
      <w:r w:rsidRPr="00446FEC">
        <w:rPr>
          <w:rFonts w:eastAsia="SimSun"/>
        </w:rPr>
        <w:t>on</w:t>
      </w:r>
      <w:r w:rsidRPr="00446FEC">
        <w:rPr>
          <w:rFonts w:eastAsia="SimSun"/>
          <w:spacing w:val="-4"/>
        </w:rPr>
        <w:t xml:space="preserve"> </w:t>
      </w:r>
      <w:r w:rsidRPr="00446FEC">
        <w:rPr>
          <w:rFonts w:eastAsia="SimSun"/>
        </w:rPr>
        <w:t>the</w:t>
      </w:r>
      <w:r w:rsidRPr="00446FEC">
        <w:rPr>
          <w:rFonts w:eastAsia="SimSun"/>
          <w:spacing w:val="-4"/>
        </w:rPr>
        <w:t xml:space="preserve"> </w:t>
      </w:r>
      <w:r w:rsidRPr="00446FEC">
        <w:rPr>
          <w:rFonts w:eastAsia="SimSun"/>
        </w:rPr>
        <w:t>analysis</w:t>
      </w:r>
      <w:r w:rsidRPr="00446FEC">
        <w:rPr>
          <w:rFonts w:eastAsia="SimSun"/>
          <w:spacing w:val="-5"/>
        </w:rPr>
        <w:t xml:space="preserve"> </w:t>
      </w:r>
      <w:r w:rsidRPr="00446FEC">
        <w:rPr>
          <w:rFonts w:eastAsia="SimSun"/>
        </w:rPr>
        <w:t>of</w:t>
      </w:r>
      <w:r w:rsidRPr="00446FEC">
        <w:rPr>
          <w:rFonts w:eastAsia="SimSun"/>
          <w:spacing w:val="-64"/>
        </w:rPr>
        <w:t xml:space="preserve"> </w:t>
      </w:r>
      <w:proofErr w:type="gramStart"/>
      <w:r w:rsidRPr="00446FEC">
        <w:rPr>
          <w:rFonts w:eastAsia="SimSun"/>
        </w:rPr>
        <w:t>a number of</w:t>
      </w:r>
      <w:proofErr w:type="gramEnd"/>
      <w:r w:rsidRPr="00446FEC">
        <w:rPr>
          <w:rFonts w:eastAsia="SimSun"/>
        </w:rPr>
        <w:t xml:space="preserve"> key factors. These factors are geared towards ultimate achievement of</w:t>
      </w:r>
      <w:r w:rsidRPr="00446FEC">
        <w:rPr>
          <w:rFonts w:eastAsia="SimSun"/>
          <w:spacing w:val="1"/>
        </w:rPr>
        <w:t xml:space="preserve"> </w:t>
      </w:r>
      <w:r w:rsidRPr="00446FEC">
        <w:rPr>
          <w:rFonts w:eastAsia="SimSun"/>
        </w:rPr>
        <w:t>various</w:t>
      </w:r>
      <w:r w:rsidRPr="00446FEC">
        <w:rPr>
          <w:rFonts w:eastAsia="SimSun"/>
          <w:spacing w:val="1"/>
        </w:rPr>
        <w:t xml:space="preserve"> </w:t>
      </w:r>
      <w:r w:rsidRPr="00446FEC">
        <w:rPr>
          <w:rFonts w:eastAsia="SimSun"/>
        </w:rPr>
        <w:t>regulatory</w:t>
      </w:r>
      <w:r w:rsidRPr="00446FEC">
        <w:rPr>
          <w:rFonts w:eastAsia="SimSun"/>
          <w:spacing w:val="1"/>
        </w:rPr>
        <w:t xml:space="preserve"> </w:t>
      </w:r>
      <w:r w:rsidRPr="00446FEC">
        <w:rPr>
          <w:rFonts w:eastAsia="SimSun"/>
        </w:rPr>
        <w:t>objectives,</w:t>
      </w:r>
      <w:r w:rsidRPr="00446FEC">
        <w:rPr>
          <w:rFonts w:eastAsia="SimSun"/>
          <w:spacing w:val="1"/>
        </w:rPr>
        <w:t xml:space="preserve"> </w:t>
      </w:r>
      <w:r w:rsidRPr="00446FEC">
        <w:rPr>
          <w:rFonts w:eastAsia="SimSun"/>
        </w:rPr>
        <w:t>which</w:t>
      </w:r>
      <w:r w:rsidRPr="00446FEC">
        <w:rPr>
          <w:rFonts w:eastAsia="SimSun"/>
          <w:spacing w:val="1"/>
        </w:rPr>
        <w:t xml:space="preserve"> </w:t>
      </w:r>
      <w:r w:rsidRPr="00446FEC">
        <w:rPr>
          <w:rFonts w:eastAsia="SimSun"/>
        </w:rPr>
        <w:t>include</w:t>
      </w:r>
      <w:r w:rsidRPr="00446FEC">
        <w:rPr>
          <w:rFonts w:eastAsia="SimSun"/>
          <w:spacing w:val="1"/>
        </w:rPr>
        <w:t xml:space="preserve"> </w:t>
      </w:r>
      <w:r w:rsidRPr="00446FEC">
        <w:rPr>
          <w:rFonts w:eastAsia="SimSun"/>
        </w:rPr>
        <w:t>economic</w:t>
      </w:r>
      <w:r w:rsidRPr="00446FEC">
        <w:rPr>
          <w:rFonts w:eastAsia="SimSun"/>
          <w:spacing w:val="1"/>
        </w:rPr>
        <w:t xml:space="preserve"> </w:t>
      </w:r>
      <w:r w:rsidRPr="00446FEC">
        <w:rPr>
          <w:rFonts w:eastAsia="SimSun"/>
        </w:rPr>
        <w:t>efficiency,</w:t>
      </w:r>
      <w:r w:rsidRPr="00446FEC">
        <w:rPr>
          <w:rFonts w:eastAsia="SimSun"/>
          <w:spacing w:val="1"/>
        </w:rPr>
        <w:t xml:space="preserve"> </w:t>
      </w:r>
      <w:r w:rsidRPr="00446FEC">
        <w:rPr>
          <w:rFonts w:eastAsia="SimSun"/>
        </w:rPr>
        <w:t>promotion</w:t>
      </w:r>
      <w:r w:rsidRPr="00446FEC">
        <w:rPr>
          <w:rFonts w:eastAsia="SimSun"/>
          <w:spacing w:val="1"/>
        </w:rPr>
        <w:t xml:space="preserve"> </w:t>
      </w:r>
      <w:r w:rsidRPr="00446FEC">
        <w:rPr>
          <w:rFonts w:eastAsia="SimSun"/>
        </w:rPr>
        <w:t>of</w:t>
      </w:r>
      <w:r w:rsidRPr="00446FEC">
        <w:rPr>
          <w:rFonts w:eastAsia="SimSun"/>
          <w:spacing w:val="-64"/>
        </w:rPr>
        <w:t xml:space="preserve"> </w:t>
      </w:r>
      <w:r w:rsidRPr="00446FEC">
        <w:rPr>
          <w:rFonts w:eastAsia="SimSun"/>
        </w:rPr>
        <w:t>competition and stimulation of investments. Economic efficiency can be split into the</w:t>
      </w:r>
      <w:r w:rsidRPr="00446FEC">
        <w:rPr>
          <w:rFonts w:eastAsia="SimSun"/>
          <w:spacing w:val="1"/>
        </w:rPr>
        <w:t xml:space="preserve"> </w:t>
      </w:r>
      <w:r w:rsidRPr="00446FEC">
        <w:rPr>
          <w:rFonts w:eastAsia="SimSun"/>
        </w:rPr>
        <w:t>following</w:t>
      </w:r>
      <w:r w:rsidRPr="00446FEC">
        <w:rPr>
          <w:rFonts w:eastAsia="SimSun"/>
          <w:spacing w:val="-2"/>
        </w:rPr>
        <w:t xml:space="preserve"> </w:t>
      </w:r>
      <w:r w:rsidRPr="00446FEC">
        <w:rPr>
          <w:rFonts w:eastAsia="SimSun"/>
        </w:rPr>
        <w:t>main types:</w:t>
      </w:r>
    </w:p>
    <w:p w14:paraId="07A366D8" w14:textId="5DF4167A" w:rsidR="007E45C3" w:rsidRPr="00446FEC" w:rsidRDefault="00FC7E05" w:rsidP="00FC7E05">
      <w:pPr>
        <w:pStyle w:val="enumlev1"/>
        <w:rPr>
          <w:rFonts w:eastAsia="SimSun"/>
        </w:rPr>
      </w:pPr>
      <w:r w:rsidRPr="00446FEC">
        <w:rPr>
          <w:rFonts w:eastAsia="SimSun"/>
          <w:iCs/>
        </w:rPr>
        <w:t>a)</w:t>
      </w:r>
      <w:r w:rsidRPr="00446FEC">
        <w:rPr>
          <w:rFonts w:eastAsia="SimSun"/>
          <w:i/>
        </w:rPr>
        <w:tab/>
      </w:r>
      <w:r w:rsidR="007E45C3" w:rsidRPr="00446FEC">
        <w:rPr>
          <w:rFonts w:eastAsia="SimSun"/>
          <w:i/>
        </w:rPr>
        <w:t>Allocative efficiency</w:t>
      </w:r>
      <w:r w:rsidR="007E45C3" w:rsidRPr="00446FEC">
        <w:rPr>
          <w:rFonts w:eastAsia="SimSun"/>
        </w:rPr>
        <w:t>: in case of allocative efficiency, scarce resources should</w:t>
      </w:r>
      <w:r w:rsidR="007E45C3" w:rsidRPr="00446FEC">
        <w:rPr>
          <w:rFonts w:eastAsia="SimSun"/>
          <w:spacing w:val="1"/>
        </w:rPr>
        <w:t xml:space="preserve"> </w:t>
      </w:r>
      <w:r w:rsidR="007E45C3" w:rsidRPr="00446FEC">
        <w:rPr>
          <w:rFonts w:eastAsia="SimSun"/>
        </w:rPr>
        <w:t>be allocated in an economically efficient manner. In economic theory, this</w:t>
      </w:r>
      <w:r w:rsidR="007E45C3" w:rsidRPr="00446FEC">
        <w:rPr>
          <w:rFonts w:eastAsia="SimSun"/>
          <w:spacing w:val="1"/>
        </w:rPr>
        <w:t xml:space="preserve"> </w:t>
      </w:r>
      <w:r w:rsidR="007E45C3" w:rsidRPr="00446FEC">
        <w:rPr>
          <w:rFonts w:eastAsia="SimSun"/>
        </w:rPr>
        <w:t>occurs when price approaches marginal costs. Allocative efficiency suggests</w:t>
      </w:r>
      <w:r w:rsidR="007E45C3" w:rsidRPr="00446FEC">
        <w:rPr>
          <w:rFonts w:eastAsia="SimSun"/>
          <w:spacing w:val="1"/>
        </w:rPr>
        <w:t xml:space="preserve"> </w:t>
      </w:r>
      <w:r w:rsidR="007E45C3" w:rsidRPr="00446FEC">
        <w:rPr>
          <w:rFonts w:eastAsia="SimSun"/>
        </w:rPr>
        <w:t>that</w:t>
      </w:r>
      <w:r w:rsidR="007E45C3" w:rsidRPr="00446FEC">
        <w:rPr>
          <w:rFonts w:eastAsia="SimSun"/>
          <w:spacing w:val="-5"/>
        </w:rPr>
        <w:t xml:space="preserve"> </w:t>
      </w:r>
      <w:r w:rsidR="007E45C3" w:rsidRPr="00446FEC">
        <w:rPr>
          <w:rFonts w:eastAsia="SimSun"/>
        </w:rPr>
        <w:t>one</w:t>
      </w:r>
      <w:r w:rsidR="007E45C3" w:rsidRPr="00446FEC">
        <w:rPr>
          <w:rFonts w:eastAsia="SimSun"/>
          <w:spacing w:val="-4"/>
        </w:rPr>
        <w:t xml:space="preserve"> </w:t>
      </w:r>
      <w:r w:rsidR="007E45C3" w:rsidRPr="00446FEC">
        <w:rPr>
          <w:rFonts w:eastAsia="SimSun"/>
        </w:rPr>
        <w:t>group</w:t>
      </w:r>
      <w:r w:rsidR="007E45C3" w:rsidRPr="00446FEC">
        <w:rPr>
          <w:rFonts w:eastAsia="SimSun"/>
          <w:spacing w:val="-6"/>
        </w:rPr>
        <w:t xml:space="preserve"> </w:t>
      </w:r>
      <w:r w:rsidR="007E45C3" w:rsidRPr="00446FEC">
        <w:rPr>
          <w:rFonts w:eastAsia="SimSun"/>
        </w:rPr>
        <w:t>of</w:t>
      </w:r>
      <w:r w:rsidR="007E45C3" w:rsidRPr="00446FEC">
        <w:rPr>
          <w:rFonts w:eastAsia="SimSun"/>
          <w:spacing w:val="-3"/>
        </w:rPr>
        <w:t xml:space="preserve"> </w:t>
      </w:r>
      <w:r w:rsidR="007E45C3" w:rsidRPr="00446FEC">
        <w:rPr>
          <w:rFonts w:eastAsia="SimSun"/>
        </w:rPr>
        <w:t>customers</w:t>
      </w:r>
      <w:r w:rsidR="007E45C3" w:rsidRPr="00446FEC">
        <w:rPr>
          <w:rFonts w:eastAsia="SimSun"/>
          <w:spacing w:val="-5"/>
        </w:rPr>
        <w:t xml:space="preserve"> </w:t>
      </w:r>
      <w:r w:rsidR="007E45C3" w:rsidRPr="00446FEC">
        <w:rPr>
          <w:rFonts w:eastAsia="SimSun"/>
        </w:rPr>
        <w:t>should</w:t>
      </w:r>
      <w:r w:rsidR="007E45C3" w:rsidRPr="00446FEC">
        <w:rPr>
          <w:rFonts w:eastAsia="SimSun"/>
          <w:spacing w:val="-4"/>
        </w:rPr>
        <w:t xml:space="preserve"> </w:t>
      </w:r>
      <w:r w:rsidR="007E45C3" w:rsidRPr="00446FEC">
        <w:rPr>
          <w:rFonts w:eastAsia="SimSun"/>
        </w:rPr>
        <w:t>not subsidize</w:t>
      </w:r>
      <w:r w:rsidR="007E45C3" w:rsidRPr="00446FEC">
        <w:rPr>
          <w:rFonts w:eastAsia="SimSun"/>
          <w:spacing w:val="-4"/>
        </w:rPr>
        <w:t xml:space="preserve"> </w:t>
      </w:r>
      <w:r w:rsidR="007E45C3" w:rsidRPr="00446FEC">
        <w:rPr>
          <w:rFonts w:eastAsia="SimSun"/>
        </w:rPr>
        <w:t>another</w:t>
      </w:r>
      <w:r w:rsidR="007E45C3" w:rsidRPr="00446FEC">
        <w:rPr>
          <w:rFonts w:eastAsia="SimSun"/>
          <w:spacing w:val="-5"/>
        </w:rPr>
        <w:t xml:space="preserve"> </w:t>
      </w:r>
      <w:r w:rsidR="007E45C3" w:rsidRPr="00446FEC">
        <w:rPr>
          <w:rFonts w:eastAsia="SimSun"/>
        </w:rPr>
        <w:t>group</w:t>
      </w:r>
      <w:r w:rsidR="007E45C3" w:rsidRPr="00446FEC">
        <w:rPr>
          <w:rFonts w:eastAsia="SimSun"/>
          <w:spacing w:val="-4"/>
        </w:rPr>
        <w:t xml:space="preserve"> </w:t>
      </w:r>
      <w:r w:rsidR="007E45C3" w:rsidRPr="00446FEC">
        <w:rPr>
          <w:rFonts w:eastAsia="SimSun"/>
        </w:rPr>
        <w:t>of</w:t>
      </w:r>
      <w:r w:rsidR="007E45C3" w:rsidRPr="00446FEC">
        <w:rPr>
          <w:rFonts w:eastAsia="SimSun"/>
          <w:spacing w:val="-3"/>
        </w:rPr>
        <w:t xml:space="preserve"> </w:t>
      </w:r>
      <w:r w:rsidR="007E45C3" w:rsidRPr="00446FEC">
        <w:rPr>
          <w:rFonts w:eastAsia="SimSun"/>
        </w:rPr>
        <w:t>customers.</w:t>
      </w:r>
    </w:p>
    <w:p w14:paraId="22AD0EF0" w14:textId="4BD21084" w:rsidR="007E45C3" w:rsidRPr="00446FEC" w:rsidRDefault="00FC7E05" w:rsidP="00FC7E05">
      <w:pPr>
        <w:pStyle w:val="enumlev1"/>
        <w:rPr>
          <w:rFonts w:eastAsia="SimSun"/>
        </w:rPr>
      </w:pPr>
      <w:r w:rsidRPr="00446FEC">
        <w:rPr>
          <w:rFonts w:eastAsia="SimSun"/>
          <w:iCs/>
        </w:rPr>
        <w:t>b)</w:t>
      </w:r>
      <w:r w:rsidRPr="00446FEC">
        <w:rPr>
          <w:rFonts w:eastAsia="SimSun"/>
          <w:i/>
        </w:rPr>
        <w:tab/>
      </w:r>
      <w:r w:rsidR="007E45C3" w:rsidRPr="00446FEC">
        <w:rPr>
          <w:rFonts w:eastAsia="SimSun"/>
          <w:i/>
        </w:rPr>
        <w:t>Productive</w:t>
      </w:r>
      <w:r w:rsidR="007E45C3" w:rsidRPr="00446FEC">
        <w:rPr>
          <w:rFonts w:eastAsia="SimSun"/>
          <w:i/>
          <w:spacing w:val="1"/>
        </w:rPr>
        <w:t xml:space="preserve"> </w:t>
      </w:r>
      <w:r w:rsidR="007E45C3" w:rsidRPr="00446FEC">
        <w:rPr>
          <w:rFonts w:eastAsia="SimSun"/>
          <w:i/>
        </w:rPr>
        <w:t>efficiency</w:t>
      </w:r>
      <w:r w:rsidR="007E45C3" w:rsidRPr="00446FEC">
        <w:rPr>
          <w:rFonts w:eastAsia="SimSun"/>
        </w:rPr>
        <w:t>:</w:t>
      </w:r>
      <w:r w:rsidR="007E45C3" w:rsidRPr="00446FEC">
        <w:rPr>
          <w:rFonts w:eastAsia="SimSun"/>
          <w:spacing w:val="1"/>
        </w:rPr>
        <w:t xml:space="preserve"> </w:t>
      </w:r>
      <w:r w:rsidR="007E45C3" w:rsidRPr="00446FEC">
        <w:rPr>
          <w:rFonts w:eastAsia="SimSun"/>
        </w:rPr>
        <w:t>to</w:t>
      </w:r>
      <w:r w:rsidR="007E45C3" w:rsidRPr="00446FEC">
        <w:rPr>
          <w:rFonts w:eastAsia="SimSun"/>
          <w:spacing w:val="1"/>
        </w:rPr>
        <w:t xml:space="preserve"> </w:t>
      </w:r>
      <w:r w:rsidR="007E45C3" w:rsidRPr="00446FEC">
        <w:rPr>
          <w:rFonts w:eastAsia="SimSun"/>
        </w:rPr>
        <w:t>be</w:t>
      </w:r>
      <w:r w:rsidR="007E45C3" w:rsidRPr="00446FEC">
        <w:rPr>
          <w:rFonts w:eastAsia="SimSun"/>
          <w:spacing w:val="1"/>
        </w:rPr>
        <w:t xml:space="preserve"> </w:t>
      </w:r>
      <w:r w:rsidR="007E45C3" w:rsidRPr="00446FEC">
        <w:rPr>
          <w:rFonts w:eastAsia="SimSun"/>
        </w:rPr>
        <w:t>considered</w:t>
      </w:r>
      <w:r w:rsidR="007E45C3" w:rsidRPr="00446FEC">
        <w:rPr>
          <w:rFonts w:eastAsia="SimSun"/>
          <w:spacing w:val="1"/>
        </w:rPr>
        <w:t xml:space="preserve"> </w:t>
      </w:r>
      <w:r w:rsidR="007E45C3" w:rsidRPr="00446FEC">
        <w:rPr>
          <w:rFonts w:eastAsia="SimSun"/>
        </w:rPr>
        <w:t>as</w:t>
      </w:r>
      <w:r w:rsidR="007E45C3" w:rsidRPr="00446FEC">
        <w:rPr>
          <w:rFonts w:eastAsia="SimSun"/>
          <w:spacing w:val="1"/>
        </w:rPr>
        <w:t xml:space="preserve"> </w:t>
      </w:r>
      <w:r w:rsidR="007E45C3" w:rsidRPr="00446FEC">
        <w:rPr>
          <w:rFonts w:eastAsia="SimSun"/>
        </w:rPr>
        <w:t>productively</w:t>
      </w:r>
      <w:r w:rsidR="007E45C3" w:rsidRPr="00446FEC">
        <w:rPr>
          <w:rFonts w:eastAsia="SimSun"/>
          <w:spacing w:val="1"/>
        </w:rPr>
        <w:t xml:space="preserve"> </w:t>
      </w:r>
      <w:r w:rsidR="007E45C3" w:rsidRPr="00446FEC">
        <w:rPr>
          <w:rFonts w:eastAsia="SimSun"/>
        </w:rPr>
        <w:t>efficient,</w:t>
      </w:r>
      <w:r w:rsidR="007E45C3" w:rsidRPr="00446FEC">
        <w:rPr>
          <w:rFonts w:eastAsia="SimSun"/>
          <w:spacing w:val="1"/>
        </w:rPr>
        <w:t xml:space="preserve"> </w:t>
      </w:r>
      <w:r w:rsidR="007E45C3" w:rsidRPr="00446FEC">
        <w:rPr>
          <w:rFonts w:eastAsia="SimSun"/>
        </w:rPr>
        <w:t>cost</w:t>
      </w:r>
      <w:r w:rsidR="007E45C3" w:rsidRPr="00446FEC">
        <w:rPr>
          <w:rFonts w:eastAsia="SimSun"/>
          <w:spacing w:val="1"/>
        </w:rPr>
        <w:t xml:space="preserve"> </w:t>
      </w:r>
      <w:r w:rsidR="007E45C3" w:rsidRPr="00446FEC">
        <w:rPr>
          <w:rFonts w:eastAsia="SimSun"/>
        </w:rPr>
        <w:t>of</w:t>
      </w:r>
      <w:r w:rsidR="007E45C3" w:rsidRPr="00446FEC">
        <w:rPr>
          <w:rFonts w:eastAsia="SimSun"/>
          <w:spacing w:val="1"/>
        </w:rPr>
        <w:t xml:space="preserve"> </w:t>
      </w:r>
      <w:r w:rsidR="007E45C3" w:rsidRPr="00446FEC">
        <w:rPr>
          <w:rFonts w:eastAsia="SimSun"/>
        </w:rPr>
        <w:t>production</w:t>
      </w:r>
      <w:r w:rsidR="007E45C3" w:rsidRPr="00446FEC">
        <w:rPr>
          <w:rFonts w:eastAsia="SimSun"/>
          <w:spacing w:val="1"/>
        </w:rPr>
        <w:t xml:space="preserve"> </w:t>
      </w:r>
      <w:r w:rsidR="007E45C3" w:rsidRPr="00446FEC">
        <w:rPr>
          <w:rFonts w:eastAsia="SimSun"/>
        </w:rPr>
        <w:t>should</w:t>
      </w:r>
      <w:r w:rsidR="007E45C3" w:rsidRPr="00446FEC">
        <w:rPr>
          <w:rFonts w:eastAsia="SimSun"/>
          <w:spacing w:val="1"/>
        </w:rPr>
        <w:t xml:space="preserve"> </w:t>
      </w:r>
      <w:r w:rsidR="007E45C3" w:rsidRPr="00446FEC">
        <w:rPr>
          <w:rFonts w:eastAsia="SimSun"/>
        </w:rPr>
        <w:t>be</w:t>
      </w:r>
      <w:r w:rsidR="007E45C3" w:rsidRPr="00446FEC">
        <w:rPr>
          <w:rFonts w:eastAsia="SimSun"/>
          <w:spacing w:val="1"/>
        </w:rPr>
        <w:t xml:space="preserve"> </w:t>
      </w:r>
      <w:r w:rsidR="007E45C3" w:rsidRPr="00446FEC">
        <w:rPr>
          <w:rFonts w:eastAsia="SimSun"/>
        </w:rPr>
        <w:t>minimized.</w:t>
      </w:r>
      <w:r w:rsidR="007E45C3" w:rsidRPr="00446FEC">
        <w:rPr>
          <w:rFonts w:eastAsia="SimSun"/>
          <w:spacing w:val="1"/>
        </w:rPr>
        <w:t xml:space="preserve"> </w:t>
      </w:r>
      <w:r w:rsidR="007E45C3" w:rsidRPr="00446FEC">
        <w:rPr>
          <w:rFonts w:eastAsia="SimSun"/>
        </w:rPr>
        <w:t>For</w:t>
      </w:r>
      <w:r w:rsidR="007E45C3" w:rsidRPr="00446FEC">
        <w:rPr>
          <w:rFonts w:eastAsia="SimSun"/>
          <w:spacing w:val="1"/>
        </w:rPr>
        <w:t xml:space="preserve"> </w:t>
      </w:r>
      <w:r w:rsidR="007E45C3" w:rsidRPr="00446FEC">
        <w:rPr>
          <w:rFonts w:eastAsia="SimSun"/>
        </w:rPr>
        <w:t>the</w:t>
      </w:r>
      <w:r w:rsidR="007E45C3" w:rsidRPr="00446FEC">
        <w:rPr>
          <w:rFonts w:eastAsia="SimSun"/>
          <w:spacing w:val="1"/>
        </w:rPr>
        <w:t xml:space="preserve"> </w:t>
      </w:r>
      <w:r w:rsidR="007E45C3" w:rsidRPr="00446FEC">
        <w:rPr>
          <w:rFonts w:eastAsia="SimSun"/>
        </w:rPr>
        <w:t>purposes</w:t>
      </w:r>
      <w:r w:rsidR="007E45C3" w:rsidRPr="00446FEC">
        <w:rPr>
          <w:rFonts w:eastAsia="SimSun"/>
          <w:spacing w:val="1"/>
        </w:rPr>
        <w:t xml:space="preserve"> </w:t>
      </w:r>
      <w:r w:rsidR="007E45C3" w:rsidRPr="00446FEC">
        <w:rPr>
          <w:rFonts w:eastAsia="SimSun"/>
        </w:rPr>
        <w:t>of</w:t>
      </w:r>
      <w:r w:rsidR="007E45C3" w:rsidRPr="00446FEC">
        <w:rPr>
          <w:rFonts w:eastAsia="SimSun"/>
          <w:spacing w:val="1"/>
        </w:rPr>
        <w:t xml:space="preserve"> </w:t>
      </w:r>
      <w:r w:rsidR="007E45C3" w:rsidRPr="00446FEC">
        <w:rPr>
          <w:rFonts w:eastAsia="SimSun"/>
        </w:rPr>
        <w:t>regulatory</w:t>
      </w:r>
      <w:r w:rsidR="007E45C3" w:rsidRPr="00446FEC">
        <w:rPr>
          <w:rFonts w:eastAsia="SimSun"/>
          <w:spacing w:val="1"/>
        </w:rPr>
        <w:t xml:space="preserve"> </w:t>
      </w:r>
      <w:r w:rsidR="007E45C3" w:rsidRPr="00446FEC">
        <w:rPr>
          <w:rFonts w:eastAsia="SimSun"/>
        </w:rPr>
        <w:t>costing,</w:t>
      </w:r>
      <w:r w:rsidR="007E45C3" w:rsidRPr="00446FEC">
        <w:rPr>
          <w:rFonts w:eastAsia="SimSun"/>
          <w:spacing w:val="1"/>
        </w:rPr>
        <w:t xml:space="preserve"> </w:t>
      </w:r>
      <w:r w:rsidR="007E45C3" w:rsidRPr="00446FEC">
        <w:rPr>
          <w:rFonts w:eastAsia="SimSun"/>
        </w:rPr>
        <w:t>productive efficiency is not a primary concern since all operators have enough</w:t>
      </w:r>
      <w:r w:rsidR="007E45C3" w:rsidRPr="00446FEC">
        <w:rPr>
          <w:rFonts w:eastAsia="SimSun"/>
          <w:spacing w:val="-64"/>
        </w:rPr>
        <w:t xml:space="preserve"> </w:t>
      </w:r>
      <w:r w:rsidR="007E45C3" w:rsidRPr="00446FEC">
        <w:rPr>
          <w:rFonts w:eastAsia="SimSun"/>
        </w:rPr>
        <w:t>commercial incentives to be productively efficient regardless of the regulated</w:t>
      </w:r>
      <w:r w:rsidR="007E45C3" w:rsidRPr="00446FEC">
        <w:rPr>
          <w:rFonts w:eastAsia="SimSun"/>
          <w:spacing w:val="1"/>
        </w:rPr>
        <w:t xml:space="preserve"> </w:t>
      </w:r>
      <w:r w:rsidR="007E45C3" w:rsidRPr="00446FEC">
        <w:rPr>
          <w:rFonts w:eastAsia="SimSun"/>
        </w:rPr>
        <w:t>pricing.</w:t>
      </w:r>
    </w:p>
    <w:p w14:paraId="6422D5F1" w14:textId="77777777" w:rsidR="007E45C3" w:rsidRPr="00446FEC" w:rsidRDefault="007E45C3" w:rsidP="00D47393">
      <w:pPr>
        <w:pStyle w:val="Headingb"/>
        <w:rPr>
          <w:i/>
        </w:rPr>
      </w:pPr>
      <w:r w:rsidRPr="00446FEC">
        <w:t>Role of Member States in determination of charges</w:t>
      </w:r>
    </w:p>
    <w:p w14:paraId="277666B4" w14:textId="540BD9F1" w:rsidR="007E45C3" w:rsidRPr="00446FEC" w:rsidRDefault="007E45C3" w:rsidP="00D47393">
      <w:pPr>
        <w:rPr>
          <w:rFonts w:eastAsia="SimSun"/>
        </w:rPr>
      </w:pPr>
      <w:r w:rsidRPr="00446FEC">
        <w:rPr>
          <w:rFonts w:eastAsia="SimSun"/>
        </w:rPr>
        <w:t>The</w:t>
      </w:r>
      <w:r w:rsidRPr="00446FEC">
        <w:rPr>
          <w:rFonts w:eastAsia="SimSun"/>
          <w:spacing w:val="-2"/>
        </w:rPr>
        <w:t xml:space="preserve"> </w:t>
      </w:r>
      <w:r w:rsidRPr="00446FEC">
        <w:rPr>
          <w:rFonts w:eastAsia="SimSun"/>
        </w:rPr>
        <w:t>NRA</w:t>
      </w:r>
      <w:r w:rsidR="006E6D1D" w:rsidRPr="00446FEC">
        <w:rPr>
          <w:rFonts w:eastAsia="SimSun"/>
        </w:rPr>
        <w:t>'</w:t>
      </w:r>
      <w:r w:rsidRPr="00446FEC">
        <w:rPr>
          <w:rFonts w:eastAsia="SimSun"/>
        </w:rPr>
        <w:t>s</w:t>
      </w:r>
      <w:r w:rsidRPr="00446FEC">
        <w:rPr>
          <w:rFonts w:eastAsia="SimSun"/>
          <w:spacing w:val="-3"/>
        </w:rPr>
        <w:t xml:space="preserve"> </w:t>
      </w:r>
      <w:r w:rsidRPr="00446FEC">
        <w:rPr>
          <w:rFonts w:eastAsia="SimSun"/>
        </w:rPr>
        <w:t>have</w:t>
      </w:r>
      <w:r w:rsidRPr="00446FEC">
        <w:rPr>
          <w:rFonts w:eastAsia="SimSun"/>
          <w:spacing w:val="-1"/>
        </w:rPr>
        <w:t xml:space="preserve"> </w:t>
      </w:r>
      <w:r w:rsidRPr="00446FEC">
        <w:rPr>
          <w:rFonts w:eastAsia="SimSun"/>
        </w:rPr>
        <w:t>the</w:t>
      </w:r>
      <w:r w:rsidRPr="00446FEC">
        <w:rPr>
          <w:rFonts w:eastAsia="SimSun"/>
          <w:spacing w:val="-2"/>
        </w:rPr>
        <w:t xml:space="preserve"> </w:t>
      </w:r>
      <w:r w:rsidRPr="00446FEC">
        <w:rPr>
          <w:rFonts w:eastAsia="SimSun"/>
        </w:rPr>
        <w:t>responsibility</w:t>
      </w:r>
      <w:r w:rsidRPr="00446FEC">
        <w:rPr>
          <w:rFonts w:eastAsia="SimSun"/>
          <w:spacing w:val="-4"/>
        </w:rPr>
        <w:t xml:space="preserve"> </w:t>
      </w:r>
      <w:r w:rsidRPr="00446FEC">
        <w:rPr>
          <w:rFonts w:eastAsia="SimSun"/>
        </w:rPr>
        <w:t>under</w:t>
      </w:r>
      <w:r w:rsidRPr="00446FEC">
        <w:rPr>
          <w:rFonts w:eastAsia="SimSun"/>
          <w:spacing w:val="-1"/>
        </w:rPr>
        <w:t xml:space="preserve"> </w:t>
      </w:r>
      <w:r w:rsidRPr="00446FEC">
        <w:rPr>
          <w:rFonts w:eastAsia="SimSun"/>
        </w:rPr>
        <w:t>their</w:t>
      </w:r>
      <w:r w:rsidRPr="00446FEC">
        <w:rPr>
          <w:rFonts w:eastAsia="SimSun"/>
          <w:spacing w:val="-6"/>
        </w:rPr>
        <w:t xml:space="preserve"> </w:t>
      </w:r>
      <w:r w:rsidRPr="00446FEC">
        <w:rPr>
          <w:rFonts w:eastAsia="SimSun"/>
        </w:rPr>
        <w:t>respective</w:t>
      </w:r>
      <w:r w:rsidRPr="00446FEC">
        <w:rPr>
          <w:rFonts w:eastAsia="SimSun"/>
          <w:spacing w:val="5"/>
        </w:rPr>
        <w:t xml:space="preserve"> </w:t>
      </w:r>
      <w:r w:rsidRPr="00446FEC">
        <w:rPr>
          <w:rFonts w:eastAsia="SimSun"/>
        </w:rPr>
        <w:t>communications</w:t>
      </w:r>
      <w:r w:rsidRPr="00446FEC">
        <w:rPr>
          <w:rFonts w:eastAsia="SimSun"/>
          <w:spacing w:val="-1"/>
        </w:rPr>
        <w:t xml:space="preserve"> </w:t>
      </w:r>
      <w:r w:rsidRPr="00446FEC">
        <w:rPr>
          <w:rFonts w:eastAsia="SimSun"/>
        </w:rPr>
        <w:t>acts</w:t>
      </w:r>
      <w:r w:rsidRPr="00446FEC">
        <w:rPr>
          <w:rFonts w:eastAsia="SimSun"/>
          <w:spacing w:val="-4"/>
        </w:rPr>
        <w:t xml:space="preserve"> </w:t>
      </w:r>
      <w:r w:rsidRPr="00446FEC">
        <w:rPr>
          <w:rFonts w:eastAsia="SimSun"/>
        </w:rPr>
        <w:t>to:</w:t>
      </w:r>
    </w:p>
    <w:p w14:paraId="044ECD4D" w14:textId="2A461441" w:rsidR="007E45C3" w:rsidRPr="00446FEC" w:rsidRDefault="00D47393" w:rsidP="00D47393">
      <w:pPr>
        <w:pStyle w:val="enumlev1"/>
        <w:rPr>
          <w:rFonts w:eastAsia="SimSun"/>
        </w:rPr>
      </w:pPr>
      <w:r w:rsidRPr="00446FEC">
        <w:rPr>
          <w:rFonts w:eastAsia="SimSun"/>
        </w:rPr>
        <w:t>1)</w:t>
      </w:r>
      <w:r w:rsidRPr="00446FEC">
        <w:rPr>
          <w:rFonts w:eastAsia="SimSun"/>
        </w:rPr>
        <w:tab/>
      </w:r>
      <w:r w:rsidR="007E45C3" w:rsidRPr="00446FEC">
        <w:rPr>
          <w:rFonts w:eastAsia="SimSun"/>
        </w:rPr>
        <w:t>Take</w:t>
      </w:r>
      <w:r w:rsidR="007E45C3" w:rsidRPr="00446FEC">
        <w:rPr>
          <w:rFonts w:eastAsia="SimSun"/>
          <w:spacing w:val="52"/>
        </w:rPr>
        <w:t xml:space="preserve"> </w:t>
      </w:r>
      <w:r w:rsidR="007E45C3" w:rsidRPr="00446FEC">
        <w:rPr>
          <w:rFonts w:eastAsia="SimSun"/>
        </w:rPr>
        <w:t>an</w:t>
      </w:r>
      <w:r w:rsidR="007E45C3" w:rsidRPr="00446FEC">
        <w:rPr>
          <w:rFonts w:eastAsia="SimSun"/>
          <w:spacing w:val="52"/>
        </w:rPr>
        <w:t xml:space="preserve"> </w:t>
      </w:r>
      <w:r w:rsidR="007E45C3" w:rsidRPr="00446FEC">
        <w:rPr>
          <w:rFonts w:eastAsia="SimSun"/>
        </w:rPr>
        <w:t>active</w:t>
      </w:r>
      <w:r w:rsidR="007E45C3" w:rsidRPr="00446FEC">
        <w:rPr>
          <w:rFonts w:eastAsia="SimSun"/>
          <w:spacing w:val="55"/>
        </w:rPr>
        <w:t xml:space="preserve"> </w:t>
      </w:r>
      <w:r w:rsidR="007E45C3" w:rsidRPr="00446FEC">
        <w:rPr>
          <w:rFonts w:eastAsia="SimSun"/>
        </w:rPr>
        <w:t>role</w:t>
      </w:r>
      <w:r w:rsidR="007E45C3" w:rsidRPr="00446FEC">
        <w:rPr>
          <w:rFonts w:eastAsia="SimSun"/>
          <w:spacing w:val="52"/>
        </w:rPr>
        <w:t xml:space="preserve"> </w:t>
      </w:r>
      <w:r w:rsidR="007E45C3" w:rsidRPr="00446FEC">
        <w:rPr>
          <w:rFonts w:eastAsia="SimSun"/>
        </w:rPr>
        <w:t>towards</w:t>
      </w:r>
      <w:r w:rsidR="007E45C3" w:rsidRPr="00446FEC">
        <w:rPr>
          <w:rFonts w:eastAsia="SimSun"/>
          <w:spacing w:val="54"/>
        </w:rPr>
        <w:t xml:space="preserve"> </w:t>
      </w:r>
      <w:r w:rsidR="007E45C3" w:rsidRPr="00446FEC">
        <w:rPr>
          <w:rFonts w:eastAsia="SimSun"/>
        </w:rPr>
        <w:t>establishing</w:t>
      </w:r>
      <w:r w:rsidR="007E45C3" w:rsidRPr="00446FEC">
        <w:rPr>
          <w:rFonts w:eastAsia="SimSun"/>
          <w:spacing w:val="59"/>
        </w:rPr>
        <w:t xml:space="preserve"> </w:t>
      </w:r>
      <w:r w:rsidR="007E45C3" w:rsidRPr="00446FEC">
        <w:rPr>
          <w:rFonts w:eastAsia="SimSun"/>
        </w:rPr>
        <w:t>cost-based</w:t>
      </w:r>
      <w:r w:rsidR="007E45C3" w:rsidRPr="00446FEC">
        <w:rPr>
          <w:rFonts w:eastAsia="SimSun"/>
          <w:spacing w:val="55"/>
        </w:rPr>
        <w:t xml:space="preserve"> </w:t>
      </w:r>
      <w:r w:rsidR="007E45C3" w:rsidRPr="00446FEC">
        <w:rPr>
          <w:rFonts w:eastAsia="SimSun"/>
        </w:rPr>
        <w:t>interconnection,</w:t>
      </w:r>
      <w:r w:rsidR="007E45C3" w:rsidRPr="00446FEC">
        <w:rPr>
          <w:rFonts w:eastAsia="SimSun"/>
          <w:spacing w:val="52"/>
        </w:rPr>
        <w:t xml:space="preserve"> </w:t>
      </w:r>
      <w:r w:rsidR="007E45C3" w:rsidRPr="00446FEC">
        <w:rPr>
          <w:rFonts w:eastAsia="SimSun"/>
        </w:rPr>
        <w:t>national</w:t>
      </w:r>
      <w:r w:rsidR="007E45C3" w:rsidRPr="00446FEC">
        <w:rPr>
          <w:rFonts w:eastAsia="SimSun"/>
          <w:spacing w:val="-63"/>
        </w:rPr>
        <w:t xml:space="preserve"> </w:t>
      </w:r>
      <w:r w:rsidR="007E45C3" w:rsidRPr="00446FEC">
        <w:rPr>
          <w:rFonts w:eastAsia="SimSun"/>
        </w:rPr>
        <w:t>roaming</w:t>
      </w:r>
      <w:r w:rsidR="007E45C3" w:rsidRPr="00446FEC">
        <w:rPr>
          <w:rFonts w:eastAsia="SimSun"/>
          <w:spacing w:val="-2"/>
        </w:rPr>
        <w:t xml:space="preserve"> </w:t>
      </w:r>
      <w:r w:rsidR="007E45C3" w:rsidRPr="00446FEC">
        <w:rPr>
          <w:rFonts w:eastAsia="SimSun"/>
        </w:rPr>
        <w:t>and</w:t>
      </w:r>
      <w:r w:rsidR="007E45C3" w:rsidRPr="00446FEC">
        <w:rPr>
          <w:rFonts w:eastAsia="SimSun"/>
          <w:spacing w:val="-1"/>
        </w:rPr>
        <w:t xml:space="preserve"> </w:t>
      </w:r>
      <w:r w:rsidR="007E45C3" w:rsidRPr="00446FEC">
        <w:rPr>
          <w:rFonts w:eastAsia="SimSun"/>
        </w:rPr>
        <w:t>infrastructure</w:t>
      </w:r>
      <w:r w:rsidR="007E45C3" w:rsidRPr="00446FEC">
        <w:rPr>
          <w:rFonts w:eastAsia="SimSun"/>
          <w:spacing w:val="-1"/>
        </w:rPr>
        <w:t xml:space="preserve"> </w:t>
      </w:r>
      <w:r w:rsidR="007E45C3" w:rsidRPr="00446FEC">
        <w:rPr>
          <w:rFonts w:eastAsia="SimSun"/>
        </w:rPr>
        <w:t>sharing</w:t>
      </w:r>
      <w:r w:rsidR="007E45C3" w:rsidRPr="00446FEC">
        <w:rPr>
          <w:rFonts w:eastAsia="SimSun"/>
          <w:spacing w:val="-2"/>
        </w:rPr>
        <w:t xml:space="preserve"> </w:t>
      </w:r>
      <w:r w:rsidR="007E45C3" w:rsidRPr="00446FEC">
        <w:rPr>
          <w:rFonts w:eastAsia="SimSun"/>
        </w:rPr>
        <w:t>and</w:t>
      </w:r>
      <w:r w:rsidR="007E45C3" w:rsidRPr="00446FEC">
        <w:rPr>
          <w:rFonts w:eastAsia="SimSun"/>
          <w:spacing w:val="-3"/>
        </w:rPr>
        <w:t xml:space="preserve"> </w:t>
      </w:r>
      <w:r w:rsidR="007E45C3" w:rsidRPr="00446FEC">
        <w:rPr>
          <w:rFonts w:eastAsia="SimSun"/>
        </w:rPr>
        <w:t>access charges</w:t>
      </w:r>
      <w:r w:rsidR="007E45C3" w:rsidRPr="00446FEC">
        <w:rPr>
          <w:rFonts w:eastAsia="SimSun"/>
          <w:spacing w:val="-1"/>
        </w:rPr>
        <w:t xml:space="preserve"> </w:t>
      </w:r>
      <w:r w:rsidR="007E45C3" w:rsidRPr="00446FEC">
        <w:rPr>
          <w:rFonts w:eastAsia="SimSun"/>
        </w:rPr>
        <w:t>where necessary;</w:t>
      </w:r>
    </w:p>
    <w:p w14:paraId="5E26C881" w14:textId="49D3141E" w:rsidR="007E45C3" w:rsidRPr="00446FEC" w:rsidRDefault="00D47393" w:rsidP="00D47393">
      <w:pPr>
        <w:pStyle w:val="enumlev1"/>
        <w:rPr>
          <w:rFonts w:eastAsia="SimSun"/>
        </w:rPr>
      </w:pPr>
      <w:r w:rsidRPr="00446FEC">
        <w:rPr>
          <w:rFonts w:eastAsia="SimSun"/>
        </w:rPr>
        <w:t>2)</w:t>
      </w:r>
      <w:r w:rsidRPr="00446FEC">
        <w:rPr>
          <w:rFonts w:eastAsia="SimSun"/>
        </w:rPr>
        <w:tab/>
      </w:r>
      <w:r w:rsidR="007E45C3" w:rsidRPr="00446FEC">
        <w:rPr>
          <w:rFonts w:eastAsia="SimSun"/>
        </w:rPr>
        <w:t>To determine these tariff charges through harmonized cost and pricing models;</w:t>
      </w:r>
      <w:r w:rsidR="007E45C3" w:rsidRPr="00446FEC">
        <w:rPr>
          <w:rFonts w:eastAsia="SimSun"/>
          <w:spacing w:val="1"/>
        </w:rPr>
        <w:t xml:space="preserve"> </w:t>
      </w:r>
      <w:r w:rsidR="007E45C3" w:rsidRPr="00446FEC">
        <w:rPr>
          <w:rFonts w:eastAsia="SimSun"/>
        </w:rPr>
        <w:t>and</w:t>
      </w:r>
    </w:p>
    <w:p w14:paraId="10E6EC49" w14:textId="1FD1B2FB" w:rsidR="007E45C3" w:rsidRPr="00446FEC" w:rsidRDefault="00D47393" w:rsidP="00D47393">
      <w:pPr>
        <w:pStyle w:val="enumlev1"/>
        <w:rPr>
          <w:rFonts w:eastAsia="SimSun"/>
        </w:rPr>
      </w:pPr>
      <w:r w:rsidRPr="00446FEC">
        <w:rPr>
          <w:rFonts w:eastAsia="SimSun"/>
          <w:spacing w:val="-1"/>
        </w:rPr>
        <w:t>3)</w:t>
      </w:r>
      <w:r w:rsidRPr="00446FEC">
        <w:rPr>
          <w:rFonts w:eastAsia="SimSun"/>
          <w:spacing w:val="-1"/>
        </w:rPr>
        <w:tab/>
      </w:r>
      <w:r w:rsidR="007E45C3" w:rsidRPr="00446FEC">
        <w:rPr>
          <w:rFonts w:eastAsia="SimSun"/>
          <w:spacing w:val="-1"/>
        </w:rPr>
        <w:t>Promote</w:t>
      </w:r>
      <w:r w:rsidR="007E45C3" w:rsidRPr="00446FEC">
        <w:rPr>
          <w:rFonts w:eastAsia="SimSun"/>
          <w:spacing w:val="-16"/>
        </w:rPr>
        <w:t xml:space="preserve"> </w:t>
      </w:r>
      <w:r w:rsidR="007E45C3" w:rsidRPr="00446FEC">
        <w:rPr>
          <w:rFonts w:eastAsia="SimSun"/>
          <w:spacing w:val="-1"/>
        </w:rPr>
        <w:t>fair</w:t>
      </w:r>
      <w:r w:rsidR="007E45C3" w:rsidRPr="00446FEC">
        <w:rPr>
          <w:rFonts w:eastAsia="SimSun"/>
          <w:spacing w:val="-15"/>
        </w:rPr>
        <w:t xml:space="preserve"> </w:t>
      </w:r>
      <w:r w:rsidR="007E45C3" w:rsidRPr="00446FEC">
        <w:rPr>
          <w:rFonts w:eastAsia="SimSun"/>
          <w:spacing w:val="-1"/>
        </w:rPr>
        <w:t>competition</w:t>
      </w:r>
      <w:r w:rsidR="007E45C3" w:rsidRPr="00446FEC">
        <w:rPr>
          <w:rFonts w:eastAsia="SimSun"/>
          <w:spacing w:val="-14"/>
        </w:rPr>
        <w:t xml:space="preserve"> </w:t>
      </w:r>
      <w:r w:rsidR="007E45C3" w:rsidRPr="00446FEC">
        <w:rPr>
          <w:rFonts w:eastAsia="SimSun"/>
        </w:rPr>
        <w:t>in</w:t>
      </w:r>
      <w:r w:rsidR="007E45C3" w:rsidRPr="00446FEC">
        <w:rPr>
          <w:rFonts w:eastAsia="SimSun"/>
          <w:spacing w:val="-13"/>
        </w:rPr>
        <w:t xml:space="preserve"> </w:t>
      </w:r>
      <w:r w:rsidR="007E45C3" w:rsidRPr="00446FEC">
        <w:rPr>
          <w:rFonts w:eastAsia="SimSun"/>
        </w:rPr>
        <w:t>the</w:t>
      </w:r>
      <w:r w:rsidR="007E45C3" w:rsidRPr="00446FEC">
        <w:rPr>
          <w:rFonts w:eastAsia="SimSun"/>
          <w:spacing w:val="-11"/>
        </w:rPr>
        <w:t xml:space="preserve"> </w:t>
      </w:r>
      <w:r w:rsidR="007E45C3" w:rsidRPr="00446FEC">
        <w:rPr>
          <w:rFonts w:eastAsia="SimSun"/>
        </w:rPr>
        <w:t>communications</w:t>
      </w:r>
      <w:r w:rsidR="007E45C3" w:rsidRPr="00446FEC">
        <w:rPr>
          <w:rFonts w:eastAsia="SimSun"/>
          <w:spacing w:val="-13"/>
        </w:rPr>
        <w:t xml:space="preserve"> </w:t>
      </w:r>
      <w:r w:rsidR="007E45C3" w:rsidRPr="00446FEC">
        <w:rPr>
          <w:rFonts w:eastAsia="SimSun"/>
        </w:rPr>
        <w:t>industry</w:t>
      </w:r>
      <w:r w:rsidR="007E45C3" w:rsidRPr="00446FEC">
        <w:rPr>
          <w:rFonts w:eastAsia="SimSun"/>
          <w:spacing w:val="-17"/>
        </w:rPr>
        <w:t xml:space="preserve"> </w:t>
      </w:r>
      <w:r w:rsidR="007E45C3" w:rsidRPr="00446FEC">
        <w:rPr>
          <w:rFonts w:eastAsia="SimSun"/>
        </w:rPr>
        <w:t>and</w:t>
      </w:r>
      <w:r w:rsidR="007E45C3" w:rsidRPr="00446FEC">
        <w:rPr>
          <w:rFonts w:eastAsia="SimSun"/>
          <w:spacing w:val="-10"/>
        </w:rPr>
        <w:t xml:space="preserve"> </w:t>
      </w:r>
      <w:r w:rsidR="007E45C3" w:rsidRPr="00446FEC">
        <w:rPr>
          <w:rFonts w:eastAsia="SimSun"/>
        </w:rPr>
        <w:t>encourage</w:t>
      </w:r>
      <w:r w:rsidR="007E45C3" w:rsidRPr="00446FEC">
        <w:rPr>
          <w:rFonts w:eastAsia="SimSun"/>
          <w:spacing w:val="-14"/>
        </w:rPr>
        <w:t xml:space="preserve"> </w:t>
      </w:r>
      <w:r w:rsidR="007E45C3" w:rsidRPr="00446FEC">
        <w:rPr>
          <w:rFonts w:eastAsia="SimSun"/>
        </w:rPr>
        <w:t>and</w:t>
      </w:r>
      <w:r w:rsidR="007E45C3" w:rsidRPr="00446FEC">
        <w:rPr>
          <w:rFonts w:eastAsia="SimSun"/>
          <w:spacing w:val="-13"/>
        </w:rPr>
        <w:t xml:space="preserve"> </w:t>
      </w:r>
      <w:r w:rsidR="007E45C3" w:rsidRPr="00446FEC">
        <w:rPr>
          <w:rFonts w:eastAsia="SimSun"/>
        </w:rPr>
        <w:t>foster</w:t>
      </w:r>
      <w:r w:rsidR="007E45C3" w:rsidRPr="00446FEC">
        <w:rPr>
          <w:rFonts w:eastAsia="SimSun"/>
          <w:spacing w:val="-64"/>
        </w:rPr>
        <w:t xml:space="preserve"> </w:t>
      </w:r>
      <w:r w:rsidR="007E45C3" w:rsidRPr="00446FEC">
        <w:rPr>
          <w:rFonts w:eastAsia="SimSun"/>
        </w:rPr>
        <w:t>infrastructure</w:t>
      </w:r>
      <w:r w:rsidR="007E45C3" w:rsidRPr="00446FEC">
        <w:rPr>
          <w:rFonts w:eastAsia="SimSun"/>
          <w:spacing w:val="1"/>
        </w:rPr>
        <w:t xml:space="preserve"> </w:t>
      </w:r>
      <w:r w:rsidR="007E45C3" w:rsidRPr="00446FEC">
        <w:rPr>
          <w:rFonts w:eastAsia="SimSun"/>
        </w:rPr>
        <w:t>sharing,</w:t>
      </w:r>
      <w:r w:rsidR="007E45C3" w:rsidRPr="00446FEC">
        <w:rPr>
          <w:rFonts w:eastAsia="SimSun"/>
          <w:spacing w:val="1"/>
        </w:rPr>
        <w:t xml:space="preserve"> </w:t>
      </w:r>
      <w:r w:rsidR="007E45C3" w:rsidRPr="00446FEC">
        <w:rPr>
          <w:rFonts w:eastAsia="SimSun"/>
        </w:rPr>
        <w:t>network</w:t>
      </w:r>
      <w:r w:rsidR="007E45C3" w:rsidRPr="00446FEC">
        <w:rPr>
          <w:rFonts w:eastAsia="SimSun"/>
          <w:spacing w:val="1"/>
        </w:rPr>
        <w:t xml:space="preserve"> </w:t>
      </w:r>
      <w:r w:rsidR="007E45C3" w:rsidRPr="00446FEC">
        <w:rPr>
          <w:rFonts w:eastAsia="SimSun"/>
        </w:rPr>
        <w:t>access,</w:t>
      </w:r>
      <w:r w:rsidR="007E45C3" w:rsidRPr="00446FEC">
        <w:rPr>
          <w:rFonts w:eastAsia="SimSun"/>
          <w:spacing w:val="1"/>
        </w:rPr>
        <w:t xml:space="preserve"> </w:t>
      </w:r>
      <w:r w:rsidR="007E45C3" w:rsidRPr="00446FEC">
        <w:rPr>
          <w:rFonts w:eastAsia="SimSun"/>
        </w:rPr>
        <w:t>national</w:t>
      </w:r>
      <w:r w:rsidR="007E45C3" w:rsidRPr="00446FEC">
        <w:rPr>
          <w:rFonts w:eastAsia="SimSun"/>
          <w:spacing w:val="1"/>
        </w:rPr>
        <w:t xml:space="preserve"> </w:t>
      </w:r>
      <w:r w:rsidR="007E45C3" w:rsidRPr="00446FEC">
        <w:rPr>
          <w:rFonts w:eastAsia="SimSun"/>
        </w:rPr>
        <w:t>roaming</w:t>
      </w:r>
      <w:r w:rsidR="007E45C3" w:rsidRPr="00446FEC">
        <w:rPr>
          <w:rFonts w:eastAsia="SimSun"/>
          <w:spacing w:val="1"/>
        </w:rPr>
        <w:t xml:space="preserve"> </w:t>
      </w:r>
      <w:r w:rsidR="007E45C3" w:rsidRPr="00446FEC">
        <w:rPr>
          <w:rFonts w:eastAsia="SimSun"/>
        </w:rPr>
        <w:t>and</w:t>
      </w:r>
      <w:r w:rsidR="007E45C3" w:rsidRPr="00446FEC">
        <w:rPr>
          <w:rFonts w:eastAsia="SimSun"/>
          <w:spacing w:val="1"/>
        </w:rPr>
        <w:t xml:space="preserve"> </w:t>
      </w:r>
      <w:r w:rsidR="007E45C3" w:rsidRPr="00446FEC">
        <w:rPr>
          <w:rFonts w:eastAsia="SimSun"/>
        </w:rPr>
        <w:t>interconnection</w:t>
      </w:r>
      <w:r w:rsidR="007E45C3" w:rsidRPr="00446FEC">
        <w:rPr>
          <w:rFonts w:eastAsia="SimSun"/>
          <w:spacing w:val="-64"/>
        </w:rPr>
        <w:t xml:space="preserve"> </w:t>
      </w:r>
      <w:r w:rsidR="007E45C3" w:rsidRPr="00446FEC">
        <w:rPr>
          <w:rFonts w:eastAsia="SimSun"/>
        </w:rPr>
        <w:t>among</w:t>
      </w:r>
      <w:r w:rsidR="007E45C3" w:rsidRPr="00446FEC">
        <w:rPr>
          <w:rFonts w:eastAsia="SimSun"/>
          <w:spacing w:val="-3"/>
        </w:rPr>
        <w:t xml:space="preserve"> </w:t>
      </w:r>
      <w:r w:rsidR="007E45C3" w:rsidRPr="00446FEC">
        <w:rPr>
          <w:rFonts w:eastAsia="SimSun"/>
        </w:rPr>
        <w:t>its licensees.</w:t>
      </w:r>
    </w:p>
    <w:p w14:paraId="060363D2" w14:textId="77777777" w:rsidR="007E45C3" w:rsidRPr="00446FEC" w:rsidRDefault="007E45C3" w:rsidP="00252C57">
      <w:pPr>
        <w:pStyle w:val="Headingb"/>
        <w:keepLines/>
        <w:rPr>
          <w:i/>
        </w:rPr>
      </w:pPr>
      <w:r w:rsidRPr="00446FEC">
        <w:t>Status of the guideline</w:t>
      </w:r>
    </w:p>
    <w:p w14:paraId="4B1924B6" w14:textId="77777777" w:rsidR="007E45C3" w:rsidRPr="00446FEC" w:rsidRDefault="007E45C3" w:rsidP="00252C57">
      <w:pPr>
        <w:keepNext/>
        <w:keepLines/>
        <w:rPr>
          <w:rFonts w:eastAsia="SimSun"/>
        </w:rPr>
      </w:pPr>
      <w:r w:rsidRPr="00446FEC">
        <w:rPr>
          <w:rFonts w:eastAsia="SimSun"/>
        </w:rPr>
        <w:t>These</w:t>
      </w:r>
      <w:r w:rsidRPr="00446FEC">
        <w:rPr>
          <w:rFonts w:eastAsia="SimSun"/>
          <w:spacing w:val="17"/>
        </w:rPr>
        <w:t xml:space="preserve"> </w:t>
      </w:r>
      <w:r w:rsidRPr="00446FEC">
        <w:rPr>
          <w:rFonts w:eastAsia="SimSun"/>
        </w:rPr>
        <w:t>guidelines</w:t>
      </w:r>
      <w:r w:rsidRPr="00446FEC">
        <w:rPr>
          <w:rFonts w:eastAsia="SimSun"/>
          <w:spacing w:val="17"/>
        </w:rPr>
        <w:t xml:space="preserve"> </w:t>
      </w:r>
      <w:r w:rsidRPr="00446FEC">
        <w:rPr>
          <w:rFonts w:eastAsia="SimSun"/>
        </w:rPr>
        <w:t>are</w:t>
      </w:r>
      <w:r w:rsidRPr="00446FEC">
        <w:rPr>
          <w:rFonts w:eastAsia="SimSun"/>
          <w:spacing w:val="17"/>
        </w:rPr>
        <w:t xml:space="preserve"> </w:t>
      </w:r>
      <w:r w:rsidRPr="00446FEC">
        <w:rPr>
          <w:rFonts w:eastAsia="SimSun"/>
        </w:rPr>
        <w:t>to</w:t>
      </w:r>
      <w:r w:rsidRPr="00446FEC">
        <w:rPr>
          <w:rFonts w:eastAsia="SimSun"/>
          <w:spacing w:val="21"/>
        </w:rPr>
        <w:t xml:space="preserve"> </w:t>
      </w:r>
      <w:r w:rsidRPr="00446FEC">
        <w:rPr>
          <w:rFonts w:eastAsia="SimSun"/>
        </w:rPr>
        <w:t>be</w:t>
      </w:r>
      <w:r w:rsidRPr="00446FEC">
        <w:rPr>
          <w:rFonts w:eastAsia="SimSun"/>
          <w:spacing w:val="20"/>
        </w:rPr>
        <w:t xml:space="preserve"> </w:t>
      </w:r>
      <w:r w:rsidRPr="00446FEC">
        <w:rPr>
          <w:rFonts w:eastAsia="SimSun"/>
        </w:rPr>
        <w:t>read</w:t>
      </w:r>
      <w:r w:rsidRPr="00446FEC">
        <w:rPr>
          <w:rFonts w:eastAsia="SimSun"/>
          <w:spacing w:val="23"/>
        </w:rPr>
        <w:t xml:space="preserve"> </w:t>
      </w:r>
      <w:r w:rsidRPr="00446FEC">
        <w:rPr>
          <w:rFonts w:eastAsia="SimSun"/>
        </w:rPr>
        <w:t>together</w:t>
      </w:r>
      <w:r w:rsidRPr="00446FEC">
        <w:rPr>
          <w:rFonts w:eastAsia="SimSun"/>
          <w:spacing w:val="19"/>
        </w:rPr>
        <w:t xml:space="preserve"> </w:t>
      </w:r>
      <w:r w:rsidRPr="00446FEC">
        <w:rPr>
          <w:rFonts w:eastAsia="SimSun"/>
        </w:rPr>
        <w:t>with</w:t>
      </w:r>
      <w:r w:rsidRPr="00446FEC">
        <w:rPr>
          <w:rFonts w:eastAsia="SimSun"/>
          <w:spacing w:val="22"/>
        </w:rPr>
        <w:t xml:space="preserve"> </w:t>
      </w:r>
      <w:r w:rsidRPr="00446FEC">
        <w:rPr>
          <w:rFonts w:eastAsia="SimSun"/>
        </w:rPr>
        <w:t>the</w:t>
      </w:r>
      <w:r w:rsidRPr="00446FEC">
        <w:rPr>
          <w:rFonts w:eastAsia="SimSun"/>
          <w:spacing w:val="18"/>
        </w:rPr>
        <w:t xml:space="preserve"> </w:t>
      </w:r>
      <w:r w:rsidRPr="00446FEC">
        <w:rPr>
          <w:rFonts w:eastAsia="SimSun"/>
        </w:rPr>
        <w:t>act,</w:t>
      </w:r>
      <w:r w:rsidRPr="00446FEC">
        <w:rPr>
          <w:rFonts w:eastAsia="SimSun"/>
          <w:spacing w:val="18"/>
        </w:rPr>
        <w:t xml:space="preserve"> </w:t>
      </w:r>
      <w:r w:rsidRPr="00446FEC">
        <w:rPr>
          <w:rFonts w:eastAsia="SimSun"/>
        </w:rPr>
        <w:t>regulations</w:t>
      </w:r>
      <w:r w:rsidRPr="00446FEC">
        <w:rPr>
          <w:rFonts w:eastAsia="SimSun"/>
          <w:spacing w:val="19"/>
        </w:rPr>
        <w:t xml:space="preserve"> </w:t>
      </w:r>
      <w:r w:rsidRPr="00446FEC">
        <w:rPr>
          <w:rFonts w:eastAsia="SimSun"/>
        </w:rPr>
        <w:t>and</w:t>
      </w:r>
      <w:r w:rsidRPr="00446FEC">
        <w:rPr>
          <w:rFonts w:eastAsia="SimSun"/>
          <w:spacing w:val="20"/>
        </w:rPr>
        <w:t xml:space="preserve"> </w:t>
      </w:r>
      <w:r w:rsidRPr="00446FEC">
        <w:rPr>
          <w:rFonts w:eastAsia="SimSun"/>
        </w:rPr>
        <w:t>other</w:t>
      </w:r>
      <w:r w:rsidRPr="00446FEC">
        <w:rPr>
          <w:rFonts w:eastAsia="SimSun"/>
          <w:spacing w:val="19"/>
        </w:rPr>
        <w:t xml:space="preserve"> </w:t>
      </w:r>
      <w:r w:rsidRPr="00446FEC">
        <w:rPr>
          <w:rFonts w:eastAsia="SimSun"/>
        </w:rPr>
        <w:t>relevant</w:t>
      </w:r>
      <w:r w:rsidRPr="00446FEC">
        <w:rPr>
          <w:rFonts w:eastAsia="SimSun"/>
          <w:spacing w:val="-64"/>
        </w:rPr>
        <w:t xml:space="preserve"> </w:t>
      </w:r>
      <w:r w:rsidRPr="00446FEC">
        <w:rPr>
          <w:rFonts w:eastAsia="SimSun"/>
        </w:rPr>
        <w:t>laws</w:t>
      </w:r>
      <w:r w:rsidRPr="00446FEC">
        <w:rPr>
          <w:rFonts w:eastAsia="SimSun"/>
          <w:spacing w:val="-1"/>
        </w:rPr>
        <w:t xml:space="preserve"> </w:t>
      </w:r>
      <w:r w:rsidRPr="00446FEC">
        <w:rPr>
          <w:rFonts w:eastAsia="SimSun"/>
        </w:rPr>
        <w:t>and in conjunction with the</w:t>
      </w:r>
      <w:r w:rsidRPr="00446FEC">
        <w:rPr>
          <w:rFonts w:eastAsia="SimSun"/>
          <w:spacing w:val="-3"/>
        </w:rPr>
        <w:t xml:space="preserve"> </w:t>
      </w:r>
      <w:r w:rsidRPr="00446FEC">
        <w:rPr>
          <w:rFonts w:eastAsia="SimSun"/>
        </w:rPr>
        <w:t>license</w:t>
      </w:r>
      <w:r w:rsidRPr="00446FEC">
        <w:rPr>
          <w:rFonts w:eastAsia="SimSun"/>
          <w:spacing w:val="-2"/>
        </w:rPr>
        <w:t xml:space="preserve"> </w:t>
      </w:r>
      <w:r w:rsidRPr="00446FEC">
        <w:rPr>
          <w:rFonts w:eastAsia="SimSun"/>
        </w:rPr>
        <w:t>conditions.</w:t>
      </w:r>
    </w:p>
    <w:p w14:paraId="1EA24784" w14:textId="77777777" w:rsidR="007E45C3" w:rsidRPr="00446FEC" w:rsidRDefault="007E45C3" w:rsidP="00252C57">
      <w:pPr>
        <w:pStyle w:val="Headingb"/>
        <w:keepNext w:val="0"/>
        <w:rPr>
          <w:i/>
        </w:rPr>
      </w:pPr>
      <w:r w:rsidRPr="00446FEC">
        <w:t>Costing on infrastructure sharing</w:t>
      </w:r>
    </w:p>
    <w:p w14:paraId="529E4DEC" w14:textId="77777777" w:rsidR="007E45C3" w:rsidRPr="00446FEC" w:rsidRDefault="007E45C3" w:rsidP="00252C57">
      <w:pPr>
        <w:pStyle w:val="Headingb"/>
        <w:keepNext w:val="0"/>
        <w:rPr>
          <w:i/>
        </w:rPr>
      </w:pPr>
      <w:r w:rsidRPr="00446FEC">
        <w:t>Principles of infrastructure sharing</w:t>
      </w:r>
    </w:p>
    <w:p w14:paraId="1E202EB4" w14:textId="7815EAAC" w:rsidR="007E45C3" w:rsidRPr="00446FEC" w:rsidRDefault="006968F0" w:rsidP="006968F0">
      <w:pPr>
        <w:pStyle w:val="enumlev1"/>
        <w:rPr>
          <w:rFonts w:eastAsia="SimSun"/>
        </w:rPr>
      </w:pPr>
      <w:r w:rsidRPr="00446FEC">
        <w:rPr>
          <w:rFonts w:eastAsia="SimSun"/>
        </w:rPr>
        <w:t>1)</w:t>
      </w:r>
      <w:r w:rsidRPr="00446FEC">
        <w:rPr>
          <w:rFonts w:eastAsia="SimSun"/>
        </w:rPr>
        <w:tab/>
      </w:r>
      <w:r w:rsidR="007E45C3" w:rsidRPr="00446FEC">
        <w:rPr>
          <w:rFonts w:eastAsia="SimSun"/>
        </w:rPr>
        <w:t>To</w:t>
      </w:r>
      <w:r w:rsidR="007E45C3" w:rsidRPr="00446FEC">
        <w:rPr>
          <w:rFonts w:eastAsia="SimSun"/>
          <w:spacing w:val="-5"/>
        </w:rPr>
        <w:t xml:space="preserve"> </w:t>
      </w:r>
      <w:r w:rsidR="007E45C3" w:rsidRPr="00446FEC">
        <w:rPr>
          <w:rFonts w:eastAsia="SimSun"/>
        </w:rPr>
        <w:t>establish</w:t>
      </w:r>
      <w:r w:rsidR="007E45C3" w:rsidRPr="00446FEC">
        <w:rPr>
          <w:rFonts w:eastAsia="SimSun"/>
          <w:spacing w:val="-5"/>
        </w:rPr>
        <w:t xml:space="preserve"> </w:t>
      </w:r>
      <w:r w:rsidR="007E45C3" w:rsidRPr="00446FEC">
        <w:rPr>
          <w:rFonts w:eastAsia="SimSun"/>
        </w:rPr>
        <w:t>a</w:t>
      </w:r>
      <w:r w:rsidR="007E45C3" w:rsidRPr="00446FEC">
        <w:rPr>
          <w:rFonts w:eastAsia="SimSun"/>
          <w:spacing w:val="-5"/>
        </w:rPr>
        <w:t xml:space="preserve"> </w:t>
      </w:r>
      <w:r w:rsidR="007E45C3" w:rsidRPr="00446FEC">
        <w:rPr>
          <w:rFonts w:eastAsia="SimSun"/>
        </w:rPr>
        <w:t>framework</w:t>
      </w:r>
      <w:r w:rsidR="007E45C3" w:rsidRPr="00446FEC">
        <w:rPr>
          <w:rFonts w:eastAsia="SimSun"/>
          <w:spacing w:val="-3"/>
        </w:rPr>
        <w:t xml:space="preserve"> </w:t>
      </w:r>
      <w:r w:rsidR="007E45C3" w:rsidRPr="00446FEC">
        <w:rPr>
          <w:rFonts w:eastAsia="SimSun"/>
        </w:rPr>
        <w:t>within</w:t>
      </w:r>
      <w:r w:rsidR="007E45C3" w:rsidRPr="00446FEC">
        <w:rPr>
          <w:rFonts w:eastAsia="SimSun"/>
          <w:spacing w:val="-2"/>
        </w:rPr>
        <w:t xml:space="preserve"> </w:t>
      </w:r>
      <w:r w:rsidR="007E45C3" w:rsidRPr="00446FEC">
        <w:rPr>
          <w:rFonts w:eastAsia="SimSun"/>
        </w:rPr>
        <w:t>which</w:t>
      </w:r>
      <w:r w:rsidR="007E45C3" w:rsidRPr="00446FEC">
        <w:rPr>
          <w:rFonts w:eastAsia="SimSun"/>
          <w:spacing w:val="-3"/>
        </w:rPr>
        <w:t xml:space="preserve"> </w:t>
      </w:r>
      <w:r w:rsidR="007E45C3" w:rsidRPr="00446FEC">
        <w:rPr>
          <w:rFonts w:eastAsia="SimSun"/>
        </w:rPr>
        <w:t>operators</w:t>
      </w:r>
      <w:r w:rsidR="007E45C3" w:rsidRPr="00446FEC">
        <w:rPr>
          <w:rFonts w:eastAsia="SimSun"/>
          <w:spacing w:val="-3"/>
        </w:rPr>
        <w:t xml:space="preserve"> </w:t>
      </w:r>
      <w:r w:rsidR="007E45C3" w:rsidRPr="00446FEC">
        <w:rPr>
          <w:rFonts w:eastAsia="SimSun"/>
        </w:rPr>
        <w:t>can</w:t>
      </w:r>
      <w:r w:rsidR="007E45C3" w:rsidRPr="00446FEC">
        <w:rPr>
          <w:rFonts w:eastAsia="SimSun"/>
          <w:spacing w:val="-4"/>
        </w:rPr>
        <w:t xml:space="preserve"> </w:t>
      </w:r>
      <w:r w:rsidR="007E45C3" w:rsidRPr="00446FEC">
        <w:rPr>
          <w:rFonts w:eastAsia="SimSun"/>
        </w:rPr>
        <w:t>negotiate</w:t>
      </w:r>
      <w:r w:rsidR="007E45C3" w:rsidRPr="00446FEC">
        <w:rPr>
          <w:rFonts w:eastAsia="SimSun"/>
          <w:spacing w:val="4"/>
        </w:rPr>
        <w:t xml:space="preserve"> </w:t>
      </w:r>
      <w:r w:rsidR="007E45C3" w:rsidRPr="00446FEC">
        <w:rPr>
          <w:rFonts w:eastAsia="SimSun"/>
        </w:rPr>
        <w:t>infrastructure</w:t>
      </w:r>
      <w:r w:rsidR="007E45C3" w:rsidRPr="00446FEC">
        <w:rPr>
          <w:rFonts w:eastAsia="SimSun"/>
          <w:spacing w:val="-6"/>
        </w:rPr>
        <w:t xml:space="preserve"> </w:t>
      </w:r>
      <w:r w:rsidR="007E45C3" w:rsidRPr="00446FEC">
        <w:rPr>
          <w:rFonts w:eastAsia="SimSun"/>
        </w:rPr>
        <w:t>sharing</w:t>
      </w:r>
      <w:r w:rsidR="007E45C3" w:rsidRPr="00446FEC">
        <w:rPr>
          <w:rFonts w:eastAsia="SimSun"/>
          <w:spacing w:val="-63"/>
        </w:rPr>
        <w:t xml:space="preserve"> </w:t>
      </w:r>
      <w:r w:rsidR="007E45C3" w:rsidRPr="00446FEC">
        <w:rPr>
          <w:rFonts w:eastAsia="SimSun"/>
        </w:rPr>
        <w:t>arrangements,</w:t>
      </w:r>
      <w:r w:rsidR="007E45C3" w:rsidRPr="00446FEC">
        <w:rPr>
          <w:rFonts w:eastAsia="SimSun"/>
          <w:spacing w:val="-3"/>
        </w:rPr>
        <w:t xml:space="preserve"> </w:t>
      </w:r>
      <w:r w:rsidR="007E45C3" w:rsidRPr="00446FEC">
        <w:rPr>
          <w:rFonts w:eastAsia="SimSun"/>
        </w:rPr>
        <w:t>and</w:t>
      </w:r>
      <w:r w:rsidR="007E45C3" w:rsidRPr="00446FEC">
        <w:rPr>
          <w:rFonts w:eastAsia="SimSun"/>
          <w:spacing w:val="-2"/>
        </w:rPr>
        <w:t xml:space="preserve"> </w:t>
      </w:r>
      <w:r w:rsidR="007E45C3" w:rsidRPr="00446FEC">
        <w:rPr>
          <w:rFonts w:eastAsia="SimSun"/>
        </w:rPr>
        <w:t>for</w:t>
      </w:r>
      <w:r w:rsidR="007E45C3" w:rsidRPr="00446FEC">
        <w:rPr>
          <w:rFonts w:eastAsia="SimSun"/>
          <w:spacing w:val="-3"/>
        </w:rPr>
        <w:t xml:space="preserve"> </w:t>
      </w:r>
      <w:r w:rsidR="007E45C3" w:rsidRPr="00446FEC">
        <w:rPr>
          <w:rFonts w:eastAsia="SimSun"/>
        </w:rPr>
        <w:t>that</w:t>
      </w:r>
      <w:r w:rsidR="007E45C3" w:rsidRPr="00446FEC">
        <w:rPr>
          <w:rFonts w:eastAsia="SimSun"/>
          <w:spacing w:val="-2"/>
        </w:rPr>
        <w:t xml:space="preserve"> </w:t>
      </w:r>
      <w:r w:rsidR="007E45C3" w:rsidRPr="00446FEC">
        <w:rPr>
          <w:rFonts w:eastAsia="SimSun"/>
        </w:rPr>
        <w:t>purpose, specifically</w:t>
      </w:r>
      <w:r w:rsidR="007E45C3" w:rsidRPr="00446FEC">
        <w:rPr>
          <w:rFonts w:eastAsia="SimSun"/>
          <w:spacing w:val="-3"/>
        </w:rPr>
        <w:t xml:space="preserve"> </w:t>
      </w:r>
      <w:r w:rsidR="007E45C3" w:rsidRPr="00446FEC">
        <w:rPr>
          <w:rFonts w:eastAsia="SimSun"/>
        </w:rPr>
        <w:t>to:</w:t>
      </w:r>
    </w:p>
    <w:p w14:paraId="53AC6C4E" w14:textId="7F9423B8" w:rsidR="007E45C3" w:rsidRPr="00446FEC" w:rsidRDefault="006968F0" w:rsidP="006968F0">
      <w:pPr>
        <w:pStyle w:val="enumlev2"/>
        <w:rPr>
          <w:rFonts w:eastAsia="SimSun"/>
        </w:rPr>
      </w:pPr>
      <w:r w:rsidRPr="00446FEC">
        <w:rPr>
          <w:rFonts w:eastAsia="SimSun"/>
        </w:rPr>
        <w:t>a)</w:t>
      </w:r>
      <w:r w:rsidRPr="00446FEC">
        <w:rPr>
          <w:rFonts w:eastAsia="SimSun"/>
        </w:rPr>
        <w:tab/>
      </w:r>
      <w:r w:rsidR="007E45C3" w:rsidRPr="00446FEC">
        <w:rPr>
          <w:rFonts w:eastAsia="SimSun"/>
        </w:rPr>
        <w:t>Ensure</w:t>
      </w:r>
      <w:r w:rsidR="007E45C3" w:rsidRPr="00446FEC">
        <w:rPr>
          <w:rFonts w:eastAsia="SimSun"/>
          <w:spacing w:val="-5"/>
        </w:rPr>
        <w:t xml:space="preserve"> </w:t>
      </w:r>
      <w:r w:rsidR="007E45C3" w:rsidRPr="00446FEC">
        <w:rPr>
          <w:rFonts w:eastAsia="SimSun"/>
        </w:rPr>
        <w:t>that</w:t>
      </w:r>
      <w:r w:rsidR="007E45C3" w:rsidRPr="00446FEC">
        <w:rPr>
          <w:rFonts w:eastAsia="SimSun"/>
          <w:spacing w:val="-6"/>
        </w:rPr>
        <w:t xml:space="preserve"> </w:t>
      </w:r>
      <w:r w:rsidR="007E45C3" w:rsidRPr="00446FEC">
        <w:rPr>
          <w:rFonts w:eastAsia="SimSun"/>
        </w:rPr>
        <w:t>the</w:t>
      </w:r>
      <w:r w:rsidR="007E45C3" w:rsidRPr="00446FEC">
        <w:rPr>
          <w:rFonts w:eastAsia="SimSun"/>
          <w:spacing w:val="-6"/>
        </w:rPr>
        <w:t xml:space="preserve"> </w:t>
      </w:r>
      <w:r w:rsidR="007E45C3" w:rsidRPr="00446FEC">
        <w:rPr>
          <w:rFonts w:eastAsia="SimSun"/>
        </w:rPr>
        <w:t>incidence</w:t>
      </w:r>
      <w:r w:rsidR="007E45C3" w:rsidRPr="00446FEC">
        <w:rPr>
          <w:rFonts w:eastAsia="SimSun"/>
          <w:spacing w:val="-5"/>
        </w:rPr>
        <w:t xml:space="preserve"> </w:t>
      </w:r>
      <w:r w:rsidR="007E45C3" w:rsidRPr="00446FEC">
        <w:rPr>
          <w:rFonts w:eastAsia="SimSun"/>
        </w:rPr>
        <w:t>of</w:t>
      </w:r>
      <w:r w:rsidR="007E45C3" w:rsidRPr="00446FEC">
        <w:rPr>
          <w:rFonts w:eastAsia="SimSun"/>
          <w:spacing w:val="-4"/>
        </w:rPr>
        <w:t xml:space="preserve"> </w:t>
      </w:r>
      <w:r w:rsidR="007E45C3" w:rsidRPr="00446FEC">
        <w:rPr>
          <w:rFonts w:eastAsia="SimSun"/>
        </w:rPr>
        <w:t>unnecessary</w:t>
      </w:r>
      <w:r w:rsidR="007E45C3" w:rsidRPr="00446FEC">
        <w:rPr>
          <w:rFonts w:eastAsia="SimSun"/>
          <w:spacing w:val="-7"/>
        </w:rPr>
        <w:t xml:space="preserve"> </w:t>
      </w:r>
      <w:r w:rsidR="007E45C3" w:rsidRPr="00446FEC">
        <w:rPr>
          <w:rFonts w:eastAsia="SimSun"/>
        </w:rPr>
        <w:t>duplication</w:t>
      </w:r>
      <w:r w:rsidR="007E45C3" w:rsidRPr="00446FEC">
        <w:rPr>
          <w:rFonts w:eastAsia="SimSun"/>
          <w:spacing w:val="-5"/>
        </w:rPr>
        <w:t xml:space="preserve"> </w:t>
      </w:r>
      <w:r w:rsidR="007E45C3" w:rsidRPr="00446FEC">
        <w:rPr>
          <w:rFonts w:eastAsia="SimSun"/>
        </w:rPr>
        <w:t>of</w:t>
      </w:r>
      <w:r w:rsidR="007E45C3" w:rsidRPr="00446FEC">
        <w:rPr>
          <w:rFonts w:eastAsia="SimSun"/>
          <w:spacing w:val="-2"/>
        </w:rPr>
        <w:t xml:space="preserve"> </w:t>
      </w:r>
      <w:r w:rsidR="007E45C3" w:rsidRPr="00446FEC">
        <w:rPr>
          <w:rFonts w:eastAsia="SimSun"/>
        </w:rPr>
        <w:t>infrastructure</w:t>
      </w:r>
      <w:r w:rsidR="007E45C3" w:rsidRPr="00446FEC">
        <w:rPr>
          <w:rFonts w:eastAsia="SimSun"/>
          <w:spacing w:val="-4"/>
        </w:rPr>
        <w:t xml:space="preserve"> </w:t>
      </w:r>
      <w:r w:rsidR="007E45C3" w:rsidRPr="00446FEC">
        <w:rPr>
          <w:rFonts w:eastAsia="SimSun"/>
        </w:rPr>
        <w:t>is</w:t>
      </w:r>
      <w:r w:rsidR="007E45C3" w:rsidRPr="00446FEC">
        <w:rPr>
          <w:rFonts w:eastAsia="SimSun"/>
          <w:spacing w:val="-6"/>
        </w:rPr>
        <w:t xml:space="preserve"> </w:t>
      </w:r>
      <w:r w:rsidR="007E45C3" w:rsidRPr="00446FEC">
        <w:rPr>
          <w:rFonts w:eastAsia="SimSun"/>
        </w:rPr>
        <w:t>minimized</w:t>
      </w:r>
      <w:r w:rsidR="007E45C3" w:rsidRPr="00446FEC">
        <w:rPr>
          <w:rFonts w:eastAsia="SimSun"/>
          <w:spacing w:val="-63"/>
        </w:rPr>
        <w:t xml:space="preserve"> </w:t>
      </w:r>
      <w:r w:rsidR="007E45C3" w:rsidRPr="00446FEC">
        <w:rPr>
          <w:rFonts w:eastAsia="SimSun"/>
        </w:rPr>
        <w:t>or</w:t>
      </w:r>
      <w:r w:rsidR="007E45C3" w:rsidRPr="00446FEC">
        <w:rPr>
          <w:rFonts w:eastAsia="SimSun"/>
          <w:spacing w:val="-1"/>
        </w:rPr>
        <w:t xml:space="preserve"> </w:t>
      </w:r>
      <w:r w:rsidR="007E45C3" w:rsidRPr="00446FEC">
        <w:rPr>
          <w:rFonts w:eastAsia="SimSun"/>
        </w:rPr>
        <w:t>completely</w:t>
      </w:r>
      <w:r w:rsidR="007E45C3" w:rsidRPr="00446FEC">
        <w:rPr>
          <w:rFonts w:eastAsia="SimSun"/>
          <w:spacing w:val="-3"/>
        </w:rPr>
        <w:t xml:space="preserve"> </w:t>
      </w:r>
      <w:r w:rsidR="007E45C3" w:rsidRPr="00446FEC">
        <w:rPr>
          <w:rFonts w:eastAsia="SimSun"/>
        </w:rPr>
        <w:t>avoided;</w:t>
      </w:r>
    </w:p>
    <w:p w14:paraId="18C3E007" w14:textId="470C4DEE" w:rsidR="007E45C3" w:rsidRPr="00446FEC" w:rsidRDefault="006968F0" w:rsidP="006968F0">
      <w:pPr>
        <w:pStyle w:val="enumlev2"/>
        <w:rPr>
          <w:rFonts w:eastAsia="SimSun"/>
        </w:rPr>
      </w:pPr>
      <w:r w:rsidRPr="00446FEC">
        <w:rPr>
          <w:rFonts w:eastAsia="SimSun"/>
        </w:rPr>
        <w:t>b)</w:t>
      </w:r>
      <w:r w:rsidRPr="00446FEC">
        <w:rPr>
          <w:rFonts w:eastAsia="SimSun"/>
        </w:rPr>
        <w:tab/>
      </w:r>
      <w:r w:rsidR="007E45C3" w:rsidRPr="00446FEC">
        <w:rPr>
          <w:rFonts w:eastAsia="SimSun"/>
        </w:rPr>
        <w:t>Protect the environment by reducing the proliferation of infrastructure and facilities</w:t>
      </w:r>
      <w:r w:rsidR="007E45C3" w:rsidRPr="00446FEC">
        <w:rPr>
          <w:rFonts w:eastAsia="SimSun"/>
          <w:spacing w:val="-64"/>
        </w:rPr>
        <w:t xml:space="preserve"> </w:t>
      </w:r>
      <w:r w:rsidR="007E45C3" w:rsidRPr="00446FEC">
        <w:rPr>
          <w:rFonts w:eastAsia="SimSun"/>
        </w:rPr>
        <w:t>installations;</w:t>
      </w:r>
    </w:p>
    <w:p w14:paraId="2D763167" w14:textId="2E111FA0" w:rsidR="007E45C3" w:rsidRPr="00446FEC" w:rsidRDefault="006968F0" w:rsidP="006968F0">
      <w:pPr>
        <w:pStyle w:val="enumlev2"/>
        <w:rPr>
          <w:rFonts w:eastAsia="SimSun"/>
        </w:rPr>
      </w:pPr>
      <w:r w:rsidRPr="00446FEC">
        <w:rPr>
          <w:rFonts w:eastAsia="SimSun"/>
        </w:rPr>
        <w:t>c)</w:t>
      </w:r>
      <w:r w:rsidRPr="00446FEC">
        <w:rPr>
          <w:rFonts w:eastAsia="SimSun"/>
        </w:rPr>
        <w:tab/>
      </w:r>
      <w:r w:rsidR="007E45C3" w:rsidRPr="00446FEC">
        <w:rPr>
          <w:rFonts w:eastAsia="SimSun"/>
        </w:rPr>
        <w:t>Promote</w:t>
      </w:r>
      <w:r w:rsidR="007E45C3" w:rsidRPr="00446FEC">
        <w:rPr>
          <w:rFonts w:eastAsia="SimSun"/>
          <w:spacing w:val="20"/>
        </w:rPr>
        <w:t xml:space="preserve"> </w:t>
      </w:r>
      <w:r w:rsidR="007E45C3" w:rsidRPr="00446FEC">
        <w:rPr>
          <w:rFonts w:eastAsia="SimSun"/>
        </w:rPr>
        <w:t>fair</w:t>
      </w:r>
      <w:r w:rsidR="007E45C3" w:rsidRPr="00446FEC">
        <w:rPr>
          <w:rFonts w:eastAsia="SimSun"/>
          <w:spacing w:val="21"/>
        </w:rPr>
        <w:t xml:space="preserve"> </w:t>
      </w:r>
      <w:r w:rsidR="007E45C3" w:rsidRPr="00446FEC">
        <w:rPr>
          <w:rFonts w:eastAsia="SimSun"/>
        </w:rPr>
        <w:t>competition</w:t>
      </w:r>
      <w:r w:rsidR="007E45C3" w:rsidRPr="00446FEC">
        <w:rPr>
          <w:rFonts w:eastAsia="SimSun"/>
          <w:spacing w:val="23"/>
        </w:rPr>
        <w:t xml:space="preserve"> </w:t>
      </w:r>
      <w:r w:rsidR="007E45C3" w:rsidRPr="00446FEC">
        <w:rPr>
          <w:rFonts w:eastAsia="SimSun"/>
        </w:rPr>
        <w:t>through</w:t>
      </w:r>
      <w:r w:rsidR="007E45C3" w:rsidRPr="00446FEC">
        <w:rPr>
          <w:rFonts w:eastAsia="SimSun"/>
          <w:spacing w:val="22"/>
        </w:rPr>
        <w:t xml:space="preserve"> </w:t>
      </w:r>
      <w:r w:rsidR="007E45C3" w:rsidRPr="00446FEC">
        <w:rPr>
          <w:rFonts w:eastAsia="SimSun"/>
        </w:rPr>
        <w:t>equal</w:t>
      </w:r>
      <w:r w:rsidR="007E45C3" w:rsidRPr="00446FEC">
        <w:rPr>
          <w:rFonts w:eastAsia="SimSun"/>
          <w:spacing w:val="21"/>
        </w:rPr>
        <w:t xml:space="preserve"> </w:t>
      </w:r>
      <w:r w:rsidR="007E45C3" w:rsidRPr="00446FEC">
        <w:rPr>
          <w:rFonts w:eastAsia="SimSun"/>
        </w:rPr>
        <w:t>access</w:t>
      </w:r>
      <w:r w:rsidR="007E45C3" w:rsidRPr="00446FEC">
        <w:rPr>
          <w:rFonts w:eastAsia="SimSun"/>
          <w:spacing w:val="22"/>
        </w:rPr>
        <w:t xml:space="preserve"> </w:t>
      </w:r>
      <w:r w:rsidR="007E45C3" w:rsidRPr="00446FEC">
        <w:rPr>
          <w:rFonts w:eastAsia="SimSun"/>
        </w:rPr>
        <w:t>being</w:t>
      </w:r>
      <w:r w:rsidR="007E45C3" w:rsidRPr="00446FEC">
        <w:rPr>
          <w:rFonts w:eastAsia="SimSun"/>
          <w:spacing w:val="21"/>
        </w:rPr>
        <w:t xml:space="preserve"> </w:t>
      </w:r>
      <w:r w:rsidR="007E45C3" w:rsidRPr="00446FEC">
        <w:rPr>
          <w:rFonts w:eastAsia="SimSun"/>
        </w:rPr>
        <w:t>granted</w:t>
      </w:r>
      <w:r w:rsidR="007E45C3" w:rsidRPr="00446FEC">
        <w:rPr>
          <w:rFonts w:eastAsia="SimSun"/>
          <w:spacing w:val="22"/>
        </w:rPr>
        <w:t xml:space="preserve"> </w:t>
      </w:r>
      <w:r w:rsidR="007E45C3" w:rsidRPr="00446FEC">
        <w:rPr>
          <w:rFonts w:eastAsia="SimSun"/>
        </w:rPr>
        <w:t>to</w:t>
      </w:r>
      <w:r w:rsidR="007E45C3" w:rsidRPr="00446FEC">
        <w:rPr>
          <w:rFonts w:eastAsia="SimSun"/>
          <w:spacing w:val="23"/>
        </w:rPr>
        <w:t xml:space="preserve"> </w:t>
      </w:r>
      <w:r w:rsidR="007E45C3" w:rsidRPr="00446FEC">
        <w:rPr>
          <w:rFonts w:eastAsia="SimSun"/>
        </w:rPr>
        <w:t>the</w:t>
      </w:r>
      <w:r w:rsidR="007E45C3" w:rsidRPr="00446FEC">
        <w:rPr>
          <w:rFonts w:eastAsia="SimSun"/>
          <w:spacing w:val="23"/>
        </w:rPr>
        <w:t xml:space="preserve"> </w:t>
      </w:r>
      <w:r w:rsidR="007E45C3" w:rsidRPr="00446FEC">
        <w:rPr>
          <w:rFonts w:eastAsia="SimSun"/>
        </w:rPr>
        <w:t>installations</w:t>
      </w:r>
      <w:r w:rsidR="007E45C3" w:rsidRPr="00446FEC">
        <w:rPr>
          <w:rFonts w:eastAsia="SimSun"/>
          <w:spacing w:val="-64"/>
        </w:rPr>
        <w:t xml:space="preserve"> </w:t>
      </w:r>
      <w:r w:rsidR="007E45C3" w:rsidRPr="00446FEC">
        <w:rPr>
          <w:rFonts w:eastAsia="SimSun"/>
        </w:rPr>
        <w:t>and</w:t>
      </w:r>
      <w:r w:rsidR="007E45C3" w:rsidRPr="00446FEC">
        <w:rPr>
          <w:rFonts w:eastAsia="SimSun"/>
          <w:spacing w:val="-3"/>
        </w:rPr>
        <w:t xml:space="preserve"> </w:t>
      </w:r>
      <w:r w:rsidR="007E45C3" w:rsidRPr="00446FEC">
        <w:rPr>
          <w:rFonts w:eastAsia="SimSun"/>
        </w:rPr>
        <w:t>facilities of operators on</w:t>
      </w:r>
      <w:r w:rsidR="007E45C3" w:rsidRPr="00446FEC">
        <w:rPr>
          <w:rFonts w:eastAsia="SimSun"/>
          <w:spacing w:val="-2"/>
        </w:rPr>
        <w:t xml:space="preserve"> </w:t>
      </w:r>
      <w:r w:rsidR="007E45C3" w:rsidRPr="00446FEC">
        <w:rPr>
          <w:rFonts w:eastAsia="SimSun"/>
        </w:rPr>
        <w:t>mutually</w:t>
      </w:r>
      <w:r w:rsidR="007E45C3" w:rsidRPr="00446FEC">
        <w:rPr>
          <w:rFonts w:eastAsia="SimSun"/>
          <w:spacing w:val="-3"/>
        </w:rPr>
        <w:t xml:space="preserve"> </w:t>
      </w:r>
      <w:r w:rsidR="007E45C3" w:rsidRPr="00446FEC">
        <w:rPr>
          <w:rFonts w:eastAsia="SimSun"/>
        </w:rPr>
        <w:t>agreed</w:t>
      </w:r>
      <w:r w:rsidR="007E45C3" w:rsidRPr="00446FEC">
        <w:rPr>
          <w:rFonts w:eastAsia="SimSun"/>
          <w:spacing w:val="-2"/>
        </w:rPr>
        <w:t xml:space="preserve"> </w:t>
      </w:r>
      <w:r w:rsidR="007E45C3" w:rsidRPr="00446FEC">
        <w:rPr>
          <w:rFonts w:eastAsia="SimSun"/>
        </w:rPr>
        <w:t>terms;</w:t>
      </w:r>
    </w:p>
    <w:p w14:paraId="2A52137C" w14:textId="29571068" w:rsidR="007E45C3" w:rsidRPr="00446FEC" w:rsidRDefault="006968F0" w:rsidP="006968F0">
      <w:pPr>
        <w:pStyle w:val="enumlev2"/>
        <w:rPr>
          <w:rFonts w:eastAsia="SimSun"/>
        </w:rPr>
      </w:pPr>
      <w:r w:rsidRPr="00446FEC">
        <w:rPr>
          <w:rFonts w:eastAsia="SimSun"/>
        </w:rPr>
        <w:lastRenderedPageBreak/>
        <w:t>d)</w:t>
      </w:r>
      <w:r w:rsidRPr="00446FEC">
        <w:rPr>
          <w:rFonts w:eastAsia="SimSun"/>
        </w:rPr>
        <w:tab/>
      </w:r>
      <w:r w:rsidR="007E45C3" w:rsidRPr="00446FEC">
        <w:rPr>
          <w:rFonts w:eastAsia="SimSun"/>
        </w:rPr>
        <w:t>Ensure</w:t>
      </w:r>
      <w:r w:rsidR="007E45C3" w:rsidRPr="00446FEC">
        <w:rPr>
          <w:rFonts w:eastAsia="SimSun"/>
          <w:spacing w:val="60"/>
        </w:rPr>
        <w:t xml:space="preserve"> </w:t>
      </w:r>
      <w:r w:rsidR="007E45C3" w:rsidRPr="00446FEC">
        <w:rPr>
          <w:rFonts w:eastAsia="SimSun"/>
        </w:rPr>
        <w:t>that</w:t>
      </w:r>
      <w:r w:rsidR="007E45C3" w:rsidRPr="00446FEC">
        <w:rPr>
          <w:rFonts w:eastAsia="SimSun"/>
          <w:spacing w:val="62"/>
        </w:rPr>
        <w:t xml:space="preserve"> </w:t>
      </w:r>
      <w:r w:rsidR="007E45C3" w:rsidRPr="00446FEC">
        <w:rPr>
          <w:rFonts w:eastAsia="SimSun"/>
        </w:rPr>
        <w:t>the</w:t>
      </w:r>
      <w:r w:rsidR="007E45C3" w:rsidRPr="00446FEC">
        <w:rPr>
          <w:rFonts w:eastAsia="SimSun"/>
          <w:spacing w:val="60"/>
        </w:rPr>
        <w:t xml:space="preserve"> </w:t>
      </w:r>
      <w:r w:rsidR="007E45C3" w:rsidRPr="00446FEC">
        <w:rPr>
          <w:rFonts w:eastAsia="SimSun"/>
        </w:rPr>
        <w:t>economic</w:t>
      </w:r>
      <w:r w:rsidR="007E45C3" w:rsidRPr="00446FEC">
        <w:rPr>
          <w:rFonts w:eastAsia="SimSun"/>
          <w:spacing w:val="60"/>
        </w:rPr>
        <w:t xml:space="preserve"> </w:t>
      </w:r>
      <w:r w:rsidR="007E45C3" w:rsidRPr="00446FEC">
        <w:rPr>
          <w:rFonts w:eastAsia="SimSun"/>
        </w:rPr>
        <w:t>advantages</w:t>
      </w:r>
      <w:r w:rsidR="007E45C3" w:rsidRPr="00446FEC">
        <w:rPr>
          <w:rFonts w:eastAsia="SimSun"/>
          <w:spacing w:val="60"/>
        </w:rPr>
        <w:t xml:space="preserve"> </w:t>
      </w:r>
      <w:r w:rsidR="007E45C3" w:rsidRPr="00446FEC">
        <w:rPr>
          <w:rFonts w:eastAsia="SimSun"/>
        </w:rPr>
        <w:t>derivable</w:t>
      </w:r>
      <w:r w:rsidR="007E45C3" w:rsidRPr="00446FEC">
        <w:rPr>
          <w:rFonts w:eastAsia="SimSun"/>
          <w:spacing w:val="62"/>
        </w:rPr>
        <w:t xml:space="preserve"> </w:t>
      </w:r>
      <w:r w:rsidR="007E45C3" w:rsidRPr="00446FEC">
        <w:rPr>
          <w:rFonts w:eastAsia="SimSun"/>
        </w:rPr>
        <w:t>from</w:t>
      </w:r>
      <w:r w:rsidR="007E45C3" w:rsidRPr="00446FEC">
        <w:rPr>
          <w:rFonts w:eastAsia="SimSun"/>
          <w:spacing w:val="64"/>
        </w:rPr>
        <w:t xml:space="preserve"> </w:t>
      </w:r>
      <w:r w:rsidR="007E45C3" w:rsidRPr="00446FEC">
        <w:rPr>
          <w:rFonts w:eastAsia="SimSun"/>
        </w:rPr>
        <w:t>sharing</w:t>
      </w:r>
      <w:r w:rsidR="007E45C3" w:rsidRPr="00446FEC">
        <w:rPr>
          <w:rFonts w:eastAsia="SimSun"/>
          <w:spacing w:val="60"/>
        </w:rPr>
        <w:t xml:space="preserve"> </w:t>
      </w:r>
      <w:r w:rsidR="007E45C3" w:rsidRPr="00446FEC">
        <w:rPr>
          <w:rFonts w:eastAsia="SimSun"/>
        </w:rPr>
        <w:t>of</w:t>
      </w:r>
      <w:r w:rsidR="007E45C3" w:rsidRPr="00446FEC">
        <w:rPr>
          <w:rFonts w:eastAsia="SimSun"/>
          <w:spacing w:val="60"/>
        </w:rPr>
        <w:t xml:space="preserve"> </w:t>
      </w:r>
      <w:r w:rsidR="007E45C3" w:rsidRPr="00446FEC">
        <w:rPr>
          <w:rFonts w:eastAsia="SimSun"/>
        </w:rPr>
        <w:t>facilities</w:t>
      </w:r>
      <w:r w:rsidR="007E45C3" w:rsidRPr="00446FEC">
        <w:rPr>
          <w:rFonts w:eastAsia="SimSun"/>
          <w:spacing w:val="63"/>
        </w:rPr>
        <w:t xml:space="preserve"> </w:t>
      </w:r>
      <w:r w:rsidR="007E45C3" w:rsidRPr="00446FEC">
        <w:rPr>
          <w:rFonts w:eastAsia="SimSun"/>
        </w:rPr>
        <w:t>are</w:t>
      </w:r>
      <w:r w:rsidR="007E45C3" w:rsidRPr="00446FEC">
        <w:rPr>
          <w:rFonts w:eastAsia="SimSun"/>
          <w:spacing w:val="-64"/>
        </w:rPr>
        <w:t xml:space="preserve"> </w:t>
      </w:r>
      <w:r w:rsidR="007E45C3" w:rsidRPr="00446FEC">
        <w:rPr>
          <w:rFonts w:eastAsia="SimSun"/>
        </w:rPr>
        <w:t>harnessed,</w:t>
      </w:r>
      <w:r w:rsidR="007E45C3" w:rsidRPr="00446FEC">
        <w:rPr>
          <w:rFonts w:eastAsia="SimSun"/>
          <w:spacing w:val="-4"/>
        </w:rPr>
        <w:t xml:space="preserve"> </w:t>
      </w:r>
      <w:r w:rsidR="007E45C3" w:rsidRPr="00446FEC">
        <w:rPr>
          <w:rFonts w:eastAsia="SimSun"/>
        </w:rPr>
        <w:t>for</w:t>
      </w:r>
      <w:r w:rsidR="007E45C3" w:rsidRPr="00446FEC">
        <w:rPr>
          <w:rFonts w:eastAsia="SimSun"/>
          <w:spacing w:val="-1"/>
        </w:rPr>
        <w:t xml:space="preserve"> </w:t>
      </w:r>
      <w:r w:rsidR="007E45C3" w:rsidRPr="00446FEC">
        <w:rPr>
          <w:rFonts w:eastAsia="SimSun"/>
        </w:rPr>
        <w:t>the collective benefit</w:t>
      </w:r>
      <w:r w:rsidR="007E45C3" w:rsidRPr="00446FEC">
        <w:rPr>
          <w:rFonts w:eastAsia="SimSun"/>
          <w:spacing w:val="-2"/>
        </w:rPr>
        <w:t xml:space="preserve"> </w:t>
      </w:r>
      <w:r w:rsidR="007E45C3" w:rsidRPr="00446FEC">
        <w:rPr>
          <w:rFonts w:eastAsia="SimSun"/>
        </w:rPr>
        <w:t>of</w:t>
      </w:r>
      <w:r w:rsidR="007E45C3" w:rsidRPr="00446FEC">
        <w:rPr>
          <w:rFonts w:eastAsia="SimSun"/>
          <w:spacing w:val="-1"/>
        </w:rPr>
        <w:t xml:space="preserve"> </w:t>
      </w:r>
      <w:r w:rsidR="007E45C3" w:rsidRPr="00446FEC">
        <w:rPr>
          <w:rFonts w:eastAsia="SimSun"/>
        </w:rPr>
        <w:t>all</w:t>
      </w:r>
      <w:r w:rsidR="007E45C3" w:rsidRPr="00446FEC">
        <w:rPr>
          <w:rFonts w:eastAsia="SimSun"/>
          <w:spacing w:val="-3"/>
        </w:rPr>
        <w:t xml:space="preserve"> </w:t>
      </w:r>
      <w:r w:rsidR="007E45C3" w:rsidRPr="00446FEC">
        <w:rPr>
          <w:rFonts w:eastAsia="SimSun"/>
        </w:rPr>
        <w:t>telecommunications</w:t>
      </w:r>
      <w:r w:rsidR="007E45C3" w:rsidRPr="00446FEC">
        <w:rPr>
          <w:rFonts w:eastAsia="SimSun"/>
          <w:spacing w:val="-4"/>
        </w:rPr>
        <w:t xml:space="preserve"> </w:t>
      </w:r>
      <w:r w:rsidR="007E45C3" w:rsidRPr="00446FEC">
        <w:rPr>
          <w:rFonts w:eastAsia="SimSun"/>
        </w:rPr>
        <w:t>stakeholders;</w:t>
      </w:r>
    </w:p>
    <w:p w14:paraId="29C2586F" w14:textId="06557F15" w:rsidR="007E45C3" w:rsidRPr="00446FEC" w:rsidRDefault="006968F0" w:rsidP="006968F0">
      <w:pPr>
        <w:pStyle w:val="enumlev2"/>
        <w:rPr>
          <w:rFonts w:eastAsia="SimSun"/>
        </w:rPr>
      </w:pPr>
      <w:r w:rsidRPr="00446FEC">
        <w:rPr>
          <w:rFonts w:eastAsia="SimSun"/>
        </w:rPr>
        <w:t>e)</w:t>
      </w:r>
      <w:r w:rsidRPr="00446FEC">
        <w:rPr>
          <w:rFonts w:eastAsia="SimSun"/>
        </w:rPr>
        <w:tab/>
      </w:r>
      <w:r w:rsidR="007E45C3" w:rsidRPr="00446FEC">
        <w:rPr>
          <w:rFonts w:eastAsia="SimSun"/>
        </w:rPr>
        <w:t>Minimize</w:t>
      </w:r>
      <w:r w:rsidR="007E45C3" w:rsidRPr="00446FEC">
        <w:rPr>
          <w:rFonts w:eastAsia="SimSun"/>
          <w:spacing w:val="6"/>
        </w:rPr>
        <w:t xml:space="preserve"> </w:t>
      </w:r>
      <w:r w:rsidR="007E45C3" w:rsidRPr="00446FEC">
        <w:rPr>
          <w:rFonts w:eastAsia="SimSun"/>
        </w:rPr>
        <w:t>capital</w:t>
      </w:r>
      <w:r w:rsidR="007E45C3" w:rsidRPr="00446FEC">
        <w:rPr>
          <w:rFonts w:eastAsia="SimSun"/>
          <w:spacing w:val="6"/>
        </w:rPr>
        <w:t xml:space="preserve"> </w:t>
      </w:r>
      <w:r w:rsidR="007E45C3" w:rsidRPr="00446FEC">
        <w:rPr>
          <w:rFonts w:eastAsia="SimSun"/>
        </w:rPr>
        <w:t>expenditure</w:t>
      </w:r>
      <w:r w:rsidR="007E45C3" w:rsidRPr="00446FEC">
        <w:rPr>
          <w:rFonts w:eastAsia="SimSun"/>
          <w:spacing w:val="6"/>
        </w:rPr>
        <w:t xml:space="preserve"> </w:t>
      </w:r>
      <w:r w:rsidR="007E45C3" w:rsidRPr="00446FEC">
        <w:rPr>
          <w:rFonts w:eastAsia="SimSun"/>
        </w:rPr>
        <w:t>on</w:t>
      </w:r>
      <w:r w:rsidR="007E45C3" w:rsidRPr="00446FEC">
        <w:rPr>
          <w:rFonts w:eastAsia="SimSun"/>
          <w:spacing w:val="6"/>
        </w:rPr>
        <w:t xml:space="preserve"> </w:t>
      </w:r>
      <w:r w:rsidR="007E45C3" w:rsidRPr="00446FEC">
        <w:rPr>
          <w:rFonts w:eastAsia="SimSun"/>
        </w:rPr>
        <w:t>supporting</w:t>
      </w:r>
      <w:r w:rsidR="007E45C3" w:rsidRPr="00446FEC">
        <w:rPr>
          <w:rFonts w:eastAsia="SimSun"/>
          <w:spacing w:val="5"/>
        </w:rPr>
        <w:t xml:space="preserve"> </w:t>
      </w:r>
      <w:r w:rsidR="007E45C3" w:rsidRPr="00446FEC">
        <w:rPr>
          <w:rFonts w:eastAsia="SimSun"/>
        </w:rPr>
        <w:t>infrastructures,</w:t>
      </w:r>
      <w:r w:rsidR="007E45C3" w:rsidRPr="00446FEC">
        <w:rPr>
          <w:rFonts w:eastAsia="SimSun"/>
          <w:spacing w:val="4"/>
        </w:rPr>
        <w:t xml:space="preserve"> </w:t>
      </w:r>
      <w:r w:rsidR="007E45C3" w:rsidRPr="00446FEC">
        <w:rPr>
          <w:rFonts w:eastAsia="SimSun"/>
        </w:rPr>
        <w:t>to</w:t>
      </w:r>
      <w:r w:rsidR="007E45C3" w:rsidRPr="00446FEC">
        <w:rPr>
          <w:rFonts w:eastAsia="SimSun"/>
          <w:spacing w:val="5"/>
        </w:rPr>
        <w:t xml:space="preserve"> </w:t>
      </w:r>
      <w:r w:rsidR="007E45C3" w:rsidRPr="00446FEC">
        <w:rPr>
          <w:rFonts w:eastAsia="SimSun"/>
        </w:rPr>
        <w:t>avail</w:t>
      </w:r>
      <w:r w:rsidR="007E45C3" w:rsidRPr="00446FEC">
        <w:rPr>
          <w:rFonts w:eastAsia="SimSun"/>
          <w:spacing w:val="5"/>
        </w:rPr>
        <w:t xml:space="preserve"> </w:t>
      </w:r>
      <w:r w:rsidR="007E45C3" w:rsidRPr="00446FEC">
        <w:rPr>
          <w:rFonts w:eastAsia="SimSun"/>
        </w:rPr>
        <w:t>more</w:t>
      </w:r>
      <w:r w:rsidR="007E45C3" w:rsidRPr="00446FEC">
        <w:rPr>
          <w:rFonts w:eastAsia="SimSun"/>
          <w:spacing w:val="4"/>
        </w:rPr>
        <w:t xml:space="preserve"> </w:t>
      </w:r>
      <w:r w:rsidR="007E45C3" w:rsidRPr="00446FEC">
        <w:rPr>
          <w:rFonts w:eastAsia="SimSun"/>
        </w:rPr>
        <w:t>funds</w:t>
      </w:r>
      <w:r w:rsidR="007E45C3" w:rsidRPr="00446FEC">
        <w:rPr>
          <w:rFonts w:eastAsia="SimSun"/>
          <w:spacing w:val="4"/>
        </w:rPr>
        <w:t xml:space="preserve"> </w:t>
      </w:r>
      <w:r w:rsidR="007E45C3" w:rsidRPr="00446FEC">
        <w:rPr>
          <w:rFonts w:eastAsia="SimSun"/>
        </w:rPr>
        <w:t>for</w:t>
      </w:r>
      <w:r w:rsidR="007E45C3" w:rsidRPr="00446FEC">
        <w:rPr>
          <w:rFonts w:eastAsia="SimSun"/>
          <w:spacing w:val="-64"/>
        </w:rPr>
        <w:t xml:space="preserve"> </w:t>
      </w:r>
      <w:r w:rsidR="007E45C3" w:rsidRPr="00446FEC">
        <w:rPr>
          <w:rFonts w:eastAsia="SimSun"/>
        </w:rPr>
        <w:t>investment</w:t>
      </w:r>
      <w:r w:rsidR="007E45C3" w:rsidRPr="00446FEC">
        <w:rPr>
          <w:rFonts w:eastAsia="SimSun"/>
          <w:spacing w:val="-3"/>
        </w:rPr>
        <w:t xml:space="preserve"> </w:t>
      </w:r>
      <w:r w:rsidR="007E45C3" w:rsidRPr="00446FEC">
        <w:rPr>
          <w:rFonts w:eastAsia="SimSun"/>
        </w:rPr>
        <w:t>in</w:t>
      </w:r>
      <w:r w:rsidR="007E45C3" w:rsidRPr="00446FEC">
        <w:rPr>
          <w:rFonts w:eastAsia="SimSun"/>
          <w:spacing w:val="2"/>
        </w:rPr>
        <w:t xml:space="preserve"> </w:t>
      </w:r>
      <w:r w:rsidR="007E45C3" w:rsidRPr="00446FEC">
        <w:rPr>
          <w:rFonts w:eastAsia="SimSun"/>
        </w:rPr>
        <w:t>core</w:t>
      </w:r>
      <w:r w:rsidR="007E45C3" w:rsidRPr="00446FEC">
        <w:rPr>
          <w:rFonts w:eastAsia="SimSun"/>
          <w:spacing w:val="-3"/>
        </w:rPr>
        <w:t xml:space="preserve"> </w:t>
      </w:r>
      <w:r w:rsidR="007E45C3" w:rsidRPr="00446FEC">
        <w:rPr>
          <w:rFonts w:eastAsia="SimSun"/>
        </w:rPr>
        <w:t>network equipment;</w:t>
      </w:r>
      <w:r w:rsidR="007E45C3" w:rsidRPr="00446FEC">
        <w:rPr>
          <w:rFonts w:eastAsia="SimSun"/>
          <w:spacing w:val="1"/>
        </w:rPr>
        <w:t xml:space="preserve"> </w:t>
      </w:r>
      <w:r w:rsidR="007E45C3" w:rsidRPr="00446FEC">
        <w:rPr>
          <w:rFonts w:eastAsia="SimSun"/>
        </w:rPr>
        <w:t>and</w:t>
      </w:r>
    </w:p>
    <w:p w14:paraId="1FC772BE" w14:textId="6394E81C" w:rsidR="007E45C3" w:rsidRPr="00446FEC" w:rsidRDefault="006968F0" w:rsidP="006968F0">
      <w:pPr>
        <w:pStyle w:val="enumlev2"/>
        <w:rPr>
          <w:rFonts w:eastAsia="SimSun"/>
        </w:rPr>
      </w:pPr>
      <w:r w:rsidRPr="00446FEC">
        <w:rPr>
          <w:rFonts w:eastAsia="SimSun"/>
        </w:rPr>
        <w:t>f)</w:t>
      </w:r>
      <w:r w:rsidRPr="00446FEC">
        <w:rPr>
          <w:rFonts w:eastAsia="SimSun"/>
        </w:rPr>
        <w:tab/>
      </w:r>
      <w:r w:rsidR="007E45C3" w:rsidRPr="00446FEC">
        <w:rPr>
          <w:rFonts w:eastAsia="SimSun"/>
        </w:rPr>
        <w:t>Encourage</w:t>
      </w:r>
      <w:r w:rsidR="007E45C3" w:rsidRPr="00446FEC">
        <w:rPr>
          <w:rFonts w:eastAsia="SimSun"/>
          <w:spacing w:val="-5"/>
        </w:rPr>
        <w:t xml:space="preserve"> </w:t>
      </w:r>
      <w:r w:rsidR="007E45C3" w:rsidRPr="00446FEC">
        <w:rPr>
          <w:rFonts w:eastAsia="SimSun"/>
        </w:rPr>
        <w:t>operators</w:t>
      </w:r>
      <w:r w:rsidR="007E45C3" w:rsidRPr="00446FEC">
        <w:rPr>
          <w:rFonts w:eastAsia="SimSun"/>
          <w:spacing w:val="-5"/>
        </w:rPr>
        <w:t xml:space="preserve"> </w:t>
      </w:r>
      <w:r w:rsidR="007E45C3" w:rsidRPr="00446FEC">
        <w:rPr>
          <w:rFonts w:eastAsia="SimSun"/>
        </w:rPr>
        <w:t>to</w:t>
      </w:r>
      <w:r w:rsidR="007E45C3" w:rsidRPr="00446FEC">
        <w:rPr>
          <w:rFonts w:eastAsia="SimSun"/>
          <w:spacing w:val="-5"/>
        </w:rPr>
        <w:t xml:space="preserve"> </w:t>
      </w:r>
      <w:r w:rsidR="007E45C3" w:rsidRPr="00446FEC">
        <w:rPr>
          <w:rFonts w:eastAsia="SimSun"/>
        </w:rPr>
        <w:t>pursue</w:t>
      </w:r>
      <w:r w:rsidR="007E45C3" w:rsidRPr="00446FEC">
        <w:rPr>
          <w:rFonts w:eastAsia="SimSun"/>
          <w:spacing w:val="-6"/>
        </w:rPr>
        <w:t xml:space="preserve"> </w:t>
      </w:r>
      <w:r w:rsidR="007E45C3" w:rsidRPr="00446FEC">
        <w:rPr>
          <w:rFonts w:eastAsia="SimSun"/>
        </w:rPr>
        <w:t>a</w:t>
      </w:r>
      <w:r w:rsidR="007E45C3" w:rsidRPr="00446FEC">
        <w:rPr>
          <w:rFonts w:eastAsia="SimSun"/>
          <w:spacing w:val="-5"/>
        </w:rPr>
        <w:t xml:space="preserve"> </w:t>
      </w:r>
      <w:r w:rsidR="007E45C3" w:rsidRPr="00446FEC">
        <w:rPr>
          <w:rFonts w:eastAsia="SimSun"/>
        </w:rPr>
        <w:t>cost-oriented</w:t>
      </w:r>
      <w:r w:rsidR="007E45C3" w:rsidRPr="00446FEC">
        <w:rPr>
          <w:rFonts w:eastAsia="SimSun"/>
          <w:spacing w:val="-4"/>
        </w:rPr>
        <w:t xml:space="preserve"> </w:t>
      </w:r>
      <w:r w:rsidR="007E45C3" w:rsidRPr="00446FEC">
        <w:rPr>
          <w:rFonts w:eastAsia="SimSun"/>
        </w:rPr>
        <w:t>policy</w:t>
      </w:r>
      <w:r w:rsidR="007E45C3" w:rsidRPr="00446FEC">
        <w:rPr>
          <w:rFonts w:eastAsia="SimSun"/>
          <w:spacing w:val="-5"/>
        </w:rPr>
        <w:t xml:space="preserve"> </w:t>
      </w:r>
      <w:r w:rsidR="007E45C3" w:rsidRPr="00446FEC">
        <w:rPr>
          <w:rFonts w:eastAsia="SimSun"/>
        </w:rPr>
        <w:t>for</w:t>
      </w:r>
      <w:r w:rsidR="007E45C3" w:rsidRPr="00446FEC">
        <w:rPr>
          <w:rFonts w:eastAsia="SimSun"/>
          <w:spacing w:val="-6"/>
        </w:rPr>
        <w:t xml:space="preserve"> </w:t>
      </w:r>
      <w:r w:rsidR="007E45C3" w:rsidRPr="00446FEC">
        <w:rPr>
          <w:rFonts w:eastAsia="SimSun"/>
        </w:rPr>
        <w:t>the</w:t>
      </w:r>
      <w:r w:rsidR="007E45C3" w:rsidRPr="00446FEC">
        <w:rPr>
          <w:rFonts w:eastAsia="SimSun"/>
          <w:spacing w:val="-6"/>
        </w:rPr>
        <w:t xml:space="preserve"> </w:t>
      </w:r>
      <w:r w:rsidR="007E45C3" w:rsidRPr="00446FEC">
        <w:rPr>
          <w:rFonts w:eastAsia="SimSun"/>
        </w:rPr>
        <w:t>sake</w:t>
      </w:r>
      <w:r w:rsidR="007E45C3" w:rsidRPr="00446FEC">
        <w:rPr>
          <w:rFonts w:eastAsia="SimSun"/>
          <w:spacing w:val="-7"/>
        </w:rPr>
        <w:t xml:space="preserve"> </w:t>
      </w:r>
      <w:r w:rsidR="007E45C3" w:rsidRPr="00446FEC">
        <w:rPr>
          <w:rFonts w:eastAsia="SimSun"/>
        </w:rPr>
        <w:t>of</w:t>
      </w:r>
      <w:r w:rsidR="007E45C3" w:rsidRPr="00446FEC">
        <w:rPr>
          <w:rFonts w:eastAsia="SimSun"/>
          <w:spacing w:val="-6"/>
        </w:rPr>
        <w:t xml:space="preserve"> </w:t>
      </w:r>
      <w:r w:rsidR="007E45C3" w:rsidRPr="00446FEC">
        <w:rPr>
          <w:rFonts w:eastAsia="SimSun"/>
        </w:rPr>
        <w:t>reduced</w:t>
      </w:r>
      <w:r w:rsidR="007E45C3" w:rsidRPr="00446FEC">
        <w:rPr>
          <w:rFonts w:eastAsia="SimSun"/>
          <w:spacing w:val="-4"/>
        </w:rPr>
        <w:t xml:space="preserve"> </w:t>
      </w:r>
      <w:r w:rsidR="007E45C3" w:rsidRPr="00446FEC">
        <w:rPr>
          <w:rFonts w:eastAsia="SimSun"/>
        </w:rPr>
        <w:t>retail</w:t>
      </w:r>
      <w:r w:rsidR="007E45C3" w:rsidRPr="00446FEC">
        <w:rPr>
          <w:rFonts w:eastAsia="SimSun"/>
          <w:spacing w:val="-64"/>
        </w:rPr>
        <w:t xml:space="preserve"> </w:t>
      </w:r>
      <w:r w:rsidR="007E45C3" w:rsidRPr="00446FEC">
        <w:rPr>
          <w:rFonts w:eastAsia="SimSun"/>
        </w:rPr>
        <w:t>tariffs</w:t>
      </w:r>
      <w:r w:rsidR="007E45C3" w:rsidRPr="00446FEC">
        <w:rPr>
          <w:rFonts w:eastAsia="SimSun"/>
          <w:spacing w:val="-4"/>
        </w:rPr>
        <w:t xml:space="preserve"> </w:t>
      </w:r>
      <w:r w:rsidR="007E45C3" w:rsidRPr="00446FEC">
        <w:rPr>
          <w:rFonts w:eastAsia="SimSun"/>
        </w:rPr>
        <w:t>chargeable to consumers.</w:t>
      </w:r>
    </w:p>
    <w:p w14:paraId="4189A363" w14:textId="77927B78" w:rsidR="007E45C3" w:rsidRPr="00446FEC" w:rsidRDefault="007E45C3" w:rsidP="006968F0">
      <w:pPr>
        <w:pStyle w:val="enumlev1"/>
        <w:rPr>
          <w:rFonts w:eastAsia="SimSun"/>
        </w:rPr>
      </w:pPr>
      <w:r w:rsidRPr="00446FEC">
        <w:rPr>
          <w:rFonts w:eastAsia="SimSun"/>
        </w:rPr>
        <w:t>2)</w:t>
      </w:r>
      <w:r w:rsidRPr="00446FEC">
        <w:rPr>
          <w:rFonts w:eastAsia="SimSun"/>
        </w:rPr>
        <w:tab/>
        <w:t xml:space="preserve">The </w:t>
      </w:r>
      <w:proofErr w:type="gramStart"/>
      <w:r w:rsidRPr="00446FEC">
        <w:rPr>
          <w:rFonts w:eastAsia="SimSun"/>
        </w:rPr>
        <w:t>NRA</w:t>
      </w:r>
      <w:r w:rsidR="006E6D1D" w:rsidRPr="00446FEC">
        <w:rPr>
          <w:rFonts w:eastAsia="SimSun"/>
        </w:rPr>
        <w:t>'</w:t>
      </w:r>
      <w:r w:rsidRPr="00446FEC">
        <w:rPr>
          <w:rFonts w:eastAsia="SimSun"/>
        </w:rPr>
        <w:t>s</w:t>
      </w:r>
      <w:proofErr w:type="gramEnd"/>
      <w:r w:rsidRPr="00446FEC">
        <w:rPr>
          <w:rFonts w:eastAsia="SimSun"/>
        </w:rPr>
        <w:t xml:space="preserve"> shall encourage and promote passive sharing infrastructures which include, but are not limited to, the following:</w:t>
      </w:r>
    </w:p>
    <w:p w14:paraId="584DE7ED" w14:textId="77777777" w:rsidR="007E45C3" w:rsidRPr="00446FEC" w:rsidRDefault="007E45C3" w:rsidP="006968F0">
      <w:pPr>
        <w:pStyle w:val="enumlev2"/>
        <w:rPr>
          <w:rFonts w:eastAsia="SimSun"/>
        </w:rPr>
      </w:pPr>
      <w:r w:rsidRPr="00446FEC">
        <w:rPr>
          <w:rFonts w:eastAsia="SimSun"/>
        </w:rPr>
        <w:t>a)</w:t>
      </w:r>
      <w:r w:rsidRPr="00446FEC">
        <w:rPr>
          <w:rFonts w:eastAsia="SimSun"/>
        </w:rPr>
        <w:tab/>
        <w:t>Rights of way</w:t>
      </w:r>
    </w:p>
    <w:p w14:paraId="3FC75C91" w14:textId="77777777" w:rsidR="007E45C3" w:rsidRPr="00446FEC" w:rsidRDefault="007E45C3" w:rsidP="006968F0">
      <w:pPr>
        <w:pStyle w:val="enumlev2"/>
        <w:rPr>
          <w:rFonts w:eastAsia="SimSun"/>
        </w:rPr>
      </w:pPr>
      <w:r w:rsidRPr="00446FEC">
        <w:rPr>
          <w:rFonts w:eastAsia="SimSun"/>
        </w:rPr>
        <w:t>b)</w:t>
      </w:r>
      <w:r w:rsidRPr="00446FEC">
        <w:rPr>
          <w:rFonts w:eastAsia="SimSun"/>
        </w:rPr>
        <w:tab/>
        <w:t>Masts</w:t>
      </w:r>
    </w:p>
    <w:p w14:paraId="5E370EF9" w14:textId="77777777" w:rsidR="007E45C3" w:rsidRPr="00446FEC" w:rsidRDefault="007E45C3" w:rsidP="006968F0">
      <w:pPr>
        <w:pStyle w:val="enumlev2"/>
        <w:rPr>
          <w:rFonts w:eastAsia="SimSun"/>
        </w:rPr>
      </w:pPr>
      <w:r w:rsidRPr="00446FEC">
        <w:rPr>
          <w:rFonts w:eastAsia="SimSun"/>
        </w:rPr>
        <w:t>c)</w:t>
      </w:r>
      <w:r w:rsidRPr="00446FEC">
        <w:rPr>
          <w:rFonts w:eastAsia="SimSun"/>
        </w:rPr>
        <w:tab/>
        <w:t>Poles</w:t>
      </w:r>
    </w:p>
    <w:p w14:paraId="014660AB" w14:textId="77777777" w:rsidR="007E45C3" w:rsidRPr="00446FEC" w:rsidRDefault="007E45C3" w:rsidP="006968F0">
      <w:pPr>
        <w:pStyle w:val="enumlev2"/>
        <w:rPr>
          <w:rFonts w:eastAsia="SimSun"/>
        </w:rPr>
      </w:pPr>
      <w:r w:rsidRPr="00446FEC">
        <w:rPr>
          <w:rFonts w:eastAsia="SimSun"/>
        </w:rPr>
        <w:t>d)</w:t>
      </w:r>
      <w:r w:rsidRPr="00446FEC">
        <w:rPr>
          <w:rFonts w:eastAsia="SimSun"/>
        </w:rPr>
        <w:tab/>
        <w:t>Antenna mast and tower structures</w:t>
      </w:r>
    </w:p>
    <w:p w14:paraId="03F73D6B" w14:textId="77777777" w:rsidR="007E45C3" w:rsidRPr="00446FEC" w:rsidRDefault="007E45C3" w:rsidP="006968F0">
      <w:pPr>
        <w:pStyle w:val="enumlev2"/>
        <w:rPr>
          <w:rFonts w:eastAsia="SimSun"/>
        </w:rPr>
      </w:pPr>
      <w:r w:rsidRPr="00446FEC">
        <w:rPr>
          <w:rFonts w:eastAsia="SimSun"/>
        </w:rPr>
        <w:t>e)</w:t>
      </w:r>
      <w:r w:rsidRPr="00446FEC">
        <w:rPr>
          <w:rFonts w:eastAsia="SimSun"/>
        </w:rPr>
        <w:tab/>
        <w:t>Ducts</w:t>
      </w:r>
    </w:p>
    <w:p w14:paraId="3EFBD550" w14:textId="77777777" w:rsidR="007E45C3" w:rsidRPr="00446FEC" w:rsidRDefault="007E45C3" w:rsidP="006968F0">
      <w:pPr>
        <w:pStyle w:val="enumlev2"/>
        <w:rPr>
          <w:rFonts w:eastAsia="SimSun"/>
        </w:rPr>
      </w:pPr>
      <w:r w:rsidRPr="00446FEC">
        <w:rPr>
          <w:rFonts w:eastAsia="SimSun"/>
        </w:rPr>
        <w:t>f)</w:t>
      </w:r>
      <w:r w:rsidRPr="00446FEC">
        <w:rPr>
          <w:rFonts w:eastAsia="SimSun"/>
        </w:rPr>
        <w:tab/>
        <w:t>Trenches</w:t>
      </w:r>
    </w:p>
    <w:p w14:paraId="5E33402D" w14:textId="77777777" w:rsidR="007E45C3" w:rsidRPr="00446FEC" w:rsidRDefault="007E45C3" w:rsidP="006968F0">
      <w:pPr>
        <w:pStyle w:val="enumlev2"/>
        <w:rPr>
          <w:rFonts w:eastAsia="SimSun"/>
        </w:rPr>
      </w:pPr>
      <w:r w:rsidRPr="00446FEC">
        <w:rPr>
          <w:rFonts w:eastAsia="SimSun"/>
        </w:rPr>
        <w:t>g)</w:t>
      </w:r>
      <w:r w:rsidRPr="00446FEC">
        <w:rPr>
          <w:rFonts w:eastAsia="SimSun"/>
        </w:rPr>
        <w:tab/>
        <w:t>Space in buildings</w:t>
      </w:r>
    </w:p>
    <w:p w14:paraId="6F31DE54" w14:textId="77777777" w:rsidR="007E45C3" w:rsidRPr="00446FEC" w:rsidRDefault="007E45C3" w:rsidP="006968F0">
      <w:pPr>
        <w:pStyle w:val="enumlev2"/>
        <w:rPr>
          <w:rFonts w:eastAsia="SimSun"/>
        </w:rPr>
      </w:pPr>
      <w:r w:rsidRPr="00446FEC">
        <w:rPr>
          <w:rFonts w:eastAsia="SimSun"/>
        </w:rPr>
        <w:t>h)</w:t>
      </w:r>
      <w:r w:rsidRPr="00446FEC">
        <w:rPr>
          <w:rFonts w:eastAsia="SimSun"/>
        </w:rPr>
        <w:tab/>
        <w:t>Electric power (public or private source)</w:t>
      </w:r>
    </w:p>
    <w:p w14:paraId="672B3081" w14:textId="3015CC96" w:rsidR="007E45C3" w:rsidRPr="00446FEC" w:rsidRDefault="007E45C3" w:rsidP="006968F0">
      <w:pPr>
        <w:pStyle w:val="enumlev2"/>
        <w:rPr>
          <w:rFonts w:eastAsia="SimSun"/>
        </w:rPr>
      </w:pPr>
      <w:proofErr w:type="spellStart"/>
      <w:r w:rsidRPr="00446FEC">
        <w:rPr>
          <w:rFonts w:eastAsia="SimSun"/>
        </w:rPr>
        <w:t>i</w:t>
      </w:r>
      <w:proofErr w:type="spellEnd"/>
      <w:r w:rsidRPr="00446FEC">
        <w:rPr>
          <w:rFonts w:eastAsia="SimSun"/>
        </w:rPr>
        <w:t>)</w:t>
      </w:r>
      <w:r w:rsidRPr="00446FEC">
        <w:rPr>
          <w:rFonts w:eastAsia="SimSun"/>
        </w:rPr>
        <w:tab/>
        <w:t>Dark fibre</w:t>
      </w:r>
      <w:r w:rsidR="00252C57" w:rsidRPr="00446FEC">
        <w:rPr>
          <w:rFonts w:eastAsia="SimSun"/>
        </w:rPr>
        <w:t>.</w:t>
      </w:r>
    </w:p>
    <w:p w14:paraId="7EF0A598" w14:textId="77777777" w:rsidR="007E45C3" w:rsidRPr="00446FEC" w:rsidRDefault="007E45C3" w:rsidP="006968F0">
      <w:pPr>
        <w:pStyle w:val="enumlev1"/>
        <w:rPr>
          <w:rFonts w:eastAsia="SimSun"/>
        </w:rPr>
      </w:pPr>
      <w:r w:rsidRPr="00446FEC">
        <w:rPr>
          <w:rFonts w:eastAsia="SimSun"/>
        </w:rPr>
        <w:t>3)</w:t>
      </w:r>
      <w:r w:rsidRPr="00446FEC">
        <w:rPr>
          <w:rFonts w:eastAsia="SimSun"/>
        </w:rPr>
        <w:tab/>
        <w:t>The NRA shall also encourage and promote active sharing infrastructures which include:</w:t>
      </w:r>
    </w:p>
    <w:p w14:paraId="710DA529" w14:textId="77777777" w:rsidR="007E45C3" w:rsidRPr="00446FEC" w:rsidRDefault="007E45C3" w:rsidP="006968F0">
      <w:pPr>
        <w:pStyle w:val="enumlev2"/>
        <w:rPr>
          <w:rFonts w:eastAsia="SimSun"/>
        </w:rPr>
      </w:pPr>
      <w:r w:rsidRPr="00446FEC">
        <w:rPr>
          <w:rFonts w:eastAsia="SimSun"/>
        </w:rPr>
        <w:t>a)</w:t>
      </w:r>
      <w:r w:rsidRPr="00446FEC">
        <w:rPr>
          <w:rFonts w:eastAsia="SimSun"/>
        </w:rPr>
        <w:tab/>
        <w:t>Complete network structures</w:t>
      </w:r>
    </w:p>
    <w:p w14:paraId="33861A4B" w14:textId="77777777" w:rsidR="007E45C3" w:rsidRPr="00446FEC" w:rsidRDefault="007E45C3" w:rsidP="006968F0">
      <w:pPr>
        <w:pStyle w:val="enumlev2"/>
        <w:rPr>
          <w:rFonts w:eastAsia="SimSun"/>
        </w:rPr>
      </w:pPr>
      <w:r w:rsidRPr="00446FEC">
        <w:rPr>
          <w:rFonts w:eastAsia="SimSun"/>
        </w:rPr>
        <w:t>b)</w:t>
      </w:r>
      <w:r w:rsidRPr="00446FEC">
        <w:rPr>
          <w:rFonts w:eastAsia="SimSun"/>
        </w:rPr>
        <w:tab/>
        <w:t>Switching centres</w:t>
      </w:r>
    </w:p>
    <w:p w14:paraId="3AAB8796" w14:textId="77777777" w:rsidR="007E45C3" w:rsidRPr="00446FEC" w:rsidRDefault="007E45C3" w:rsidP="006968F0">
      <w:pPr>
        <w:pStyle w:val="enumlev2"/>
        <w:rPr>
          <w:rFonts w:eastAsia="SimSun"/>
        </w:rPr>
      </w:pPr>
      <w:r w:rsidRPr="00446FEC">
        <w:rPr>
          <w:rFonts w:eastAsia="SimSun"/>
        </w:rPr>
        <w:t>c)</w:t>
      </w:r>
      <w:r w:rsidRPr="00446FEC">
        <w:rPr>
          <w:rFonts w:eastAsia="SimSun"/>
        </w:rPr>
        <w:tab/>
        <w:t>Radio network controllers</w:t>
      </w:r>
    </w:p>
    <w:p w14:paraId="617D6540" w14:textId="77777777" w:rsidR="007E45C3" w:rsidRPr="00446FEC" w:rsidRDefault="007E45C3" w:rsidP="006968F0">
      <w:pPr>
        <w:pStyle w:val="enumlev2"/>
        <w:rPr>
          <w:rFonts w:eastAsia="SimSun"/>
        </w:rPr>
      </w:pPr>
      <w:r w:rsidRPr="00446FEC">
        <w:rPr>
          <w:rFonts w:eastAsia="SimSun"/>
        </w:rPr>
        <w:t>d)</w:t>
      </w:r>
      <w:r w:rsidRPr="00446FEC">
        <w:rPr>
          <w:rFonts w:eastAsia="SimSun"/>
        </w:rPr>
        <w:tab/>
        <w:t>Base station controllers</w:t>
      </w:r>
    </w:p>
    <w:p w14:paraId="22A22756" w14:textId="77777777" w:rsidR="007E45C3" w:rsidRPr="00446FEC" w:rsidRDefault="007E45C3" w:rsidP="006968F0">
      <w:pPr>
        <w:pStyle w:val="enumlev2"/>
        <w:rPr>
          <w:rFonts w:eastAsia="SimSun"/>
        </w:rPr>
      </w:pPr>
      <w:r w:rsidRPr="00446FEC">
        <w:rPr>
          <w:rFonts w:eastAsia="SimSun"/>
        </w:rPr>
        <w:t>e)</w:t>
      </w:r>
      <w:r w:rsidRPr="00446FEC">
        <w:rPr>
          <w:rFonts w:eastAsia="SimSun"/>
        </w:rPr>
        <w:tab/>
      </w:r>
      <w:proofErr w:type="spellStart"/>
      <w:r w:rsidRPr="00446FEC">
        <w:rPr>
          <w:rFonts w:eastAsia="SimSun"/>
        </w:rPr>
        <w:t>NodesBs</w:t>
      </w:r>
      <w:proofErr w:type="spellEnd"/>
      <w:r w:rsidRPr="00446FEC">
        <w:rPr>
          <w:rFonts w:eastAsia="SimSun"/>
        </w:rPr>
        <w:t xml:space="preserve"> and </w:t>
      </w:r>
      <w:proofErr w:type="spellStart"/>
      <w:r w:rsidRPr="00446FEC">
        <w:rPr>
          <w:rFonts w:eastAsia="SimSun"/>
        </w:rPr>
        <w:t>eNodesBs</w:t>
      </w:r>
      <w:proofErr w:type="spellEnd"/>
    </w:p>
    <w:p w14:paraId="41CBD4FA" w14:textId="4F56610C" w:rsidR="007E45C3" w:rsidRPr="00446FEC" w:rsidRDefault="007E45C3" w:rsidP="006968F0">
      <w:pPr>
        <w:pStyle w:val="enumlev2"/>
        <w:rPr>
          <w:rFonts w:eastAsia="SimSun"/>
        </w:rPr>
      </w:pPr>
      <w:r w:rsidRPr="00446FEC">
        <w:rPr>
          <w:rFonts w:eastAsia="SimSun"/>
        </w:rPr>
        <w:t>f)</w:t>
      </w:r>
      <w:r w:rsidRPr="00446FEC">
        <w:rPr>
          <w:rFonts w:eastAsia="SimSun"/>
        </w:rPr>
        <w:tab/>
        <w:t>Core networks</w:t>
      </w:r>
      <w:r w:rsidR="00252C57" w:rsidRPr="00446FEC">
        <w:rPr>
          <w:rFonts w:eastAsia="SimSun"/>
        </w:rPr>
        <w:t>.</w:t>
      </w:r>
    </w:p>
    <w:p w14:paraId="43B64047" w14:textId="77777777" w:rsidR="007E45C3" w:rsidRPr="00446FEC" w:rsidRDefault="007E45C3" w:rsidP="006968F0">
      <w:pPr>
        <w:pStyle w:val="enumlev1"/>
        <w:rPr>
          <w:rFonts w:eastAsia="SimSun"/>
        </w:rPr>
      </w:pPr>
      <w:r w:rsidRPr="00446FEC">
        <w:rPr>
          <w:rFonts w:eastAsia="SimSun"/>
        </w:rPr>
        <w:t>4)</w:t>
      </w:r>
      <w:r w:rsidRPr="00446FEC">
        <w:rPr>
          <w:rFonts w:eastAsia="SimSun"/>
        </w:rPr>
        <w:tab/>
        <w:t>The national regulatory authority may from time to time either on its own initiative or upon the request of any interested person amend the list of infrastructure that can be shared.</w:t>
      </w:r>
    </w:p>
    <w:p w14:paraId="41CCCC3E" w14:textId="77777777" w:rsidR="007E45C3" w:rsidRPr="00446FEC" w:rsidRDefault="007E45C3" w:rsidP="006968F0">
      <w:pPr>
        <w:pStyle w:val="enumlev1"/>
        <w:rPr>
          <w:rFonts w:eastAsia="SimSun"/>
        </w:rPr>
      </w:pPr>
      <w:r w:rsidRPr="00446FEC">
        <w:rPr>
          <w:rFonts w:eastAsia="SimSun"/>
        </w:rPr>
        <w:t>5)</w:t>
      </w:r>
      <w:r w:rsidRPr="00446FEC">
        <w:rPr>
          <w:rFonts w:eastAsia="SimSun"/>
        </w:rPr>
        <w:tab/>
        <w:t>Where the sharing of an infrastructure such as rights of way and electric power is dependent upon securing the necessary approval of a granting authority, such approval should be obtained before the sharing arrangement can be finalized.</w:t>
      </w:r>
    </w:p>
    <w:p w14:paraId="68C4484D" w14:textId="77777777" w:rsidR="007E45C3" w:rsidRPr="00446FEC" w:rsidRDefault="007E45C3" w:rsidP="006968F0">
      <w:pPr>
        <w:pStyle w:val="Headingb"/>
        <w:rPr>
          <w:i/>
        </w:rPr>
      </w:pPr>
      <w:r w:rsidRPr="00446FEC">
        <w:t>Infrastructure sharing charges and costing</w:t>
      </w:r>
    </w:p>
    <w:p w14:paraId="4D16B3BF" w14:textId="77777777" w:rsidR="007E45C3" w:rsidRPr="00446FEC" w:rsidRDefault="007E45C3" w:rsidP="00FE1AE3">
      <w:pPr>
        <w:pStyle w:val="enumlev1"/>
        <w:rPr>
          <w:rFonts w:eastAsia="SimSun"/>
        </w:rPr>
      </w:pPr>
      <w:r w:rsidRPr="00446FEC">
        <w:rPr>
          <w:rFonts w:eastAsia="SimSun"/>
        </w:rPr>
        <w:t>1)</w:t>
      </w:r>
      <w:r w:rsidRPr="00446FEC">
        <w:rPr>
          <w:rFonts w:eastAsia="SimSun"/>
        </w:rPr>
        <w:tab/>
        <w:t>Infrastructure sharing charges shall be cost based.</w:t>
      </w:r>
    </w:p>
    <w:p w14:paraId="7AFA974D" w14:textId="77777777" w:rsidR="007E45C3" w:rsidRPr="00446FEC" w:rsidRDefault="007E45C3" w:rsidP="00FE1AE3">
      <w:pPr>
        <w:pStyle w:val="enumlev1"/>
        <w:rPr>
          <w:rFonts w:eastAsia="SimSun"/>
        </w:rPr>
      </w:pPr>
      <w:r w:rsidRPr="00446FEC">
        <w:rPr>
          <w:rFonts w:eastAsia="SimSun"/>
        </w:rPr>
        <w:t>2)</w:t>
      </w:r>
      <w:r w:rsidRPr="00446FEC">
        <w:rPr>
          <w:rFonts w:eastAsia="SimSun"/>
        </w:rPr>
        <w:tab/>
        <w:t>Infrastructure sharing charges shall be transparent, non-discriminatory, justifiable and reasonable in that:</w:t>
      </w:r>
    </w:p>
    <w:p w14:paraId="7A8B5AE8" w14:textId="09F01EEC" w:rsidR="007E45C3" w:rsidRPr="00446FEC" w:rsidRDefault="007E45C3" w:rsidP="00FE1AE3">
      <w:pPr>
        <w:pStyle w:val="enumlev2"/>
        <w:rPr>
          <w:rFonts w:eastAsia="SimSun"/>
        </w:rPr>
      </w:pPr>
      <w:r w:rsidRPr="00446FEC">
        <w:rPr>
          <w:rFonts w:eastAsia="SimSun"/>
        </w:rPr>
        <w:t>a)</w:t>
      </w:r>
      <w:r w:rsidRPr="00446FEC">
        <w:rPr>
          <w:rFonts w:eastAsia="SimSun"/>
        </w:rPr>
        <w:tab/>
        <w:t>Telecommunication license holders shall not offer more favourable rates to affiliate companies to the prejudice of other infrastructure seekers</w:t>
      </w:r>
      <w:r w:rsidR="00252C57" w:rsidRPr="00446FEC">
        <w:rPr>
          <w:rFonts w:eastAsia="SimSun"/>
        </w:rPr>
        <w:t>;</w:t>
      </w:r>
      <w:r w:rsidRPr="00446FEC">
        <w:rPr>
          <w:rFonts w:eastAsia="SimSun"/>
        </w:rPr>
        <w:t xml:space="preserve"> or</w:t>
      </w:r>
    </w:p>
    <w:p w14:paraId="4F2B72E3" w14:textId="77777777" w:rsidR="007E45C3" w:rsidRPr="00446FEC" w:rsidRDefault="007E45C3" w:rsidP="00FE1AE3">
      <w:pPr>
        <w:pStyle w:val="enumlev2"/>
        <w:rPr>
          <w:rFonts w:eastAsia="SimSun"/>
        </w:rPr>
      </w:pPr>
      <w:r w:rsidRPr="00446FEC">
        <w:rPr>
          <w:rFonts w:eastAsia="SimSun"/>
        </w:rPr>
        <w:t>b)</w:t>
      </w:r>
      <w:r w:rsidRPr="00446FEC">
        <w:rPr>
          <w:rFonts w:eastAsia="SimSun"/>
        </w:rPr>
        <w:tab/>
        <w:t>Telecommunication license holders shall offer Infrastructure at reasonable rates which are not less favourable than those provided by the infrastructure provider to itself.</w:t>
      </w:r>
    </w:p>
    <w:p w14:paraId="50E34B00" w14:textId="77777777" w:rsidR="007E45C3" w:rsidRPr="00446FEC" w:rsidRDefault="007E45C3" w:rsidP="00FE1AE3">
      <w:pPr>
        <w:pStyle w:val="enumlev1"/>
        <w:rPr>
          <w:rFonts w:eastAsia="SimSun"/>
        </w:rPr>
      </w:pPr>
      <w:r w:rsidRPr="00446FEC">
        <w:rPr>
          <w:rFonts w:eastAsia="SimSun"/>
        </w:rPr>
        <w:t>3)</w:t>
      </w:r>
      <w:r w:rsidRPr="00446FEC">
        <w:rPr>
          <w:rFonts w:eastAsia="SimSun"/>
        </w:rPr>
        <w:tab/>
        <w:t xml:space="preserve">In determining infrastructure sharing charges, the infrastructure provider shall </w:t>
      </w:r>
      <w:proofErr w:type="gramStart"/>
      <w:r w:rsidRPr="00446FEC">
        <w:rPr>
          <w:rFonts w:eastAsia="SimSun"/>
        </w:rPr>
        <w:t>take into account</w:t>
      </w:r>
      <w:proofErr w:type="gramEnd"/>
      <w:r w:rsidRPr="00446FEC">
        <w:rPr>
          <w:rFonts w:eastAsia="SimSun"/>
        </w:rPr>
        <w:t>:</w:t>
      </w:r>
    </w:p>
    <w:p w14:paraId="3AC1255A" w14:textId="77777777" w:rsidR="007E45C3" w:rsidRPr="00446FEC" w:rsidRDefault="007E45C3" w:rsidP="00FE1AE3">
      <w:pPr>
        <w:pStyle w:val="enumlev2"/>
        <w:rPr>
          <w:rFonts w:eastAsia="SimSun"/>
        </w:rPr>
      </w:pPr>
      <w:r w:rsidRPr="00446FEC">
        <w:rPr>
          <w:rFonts w:eastAsia="SimSun"/>
        </w:rPr>
        <w:t>a)</w:t>
      </w:r>
      <w:r w:rsidRPr="00446FEC">
        <w:rPr>
          <w:rFonts w:eastAsia="SimSun"/>
        </w:rPr>
        <w:tab/>
        <w:t>All capital costs incurred including upgrades and improvements, excluding historical maintenance costs by the infrastructure provider;</w:t>
      </w:r>
    </w:p>
    <w:p w14:paraId="1EC2CC2F" w14:textId="05EAFE09" w:rsidR="007E45C3" w:rsidRPr="00446FEC" w:rsidRDefault="007E45C3" w:rsidP="00FE1AE3">
      <w:pPr>
        <w:pStyle w:val="enumlev2"/>
        <w:rPr>
          <w:rFonts w:eastAsia="SimSun"/>
        </w:rPr>
      </w:pPr>
      <w:r w:rsidRPr="00446FEC">
        <w:rPr>
          <w:rFonts w:eastAsia="SimSun"/>
        </w:rPr>
        <w:t>b)</w:t>
      </w:r>
      <w:r w:rsidRPr="00446FEC">
        <w:rPr>
          <w:rFonts w:eastAsia="SimSun"/>
        </w:rPr>
        <w:tab/>
        <w:t>Reasonable rate of return on the infrastructure provider</w:t>
      </w:r>
      <w:r w:rsidR="006E6D1D" w:rsidRPr="00446FEC">
        <w:rPr>
          <w:rFonts w:eastAsia="SimSun"/>
        </w:rPr>
        <w:t>'</w:t>
      </w:r>
      <w:r w:rsidRPr="00446FEC">
        <w:rPr>
          <w:rFonts w:eastAsia="SimSun"/>
        </w:rPr>
        <w:t>s capital appropriately employed;</w:t>
      </w:r>
    </w:p>
    <w:p w14:paraId="321FDC6D" w14:textId="635BA745" w:rsidR="007E45C3" w:rsidRPr="00446FEC" w:rsidRDefault="007E45C3" w:rsidP="00FE1AE3">
      <w:pPr>
        <w:pStyle w:val="enumlev2"/>
        <w:rPr>
          <w:rFonts w:eastAsia="SimSun"/>
        </w:rPr>
      </w:pPr>
      <w:r w:rsidRPr="00446FEC">
        <w:rPr>
          <w:rFonts w:eastAsia="SimSun"/>
        </w:rPr>
        <w:lastRenderedPageBreak/>
        <w:t>c)</w:t>
      </w:r>
      <w:r w:rsidRPr="00446FEC">
        <w:rPr>
          <w:rFonts w:eastAsia="SimSun"/>
        </w:rPr>
        <w:tab/>
        <w:t>All</w:t>
      </w:r>
      <w:r w:rsidR="00626CF4" w:rsidRPr="00446FEC">
        <w:rPr>
          <w:rFonts w:eastAsia="SimSun"/>
        </w:rPr>
        <w:t xml:space="preserve"> </w:t>
      </w:r>
      <w:r w:rsidRPr="00446FEC">
        <w:rPr>
          <w:rFonts w:eastAsia="SimSun"/>
        </w:rPr>
        <w:t>attributable</w:t>
      </w:r>
      <w:r w:rsidR="00626CF4" w:rsidRPr="00446FEC">
        <w:rPr>
          <w:rFonts w:eastAsia="SimSun"/>
        </w:rPr>
        <w:t xml:space="preserve"> </w:t>
      </w:r>
      <w:r w:rsidRPr="00446FEC">
        <w:rPr>
          <w:rFonts w:eastAsia="SimSun"/>
        </w:rPr>
        <w:t>operating</w:t>
      </w:r>
      <w:r w:rsidR="00626CF4" w:rsidRPr="00446FEC">
        <w:rPr>
          <w:rFonts w:eastAsia="SimSun"/>
        </w:rPr>
        <w:t xml:space="preserve"> </w:t>
      </w:r>
      <w:r w:rsidRPr="00446FEC">
        <w:rPr>
          <w:rFonts w:eastAsia="SimSun"/>
        </w:rPr>
        <w:t>expenditures,</w:t>
      </w:r>
      <w:r w:rsidR="00626CF4" w:rsidRPr="00446FEC">
        <w:rPr>
          <w:rFonts w:eastAsia="SimSun"/>
        </w:rPr>
        <w:t xml:space="preserve"> </w:t>
      </w:r>
      <w:r w:rsidRPr="00446FEC">
        <w:rPr>
          <w:rFonts w:eastAsia="SimSun"/>
        </w:rPr>
        <w:t>depreciation</w:t>
      </w:r>
      <w:r w:rsidR="00626CF4" w:rsidRPr="00446FEC">
        <w:rPr>
          <w:rFonts w:eastAsia="SimSun"/>
        </w:rPr>
        <w:t xml:space="preserve"> </w:t>
      </w:r>
      <w:r w:rsidRPr="00446FEC">
        <w:rPr>
          <w:rFonts w:eastAsia="SimSun"/>
        </w:rPr>
        <w:t>and</w:t>
      </w:r>
      <w:r w:rsidR="00626CF4" w:rsidRPr="00446FEC">
        <w:rPr>
          <w:rFonts w:eastAsia="SimSun"/>
        </w:rPr>
        <w:t xml:space="preserve"> </w:t>
      </w:r>
      <w:r w:rsidRPr="00446FEC">
        <w:rPr>
          <w:rFonts w:eastAsia="SimSun"/>
        </w:rPr>
        <w:t>a</w:t>
      </w:r>
      <w:r w:rsidR="00626CF4" w:rsidRPr="00446FEC">
        <w:rPr>
          <w:rFonts w:eastAsia="SimSun"/>
        </w:rPr>
        <w:t xml:space="preserve"> </w:t>
      </w:r>
      <w:r w:rsidRPr="00446FEC">
        <w:rPr>
          <w:rFonts w:eastAsia="SimSun"/>
        </w:rPr>
        <w:t>proportionate contribution towards the infrastructure provider</w:t>
      </w:r>
      <w:r w:rsidR="006E6D1D" w:rsidRPr="00446FEC">
        <w:rPr>
          <w:rFonts w:eastAsia="SimSun"/>
        </w:rPr>
        <w:t>'</w:t>
      </w:r>
      <w:r w:rsidRPr="00446FEC">
        <w:rPr>
          <w:rFonts w:eastAsia="SimSun"/>
        </w:rPr>
        <w:t>s (fixed and common costs); and</w:t>
      </w:r>
    </w:p>
    <w:p w14:paraId="0B5801AA" w14:textId="77777777" w:rsidR="007E45C3" w:rsidRPr="00446FEC" w:rsidRDefault="007E45C3" w:rsidP="00FE1AE3">
      <w:pPr>
        <w:pStyle w:val="enumlev2"/>
        <w:rPr>
          <w:rFonts w:eastAsia="SimSun"/>
        </w:rPr>
      </w:pPr>
      <w:r w:rsidRPr="00446FEC">
        <w:rPr>
          <w:rFonts w:eastAsia="SimSun"/>
        </w:rPr>
        <w:t>d)</w:t>
      </w:r>
      <w:r w:rsidRPr="00446FEC">
        <w:rPr>
          <w:rFonts w:eastAsia="SimSun"/>
        </w:rPr>
        <w:tab/>
        <w:t>Non-recurring costs.</w:t>
      </w:r>
    </w:p>
    <w:p w14:paraId="4A4495D9" w14:textId="77777777" w:rsidR="007E45C3" w:rsidRPr="00446FEC" w:rsidRDefault="007E45C3" w:rsidP="00626CF4">
      <w:pPr>
        <w:pStyle w:val="enumlev1"/>
        <w:rPr>
          <w:rFonts w:eastAsia="SimSun"/>
        </w:rPr>
      </w:pPr>
      <w:r w:rsidRPr="00446FEC">
        <w:rPr>
          <w:rFonts w:eastAsia="SimSun"/>
        </w:rPr>
        <w:t>4)</w:t>
      </w:r>
      <w:r w:rsidRPr="00446FEC">
        <w:rPr>
          <w:rFonts w:eastAsia="SimSun"/>
        </w:rPr>
        <w:tab/>
        <w:t>Costs that vary with usage shall be recovered through usage-based charges.</w:t>
      </w:r>
    </w:p>
    <w:p w14:paraId="44357D6C" w14:textId="77777777" w:rsidR="007E45C3" w:rsidRPr="00446FEC" w:rsidRDefault="007E45C3" w:rsidP="00626CF4">
      <w:pPr>
        <w:pStyle w:val="enumlev1"/>
        <w:rPr>
          <w:rFonts w:eastAsia="SimSun"/>
        </w:rPr>
      </w:pPr>
      <w:r w:rsidRPr="00446FEC">
        <w:rPr>
          <w:rFonts w:eastAsia="SimSun"/>
        </w:rPr>
        <w:t>5)</w:t>
      </w:r>
      <w:r w:rsidRPr="00446FEC">
        <w:rPr>
          <w:rFonts w:eastAsia="SimSun"/>
        </w:rPr>
        <w:tab/>
        <w:t>The charges shall be sufficiently detailed to enable the infrastructure seeker to pay the infrastructure provider only for the network elements or infrastructure sharing services that it requires.</w:t>
      </w:r>
    </w:p>
    <w:p w14:paraId="53197F09" w14:textId="77777777" w:rsidR="007E45C3" w:rsidRPr="00446FEC" w:rsidRDefault="007E45C3" w:rsidP="00626CF4">
      <w:pPr>
        <w:pStyle w:val="enumlev1"/>
        <w:rPr>
          <w:rFonts w:eastAsia="SimSun"/>
        </w:rPr>
      </w:pPr>
      <w:r w:rsidRPr="00446FEC">
        <w:rPr>
          <w:rFonts w:eastAsia="SimSun"/>
        </w:rPr>
        <w:t>6)</w:t>
      </w:r>
      <w:r w:rsidRPr="00446FEC">
        <w:rPr>
          <w:rFonts w:eastAsia="SimSun"/>
        </w:rPr>
        <w:tab/>
        <w:t>The charge to the infrastructure seeker for sharing shall not be more than the cost of owning and operating similar infrastructure.</w:t>
      </w:r>
    </w:p>
    <w:p w14:paraId="142B5E34" w14:textId="246E6219" w:rsidR="007E45C3" w:rsidRPr="00446FEC" w:rsidRDefault="007E45C3" w:rsidP="00626CF4">
      <w:pPr>
        <w:pStyle w:val="enumlev1"/>
        <w:rPr>
          <w:rFonts w:eastAsia="SimSun"/>
        </w:rPr>
      </w:pPr>
      <w:r w:rsidRPr="00446FEC">
        <w:rPr>
          <w:rFonts w:eastAsia="SimSun"/>
        </w:rPr>
        <w:t>7)</w:t>
      </w:r>
      <w:r w:rsidRPr="00446FEC">
        <w:rPr>
          <w:rFonts w:eastAsia="SimSun"/>
        </w:rPr>
        <w:tab/>
        <w:t xml:space="preserve">Infrastructure sharing charges shall include compensation for loss of business </w:t>
      </w:r>
      <w:proofErr w:type="gramStart"/>
      <w:r w:rsidRPr="00446FEC">
        <w:rPr>
          <w:rFonts w:eastAsia="SimSun"/>
        </w:rPr>
        <w:t>as a result of</w:t>
      </w:r>
      <w:proofErr w:type="gramEnd"/>
      <w:r w:rsidRPr="00446FEC">
        <w:rPr>
          <w:rFonts w:eastAsia="SimSun"/>
        </w:rPr>
        <w:t xml:space="preserve"> providing infrastructure sharing services to the infrastructure seeker.</w:t>
      </w:r>
    </w:p>
    <w:p w14:paraId="5EC9B3E0" w14:textId="0DADD3FC" w:rsidR="007E45C3" w:rsidRPr="00446FEC" w:rsidRDefault="007E45C3" w:rsidP="00626CF4">
      <w:pPr>
        <w:pStyle w:val="enumlev1"/>
        <w:rPr>
          <w:rFonts w:eastAsia="SimSun"/>
        </w:rPr>
      </w:pPr>
      <w:r w:rsidRPr="00446FEC">
        <w:rPr>
          <w:rFonts w:eastAsia="SimSun"/>
        </w:rPr>
        <w:t>8)</w:t>
      </w:r>
      <w:r w:rsidRPr="00446FEC">
        <w:rPr>
          <w:rFonts w:eastAsia="SimSun"/>
        </w:rPr>
        <w:tab/>
        <w:t>Costing methodology charges for infrastructure sharing shall be established between the long run incremental cost of providing the service and the stand</w:t>
      </w:r>
      <w:r w:rsidR="00F8673B" w:rsidRPr="00446FEC">
        <w:rPr>
          <w:rFonts w:eastAsia="SimSun"/>
        </w:rPr>
        <w:t>-</w:t>
      </w:r>
      <w:r w:rsidRPr="00446FEC">
        <w:rPr>
          <w:rFonts w:eastAsia="SimSun"/>
        </w:rPr>
        <w:t>alone cost of providing the service.</w:t>
      </w:r>
    </w:p>
    <w:p w14:paraId="7B06810C" w14:textId="77777777" w:rsidR="007E45C3" w:rsidRPr="00446FEC" w:rsidRDefault="007E45C3" w:rsidP="00626CF4">
      <w:pPr>
        <w:pStyle w:val="enumlev1"/>
        <w:rPr>
          <w:rFonts w:eastAsia="SimSun"/>
        </w:rPr>
      </w:pPr>
      <w:r w:rsidRPr="00446FEC">
        <w:rPr>
          <w:rFonts w:eastAsia="SimSun"/>
        </w:rPr>
        <w:t>9)</w:t>
      </w:r>
      <w:r w:rsidRPr="00446FEC">
        <w:rPr>
          <w:rFonts w:eastAsia="SimSun"/>
        </w:rPr>
        <w:tab/>
        <w:t>In the case of price-setting for infrastructure sharing, the setting rates for shared elements, infrastructure providers apply a fully distributed cost (FAC) methodology, using current cost accounting and the annuities approach to depreciation.</w:t>
      </w:r>
    </w:p>
    <w:p w14:paraId="4391A00C" w14:textId="6523924F" w:rsidR="007E45C3" w:rsidRPr="00446FEC" w:rsidRDefault="007E45C3" w:rsidP="00626CF4">
      <w:pPr>
        <w:pStyle w:val="enumlev1"/>
        <w:rPr>
          <w:rFonts w:eastAsia="SimSun"/>
        </w:rPr>
      </w:pPr>
      <w:r w:rsidRPr="00446FEC">
        <w:rPr>
          <w:rFonts w:eastAsia="SimSun"/>
        </w:rPr>
        <w:t>10)</w:t>
      </w:r>
      <w:r w:rsidRPr="00446FEC">
        <w:rPr>
          <w:rFonts w:eastAsia="SimSun"/>
        </w:rPr>
        <w:tab/>
        <w:t>The price for site-sharing should be based on the long-run average incremental cost (LRAIC) of providing access to the sites. Access should be provided on a non-discriminatory basis via a reference access offer (RAO) detailing the commercial and technical terms that apply to regulated site sharing.</w:t>
      </w:r>
    </w:p>
    <w:p w14:paraId="0AE376D3" w14:textId="77777777" w:rsidR="007E45C3" w:rsidRPr="00446FEC" w:rsidRDefault="007E45C3" w:rsidP="00D17A15">
      <w:pPr>
        <w:pStyle w:val="Headingb"/>
        <w:rPr>
          <w:i/>
        </w:rPr>
      </w:pPr>
      <w:r w:rsidRPr="00446FEC">
        <w:t>Costing for interconnection</w:t>
      </w:r>
    </w:p>
    <w:p w14:paraId="535241A9" w14:textId="77777777" w:rsidR="007E45C3" w:rsidRPr="00446FEC" w:rsidRDefault="007E45C3" w:rsidP="00D17A15">
      <w:pPr>
        <w:pStyle w:val="Headingb"/>
        <w:rPr>
          <w:i/>
        </w:rPr>
      </w:pPr>
      <w:r w:rsidRPr="00446FEC">
        <w:t>Interconnection principles</w:t>
      </w:r>
    </w:p>
    <w:p w14:paraId="15ADD567" w14:textId="77777777" w:rsidR="007E45C3" w:rsidRPr="00446FEC" w:rsidRDefault="007E45C3" w:rsidP="000A2534">
      <w:pPr>
        <w:pStyle w:val="enumlev1"/>
        <w:rPr>
          <w:rFonts w:eastAsia="SimSun"/>
        </w:rPr>
      </w:pPr>
      <w:r w:rsidRPr="00446FEC">
        <w:rPr>
          <w:rFonts w:eastAsia="SimSun"/>
        </w:rPr>
        <w:t>1)</w:t>
      </w:r>
      <w:r w:rsidRPr="00446FEC">
        <w:rPr>
          <w:rFonts w:eastAsia="SimSun"/>
        </w:rPr>
        <w:tab/>
        <w:t>All licensed telecommunications services providers are to offer and be offered interconnection at any technically feasible point. This is mandatory on all the service providers. Licensed service provider should not under any circumstances refuse or be refused interconnection, where technically feasible.</w:t>
      </w:r>
    </w:p>
    <w:p w14:paraId="48E07E33" w14:textId="029B849A" w:rsidR="007E45C3" w:rsidRPr="00446FEC" w:rsidRDefault="007E45C3" w:rsidP="000A2534">
      <w:pPr>
        <w:pStyle w:val="enumlev1"/>
        <w:rPr>
          <w:rFonts w:eastAsia="SimSun"/>
        </w:rPr>
      </w:pPr>
      <w:r w:rsidRPr="00446FEC">
        <w:rPr>
          <w:rFonts w:eastAsia="SimSun"/>
        </w:rPr>
        <w:t>2)</w:t>
      </w:r>
      <w:r w:rsidRPr="00446FEC">
        <w:rPr>
          <w:rFonts w:eastAsia="SimSun"/>
        </w:rPr>
        <w:tab/>
        <w:t>Interconnection should be set up in such a manner that the terms do not discriminate unduly between operators or between any operators own networks and services and those of other interconnecting parties. This can be done via a reference interconnection offer (RIO).</w:t>
      </w:r>
    </w:p>
    <w:p w14:paraId="675643B1" w14:textId="77777777" w:rsidR="007E45C3" w:rsidRPr="00446FEC" w:rsidRDefault="007E45C3" w:rsidP="000A2534">
      <w:pPr>
        <w:pStyle w:val="enumlev1"/>
        <w:rPr>
          <w:rFonts w:eastAsia="SimSun"/>
        </w:rPr>
      </w:pPr>
      <w:r w:rsidRPr="00446FEC">
        <w:rPr>
          <w:rFonts w:eastAsia="SimSun"/>
        </w:rPr>
        <w:t>3)</w:t>
      </w:r>
      <w:r w:rsidRPr="00446FEC">
        <w:rPr>
          <w:rFonts w:eastAsia="SimSun"/>
        </w:rPr>
        <w:tab/>
        <w:t>Interconnecting parties shall submit a duly signed interconnection agreement to the NRA for approval.</w:t>
      </w:r>
    </w:p>
    <w:p w14:paraId="736FBCFB" w14:textId="77777777" w:rsidR="007E45C3" w:rsidRPr="00446FEC" w:rsidRDefault="007E45C3" w:rsidP="00FB24F8">
      <w:pPr>
        <w:pStyle w:val="Headingb"/>
      </w:pPr>
      <w:r w:rsidRPr="00446FEC">
        <w:t>Determination of interconnection charges</w:t>
      </w:r>
    </w:p>
    <w:p w14:paraId="20B1E7AA" w14:textId="77777777" w:rsidR="007E45C3" w:rsidRPr="00446FEC" w:rsidRDefault="007E45C3" w:rsidP="00FB24F8">
      <w:pPr>
        <w:pStyle w:val="enumlev1"/>
        <w:rPr>
          <w:rFonts w:eastAsia="SimSun"/>
        </w:rPr>
      </w:pPr>
      <w:r w:rsidRPr="00446FEC">
        <w:rPr>
          <w:rFonts w:eastAsia="SimSun"/>
        </w:rPr>
        <w:t>4)</w:t>
      </w:r>
      <w:r w:rsidRPr="00446FEC">
        <w:rPr>
          <w:rFonts w:eastAsia="SimSun"/>
        </w:rPr>
        <w:tab/>
        <w:t>The fundamental principle is that all licensees should be fairly compensated for the cost incurred in the provision of interconnection.</w:t>
      </w:r>
    </w:p>
    <w:p w14:paraId="025C5F20" w14:textId="77777777" w:rsidR="007E45C3" w:rsidRPr="00446FEC" w:rsidRDefault="007E45C3" w:rsidP="00FB24F8">
      <w:pPr>
        <w:pStyle w:val="enumlev1"/>
        <w:rPr>
          <w:rFonts w:eastAsia="SimSun"/>
        </w:rPr>
      </w:pPr>
      <w:r w:rsidRPr="00446FEC">
        <w:rPr>
          <w:rFonts w:eastAsia="SimSun"/>
        </w:rPr>
        <w:t>5)</w:t>
      </w:r>
      <w:r w:rsidRPr="00446FEC">
        <w:rPr>
          <w:rFonts w:eastAsia="SimSun"/>
        </w:rPr>
        <w:tab/>
        <w:t>All licensed network operators are required to offer interconnection charges that are cost based, transparent and reasonable.</w:t>
      </w:r>
    </w:p>
    <w:p w14:paraId="2CB9EDDF" w14:textId="77777777" w:rsidR="007E45C3" w:rsidRPr="00446FEC" w:rsidRDefault="007E45C3" w:rsidP="00FB24F8">
      <w:pPr>
        <w:pStyle w:val="enumlev1"/>
        <w:rPr>
          <w:rFonts w:eastAsia="SimSun"/>
        </w:rPr>
      </w:pPr>
      <w:r w:rsidRPr="00446FEC">
        <w:rPr>
          <w:rFonts w:eastAsia="SimSun"/>
        </w:rPr>
        <w:t>6)</w:t>
      </w:r>
      <w:r w:rsidRPr="00446FEC">
        <w:rPr>
          <w:rFonts w:eastAsia="SimSun"/>
        </w:rPr>
        <w:tab/>
        <w:t>The rates should be sufficiently unbundled to ensure that the interconnecting party does not pay for network components or facilities which it does not require for the service to be provided.</w:t>
      </w:r>
    </w:p>
    <w:p w14:paraId="73E75409" w14:textId="77777777" w:rsidR="007E45C3" w:rsidRPr="00446FEC" w:rsidRDefault="007E45C3" w:rsidP="00FB24F8">
      <w:pPr>
        <w:pStyle w:val="enumlev1"/>
        <w:rPr>
          <w:rFonts w:eastAsia="SimSun"/>
        </w:rPr>
      </w:pPr>
      <w:r w:rsidRPr="00446FEC">
        <w:rPr>
          <w:rFonts w:eastAsia="SimSun"/>
        </w:rPr>
        <w:t>7)</w:t>
      </w:r>
      <w:r w:rsidRPr="00446FEC">
        <w:rPr>
          <w:rFonts w:eastAsia="SimSun"/>
        </w:rPr>
        <w:tab/>
        <w:t>Charges should be based on the directly attributable costs of the interconnection service or facility in question.</w:t>
      </w:r>
    </w:p>
    <w:p w14:paraId="0C8FCDD1" w14:textId="77777777" w:rsidR="007E45C3" w:rsidRPr="00446FEC" w:rsidRDefault="007E45C3" w:rsidP="00FB24F8">
      <w:pPr>
        <w:pStyle w:val="enumlev1"/>
        <w:rPr>
          <w:rFonts w:eastAsia="SimSun"/>
        </w:rPr>
      </w:pPr>
      <w:r w:rsidRPr="00446FEC">
        <w:rPr>
          <w:rFonts w:eastAsia="SimSun"/>
        </w:rPr>
        <w:t>8)</w:t>
      </w:r>
      <w:r w:rsidRPr="00446FEC">
        <w:rPr>
          <w:rFonts w:eastAsia="SimSun"/>
        </w:rPr>
        <w:tab/>
        <w:t>As far as technically feasible, the charging structure should be based on unbundled network elements. In general, the charging regime should distinguish between:</w:t>
      </w:r>
    </w:p>
    <w:p w14:paraId="03D777D0" w14:textId="77777777" w:rsidR="007E45C3" w:rsidRPr="00446FEC" w:rsidRDefault="007E45C3" w:rsidP="00FB24F8">
      <w:pPr>
        <w:pStyle w:val="enumlev2"/>
        <w:rPr>
          <w:rFonts w:eastAsia="SimSun"/>
        </w:rPr>
      </w:pPr>
      <w:r w:rsidRPr="00446FEC">
        <w:rPr>
          <w:rFonts w:eastAsia="SimSun"/>
        </w:rPr>
        <w:t>a)</w:t>
      </w:r>
      <w:r w:rsidRPr="00446FEC">
        <w:rPr>
          <w:rFonts w:eastAsia="SimSun"/>
        </w:rPr>
        <w:tab/>
        <w:t>Appropriate fixed charges for the provision and operation of the points of interconnection;</w:t>
      </w:r>
    </w:p>
    <w:p w14:paraId="7C1C1278" w14:textId="77777777" w:rsidR="007E45C3" w:rsidRPr="00446FEC" w:rsidRDefault="007E45C3" w:rsidP="00FB24F8">
      <w:pPr>
        <w:pStyle w:val="enumlev2"/>
        <w:rPr>
          <w:rFonts w:eastAsia="SimSun"/>
        </w:rPr>
      </w:pPr>
      <w:r w:rsidRPr="00446FEC">
        <w:rPr>
          <w:rFonts w:eastAsia="SimSun"/>
        </w:rPr>
        <w:lastRenderedPageBreak/>
        <w:t>b)</w:t>
      </w:r>
      <w:r w:rsidRPr="00446FEC">
        <w:rPr>
          <w:rFonts w:eastAsia="SimSun"/>
        </w:rPr>
        <w:tab/>
        <w:t>Variable traffic-sensitive usage charges; and</w:t>
      </w:r>
    </w:p>
    <w:p w14:paraId="5BFD705D" w14:textId="2901A603" w:rsidR="007E45C3" w:rsidRPr="00446FEC" w:rsidRDefault="007E45C3" w:rsidP="00FB24F8">
      <w:pPr>
        <w:pStyle w:val="enumlev2"/>
        <w:rPr>
          <w:rFonts w:eastAsia="SimSun"/>
        </w:rPr>
      </w:pPr>
      <w:r w:rsidRPr="00446FEC">
        <w:rPr>
          <w:rFonts w:eastAsia="SimSun"/>
        </w:rPr>
        <w:t>c)</w:t>
      </w:r>
      <w:r w:rsidRPr="00446FEC">
        <w:rPr>
          <w:rFonts w:eastAsia="SimSun"/>
        </w:rPr>
        <w:tab/>
        <w:t>Charges for supplementary and support activities such as billing, directories, enquires, or emergency services.</w:t>
      </w:r>
    </w:p>
    <w:p w14:paraId="24CC99D8" w14:textId="77777777" w:rsidR="007E45C3" w:rsidRPr="00446FEC" w:rsidRDefault="007E45C3" w:rsidP="00FB24F8">
      <w:pPr>
        <w:pStyle w:val="enumlev1"/>
        <w:rPr>
          <w:rFonts w:eastAsia="SimSun"/>
        </w:rPr>
      </w:pPr>
      <w:r w:rsidRPr="00446FEC">
        <w:rPr>
          <w:rFonts w:eastAsia="SimSun"/>
        </w:rPr>
        <w:t>9)</w:t>
      </w:r>
      <w:r w:rsidRPr="00446FEC">
        <w:rPr>
          <w:rFonts w:eastAsia="SimSun"/>
        </w:rPr>
        <w:tab/>
        <w:t xml:space="preserve">Operators shall negotiate freely and agree on prices for interconnection to facilitate end-to-end connectivity </w:t>
      </w:r>
      <w:proofErr w:type="gramStart"/>
      <w:r w:rsidRPr="00446FEC">
        <w:rPr>
          <w:rFonts w:eastAsia="SimSun"/>
        </w:rPr>
        <w:t>in order to</w:t>
      </w:r>
      <w:proofErr w:type="gramEnd"/>
      <w:r w:rsidRPr="00446FEC">
        <w:rPr>
          <w:rFonts w:eastAsia="SimSun"/>
        </w:rPr>
        <w:t xml:space="preserve"> allow seamless communication between their customers.</w:t>
      </w:r>
    </w:p>
    <w:p w14:paraId="5836C930" w14:textId="77777777" w:rsidR="007E45C3" w:rsidRPr="00446FEC" w:rsidRDefault="007E45C3" w:rsidP="00FB24F8">
      <w:pPr>
        <w:pStyle w:val="enumlev1"/>
        <w:rPr>
          <w:rFonts w:eastAsia="SimSun"/>
        </w:rPr>
      </w:pPr>
      <w:r w:rsidRPr="00446FEC">
        <w:rPr>
          <w:rFonts w:eastAsia="SimSun"/>
        </w:rPr>
        <w:t>10)</w:t>
      </w:r>
      <w:r w:rsidRPr="00446FEC">
        <w:rPr>
          <w:rFonts w:eastAsia="SimSun"/>
        </w:rPr>
        <w:tab/>
        <w:t>Licensees shall, seek for approval from the NRA prior to revising interconnection charges, including charges for the introduction of any new interconnection services.</w:t>
      </w:r>
    </w:p>
    <w:p w14:paraId="48D1087C" w14:textId="77777777" w:rsidR="007E45C3" w:rsidRPr="00446FEC" w:rsidRDefault="007E45C3" w:rsidP="00FB24F8">
      <w:pPr>
        <w:pStyle w:val="enumlev1"/>
        <w:rPr>
          <w:rFonts w:eastAsia="SimSun"/>
        </w:rPr>
      </w:pPr>
      <w:r w:rsidRPr="00446FEC">
        <w:rPr>
          <w:rFonts w:eastAsia="SimSun"/>
        </w:rPr>
        <w:t>11)</w:t>
      </w:r>
      <w:r w:rsidRPr="00446FEC">
        <w:rPr>
          <w:rFonts w:eastAsia="SimSun"/>
        </w:rPr>
        <w:tab/>
        <w:t>The traffic volume shall be measured in seconds, units and kilobytes (KB) for voice, SMS and data traffic respectively.</w:t>
      </w:r>
    </w:p>
    <w:p w14:paraId="163F52EB" w14:textId="77777777" w:rsidR="007E45C3" w:rsidRPr="00446FEC" w:rsidRDefault="007E45C3" w:rsidP="00FB24F8">
      <w:pPr>
        <w:pStyle w:val="enumlev1"/>
        <w:rPr>
          <w:rFonts w:eastAsia="SimSun"/>
        </w:rPr>
      </w:pPr>
      <w:r w:rsidRPr="00446FEC">
        <w:rPr>
          <w:rFonts w:eastAsia="SimSun"/>
        </w:rPr>
        <w:t>12)</w:t>
      </w:r>
      <w:r w:rsidRPr="00446FEC">
        <w:rPr>
          <w:rFonts w:eastAsia="SimSun"/>
        </w:rPr>
        <w:tab/>
        <w:t>No service provider shall be charged for any interconnection facility it does not seek or require. Provided that if the interconnection facility cannot be provided in the form that is sought or required by the interconnection seeker, the issue may be decided mutually between the seeker and provider of interconnection. In case such mutual agreement is not possible, the matter may be reported to the NRA for a decision.</w:t>
      </w:r>
    </w:p>
    <w:p w14:paraId="165CBAFE" w14:textId="77777777" w:rsidR="007E45C3" w:rsidRPr="00446FEC" w:rsidRDefault="007E45C3" w:rsidP="00FB24F8">
      <w:pPr>
        <w:pStyle w:val="enumlev1"/>
        <w:rPr>
          <w:rFonts w:eastAsia="SimSun"/>
        </w:rPr>
      </w:pPr>
      <w:r w:rsidRPr="00446FEC">
        <w:rPr>
          <w:rFonts w:eastAsia="SimSun"/>
        </w:rPr>
        <w:t>13)</w:t>
      </w:r>
      <w:r w:rsidRPr="00446FEC">
        <w:rPr>
          <w:rFonts w:eastAsia="SimSun"/>
        </w:rPr>
        <w:tab/>
        <w:t>Costing methodology charges for interconnection shall be the long run incremental cost (LRIC) of providing the service.</w:t>
      </w:r>
    </w:p>
    <w:p w14:paraId="7E7E6FE5" w14:textId="77777777" w:rsidR="007E45C3" w:rsidRPr="00446FEC" w:rsidRDefault="007E45C3" w:rsidP="00EB01E4">
      <w:pPr>
        <w:pStyle w:val="Headingb"/>
        <w:rPr>
          <w:i/>
        </w:rPr>
      </w:pPr>
      <w:r w:rsidRPr="00446FEC">
        <w:t>Costing for regional roaming charges and tariffs</w:t>
      </w:r>
    </w:p>
    <w:p w14:paraId="5397AB49" w14:textId="7A79E611" w:rsidR="007E45C3" w:rsidRPr="00446FEC" w:rsidRDefault="003934C9" w:rsidP="003934C9">
      <w:pPr>
        <w:pStyle w:val="enumlev1"/>
        <w:rPr>
          <w:rFonts w:eastAsia="SimSun"/>
        </w:rPr>
      </w:pPr>
      <w:r w:rsidRPr="00446FEC">
        <w:rPr>
          <w:rFonts w:eastAsia="SimSun"/>
        </w:rPr>
        <w:t>1)</w:t>
      </w:r>
      <w:r w:rsidRPr="00446FEC">
        <w:rPr>
          <w:rFonts w:eastAsia="SimSun"/>
        </w:rPr>
        <w:tab/>
      </w:r>
      <w:proofErr w:type="gramStart"/>
      <w:r w:rsidR="007E45C3" w:rsidRPr="00446FEC">
        <w:rPr>
          <w:rFonts w:eastAsia="SimSun"/>
        </w:rPr>
        <w:t>NRA</w:t>
      </w:r>
      <w:r w:rsidR="006E6D1D" w:rsidRPr="00446FEC">
        <w:rPr>
          <w:rFonts w:eastAsia="SimSun"/>
        </w:rPr>
        <w:t>'</w:t>
      </w:r>
      <w:r w:rsidR="007E45C3" w:rsidRPr="00446FEC">
        <w:rPr>
          <w:rFonts w:eastAsia="SimSun"/>
        </w:rPr>
        <w:t>s</w:t>
      </w:r>
      <w:proofErr w:type="gramEnd"/>
      <w:r w:rsidR="007E45C3" w:rsidRPr="00446FEC">
        <w:rPr>
          <w:rFonts w:eastAsia="SimSun"/>
          <w:spacing w:val="-2"/>
        </w:rPr>
        <w:t xml:space="preserve"> </w:t>
      </w:r>
      <w:r w:rsidR="007E45C3" w:rsidRPr="00446FEC">
        <w:rPr>
          <w:rFonts w:eastAsia="SimSun"/>
        </w:rPr>
        <w:t>shall</w:t>
      </w:r>
      <w:r w:rsidR="007E45C3" w:rsidRPr="00446FEC">
        <w:rPr>
          <w:rFonts w:eastAsia="SimSun"/>
          <w:spacing w:val="-3"/>
        </w:rPr>
        <w:t xml:space="preserve"> </w:t>
      </w:r>
      <w:r w:rsidR="007E45C3" w:rsidRPr="00446FEC">
        <w:rPr>
          <w:rFonts w:eastAsia="SimSun"/>
        </w:rPr>
        <w:t>establish</w:t>
      </w:r>
      <w:r w:rsidR="007E45C3" w:rsidRPr="00446FEC">
        <w:rPr>
          <w:rFonts w:eastAsia="SimSun"/>
          <w:spacing w:val="-1"/>
        </w:rPr>
        <w:t xml:space="preserve"> </w:t>
      </w:r>
      <w:r w:rsidR="007E45C3" w:rsidRPr="00446FEC">
        <w:rPr>
          <w:rFonts w:eastAsia="SimSun"/>
        </w:rPr>
        <w:t>the</w:t>
      </w:r>
      <w:r w:rsidR="007E45C3" w:rsidRPr="00446FEC">
        <w:rPr>
          <w:rFonts w:eastAsia="SimSun"/>
          <w:spacing w:val="-2"/>
        </w:rPr>
        <w:t xml:space="preserve"> </w:t>
      </w:r>
      <w:r w:rsidR="007E45C3" w:rsidRPr="00446FEC">
        <w:rPr>
          <w:rFonts w:eastAsia="SimSun"/>
        </w:rPr>
        <w:t>basis</w:t>
      </w:r>
      <w:r w:rsidR="007E45C3" w:rsidRPr="00446FEC">
        <w:rPr>
          <w:rFonts w:eastAsia="SimSun"/>
          <w:spacing w:val="-1"/>
        </w:rPr>
        <w:t xml:space="preserve"> </w:t>
      </w:r>
      <w:r w:rsidR="007E45C3" w:rsidRPr="00446FEC">
        <w:rPr>
          <w:rFonts w:eastAsia="SimSun"/>
        </w:rPr>
        <w:t>of</w:t>
      </w:r>
      <w:r w:rsidR="007E45C3" w:rsidRPr="00446FEC">
        <w:rPr>
          <w:rFonts w:eastAsia="SimSun"/>
          <w:spacing w:val="-2"/>
        </w:rPr>
        <w:t xml:space="preserve"> </w:t>
      </w:r>
      <w:r w:rsidR="007E45C3" w:rsidRPr="00446FEC">
        <w:rPr>
          <w:rFonts w:eastAsia="SimSun"/>
        </w:rPr>
        <w:t>regional</w:t>
      </w:r>
      <w:r w:rsidR="007E45C3" w:rsidRPr="00446FEC">
        <w:rPr>
          <w:rFonts w:eastAsia="SimSun"/>
          <w:spacing w:val="-1"/>
        </w:rPr>
        <w:t xml:space="preserve"> </w:t>
      </w:r>
      <w:r w:rsidR="007E45C3" w:rsidRPr="00446FEC">
        <w:rPr>
          <w:rFonts w:eastAsia="SimSun"/>
        </w:rPr>
        <w:t>roaming</w:t>
      </w:r>
      <w:r w:rsidR="007E45C3" w:rsidRPr="00446FEC">
        <w:rPr>
          <w:rFonts w:eastAsia="SimSun"/>
          <w:spacing w:val="-3"/>
        </w:rPr>
        <w:t xml:space="preserve"> </w:t>
      </w:r>
      <w:r w:rsidR="007E45C3" w:rsidRPr="00446FEC">
        <w:rPr>
          <w:rFonts w:eastAsia="SimSun"/>
        </w:rPr>
        <w:t>costs</w:t>
      </w:r>
      <w:r w:rsidR="007E45C3" w:rsidRPr="00446FEC">
        <w:rPr>
          <w:rFonts w:eastAsia="SimSun"/>
          <w:spacing w:val="-3"/>
        </w:rPr>
        <w:t xml:space="preserve"> </w:t>
      </w:r>
      <w:r w:rsidR="007E45C3" w:rsidRPr="00446FEC">
        <w:rPr>
          <w:rFonts w:eastAsia="SimSun"/>
        </w:rPr>
        <w:t>in</w:t>
      </w:r>
      <w:r w:rsidR="007E45C3" w:rsidRPr="00446FEC">
        <w:rPr>
          <w:rFonts w:eastAsia="SimSun"/>
          <w:spacing w:val="-2"/>
        </w:rPr>
        <w:t xml:space="preserve"> </w:t>
      </w:r>
      <w:r w:rsidR="007E45C3" w:rsidRPr="00446FEC">
        <w:rPr>
          <w:rFonts w:eastAsia="SimSun"/>
        </w:rPr>
        <w:t>consultation</w:t>
      </w:r>
      <w:r w:rsidR="007E45C3" w:rsidRPr="00446FEC">
        <w:rPr>
          <w:rFonts w:eastAsia="SimSun"/>
          <w:spacing w:val="-1"/>
        </w:rPr>
        <w:t xml:space="preserve"> </w:t>
      </w:r>
      <w:r w:rsidR="007E45C3" w:rsidRPr="00446FEC">
        <w:rPr>
          <w:rFonts w:eastAsia="SimSun"/>
        </w:rPr>
        <w:t>with</w:t>
      </w:r>
      <w:r w:rsidR="007E45C3" w:rsidRPr="00446FEC">
        <w:rPr>
          <w:rFonts w:eastAsia="SimSun"/>
          <w:spacing w:val="-2"/>
        </w:rPr>
        <w:t xml:space="preserve"> </w:t>
      </w:r>
      <w:r w:rsidR="007E45C3" w:rsidRPr="00446FEC">
        <w:rPr>
          <w:rFonts w:eastAsia="SimSun"/>
        </w:rPr>
        <w:t>MNOs.</w:t>
      </w:r>
    </w:p>
    <w:p w14:paraId="7C92FC89" w14:textId="777C8006" w:rsidR="007E45C3" w:rsidRPr="00446FEC" w:rsidRDefault="003934C9" w:rsidP="003934C9">
      <w:pPr>
        <w:pStyle w:val="enumlev1"/>
        <w:rPr>
          <w:rFonts w:eastAsia="SimSun"/>
        </w:rPr>
      </w:pPr>
      <w:r w:rsidRPr="00446FEC">
        <w:rPr>
          <w:rFonts w:eastAsia="SimSun"/>
        </w:rPr>
        <w:t>2)</w:t>
      </w:r>
      <w:r w:rsidRPr="00446FEC">
        <w:rPr>
          <w:rFonts w:eastAsia="SimSun"/>
        </w:rPr>
        <w:tab/>
      </w:r>
      <w:r w:rsidR="007E45C3" w:rsidRPr="00446FEC">
        <w:rPr>
          <w:rFonts w:eastAsia="SimSun"/>
        </w:rPr>
        <w:t>The</w:t>
      </w:r>
      <w:r w:rsidR="007E45C3" w:rsidRPr="00446FEC">
        <w:rPr>
          <w:rFonts w:eastAsia="SimSun"/>
          <w:spacing w:val="16"/>
        </w:rPr>
        <w:t xml:space="preserve"> </w:t>
      </w:r>
      <w:r w:rsidR="007E45C3" w:rsidRPr="00446FEC">
        <w:rPr>
          <w:rFonts w:eastAsia="SimSun"/>
        </w:rPr>
        <w:t>establishment</w:t>
      </w:r>
      <w:r w:rsidR="007E45C3" w:rsidRPr="00446FEC">
        <w:rPr>
          <w:rFonts w:eastAsia="SimSun"/>
          <w:spacing w:val="13"/>
        </w:rPr>
        <w:t xml:space="preserve"> </w:t>
      </w:r>
      <w:r w:rsidR="007E45C3" w:rsidRPr="00446FEC">
        <w:rPr>
          <w:rFonts w:eastAsia="SimSun"/>
        </w:rPr>
        <w:t>of</w:t>
      </w:r>
      <w:r w:rsidR="007E45C3" w:rsidRPr="00446FEC">
        <w:rPr>
          <w:rFonts w:eastAsia="SimSun"/>
          <w:spacing w:val="16"/>
        </w:rPr>
        <w:t xml:space="preserve"> </w:t>
      </w:r>
      <w:r w:rsidR="007E45C3" w:rsidRPr="00446FEC">
        <w:rPr>
          <w:rFonts w:eastAsia="SimSun"/>
        </w:rPr>
        <w:t>cost-based</w:t>
      </w:r>
      <w:r w:rsidR="007E45C3" w:rsidRPr="00446FEC">
        <w:rPr>
          <w:rFonts w:eastAsia="SimSun"/>
          <w:spacing w:val="15"/>
        </w:rPr>
        <w:t xml:space="preserve"> </w:t>
      </w:r>
      <w:r w:rsidR="007E45C3" w:rsidRPr="00446FEC">
        <w:rPr>
          <w:rFonts w:eastAsia="SimSun"/>
        </w:rPr>
        <w:t>regional</w:t>
      </w:r>
      <w:r w:rsidR="007E45C3" w:rsidRPr="00446FEC">
        <w:rPr>
          <w:rFonts w:eastAsia="SimSun"/>
          <w:spacing w:val="14"/>
        </w:rPr>
        <w:t xml:space="preserve"> </w:t>
      </w:r>
      <w:r w:rsidR="007E45C3" w:rsidRPr="00446FEC">
        <w:rPr>
          <w:rFonts w:eastAsia="SimSun"/>
        </w:rPr>
        <w:t>roaming</w:t>
      </w:r>
      <w:r w:rsidR="007E45C3" w:rsidRPr="00446FEC">
        <w:rPr>
          <w:rFonts w:eastAsia="SimSun"/>
          <w:spacing w:val="15"/>
        </w:rPr>
        <w:t xml:space="preserve"> </w:t>
      </w:r>
      <w:r w:rsidR="007E45C3" w:rsidRPr="00446FEC">
        <w:rPr>
          <w:rFonts w:eastAsia="SimSun"/>
        </w:rPr>
        <w:t>tariffs</w:t>
      </w:r>
      <w:r w:rsidR="007E45C3" w:rsidRPr="00446FEC">
        <w:rPr>
          <w:rFonts w:eastAsia="SimSun"/>
          <w:spacing w:val="12"/>
        </w:rPr>
        <w:t xml:space="preserve"> </w:t>
      </w:r>
      <w:r w:rsidR="007E45C3" w:rsidRPr="00446FEC">
        <w:rPr>
          <w:rFonts w:eastAsia="SimSun"/>
        </w:rPr>
        <w:t>shall</w:t>
      </w:r>
      <w:r w:rsidR="007E45C3" w:rsidRPr="00446FEC">
        <w:rPr>
          <w:rFonts w:eastAsia="SimSun"/>
          <w:spacing w:val="15"/>
        </w:rPr>
        <w:t xml:space="preserve"> </w:t>
      </w:r>
      <w:proofErr w:type="gramStart"/>
      <w:r w:rsidR="007E45C3" w:rsidRPr="00446FEC">
        <w:rPr>
          <w:rFonts w:eastAsia="SimSun"/>
        </w:rPr>
        <w:t>take</w:t>
      </w:r>
      <w:r w:rsidR="007E45C3" w:rsidRPr="00446FEC">
        <w:rPr>
          <w:rFonts w:eastAsia="SimSun"/>
          <w:spacing w:val="13"/>
        </w:rPr>
        <w:t xml:space="preserve"> </w:t>
      </w:r>
      <w:r w:rsidR="007E45C3" w:rsidRPr="00446FEC">
        <w:rPr>
          <w:rFonts w:eastAsia="SimSun"/>
        </w:rPr>
        <w:t>into</w:t>
      </w:r>
      <w:r w:rsidR="007E45C3" w:rsidRPr="00446FEC">
        <w:rPr>
          <w:rFonts w:eastAsia="SimSun"/>
          <w:spacing w:val="13"/>
        </w:rPr>
        <w:t xml:space="preserve"> </w:t>
      </w:r>
      <w:r w:rsidR="007E45C3" w:rsidRPr="00446FEC">
        <w:rPr>
          <w:rFonts w:eastAsia="SimSun"/>
        </w:rPr>
        <w:t>account</w:t>
      </w:r>
      <w:proofErr w:type="gramEnd"/>
      <w:r w:rsidR="007E45C3" w:rsidRPr="00446FEC">
        <w:rPr>
          <w:rFonts w:eastAsia="SimSun"/>
          <w:spacing w:val="14"/>
        </w:rPr>
        <w:t xml:space="preserve"> </w:t>
      </w:r>
      <w:r w:rsidR="007E45C3" w:rsidRPr="00446FEC">
        <w:rPr>
          <w:rFonts w:eastAsia="SimSun"/>
        </w:rPr>
        <w:t>the</w:t>
      </w:r>
      <w:r w:rsidR="007E45C3" w:rsidRPr="00446FEC">
        <w:rPr>
          <w:rFonts w:eastAsia="SimSun"/>
          <w:spacing w:val="-64"/>
        </w:rPr>
        <w:t xml:space="preserve"> </w:t>
      </w:r>
      <w:r w:rsidR="007E45C3" w:rsidRPr="00446FEC">
        <w:rPr>
          <w:rFonts w:eastAsia="SimSun"/>
        </w:rPr>
        <w:t>related</w:t>
      </w:r>
      <w:r w:rsidR="007E45C3" w:rsidRPr="00446FEC">
        <w:rPr>
          <w:rFonts w:eastAsia="SimSun"/>
          <w:spacing w:val="-3"/>
        </w:rPr>
        <w:t xml:space="preserve"> </w:t>
      </w:r>
      <w:r w:rsidR="007E45C3" w:rsidRPr="00446FEC">
        <w:rPr>
          <w:rFonts w:eastAsia="SimSun"/>
        </w:rPr>
        <w:t>underlying</w:t>
      </w:r>
      <w:r w:rsidR="007E45C3" w:rsidRPr="00446FEC">
        <w:rPr>
          <w:rFonts w:eastAsia="SimSun"/>
          <w:spacing w:val="3"/>
        </w:rPr>
        <w:t xml:space="preserve"> </w:t>
      </w:r>
      <w:r w:rsidR="007E45C3" w:rsidRPr="00446FEC">
        <w:rPr>
          <w:rFonts w:eastAsia="SimSun"/>
        </w:rPr>
        <w:t>wholesale cost elements.</w:t>
      </w:r>
    </w:p>
    <w:p w14:paraId="2DEF1EFD" w14:textId="5387D4E2" w:rsidR="007E45C3" w:rsidRPr="00446FEC" w:rsidRDefault="003934C9" w:rsidP="003934C9">
      <w:pPr>
        <w:pStyle w:val="enumlev1"/>
        <w:rPr>
          <w:rFonts w:eastAsia="SimSun"/>
        </w:rPr>
      </w:pPr>
      <w:r w:rsidRPr="00446FEC">
        <w:rPr>
          <w:rFonts w:eastAsia="SimSun"/>
        </w:rPr>
        <w:t>3)</w:t>
      </w:r>
      <w:r w:rsidRPr="00446FEC">
        <w:rPr>
          <w:rFonts w:eastAsia="SimSun"/>
        </w:rPr>
        <w:tab/>
      </w:r>
      <w:proofErr w:type="gramStart"/>
      <w:r w:rsidR="007E45C3" w:rsidRPr="00446FEC">
        <w:rPr>
          <w:rFonts w:eastAsia="SimSun"/>
        </w:rPr>
        <w:t>NRA</w:t>
      </w:r>
      <w:r w:rsidR="006E6D1D" w:rsidRPr="00446FEC">
        <w:rPr>
          <w:rFonts w:eastAsia="SimSun"/>
        </w:rPr>
        <w:t>'</w:t>
      </w:r>
      <w:r w:rsidR="007E45C3" w:rsidRPr="00446FEC">
        <w:rPr>
          <w:rFonts w:eastAsia="SimSun"/>
        </w:rPr>
        <w:t>s</w:t>
      </w:r>
      <w:proofErr w:type="gramEnd"/>
      <w:r w:rsidR="007E45C3" w:rsidRPr="00446FEC">
        <w:rPr>
          <w:rFonts w:eastAsia="SimSun"/>
          <w:spacing w:val="39"/>
        </w:rPr>
        <w:t xml:space="preserve"> </w:t>
      </w:r>
      <w:r w:rsidR="007E45C3" w:rsidRPr="00446FEC">
        <w:rPr>
          <w:rFonts w:eastAsia="SimSun"/>
        </w:rPr>
        <w:t>shall</w:t>
      </w:r>
      <w:r w:rsidR="007E45C3" w:rsidRPr="00446FEC">
        <w:rPr>
          <w:rFonts w:eastAsia="SimSun"/>
          <w:spacing w:val="38"/>
        </w:rPr>
        <w:t xml:space="preserve"> </w:t>
      </w:r>
      <w:proofErr w:type="gramStart"/>
      <w:r w:rsidR="007E45C3" w:rsidRPr="00446FEC">
        <w:rPr>
          <w:rFonts w:eastAsia="SimSun"/>
        </w:rPr>
        <w:t>take</w:t>
      </w:r>
      <w:r w:rsidR="007E45C3" w:rsidRPr="00446FEC">
        <w:rPr>
          <w:rFonts w:eastAsia="SimSun"/>
          <w:spacing w:val="37"/>
        </w:rPr>
        <w:t xml:space="preserve"> </w:t>
      </w:r>
      <w:r w:rsidR="007E45C3" w:rsidRPr="00446FEC">
        <w:rPr>
          <w:rFonts w:eastAsia="SimSun"/>
        </w:rPr>
        <w:t>into</w:t>
      </w:r>
      <w:r w:rsidR="007E45C3" w:rsidRPr="00446FEC">
        <w:rPr>
          <w:rFonts w:eastAsia="SimSun"/>
          <w:spacing w:val="36"/>
        </w:rPr>
        <w:t xml:space="preserve"> </w:t>
      </w:r>
      <w:r w:rsidR="007E45C3" w:rsidRPr="00446FEC">
        <w:rPr>
          <w:rFonts w:eastAsia="SimSun"/>
        </w:rPr>
        <w:t>account</w:t>
      </w:r>
      <w:proofErr w:type="gramEnd"/>
      <w:r w:rsidR="007E45C3" w:rsidRPr="00446FEC">
        <w:rPr>
          <w:rFonts w:eastAsia="SimSun"/>
          <w:spacing w:val="39"/>
        </w:rPr>
        <w:t xml:space="preserve"> </w:t>
      </w:r>
      <w:r w:rsidR="007E45C3" w:rsidRPr="00446FEC">
        <w:rPr>
          <w:rFonts w:eastAsia="SimSun"/>
        </w:rPr>
        <w:t>the</w:t>
      </w:r>
      <w:r w:rsidR="007E45C3" w:rsidRPr="00446FEC">
        <w:rPr>
          <w:rFonts w:eastAsia="SimSun"/>
          <w:spacing w:val="37"/>
        </w:rPr>
        <w:t xml:space="preserve"> </w:t>
      </w:r>
      <w:r w:rsidR="007E45C3" w:rsidRPr="00446FEC">
        <w:rPr>
          <w:rFonts w:eastAsia="SimSun"/>
        </w:rPr>
        <w:t>following</w:t>
      </w:r>
      <w:r w:rsidR="007E45C3" w:rsidRPr="00446FEC">
        <w:rPr>
          <w:rFonts w:eastAsia="SimSun"/>
          <w:spacing w:val="40"/>
        </w:rPr>
        <w:t xml:space="preserve"> </w:t>
      </w:r>
      <w:r w:rsidR="007E45C3" w:rsidRPr="00446FEC">
        <w:rPr>
          <w:rFonts w:eastAsia="SimSun"/>
        </w:rPr>
        <w:t>direct</w:t>
      </w:r>
      <w:r w:rsidR="007E45C3" w:rsidRPr="00446FEC">
        <w:rPr>
          <w:rFonts w:eastAsia="SimSun"/>
          <w:spacing w:val="40"/>
        </w:rPr>
        <w:t xml:space="preserve"> </w:t>
      </w:r>
      <w:r w:rsidR="007E45C3" w:rsidRPr="00446FEC">
        <w:rPr>
          <w:rFonts w:eastAsia="SimSun"/>
        </w:rPr>
        <w:t>cost</w:t>
      </w:r>
      <w:r w:rsidR="007E45C3" w:rsidRPr="00446FEC">
        <w:rPr>
          <w:rFonts w:eastAsia="SimSun"/>
          <w:spacing w:val="37"/>
        </w:rPr>
        <w:t xml:space="preserve"> </w:t>
      </w:r>
      <w:r w:rsidR="007E45C3" w:rsidRPr="00446FEC">
        <w:rPr>
          <w:rFonts w:eastAsia="SimSun"/>
        </w:rPr>
        <w:t>elements</w:t>
      </w:r>
      <w:r w:rsidR="007E45C3" w:rsidRPr="00446FEC">
        <w:rPr>
          <w:rFonts w:eastAsia="SimSun"/>
          <w:spacing w:val="37"/>
        </w:rPr>
        <w:t xml:space="preserve"> </w:t>
      </w:r>
      <w:r w:rsidR="007E45C3" w:rsidRPr="00446FEC">
        <w:rPr>
          <w:rFonts w:eastAsia="SimSun"/>
        </w:rPr>
        <w:t>among</w:t>
      </w:r>
      <w:r w:rsidR="007E45C3" w:rsidRPr="00446FEC">
        <w:rPr>
          <w:rFonts w:eastAsia="SimSun"/>
          <w:spacing w:val="38"/>
        </w:rPr>
        <w:t xml:space="preserve"> </w:t>
      </w:r>
      <w:r w:rsidR="007E45C3" w:rsidRPr="00446FEC">
        <w:rPr>
          <w:rFonts w:eastAsia="SimSun"/>
        </w:rPr>
        <w:t>others</w:t>
      </w:r>
      <w:r w:rsidR="007E45C3" w:rsidRPr="00446FEC">
        <w:rPr>
          <w:rFonts w:eastAsia="SimSun"/>
          <w:spacing w:val="38"/>
        </w:rPr>
        <w:t xml:space="preserve"> </w:t>
      </w:r>
      <w:r w:rsidR="007E45C3" w:rsidRPr="00446FEC">
        <w:rPr>
          <w:rFonts w:eastAsia="SimSun"/>
        </w:rPr>
        <w:t>in</w:t>
      </w:r>
      <w:r w:rsidR="007E45C3" w:rsidRPr="00446FEC">
        <w:rPr>
          <w:rFonts w:eastAsia="SimSun"/>
          <w:spacing w:val="-64"/>
        </w:rPr>
        <w:t xml:space="preserve"> </w:t>
      </w:r>
      <w:r w:rsidR="007E45C3" w:rsidRPr="00446FEC">
        <w:rPr>
          <w:rFonts w:eastAsia="SimSun"/>
        </w:rPr>
        <w:t>calculating</w:t>
      </w:r>
      <w:r w:rsidR="007E45C3" w:rsidRPr="00446FEC">
        <w:rPr>
          <w:rFonts w:eastAsia="SimSun"/>
          <w:spacing w:val="-2"/>
        </w:rPr>
        <w:t xml:space="preserve"> </w:t>
      </w:r>
      <w:r w:rsidR="007E45C3" w:rsidRPr="00446FEC">
        <w:rPr>
          <w:rFonts w:eastAsia="SimSun"/>
        </w:rPr>
        <w:t>cost</w:t>
      </w:r>
      <w:r w:rsidR="007E45C3" w:rsidRPr="00446FEC">
        <w:rPr>
          <w:rFonts w:eastAsia="SimSun"/>
          <w:spacing w:val="-2"/>
        </w:rPr>
        <w:t xml:space="preserve"> </w:t>
      </w:r>
      <w:r w:rsidR="007E45C3" w:rsidRPr="00446FEC">
        <w:rPr>
          <w:rFonts w:eastAsia="SimSun"/>
        </w:rPr>
        <w:t>based</w:t>
      </w:r>
      <w:r w:rsidR="007E45C3" w:rsidRPr="00446FEC">
        <w:rPr>
          <w:rFonts w:eastAsia="SimSun"/>
          <w:spacing w:val="-2"/>
        </w:rPr>
        <w:t xml:space="preserve"> </w:t>
      </w:r>
      <w:r w:rsidR="007E45C3" w:rsidRPr="00446FEC">
        <w:rPr>
          <w:rFonts w:eastAsia="SimSun"/>
        </w:rPr>
        <w:t>roaming</w:t>
      </w:r>
      <w:r w:rsidR="007E45C3" w:rsidRPr="00446FEC">
        <w:rPr>
          <w:rFonts w:eastAsia="SimSun"/>
          <w:spacing w:val="-1"/>
        </w:rPr>
        <w:t xml:space="preserve"> </w:t>
      </w:r>
      <w:r w:rsidR="007E45C3" w:rsidRPr="00446FEC">
        <w:rPr>
          <w:rFonts w:eastAsia="SimSun"/>
        </w:rPr>
        <w:t>tariffs:</w:t>
      </w:r>
    </w:p>
    <w:p w14:paraId="49849644" w14:textId="6A500DE2" w:rsidR="007E45C3" w:rsidRPr="00446FEC" w:rsidRDefault="00F16309" w:rsidP="00F16309">
      <w:pPr>
        <w:pStyle w:val="enumlev2"/>
        <w:rPr>
          <w:rFonts w:eastAsia="SimSun"/>
        </w:rPr>
      </w:pPr>
      <w:r w:rsidRPr="00446FEC">
        <w:rPr>
          <w:rFonts w:eastAsia="SimSun"/>
        </w:rPr>
        <w:t>a)</w:t>
      </w:r>
      <w:r w:rsidRPr="00446FEC">
        <w:rPr>
          <w:rFonts w:eastAsia="SimSun"/>
        </w:rPr>
        <w:tab/>
      </w:r>
      <w:r w:rsidR="007E45C3" w:rsidRPr="00446FEC">
        <w:rPr>
          <w:rFonts w:eastAsia="SimSun"/>
        </w:rPr>
        <w:t>local</w:t>
      </w:r>
      <w:r w:rsidR="007E45C3" w:rsidRPr="00446FEC">
        <w:rPr>
          <w:rFonts w:eastAsia="SimSun"/>
          <w:spacing w:val="-2"/>
        </w:rPr>
        <w:t xml:space="preserve"> </w:t>
      </w:r>
      <w:r w:rsidR="007E45C3" w:rsidRPr="00446FEC">
        <w:rPr>
          <w:rFonts w:eastAsia="SimSun"/>
        </w:rPr>
        <w:t>access,</w:t>
      </w:r>
      <w:r w:rsidR="007E45C3" w:rsidRPr="00446FEC">
        <w:rPr>
          <w:rFonts w:eastAsia="SimSun"/>
          <w:spacing w:val="-4"/>
        </w:rPr>
        <w:t xml:space="preserve"> </w:t>
      </w:r>
      <w:r w:rsidR="007E45C3" w:rsidRPr="00446FEC">
        <w:rPr>
          <w:rFonts w:eastAsia="SimSun"/>
        </w:rPr>
        <w:t>origination</w:t>
      </w:r>
      <w:r w:rsidR="007E45C3" w:rsidRPr="00446FEC">
        <w:rPr>
          <w:rFonts w:eastAsia="SimSun"/>
          <w:spacing w:val="-2"/>
        </w:rPr>
        <w:t xml:space="preserve"> </w:t>
      </w:r>
      <w:r w:rsidR="007E45C3" w:rsidRPr="00446FEC">
        <w:rPr>
          <w:rFonts w:eastAsia="SimSun"/>
        </w:rPr>
        <w:t>and</w:t>
      </w:r>
      <w:r w:rsidR="007E45C3" w:rsidRPr="00446FEC">
        <w:rPr>
          <w:rFonts w:eastAsia="SimSun"/>
          <w:spacing w:val="-1"/>
        </w:rPr>
        <w:t xml:space="preserve"> </w:t>
      </w:r>
      <w:r w:rsidR="007E45C3" w:rsidRPr="00446FEC">
        <w:rPr>
          <w:rFonts w:eastAsia="SimSun"/>
        </w:rPr>
        <w:t>termination</w:t>
      </w:r>
      <w:r w:rsidR="007E45C3" w:rsidRPr="00446FEC">
        <w:rPr>
          <w:rFonts w:eastAsia="SimSun"/>
          <w:spacing w:val="-4"/>
        </w:rPr>
        <w:t xml:space="preserve"> </w:t>
      </w:r>
      <w:r w:rsidR="007E45C3" w:rsidRPr="00446FEC">
        <w:rPr>
          <w:rFonts w:eastAsia="SimSun"/>
        </w:rPr>
        <w:t>costs;</w:t>
      </w:r>
    </w:p>
    <w:p w14:paraId="7E859E0B" w14:textId="6822CDDE" w:rsidR="007E45C3" w:rsidRPr="00446FEC" w:rsidRDefault="00F16309" w:rsidP="00F16309">
      <w:pPr>
        <w:pStyle w:val="enumlev2"/>
        <w:rPr>
          <w:rFonts w:eastAsia="SimSun"/>
        </w:rPr>
      </w:pPr>
      <w:r w:rsidRPr="00446FEC">
        <w:rPr>
          <w:rFonts w:eastAsia="SimSun"/>
        </w:rPr>
        <w:t>b)</w:t>
      </w:r>
      <w:r w:rsidRPr="00446FEC">
        <w:rPr>
          <w:rFonts w:eastAsia="SimSun"/>
        </w:rPr>
        <w:tab/>
      </w:r>
      <w:r w:rsidR="007E45C3" w:rsidRPr="00446FEC">
        <w:rPr>
          <w:rFonts w:eastAsia="SimSun"/>
        </w:rPr>
        <w:t>local</w:t>
      </w:r>
      <w:r w:rsidR="007E45C3" w:rsidRPr="00446FEC">
        <w:rPr>
          <w:rFonts w:eastAsia="SimSun"/>
          <w:spacing w:val="-2"/>
        </w:rPr>
        <w:t xml:space="preserve"> </w:t>
      </w:r>
      <w:r w:rsidR="007E45C3" w:rsidRPr="00446FEC">
        <w:rPr>
          <w:rFonts w:eastAsia="SimSun"/>
        </w:rPr>
        <w:t>transmission</w:t>
      </w:r>
      <w:r w:rsidR="007E45C3" w:rsidRPr="00446FEC">
        <w:rPr>
          <w:rFonts w:eastAsia="SimSun"/>
          <w:spacing w:val="-2"/>
        </w:rPr>
        <w:t xml:space="preserve"> </w:t>
      </w:r>
      <w:r w:rsidR="007E45C3" w:rsidRPr="00446FEC">
        <w:rPr>
          <w:rFonts w:eastAsia="SimSun"/>
        </w:rPr>
        <w:t>costs;</w:t>
      </w:r>
    </w:p>
    <w:p w14:paraId="670D090D" w14:textId="00B74649" w:rsidR="007E45C3" w:rsidRPr="00446FEC" w:rsidRDefault="00F16309" w:rsidP="00F16309">
      <w:pPr>
        <w:pStyle w:val="enumlev2"/>
        <w:rPr>
          <w:rFonts w:eastAsia="SimSun"/>
        </w:rPr>
      </w:pPr>
      <w:r w:rsidRPr="00446FEC">
        <w:rPr>
          <w:rFonts w:eastAsia="SimSun"/>
        </w:rPr>
        <w:t>c)</w:t>
      </w:r>
      <w:r w:rsidRPr="00446FEC">
        <w:rPr>
          <w:rFonts w:eastAsia="SimSun"/>
        </w:rPr>
        <w:tab/>
      </w:r>
      <w:r w:rsidR="007E45C3" w:rsidRPr="00446FEC">
        <w:rPr>
          <w:rFonts w:eastAsia="SimSun"/>
        </w:rPr>
        <w:t>international</w:t>
      </w:r>
      <w:r w:rsidR="007E45C3" w:rsidRPr="00446FEC">
        <w:rPr>
          <w:rFonts w:eastAsia="SimSun"/>
          <w:spacing w:val="-6"/>
        </w:rPr>
        <w:t xml:space="preserve"> </w:t>
      </w:r>
      <w:r w:rsidR="007E45C3" w:rsidRPr="00446FEC">
        <w:rPr>
          <w:rFonts w:eastAsia="SimSun"/>
        </w:rPr>
        <w:t>transmission</w:t>
      </w:r>
      <w:r w:rsidR="007E45C3" w:rsidRPr="00446FEC">
        <w:rPr>
          <w:rFonts w:eastAsia="SimSun"/>
          <w:spacing w:val="-3"/>
        </w:rPr>
        <w:t xml:space="preserve"> </w:t>
      </w:r>
      <w:r w:rsidR="007E45C3" w:rsidRPr="00446FEC">
        <w:rPr>
          <w:rFonts w:eastAsia="SimSun"/>
        </w:rPr>
        <w:t>costs;</w:t>
      </w:r>
    </w:p>
    <w:p w14:paraId="7A2117B4" w14:textId="6479F48C" w:rsidR="007E45C3" w:rsidRPr="00446FEC" w:rsidRDefault="00F16309" w:rsidP="00F16309">
      <w:pPr>
        <w:pStyle w:val="enumlev2"/>
        <w:rPr>
          <w:rFonts w:eastAsia="SimSun"/>
        </w:rPr>
      </w:pPr>
      <w:r w:rsidRPr="00446FEC">
        <w:rPr>
          <w:rFonts w:eastAsia="SimSun"/>
        </w:rPr>
        <w:t>d)</w:t>
      </w:r>
      <w:r w:rsidRPr="00446FEC">
        <w:rPr>
          <w:rFonts w:eastAsia="SimSun"/>
        </w:rPr>
        <w:tab/>
      </w:r>
      <w:r w:rsidR="007E45C3" w:rsidRPr="00446FEC">
        <w:rPr>
          <w:rFonts w:eastAsia="SimSun"/>
        </w:rPr>
        <w:t>roaming</w:t>
      </w:r>
      <w:r w:rsidR="007E45C3" w:rsidRPr="00446FEC">
        <w:rPr>
          <w:rFonts w:eastAsia="SimSun"/>
          <w:spacing w:val="-3"/>
        </w:rPr>
        <w:t xml:space="preserve"> </w:t>
      </w:r>
      <w:r w:rsidR="007E45C3" w:rsidRPr="00446FEC">
        <w:rPr>
          <w:rFonts w:eastAsia="SimSun"/>
        </w:rPr>
        <w:t>specific</w:t>
      </w:r>
      <w:r w:rsidR="007E45C3" w:rsidRPr="00446FEC">
        <w:rPr>
          <w:rFonts w:eastAsia="SimSun"/>
          <w:spacing w:val="-2"/>
        </w:rPr>
        <w:t xml:space="preserve"> </w:t>
      </w:r>
      <w:r w:rsidR="007E45C3" w:rsidRPr="00446FEC">
        <w:rPr>
          <w:rFonts w:eastAsia="SimSun"/>
        </w:rPr>
        <w:t>charges,</w:t>
      </w:r>
      <w:r w:rsidR="007E45C3" w:rsidRPr="00446FEC">
        <w:rPr>
          <w:rFonts w:eastAsia="SimSun"/>
          <w:spacing w:val="-2"/>
        </w:rPr>
        <w:t xml:space="preserve"> </w:t>
      </w:r>
      <w:r w:rsidR="007E45C3" w:rsidRPr="00446FEC">
        <w:rPr>
          <w:rFonts w:eastAsia="SimSun"/>
        </w:rPr>
        <w:t>including</w:t>
      </w:r>
      <w:r w:rsidR="007E45C3" w:rsidRPr="00446FEC">
        <w:rPr>
          <w:rFonts w:eastAsia="SimSun"/>
          <w:spacing w:val="-2"/>
        </w:rPr>
        <w:t xml:space="preserve"> </w:t>
      </w:r>
      <w:r w:rsidR="007E45C3" w:rsidRPr="00446FEC">
        <w:rPr>
          <w:rFonts w:eastAsia="SimSun"/>
        </w:rPr>
        <w:t>contract,</w:t>
      </w:r>
      <w:r w:rsidR="007E45C3" w:rsidRPr="00446FEC">
        <w:rPr>
          <w:rFonts w:eastAsia="SimSun"/>
          <w:spacing w:val="-4"/>
        </w:rPr>
        <w:t xml:space="preserve"> </w:t>
      </w:r>
      <w:r w:rsidR="007E45C3" w:rsidRPr="00446FEC">
        <w:rPr>
          <w:rFonts w:eastAsia="SimSun"/>
        </w:rPr>
        <w:t>billing</w:t>
      </w:r>
      <w:r w:rsidR="007E45C3" w:rsidRPr="00446FEC">
        <w:rPr>
          <w:rFonts w:eastAsia="SimSun"/>
          <w:spacing w:val="-4"/>
        </w:rPr>
        <w:t xml:space="preserve"> </w:t>
      </w:r>
      <w:r w:rsidR="007E45C3" w:rsidRPr="00446FEC">
        <w:rPr>
          <w:rFonts w:eastAsia="SimSun"/>
        </w:rPr>
        <w:t>and</w:t>
      </w:r>
      <w:r w:rsidR="007E45C3" w:rsidRPr="00446FEC">
        <w:rPr>
          <w:rFonts w:eastAsia="SimSun"/>
          <w:spacing w:val="-1"/>
        </w:rPr>
        <w:t xml:space="preserve"> </w:t>
      </w:r>
      <w:r w:rsidR="007E45C3" w:rsidRPr="00446FEC">
        <w:rPr>
          <w:rFonts w:eastAsia="SimSun"/>
        </w:rPr>
        <w:t>signalling</w:t>
      </w:r>
      <w:r w:rsidR="007E45C3" w:rsidRPr="00446FEC">
        <w:rPr>
          <w:rFonts w:eastAsia="SimSun"/>
          <w:spacing w:val="-3"/>
        </w:rPr>
        <w:t xml:space="preserve"> </w:t>
      </w:r>
      <w:r w:rsidR="007E45C3" w:rsidRPr="00446FEC">
        <w:rPr>
          <w:rFonts w:eastAsia="SimSun"/>
        </w:rPr>
        <w:t>charges;</w:t>
      </w:r>
    </w:p>
    <w:p w14:paraId="62974861" w14:textId="4F6464DB" w:rsidR="007E45C3" w:rsidRPr="00446FEC" w:rsidRDefault="00F16309" w:rsidP="00F16309">
      <w:pPr>
        <w:pStyle w:val="enumlev2"/>
        <w:rPr>
          <w:rFonts w:eastAsia="SimSun"/>
        </w:rPr>
      </w:pPr>
      <w:r w:rsidRPr="00446FEC">
        <w:rPr>
          <w:rFonts w:eastAsia="SimSun"/>
        </w:rPr>
        <w:t>e)</w:t>
      </w:r>
      <w:r w:rsidRPr="00446FEC">
        <w:rPr>
          <w:rFonts w:eastAsia="SimSun"/>
        </w:rPr>
        <w:tab/>
      </w:r>
      <w:r w:rsidR="007E45C3" w:rsidRPr="00446FEC">
        <w:rPr>
          <w:rFonts w:eastAsia="SimSun"/>
        </w:rPr>
        <w:t>retail</w:t>
      </w:r>
      <w:r w:rsidR="007E45C3" w:rsidRPr="00446FEC">
        <w:rPr>
          <w:rFonts w:eastAsia="SimSun"/>
          <w:spacing w:val="1"/>
        </w:rPr>
        <w:t xml:space="preserve"> </w:t>
      </w:r>
      <w:r w:rsidR="007E45C3" w:rsidRPr="00446FEC">
        <w:rPr>
          <w:rFonts w:eastAsia="SimSun"/>
        </w:rPr>
        <w:t>specific</w:t>
      </w:r>
      <w:r w:rsidR="007E45C3" w:rsidRPr="00446FEC">
        <w:rPr>
          <w:rFonts w:eastAsia="SimSun"/>
          <w:spacing w:val="1"/>
        </w:rPr>
        <w:t xml:space="preserve"> </w:t>
      </w:r>
      <w:r w:rsidR="007E45C3" w:rsidRPr="00446FEC">
        <w:rPr>
          <w:rFonts w:eastAsia="SimSun"/>
        </w:rPr>
        <w:t>charges,</w:t>
      </w:r>
      <w:r w:rsidR="007E45C3" w:rsidRPr="00446FEC">
        <w:rPr>
          <w:rFonts w:eastAsia="SimSun"/>
          <w:spacing w:val="1"/>
        </w:rPr>
        <w:t xml:space="preserve"> </w:t>
      </w:r>
      <w:r w:rsidR="007E45C3" w:rsidRPr="00446FEC">
        <w:rPr>
          <w:rFonts w:eastAsia="SimSun"/>
        </w:rPr>
        <w:t>including</w:t>
      </w:r>
      <w:r w:rsidR="007E45C3" w:rsidRPr="00446FEC">
        <w:rPr>
          <w:rFonts w:eastAsia="SimSun"/>
          <w:spacing w:val="1"/>
        </w:rPr>
        <w:t xml:space="preserve"> </w:t>
      </w:r>
      <w:r w:rsidR="007E45C3" w:rsidRPr="00446FEC">
        <w:rPr>
          <w:rFonts w:eastAsia="SimSun"/>
        </w:rPr>
        <w:t>invoicing</w:t>
      </w:r>
      <w:r w:rsidR="007E45C3" w:rsidRPr="00446FEC">
        <w:rPr>
          <w:rFonts w:eastAsia="SimSun"/>
          <w:spacing w:val="1"/>
        </w:rPr>
        <w:t xml:space="preserve"> </w:t>
      </w:r>
      <w:r w:rsidR="007E45C3" w:rsidRPr="00446FEC">
        <w:rPr>
          <w:rFonts w:eastAsia="SimSun"/>
        </w:rPr>
        <w:t>and</w:t>
      </w:r>
      <w:r w:rsidR="007E45C3" w:rsidRPr="00446FEC">
        <w:rPr>
          <w:rFonts w:eastAsia="SimSun"/>
          <w:spacing w:val="1"/>
        </w:rPr>
        <w:t xml:space="preserve"> </w:t>
      </w:r>
      <w:r w:rsidR="007E45C3" w:rsidRPr="00446FEC">
        <w:rPr>
          <w:rFonts w:eastAsia="SimSun"/>
        </w:rPr>
        <w:t>international</w:t>
      </w:r>
      <w:r w:rsidR="007E45C3" w:rsidRPr="00446FEC">
        <w:rPr>
          <w:rFonts w:eastAsia="SimSun"/>
          <w:spacing w:val="1"/>
        </w:rPr>
        <w:t xml:space="preserve"> </w:t>
      </w:r>
      <w:r w:rsidR="007E45C3" w:rsidRPr="00446FEC">
        <w:rPr>
          <w:rFonts w:eastAsia="SimSun"/>
        </w:rPr>
        <w:t>processing</w:t>
      </w:r>
      <w:r w:rsidR="007E45C3" w:rsidRPr="00446FEC">
        <w:rPr>
          <w:rFonts w:eastAsia="SimSun"/>
          <w:spacing w:val="1"/>
        </w:rPr>
        <w:t xml:space="preserve"> </w:t>
      </w:r>
      <w:r w:rsidR="007E45C3" w:rsidRPr="00446FEC">
        <w:rPr>
          <w:rFonts w:eastAsia="SimSun"/>
        </w:rPr>
        <w:t>costs</w:t>
      </w:r>
      <w:r w:rsidR="007E45C3" w:rsidRPr="00446FEC">
        <w:rPr>
          <w:rFonts w:eastAsia="SimSun"/>
          <w:spacing w:val="-64"/>
        </w:rPr>
        <w:t xml:space="preserve"> </w:t>
      </w:r>
      <w:r w:rsidR="007E45C3" w:rsidRPr="00446FEC">
        <w:rPr>
          <w:rFonts w:eastAsia="SimSun"/>
        </w:rPr>
        <w:t>(including</w:t>
      </w:r>
      <w:r w:rsidR="007E45C3" w:rsidRPr="00446FEC">
        <w:rPr>
          <w:rFonts w:eastAsia="SimSun"/>
          <w:spacing w:val="-2"/>
        </w:rPr>
        <w:t xml:space="preserve"> </w:t>
      </w:r>
      <w:r w:rsidR="007E45C3" w:rsidRPr="00446FEC">
        <w:rPr>
          <w:rFonts w:eastAsia="SimSun"/>
        </w:rPr>
        <w:t>call</w:t>
      </w:r>
      <w:r w:rsidR="007E45C3" w:rsidRPr="00446FEC">
        <w:rPr>
          <w:rFonts w:eastAsia="SimSun"/>
          <w:spacing w:val="-2"/>
        </w:rPr>
        <w:t xml:space="preserve"> </w:t>
      </w:r>
      <w:r w:rsidR="007E45C3" w:rsidRPr="00446FEC">
        <w:rPr>
          <w:rFonts w:eastAsia="SimSun"/>
        </w:rPr>
        <w:t>detail</w:t>
      </w:r>
      <w:r w:rsidR="007E45C3" w:rsidRPr="00446FEC">
        <w:rPr>
          <w:rFonts w:eastAsia="SimSun"/>
          <w:spacing w:val="-2"/>
        </w:rPr>
        <w:t xml:space="preserve"> </w:t>
      </w:r>
      <w:r w:rsidR="007E45C3" w:rsidRPr="00446FEC">
        <w:rPr>
          <w:rFonts w:eastAsia="SimSun"/>
        </w:rPr>
        <w:t>records</w:t>
      </w:r>
      <w:r w:rsidR="007E45C3" w:rsidRPr="00446FEC">
        <w:rPr>
          <w:rFonts w:eastAsia="SimSun"/>
          <w:spacing w:val="-1"/>
        </w:rPr>
        <w:t xml:space="preserve"> </w:t>
      </w:r>
      <w:r w:rsidR="007E45C3" w:rsidRPr="00446FEC">
        <w:rPr>
          <w:rFonts w:eastAsia="SimSun"/>
        </w:rPr>
        <w:t>(CDRs) and</w:t>
      </w:r>
      <w:r w:rsidR="007E45C3" w:rsidRPr="00446FEC">
        <w:rPr>
          <w:rFonts w:eastAsia="SimSun"/>
          <w:spacing w:val="-3"/>
        </w:rPr>
        <w:t xml:space="preserve"> </w:t>
      </w:r>
      <w:r w:rsidR="007E45C3" w:rsidRPr="00446FEC">
        <w:rPr>
          <w:rFonts w:eastAsia="SimSun"/>
        </w:rPr>
        <w:t>inter</w:t>
      </w:r>
      <w:r w:rsidR="007E45C3" w:rsidRPr="00446FEC">
        <w:rPr>
          <w:rFonts w:eastAsia="SimSun"/>
          <w:spacing w:val="-1"/>
        </w:rPr>
        <w:t xml:space="preserve"> </w:t>
      </w:r>
      <w:r w:rsidR="007E45C3" w:rsidRPr="00446FEC">
        <w:rPr>
          <w:rFonts w:eastAsia="SimSun"/>
        </w:rPr>
        <w:t>operator</w:t>
      </w:r>
      <w:r w:rsidR="007E45C3" w:rsidRPr="00446FEC">
        <w:rPr>
          <w:rFonts w:eastAsia="SimSun"/>
          <w:spacing w:val="-1"/>
        </w:rPr>
        <w:t xml:space="preserve"> </w:t>
      </w:r>
      <w:r w:rsidR="007E45C3" w:rsidRPr="00446FEC">
        <w:rPr>
          <w:rFonts w:eastAsia="SimSun"/>
        </w:rPr>
        <w:t>tariffs</w:t>
      </w:r>
      <w:r w:rsidR="007E45C3" w:rsidRPr="00446FEC">
        <w:rPr>
          <w:rFonts w:eastAsia="SimSun"/>
          <w:spacing w:val="4"/>
        </w:rPr>
        <w:t xml:space="preserve"> </w:t>
      </w:r>
      <w:r w:rsidR="007E45C3" w:rsidRPr="00446FEC">
        <w:rPr>
          <w:rFonts w:eastAsia="SimSun"/>
        </w:rPr>
        <w:t>(IOT)); and</w:t>
      </w:r>
    </w:p>
    <w:p w14:paraId="60C091F8" w14:textId="2C87B924" w:rsidR="007E45C3" w:rsidRPr="00446FEC" w:rsidRDefault="00F16309" w:rsidP="00F16309">
      <w:pPr>
        <w:pStyle w:val="enumlev2"/>
        <w:rPr>
          <w:rFonts w:eastAsia="SimSun"/>
        </w:rPr>
      </w:pPr>
      <w:r w:rsidRPr="00446FEC">
        <w:rPr>
          <w:rFonts w:eastAsia="SimSun"/>
        </w:rPr>
        <w:t>f)</w:t>
      </w:r>
      <w:r w:rsidRPr="00446FEC">
        <w:rPr>
          <w:rFonts w:eastAsia="SimSun"/>
        </w:rPr>
        <w:tab/>
      </w:r>
      <w:r w:rsidR="007E45C3" w:rsidRPr="00446FEC">
        <w:rPr>
          <w:rFonts w:eastAsia="SimSun"/>
        </w:rPr>
        <w:t>any</w:t>
      </w:r>
      <w:r w:rsidR="007E45C3" w:rsidRPr="00446FEC">
        <w:rPr>
          <w:rFonts w:eastAsia="SimSun"/>
          <w:spacing w:val="-5"/>
        </w:rPr>
        <w:t xml:space="preserve"> </w:t>
      </w:r>
      <w:r w:rsidR="007E45C3" w:rsidRPr="00446FEC">
        <w:rPr>
          <w:rFonts w:eastAsia="SimSun"/>
        </w:rPr>
        <w:t>other</w:t>
      </w:r>
      <w:r w:rsidR="007E45C3" w:rsidRPr="00446FEC">
        <w:rPr>
          <w:rFonts w:eastAsia="SimSun"/>
          <w:spacing w:val="-2"/>
        </w:rPr>
        <w:t xml:space="preserve"> </w:t>
      </w:r>
      <w:r w:rsidR="007E45C3" w:rsidRPr="00446FEC">
        <w:rPr>
          <w:rFonts w:eastAsia="SimSun"/>
        </w:rPr>
        <w:t>costs</w:t>
      </w:r>
      <w:r w:rsidR="007E45C3" w:rsidRPr="00446FEC">
        <w:rPr>
          <w:rFonts w:eastAsia="SimSun"/>
          <w:spacing w:val="-1"/>
        </w:rPr>
        <w:t xml:space="preserve"> </w:t>
      </w:r>
      <w:r w:rsidR="007E45C3" w:rsidRPr="00446FEC">
        <w:rPr>
          <w:rFonts w:eastAsia="SimSun"/>
        </w:rPr>
        <w:t>deemed</w:t>
      </w:r>
      <w:r w:rsidR="007E45C3" w:rsidRPr="00446FEC">
        <w:rPr>
          <w:rFonts w:eastAsia="SimSun"/>
          <w:spacing w:val="-2"/>
        </w:rPr>
        <w:t xml:space="preserve"> </w:t>
      </w:r>
      <w:r w:rsidR="007E45C3" w:rsidRPr="00446FEC">
        <w:rPr>
          <w:rFonts w:eastAsia="SimSun"/>
        </w:rPr>
        <w:t>to</w:t>
      </w:r>
      <w:r w:rsidR="007E45C3" w:rsidRPr="00446FEC">
        <w:rPr>
          <w:rFonts w:eastAsia="SimSun"/>
          <w:spacing w:val="-4"/>
        </w:rPr>
        <w:t xml:space="preserve"> </w:t>
      </w:r>
      <w:r w:rsidR="007E45C3" w:rsidRPr="00446FEC">
        <w:rPr>
          <w:rFonts w:eastAsia="SimSun"/>
        </w:rPr>
        <w:t>be</w:t>
      </w:r>
      <w:r w:rsidR="007E45C3" w:rsidRPr="00446FEC">
        <w:rPr>
          <w:rFonts w:eastAsia="SimSun"/>
          <w:spacing w:val="-3"/>
        </w:rPr>
        <w:t xml:space="preserve"> </w:t>
      </w:r>
      <w:r w:rsidR="007E45C3" w:rsidRPr="00446FEC">
        <w:rPr>
          <w:rFonts w:eastAsia="SimSun"/>
        </w:rPr>
        <w:t>appropriate.</w:t>
      </w:r>
    </w:p>
    <w:p w14:paraId="56ACC40A" w14:textId="15C173E1" w:rsidR="007E45C3" w:rsidRPr="00446FEC" w:rsidRDefault="00F16309" w:rsidP="00F16309">
      <w:pPr>
        <w:pStyle w:val="enumlev1"/>
        <w:rPr>
          <w:rFonts w:eastAsia="SimSun"/>
        </w:rPr>
      </w:pPr>
      <w:r w:rsidRPr="00446FEC">
        <w:rPr>
          <w:rFonts w:eastAsia="SimSun"/>
        </w:rPr>
        <w:t>4)</w:t>
      </w:r>
      <w:r w:rsidRPr="00446FEC">
        <w:rPr>
          <w:rFonts w:eastAsia="SimSun"/>
        </w:rPr>
        <w:tab/>
      </w:r>
      <w:proofErr w:type="gramStart"/>
      <w:r w:rsidR="007E45C3" w:rsidRPr="00446FEC">
        <w:rPr>
          <w:rFonts w:eastAsia="SimSun"/>
        </w:rPr>
        <w:t>NRA</w:t>
      </w:r>
      <w:r w:rsidR="006E6D1D" w:rsidRPr="00446FEC">
        <w:rPr>
          <w:rFonts w:eastAsia="SimSun"/>
        </w:rPr>
        <w:t>'</w:t>
      </w:r>
      <w:r w:rsidR="007E45C3" w:rsidRPr="00446FEC">
        <w:rPr>
          <w:rFonts w:eastAsia="SimSun"/>
        </w:rPr>
        <w:t>s</w:t>
      </w:r>
      <w:proofErr w:type="gramEnd"/>
      <w:r w:rsidR="007E45C3" w:rsidRPr="00446FEC">
        <w:rPr>
          <w:rFonts w:eastAsia="SimSun"/>
        </w:rPr>
        <w:t xml:space="preserve"> shall consider the cost elements in subsection (2) for voice, SMS and data</w:t>
      </w:r>
      <w:r w:rsidR="007E45C3" w:rsidRPr="00446FEC">
        <w:rPr>
          <w:rFonts w:eastAsia="SimSun"/>
          <w:spacing w:val="1"/>
        </w:rPr>
        <w:t xml:space="preserve"> </w:t>
      </w:r>
      <w:r w:rsidR="007E45C3" w:rsidRPr="00446FEC">
        <w:rPr>
          <w:rFonts w:eastAsia="SimSun"/>
        </w:rPr>
        <w:t>services and any other roaming services in line with</w:t>
      </w:r>
      <w:r w:rsidR="007E45C3" w:rsidRPr="00446FEC">
        <w:rPr>
          <w:rFonts w:eastAsia="SimSun"/>
          <w:spacing w:val="1"/>
        </w:rPr>
        <w:t xml:space="preserve"> </w:t>
      </w:r>
      <w:r w:rsidR="007E45C3" w:rsidRPr="00446FEC">
        <w:rPr>
          <w:rFonts w:eastAsia="SimSun"/>
        </w:rPr>
        <w:t>the general trend towards</w:t>
      </w:r>
      <w:r w:rsidR="007E45C3" w:rsidRPr="00446FEC">
        <w:rPr>
          <w:rFonts w:eastAsia="SimSun"/>
          <w:spacing w:val="1"/>
        </w:rPr>
        <w:t xml:space="preserve"> </w:t>
      </w:r>
      <w:r w:rsidR="007E45C3" w:rsidRPr="00446FEC">
        <w:rPr>
          <w:rFonts w:eastAsia="SimSun"/>
        </w:rPr>
        <w:t>universal</w:t>
      </w:r>
      <w:r w:rsidR="007E45C3" w:rsidRPr="00446FEC">
        <w:rPr>
          <w:rFonts w:eastAsia="SimSun"/>
          <w:spacing w:val="-1"/>
        </w:rPr>
        <w:t xml:space="preserve"> </w:t>
      </w:r>
      <w:r w:rsidR="007E45C3" w:rsidRPr="00446FEC">
        <w:rPr>
          <w:rFonts w:eastAsia="SimSun"/>
        </w:rPr>
        <w:t>use of roaming</w:t>
      </w:r>
      <w:r w:rsidR="007E45C3" w:rsidRPr="00446FEC">
        <w:rPr>
          <w:rFonts w:eastAsia="SimSun"/>
          <w:spacing w:val="-2"/>
        </w:rPr>
        <w:t xml:space="preserve"> </w:t>
      </w:r>
      <w:r w:rsidR="007E45C3" w:rsidRPr="00446FEC">
        <w:rPr>
          <w:rFonts w:eastAsia="SimSun"/>
        </w:rPr>
        <w:t>services.</w:t>
      </w:r>
    </w:p>
    <w:p w14:paraId="3CE99185" w14:textId="7479AEAD" w:rsidR="007E45C3" w:rsidRPr="00446FEC" w:rsidRDefault="00F16309" w:rsidP="00F16309">
      <w:pPr>
        <w:pStyle w:val="enumlev1"/>
        <w:rPr>
          <w:rFonts w:eastAsia="SimSun"/>
        </w:rPr>
      </w:pPr>
      <w:r w:rsidRPr="00446FEC">
        <w:rPr>
          <w:rFonts w:eastAsia="SimSun"/>
        </w:rPr>
        <w:t>5)</w:t>
      </w:r>
      <w:r w:rsidRPr="00446FEC">
        <w:rPr>
          <w:rFonts w:eastAsia="SimSun"/>
        </w:rPr>
        <w:tab/>
      </w:r>
      <w:proofErr w:type="gramStart"/>
      <w:r w:rsidR="007E45C3" w:rsidRPr="00446FEC">
        <w:rPr>
          <w:rFonts w:eastAsia="SimSun"/>
        </w:rPr>
        <w:t>NRA</w:t>
      </w:r>
      <w:r w:rsidR="006E6D1D" w:rsidRPr="00446FEC">
        <w:rPr>
          <w:rFonts w:eastAsia="SimSun"/>
        </w:rPr>
        <w:t>'</w:t>
      </w:r>
      <w:r w:rsidR="007E45C3" w:rsidRPr="00446FEC">
        <w:rPr>
          <w:rFonts w:eastAsia="SimSun"/>
        </w:rPr>
        <w:t>s</w:t>
      </w:r>
      <w:proofErr w:type="gramEnd"/>
      <w:r w:rsidR="007E45C3" w:rsidRPr="00446FEC">
        <w:rPr>
          <w:rFonts w:eastAsia="SimSun"/>
          <w:spacing w:val="-7"/>
        </w:rPr>
        <w:t xml:space="preserve"> </w:t>
      </w:r>
      <w:r w:rsidR="007E45C3" w:rsidRPr="00446FEC">
        <w:rPr>
          <w:rFonts w:eastAsia="SimSun"/>
        </w:rPr>
        <w:t>shall</w:t>
      </w:r>
      <w:r w:rsidR="007E45C3" w:rsidRPr="00446FEC">
        <w:rPr>
          <w:rFonts w:eastAsia="SimSun"/>
          <w:spacing w:val="-8"/>
        </w:rPr>
        <w:t xml:space="preserve"> </w:t>
      </w:r>
      <w:r w:rsidR="007E45C3" w:rsidRPr="00446FEC">
        <w:rPr>
          <w:rFonts w:eastAsia="SimSun"/>
        </w:rPr>
        <w:t>ensure</w:t>
      </w:r>
      <w:r w:rsidR="007E45C3" w:rsidRPr="00446FEC">
        <w:rPr>
          <w:rFonts w:eastAsia="SimSun"/>
          <w:spacing w:val="-9"/>
        </w:rPr>
        <w:t xml:space="preserve"> </w:t>
      </w:r>
      <w:r w:rsidR="007E45C3" w:rsidRPr="00446FEC">
        <w:rPr>
          <w:rFonts w:eastAsia="SimSun"/>
        </w:rPr>
        <w:t>that</w:t>
      </w:r>
      <w:r w:rsidR="007E45C3" w:rsidRPr="00446FEC">
        <w:rPr>
          <w:rFonts w:eastAsia="SimSun"/>
          <w:spacing w:val="-6"/>
        </w:rPr>
        <w:t xml:space="preserve"> </w:t>
      </w:r>
      <w:r w:rsidR="007E45C3" w:rsidRPr="00446FEC">
        <w:rPr>
          <w:rFonts w:eastAsia="SimSun"/>
        </w:rPr>
        <w:t>the</w:t>
      </w:r>
      <w:r w:rsidR="007E45C3" w:rsidRPr="00446FEC">
        <w:rPr>
          <w:rFonts w:eastAsia="SimSun"/>
          <w:spacing w:val="-8"/>
        </w:rPr>
        <w:t xml:space="preserve"> </w:t>
      </w:r>
      <w:r w:rsidR="007E45C3" w:rsidRPr="00446FEC">
        <w:rPr>
          <w:rFonts w:eastAsia="SimSun"/>
        </w:rPr>
        <w:t>analysis</w:t>
      </w:r>
      <w:r w:rsidR="007E45C3" w:rsidRPr="00446FEC">
        <w:rPr>
          <w:rFonts w:eastAsia="SimSun"/>
          <w:spacing w:val="-7"/>
        </w:rPr>
        <w:t xml:space="preserve"> </w:t>
      </w:r>
      <w:r w:rsidR="007E45C3" w:rsidRPr="00446FEC">
        <w:rPr>
          <w:rFonts w:eastAsia="SimSun"/>
        </w:rPr>
        <w:t>of</w:t>
      </w:r>
      <w:r w:rsidR="007E45C3" w:rsidRPr="00446FEC">
        <w:rPr>
          <w:rFonts w:eastAsia="SimSun"/>
          <w:spacing w:val="-4"/>
        </w:rPr>
        <w:t xml:space="preserve"> </w:t>
      </w:r>
      <w:r w:rsidR="007E45C3" w:rsidRPr="00446FEC">
        <w:rPr>
          <w:rFonts w:eastAsia="SimSun"/>
        </w:rPr>
        <w:t>cost</w:t>
      </w:r>
      <w:r w:rsidR="007E45C3" w:rsidRPr="00446FEC">
        <w:rPr>
          <w:rFonts w:eastAsia="SimSun"/>
          <w:spacing w:val="-9"/>
        </w:rPr>
        <w:t xml:space="preserve"> </w:t>
      </w:r>
      <w:r w:rsidR="007E45C3" w:rsidRPr="00446FEC">
        <w:rPr>
          <w:rFonts w:eastAsia="SimSun"/>
        </w:rPr>
        <w:t>elements</w:t>
      </w:r>
      <w:r w:rsidR="007E45C3" w:rsidRPr="00446FEC">
        <w:rPr>
          <w:rFonts w:eastAsia="SimSun"/>
          <w:spacing w:val="-6"/>
        </w:rPr>
        <w:t xml:space="preserve"> </w:t>
      </w:r>
      <w:proofErr w:type="gramStart"/>
      <w:r w:rsidR="007E45C3" w:rsidRPr="00446FEC">
        <w:rPr>
          <w:rFonts w:eastAsia="SimSun"/>
        </w:rPr>
        <w:t>takes</w:t>
      </w:r>
      <w:r w:rsidR="007E45C3" w:rsidRPr="00446FEC">
        <w:rPr>
          <w:rFonts w:eastAsia="SimSun"/>
          <w:spacing w:val="-7"/>
        </w:rPr>
        <w:t xml:space="preserve"> </w:t>
      </w:r>
      <w:r w:rsidR="007E45C3" w:rsidRPr="00446FEC">
        <w:rPr>
          <w:rFonts w:eastAsia="SimSun"/>
        </w:rPr>
        <w:t>into</w:t>
      </w:r>
      <w:r w:rsidR="007E45C3" w:rsidRPr="00446FEC">
        <w:rPr>
          <w:rFonts w:eastAsia="SimSun"/>
          <w:spacing w:val="-6"/>
        </w:rPr>
        <w:t xml:space="preserve"> </w:t>
      </w:r>
      <w:r w:rsidR="007E45C3" w:rsidRPr="00446FEC">
        <w:rPr>
          <w:rFonts w:eastAsia="SimSun"/>
        </w:rPr>
        <w:t>account</w:t>
      </w:r>
      <w:proofErr w:type="gramEnd"/>
      <w:r w:rsidR="007E45C3" w:rsidRPr="00446FEC">
        <w:rPr>
          <w:rFonts w:eastAsia="SimSun"/>
          <w:spacing w:val="-6"/>
        </w:rPr>
        <w:t xml:space="preserve"> </w:t>
      </w:r>
      <w:r w:rsidR="007E45C3" w:rsidRPr="00446FEC">
        <w:rPr>
          <w:rFonts w:eastAsia="SimSun"/>
        </w:rPr>
        <w:t>both</w:t>
      </w:r>
      <w:r w:rsidR="007E45C3" w:rsidRPr="00446FEC">
        <w:rPr>
          <w:rFonts w:eastAsia="SimSun"/>
          <w:spacing w:val="-8"/>
        </w:rPr>
        <w:t xml:space="preserve"> </w:t>
      </w:r>
      <w:r w:rsidR="007E45C3" w:rsidRPr="00446FEC">
        <w:rPr>
          <w:rFonts w:eastAsia="SimSun"/>
        </w:rPr>
        <w:t>prepaid</w:t>
      </w:r>
      <w:r w:rsidR="007E45C3" w:rsidRPr="00446FEC">
        <w:rPr>
          <w:rFonts w:eastAsia="SimSun"/>
          <w:spacing w:val="-64"/>
        </w:rPr>
        <w:t xml:space="preserve"> </w:t>
      </w:r>
      <w:r w:rsidR="007E45C3" w:rsidRPr="00446FEC">
        <w:rPr>
          <w:rFonts w:eastAsia="SimSun"/>
        </w:rPr>
        <w:t>and</w:t>
      </w:r>
      <w:r w:rsidR="007E45C3" w:rsidRPr="00446FEC">
        <w:rPr>
          <w:rFonts w:eastAsia="SimSun"/>
          <w:spacing w:val="-2"/>
        </w:rPr>
        <w:t xml:space="preserve"> </w:t>
      </w:r>
      <w:r w:rsidR="007E45C3" w:rsidRPr="00446FEC">
        <w:rPr>
          <w:rFonts w:eastAsia="SimSun"/>
        </w:rPr>
        <w:t>post-paid</w:t>
      </w:r>
      <w:r w:rsidR="007E45C3" w:rsidRPr="00446FEC">
        <w:rPr>
          <w:rFonts w:eastAsia="SimSun"/>
          <w:spacing w:val="-2"/>
        </w:rPr>
        <w:t xml:space="preserve"> </w:t>
      </w:r>
      <w:r w:rsidR="007E45C3" w:rsidRPr="00446FEC">
        <w:rPr>
          <w:rFonts w:eastAsia="SimSun"/>
        </w:rPr>
        <w:t>modes</w:t>
      </w:r>
      <w:r w:rsidR="007E45C3" w:rsidRPr="00446FEC">
        <w:rPr>
          <w:rFonts w:eastAsia="SimSun"/>
          <w:spacing w:val="-1"/>
        </w:rPr>
        <w:t xml:space="preserve"> </w:t>
      </w:r>
      <w:r w:rsidR="007E45C3" w:rsidRPr="00446FEC">
        <w:rPr>
          <w:rFonts w:eastAsia="SimSun"/>
        </w:rPr>
        <w:t>of payment.</w:t>
      </w:r>
    </w:p>
    <w:p w14:paraId="678065A5" w14:textId="07D2EC46" w:rsidR="007E45C3" w:rsidRPr="00446FEC" w:rsidRDefault="00F16309" w:rsidP="00F16309">
      <w:pPr>
        <w:pStyle w:val="enumlev1"/>
        <w:rPr>
          <w:rFonts w:eastAsia="SimSun"/>
        </w:rPr>
      </w:pPr>
      <w:r w:rsidRPr="00446FEC">
        <w:rPr>
          <w:rFonts w:eastAsia="SimSun"/>
        </w:rPr>
        <w:t>6)</w:t>
      </w:r>
      <w:r w:rsidRPr="00446FEC">
        <w:rPr>
          <w:rFonts w:eastAsia="SimSun"/>
        </w:rPr>
        <w:tab/>
      </w:r>
      <w:proofErr w:type="gramStart"/>
      <w:r w:rsidR="007E45C3" w:rsidRPr="00446FEC">
        <w:rPr>
          <w:rFonts w:eastAsia="SimSun"/>
        </w:rPr>
        <w:t>NRA</w:t>
      </w:r>
      <w:r w:rsidR="006E6D1D" w:rsidRPr="00446FEC">
        <w:rPr>
          <w:rFonts w:eastAsia="SimSun"/>
        </w:rPr>
        <w:t>'</w:t>
      </w:r>
      <w:r w:rsidR="007E45C3" w:rsidRPr="00446FEC">
        <w:rPr>
          <w:rFonts w:eastAsia="SimSun"/>
        </w:rPr>
        <w:t>s</w:t>
      </w:r>
      <w:proofErr w:type="gramEnd"/>
      <w:r w:rsidR="007E45C3" w:rsidRPr="00446FEC">
        <w:rPr>
          <w:rFonts w:eastAsia="SimSun"/>
        </w:rPr>
        <w:t xml:space="preserve"> shall consider the cost elements in subsection (3) in constructing detailed and</w:t>
      </w:r>
      <w:r w:rsidR="007E45C3" w:rsidRPr="00446FEC">
        <w:rPr>
          <w:rFonts w:eastAsia="SimSun"/>
          <w:spacing w:val="-64"/>
        </w:rPr>
        <w:t xml:space="preserve"> </w:t>
      </w:r>
      <w:r w:rsidR="007E45C3" w:rsidRPr="00446FEC">
        <w:rPr>
          <w:rFonts w:eastAsia="SimSun"/>
        </w:rPr>
        <w:t>harmonised</w:t>
      </w:r>
      <w:r w:rsidR="007E45C3" w:rsidRPr="00446FEC">
        <w:rPr>
          <w:rFonts w:eastAsia="SimSun"/>
          <w:spacing w:val="-2"/>
        </w:rPr>
        <w:t xml:space="preserve"> </w:t>
      </w:r>
      <w:r w:rsidR="007E45C3" w:rsidRPr="00446FEC">
        <w:rPr>
          <w:rFonts w:eastAsia="SimSun"/>
        </w:rPr>
        <w:t>roaming</w:t>
      </w:r>
      <w:r w:rsidR="007E45C3" w:rsidRPr="00446FEC">
        <w:rPr>
          <w:rFonts w:eastAsia="SimSun"/>
          <w:spacing w:val="-1"/>
        </w:rPr>
        <w:t xml:space="preserve"> </w:t>
      </w:r>
      <w:r w:rsidR="007E45C3" w:rsidRPr="00446FEC">
        <w:rPr>
          <w:rFonts w:eastAsia="SimSun"/>
        </w:rPr>
        <w:t>cost models on</w:t>
      </w:r>
      <w:r w:rsidR="007E45C3" w:rsidRPr="00446FEC">
        <w:rPr>
          <w:rFonts w:eastAsia="SimSun"/>
          <w:spacing w:val="-3"/>
        </w:rPr>
        <w:t xml:space="preserve"> </w:t>
      </w:r>
      <w:r w:rsidR="007E45C3" w:rsidRPr="00446FEC">
        <w:rPr>
          <w:rFonts w:eastAsia="SimSun"/>
        </w:rPr>
        <w:t>a</w:t>
      </w:r>
      <w:r w:rsidR="007E45C3" w:rsidRPr="00446FEC">
        <w:rPr>
          <w:rFonts w:eastAsia="SimSun"/>
          <w:spacing w:val="1"/>
        </w:rPr>
        <w:t xml:space="preserve"> </w:t>
      </w:r>
      <w:r w:rsidR="007E45C3" w:rsidRPr="00446FEC">
        <w:rPr>
          <w:rFonts w:eastAsia="SimSun"/>
        </w:rPr>
        <w:t>regional basis.</w:t>
      </w:r>
    </w:p>
    <w:p w14:paraId="43C84BF9" w14:textId="77777777" w:rsidR="007E45C3" w:rsidRPr="00446FEC" w:rsidRDefault="007E45C3" w:rsidP="007E45C3">
      <w:pPr>
        <w:spacing w:before="0"/>
        <w:rPr>
          <w:rFonts w:eastAsia="SimSun"/>
          <w:color w:val="000000" w:themeColor="text1"/>
        </w:rPr>
      </w:pPr>
      <w:r w:rsidRPr="00446FEC">
        <w:rPr>
          <w:rFonts w:eastAsia="SimSun"/>
          <w:color w:val="000000" w:themeColor="text1"/>
        </w:rPr>
        <w:br w:type="page"/>
      </w:r>
    </w:p>
    <w:p w14:paraId="761771E9" w14:textId="77777777" w:rsidR="007E45C3" w:rsidRPr="00446FEC" w:rsidRDefault="007E45C3" w:rsidP="003934C9">
      <w:pPr>
        <w:pStyle w:val="AppendixNoTitle0"/>
        <w:rPr>
          <w:lang w:bidi="ar-DZ"/>
        </w:rPr>
      </w:pPr>
      <w:bookmarkStart w:id="603" w:name="_Toc239193569"/>
      <w:bookmarkStart w:id="604" w:name="_Toc239232813"/>
      <w:bookmarkStart w:id="605" w:name="_Toc239240580"/>
      <w:r w:rsidRPr="00446FEC">
        <w:rPr>
          <w:lang w:bidi="ar-DZ"/>
        </w:rPr>
        <w:lastRenderedPageBreak/>
        <w:t>Bibliography</w:t>
      </w:r>
      <w:bookmarkEnd w:id="603"/>
      <w:bookmarkEnd w:id="604"/>
      <w:bookmarkEnd w:id="605"/>
    </w:p>
    <w:p w14:paraId="5AEE87AE" w14:textId="77777777" w:rsidR="003934C9" w:rsidRPr="00446FEC" w:rsidRDefault="003934C9" w:rsidP="003934C9">
      <w:pPr>
        <w:pStyle w:val="Reftext"/>
        <w:tabs>
          <w:tab w:val="clear" w:pos="1588"/>
        </w:tabs>
        <w:ind w:left="1985" w:hanging="1985"/>
        <w:rPr>
          <w:color w:val="000000" w:themeColor="text1"/>
        </w:rPr>
      </w:pPr>
    </w:p>
    <w:p w14:paraId="7C79EB68" w14:textId="5D5292C2" w:rsidR="007E45C3" w:rsidRPr="00446FEC" w:rsidRDefault="007E45C3" w:rsidP="00F8673B">
      <w:pPr>
        <w:pStyle w:val="Reftext"/>
        <w:tabs>
          <w:tab w:val="clear" w:pos="1588"/>
          <w:tab w:val="clear" w:pos="1985"/>
          <w:tab w:val="left" w:pos="2410"/>
        </w:tabs>
        <w:ind w:left="2410" w:hanging="2410"/>
      </w:pPr>
      <w:r w:rsidRPr="00446FEC">
        <w:rPr>
          <w:color w:val="000000" w:themeColor="text1"/>
        </w:rPr>
        <w:t xml:space="preserve">[b-ITU </w:t>
      </w:r>
      <w:proofErr w:type="spellStart"/>
      <w:r w:rsidRPr="00446FEC">
        <w:rPr>
          <w:color w:val="000000" w:themeColor="text1"/>
        </w:rPr>
        <w:t>DataHub</w:t>
      </w:r>
      <w:proofErr w:type="spellEnd"/>
      <w:r w:rsidRPr="00446FEC">
        <w:rPr>
          <w:color w:val="000000" w:themeColor="text1"/>
        </w:rPr>
        <w:t>]</w:t>
      </w:r>
      <w:r w:rsidRPr="00446FEC">
        <w:tab/>
        <w:t xml:space="preserve">International Telecommunication Union (ITU), </w:t>
      </w:r>
      <w:r w:rsidRPr="00446FEC">
        <w:rPr>
          <w:i/>
          <w:iCs/>
        </w:rPr>
        <w:t>Indicator Catalogue</w:t>
      </w:r>
      <w:r w:rsidRPr="00446FEC">
        <w:t xml:space="preserve">. </w:t>
      </w:r>
      <w:r w:rsidR="00A82C4D" w:rsidRPr="00446FEC">
        <w:t>&lt;</w:t>
      </w:r>
      <w:hyperlink r:id="rId53" w:history="1">
        <w:r w:rsidRPr="00446FEC">
          <w:rPr>
            <w:rStyle w:val="Hyperlink"/>
            <w:rFonts w:ascii="Arial" w:hAnsi="Arial" w:cs="Arial"/>
            <w:sz w:val="16"/>
            <w:szCs w:val="16"/>
          </w:rPr>
          <w:t>https://datahub.itu.int/indicators/</w:t>
        </w:r>
      </w:hyperlink>
      <w:r w:rsidR="00A82C4D" w:rsidRPr="00446FEC">
        <w:t>&gt;</w:t>
      </w:r>
    </w:p>
    <w:p w14:paraId="6C48E70B" w14:textId="77777777" w:rsidR="007E45C3" w:rsidRPr="00446FEC" w:rsidRDefault="007E45C3" w:rsidP="00F8673B">
      <w:pPr>
        <w:pStyle w:val="Reftext"/>
        <w:tabs>
          <w:tab w:val="clear" w:pos="1588"/>
          <w:tab w:val="clear" w:pos="1985"/>
          <w:tab w:val="left" w:pos="2410"/>
        </w:tabs>
        <w:ind w:left="2410" w:hanging="2410"/>
      </w:pPr>
      <w:r w:rsidRPr="00446FEC">
        <w:t>[b-</w:t>
      </w:r>
      <w:r w:rsidRPr="00446FEC">
        <w:rPr>
          <w:rStyle w:val="Hyperlink"/>
          <w:color w:val="000000" w:themeColor="text1"/>
          <w:u w:val="none"/>
        </w:rPr>
        <w:t>ITU-D Q4/1</w:t>
      </w:r>
      <w:r w:rsidRPr="00446FEC">
        <w:t>]</w:t>
      </w:r>
      <w:r w:rsidRPr="00446FEC">
        <w:tab/>
        <w:t xml:space="preserve">ITU-D Question 4/1 (2021), </w:t>
      </w:r>
      <w:r w:rsidRPr="00446FEC">
        <w:rPr>
          <w:i/>
          <w:iCs/>
        </w:rPr>
        <w:t>Guidelines on cost modelling: Economic policies and methods of determining the costs of services related to national telecommunication/ICT networks</w:t>
      </w:r>
      <w:r w:rsidRPr="00446FEC">
        <w:t>.</w:t>
      </w:r>
    </w:p>
    <w:p w14:paraId="43D49159" w14:textId="43D50467" w:rsidR="007E45C3" w:rsidRPr="00446FEC" w:rsidRDefault="007E45C3" w:rsidP="00F8673B">
      <w:pPr>
        <w:pStyle w:val="Reftext"/>
        <w:tabs>
          <w:tab w:val="clear" w:pos="1588"/>
          <w:tab w:val="clear" w:pos="1985"/>
          <w:tab w:val="left" w:pos="2410"/>
        </w:tabs>
        <w:ind w:left="2410" w:hanging="2410"/>
      </w:pPr>
      <w:r w:rsidRPr="00446FEC">
        <w:t>[</w:t>
      </w:r>
      <w:r w:rsidR="00F8673B" w:rsidRPr="00446FEC">
        <w:t>b-</w:t>
      </w:r>
      <w:r w:rsidRPr="00446FEC">
        <w:t>ITU-D Regulatory]</w:t>
      </w:r>
      <w:r w:rsidRPr="00446FEC">
        <w:tab/>
        <w:t xml:space="preserve">International Telecommunication Union (ITU) Telecommunication Development Bureau (2009), </w:t>
      </w:r>
      <w:r w:rsidRPr="00446FEC">
        <w:rPr>
          <w:i/>
          <w:iCs/>
        </w:rPr>
        <w:t>Regulatory accounting guide.</w:t>
      </w:r>
      <w:r w:rsidRPr="00446FEC">
        <w:t xml:space="preserve"> &lt;</w:t>
      </w:r>
      <w:hyperlink r:id="rId54" w:history="1">
        <w:r w:rsidRPr="00446FEC">
          <w:rPr>
            <w:rStyle w:val="Hyperlink"/>
            <w:rFonts w:ascii="Arial" w:hAnsi="Arial"/>
            <w:sz w:val="16"/>
          </w:rPr>
          <w:t>https://www.itu.int/ITU-D/finance/Studies/Regulatory_accounting_guide-final1.1.pdf</w:t>
        </w:r>
      </w:hyperlink>
      <w:r w:rsidRPr="00446FEC">
        <w:t>&gt;</w:t>
      </w:r>
    </w:p>
    <w:p w14:paraId="61AAC07D" w14:textId="77777777" w:rsidR="00252C57" w:rsidRPr="00446FEC" w:rsidRDefault="00252C57" w:rsidP="00252C57">
      <w:pPr>
        <w:pStyle w:val="Reftext"/>
        <w:tabs>
          <w:tab w:val="clear" w:pos="1588"/>
          <w:tab w:val="clear" w:pos="1985"/>
          <w:tab w:val="left" w:pos="2410"/>
        </w:tabs>
        <w:ind w:left="2410" w:hanging="2410"/>
      </w:pPr>
      <w:r w:rsidRPr="00446FEC">
        <w:t>[b-Regulatory]</w:t>
      </w:r>
      <w:r w:rsidRPr="00446FEC">
        <w:tab/>
        <w:t xml:space="preserve">International Telecommunication Union (ITU) (2021), </w:t>
      </w:r>
      <w:r w:rsidRPr="00446FEC">
        <w:rPr>
          <w:i/>
          <w:iCs/>
        </w:rPr>
        <w:t>Advances in Regulatory Costing and Pricing Strategies for Digital Services in Africa</w:t>
      </w:r>
      <w:r w:rsidRPr="00446FEC">
        <w:t>.</w:t>
      </w:r>
    </w:p>
    <w:p w14:paraId="4CD8E304" w14:textId="290882EB" w:rsidR="007E45C3" w:rsidRPr="00446FEC" w:rsidRDefault="007E45C3" w:rsidP="00F8673B">
      <w:pPr>
        <w:pStyle w:val="Reftext"/>
        <w:tabs>
          <w:tab w:val="clear" w:pos="1191"/>
          <w:tab w:val="clear" w:pos="1588"/>
          <w:tab w:val="clear" w:pos="1985"/>
          <w:tab w:val="left" w:pos="2410"/>
        </w:tabs>
        <w:ind w:left="2410" w:hanging="2410"/>
      </w:pPr>
      <w:r w:rsidRPr="00446FEC">
        <w:t>[b-Crowe]</w:t>
      </w:r>
      <w:r w:rsidRPr="00446FEC">
        <w:tab/>
        <w:t xml:space="preserve">Crowe, T. (2023), </w:t>
      </w:r>
      <w:r w:rsidRPr="00446FEC">
        <w:rPr>
          <w:i/>
          <w:iCs/>
        </w:rPr>
        <w:t>Advances in regulatory costing and pricing strategies practices in the Americas region: the U.S. Perspective</w:t>
      </w:r>
      <w:r w:rsidRPr="00446FEC">
        <w:t>. &lt;</w:t>
      </w:r>
      <w:r w:rsidRPr="00446FEC">
        <w:rPr>
          <w:rStyle w:val="Hyperlink"/>
          <w:rFonts w:ascii="Arial" w:hAnsi="Arial" w:cs="Arial"/>
          <w:sz w:val="16"/>
          <w:szCs w:val="16"/>
        </w:rPr>
        <w:t>https://www.itu.int/en/ITU-D/Regulatory-Market/Documents/Events2023/IPEC-23/Presentations/Session4_Tyler-Crowe_NTIA.pdf</w:t>
      </w:r>
      <w:r w:rsidRPr="00446FEC">
        <w:t>&gt;</w:t>
      </w:r>
    </w:p>
    <w:p w14:paraId="3789E892" w14:textId="2A28F10A" w:rsidR="007E45C3" w:rsidRPr="00446FEC" w:rsidRDefault="007E45C3" w:rsidP="00252C57">
      <w:pPr>
        <w:pStyle w:val="Reftext"/>
        <w:tabs>
          <w:tab w:val="clear" w:pos="1191"/>
          <w:tab w:val="clear" w:pos="1588"/>
          <w:tab w:val="clear" w:pos="1985"/>
          <w:tab w:val="left" w:pos="2410"/>
        </w:tabs>
        <w:ind w:left="2410" w:hanging="2410"/>
      </w:pPr>
      <w:r w:rsidRPr="00446FEC">
        <w:t>[</w:t>
      </w:r>
      <w:r w:rsidR="00252C57" w:rsidRPr="00446FEC">
        <w:t>b-</w:t>
      </w:r>
      <w:r w:rsidRPr="00446FEC">
        <w:t>Deloitte]</w:t>
      </w:r>
      <w:r w:rsidRPr="00446FEC">
        <w:tab/>
        <w:t xml:space="preserve">Deloitte, </w:t>
      </w:r>
      <w:r w:rsidRPr="00446FEC">
        <w:rPr>
          <w:i/>
          <w:iCs/>
        </w:rPr>
        <w:t>Costing methodology for next-generation networks</w:t>
      </w:r>
      <w:r w:rsidRPr="00446FEC">
        <w:t>.</w:t>
      </w:r>
    </w:p>
    <w:p w14:paraId="40ABF3E5" w14:textId="77777777" w:rsidR="007E45C3" w:rsidRPr="00446FEC" w:rsidRDefault="007E45C3" w:rsidP="00F8673B">
      <w:pPr>
        <w:pStyle w:val="Reftext"/>
        <w:tabs>
          <w:tab w:val="clear" w:pos="1191"/>
          <w:tab w:val="clear" w:pos="1588"/>
          <w:tab w:val="clear" w:pos="1985"/>
          <w:tab w:val="left" w:pos="2410"/>
        </w:tabs>
        <w:ind w:left="2410" w:hanging="2410"/>
        <w:rPr>
          <w:color w:val="000000" w:themeColor="text1"/>
        </w:rPr>
      </w:pPr>
      <w:r w:rsidRPr="00446FEC">
        <w:rPr>
          <w:color w:val="000000" w:themeColor="text1"/>
        </w:rPr>
        <w:t>[b-EACO]</w:t>
      </w:r>
      <w:r w:rsidRPr="00446FEC">
        <w:rPr>
          <w:color w:val="000000" w:themeColor="text1"/>
        </w:rPr>
        <w:tab/>
        <w:t xml:space="preserve">East African Communications Organisation – Communication for all in East Africa (2021), </w:t>
      </w:r>
      <w:r w:rsidRPr="00446FEC">
        <w:rPr>
          <w:i/>
          <w:iCs/>
          <w:color w:val="000000" w:themeColor="text1"/>
        </w:rPr>
        <w:t>Guidelines on telecommunications costing methodologies</w:t>
      </w:r>
      <w:r w:rsidRPr="00446FEC">
        <w:rPr>
          <w:color w:val="000000" w:themeColor="text1"/>
        </w:rPr>
        <w:t>.</w:t>
      </w:r>
    </w:p>
    <w:p w14:paraId="1FB85D47" w14:textId="4693394D" w:rsidR="007E45C3" w:rsidRPr="00446FEC" w:rsidRDefault="007E45C3" w:rsidP="00F8673B">
      <w:pPr>
        <w:pStyle w:val="Reftext"/>
        <w:tabs>
          <w:tab w:val="clear" w:pos="1191"/>
          <w:tab w:val="clear" w:pos="1588"/>
          <w:tab w:val="clear" w:pos="1985"/>
          <w:tab w:val="left" w:pos="2410"/>
        </w:tabs>
        <w:ind w:left="2410" w:hanging="2410"/>
        <w:rPr>
          <w:color w:val="000000" w:themeColor="text1"/>
        </w:rPr>
      </w:pPr>
      <w:r w:rsidRPr="00446FEC">
        <w:rPr>
          <w:color w:val="000000" w:themeColor="text1"/>
        </w:rPr>
        <w:t>[b-FTC]</w:t>
      </w:r>
      <w:r w:rsidRPr="00446FEC">
        <w:rPr>
          <w:color w:val="000000" w:themeColor="text1"/>
        </w:rPr>
        <w:tab/>
        <w:t xml:space="preserve">Fair Trading Commission (2019), </w:t>
      </w:r>
      <w:r w:rsidRPr="00446FEC">
        <w:rPr>
          <w:i/>
          <w:iCs/>
          <w:color w:val="000000" w:themeColor="text1"/>
        </w:rPr>
        <w:t>Decision Cable &amp; Wireless (Barbados) Limited Draft Reference Interconnection Offer (RIO) 2017</w:t>
      </w:r>
      <w:r w:rsidRPr="00446FEC">
        <w:rPr>
          <w:color w:val="000000" w:themeColor="text1"/>
        </w:rPr>
        <w:t>. &lt;</w:t>
      </w:r>
      <w:r w:rsidRPr="00446FEC">
        <w:rPr>
          <w:rStyle w:val="Hyperlink"/>
          <w:rFonts w:ascii="Arial" w:hAnsi="Arial" w:cs="Arial"/>
          <w:sz w:val="16"/>
          <w:szCs w:val="16"/>
        </w:rPr>
        <w:t>https://www.ftc.gov.bb/library/rio/2019-04-17_commission_decision_rio.pdf</w:t>
      </w:r>
      <w:r w:rsidRPr="00446FEC">
        <w:rPr>
          <w:color w:val="000000" w:themeColor="text1"/>
        </w:rPr>
        <w:t>&gt;</w:t>
      </w:r>
    </w:p>
    <w:p w14:paraId="539D6971" w14:textId="190A2733" w:rsidR="007E45C3" w:rsidRPr="00446FEC" w:rsidRDefault="007E45C3" w:rsidP="00F8673B">
      <w:pPr>
        <w:pStyle w:val="Reftext"/>
        <w:tabs>
          <w:tab w:val="clear" w:pos="1588"/>
          <w:tab w:val="clear" w:pos="1985"/>
          <w:tab w:val="left" w:pos="2410"/>
        </w:tabs>
        <w:ind w:left="2410" w:hanging="2410"/>
      </w:pPr>
      <w:r w:rsidRPr="00446FEC">
        <w:t>[b-Sandeep et al.]</w:t>
      </w:r>
      <w:r w:rsidRPr="00446FEC">
        <w:tab/>
        <w:t xml:space="preserve">Sandeep, A., et al., 2025, </w:t>
      </w:r>
      <w:r w:rsidRPr="00446FEC">
        <w:rPr>
          <w:i/>
          <w:iCs/>
        </w:rPr>
        <w:t>Study of Economic and Regulatory Aspects of Public Wi-Fi Programme in India</w:t>
      </w:r>
      <w:r w:rsidRPr="00446FEC">
        <w:t>. &lt;</w:t>
      </w:r>
      <w:r w:rsidRPr="00446FEC">
        <w:rPr>
          <w:rStyle w:val="Hyperlink"/>
          <w:rFonts w:ascii="Arial" w:hAnsi="Arial" w:cs="Arial"/>
          <w:sz w:val="16"/>
          <w:szCs w:val="16"/>
        </w:rPr>
        <w:t>https://papers.ssrn.com/sol3/papers.cfm?abstract_id=5110750</w:t>
      </w:r>
      <w:r w:rsidRPr="00446FEC">
        <w:t>&gt;</w:t>
      </w:r>
    </w:p>
    <w:p w14:paraId="61A50153" w14:textId="77777777" w:rsidR="007E45C3" w:rsidRPr="00446FEC" w:rsidRDefault="007E45C3" w:rsidP="007E45C3">
      <w:pPr>
        <w:pStyle w:val="Normalaftertitle"/>
      </w:pPr>
    </w:p>
    <w:p w14:paraId="1230C03F" w14:textId="77777777" w:rsidR="007E45C3" w:rsidRPr="00446FEC" w:rsidRDefault="007E45C3" w:rsidP="007E45C3">
      <w:pPr>
        <w:jc w:val="center"/>
      </w:pPr>
      <w:r w:rsidRPr="00446FEC">
        <w:t>___________</w:t>
      </w:r>
      <w:bookmarkEnd w:id="0"/>
      <w:bookmarkEnd w:id="1"/>
      <w:bookmarkEnd w:id="2"/>
      <w:bookmarkEnd w:id="3"/>
      <w:bookmarkEnd w:id="4"/>
      <w:bookmarkEnd w:id="5"/>
      <w:bookmarkEnd w:id="6"/>
      <w:bookmarkEnd w:id="7"/>
      <w:bookmarkEnd w:id="8"/>
      <w:bookmarkEnd w:id="9"/>
    </w:p>
    <w:sectPr w:rsidR="007E45C3" w:rsidRPr="00446FEC" w:rsidSect="00DF5ABA">
      <w:headerReference w:type="even" r:id="rId55"/>
      <w:headerReference w:type="default" r:id="rId56"/>
      <w:footerReference w:type="even" r:id="rId57"/>
      <w:footerReference w:type="default" r:id="rId58"/>
      <w:type w:val="oddPage"/>
      <w:pgSz w:w="11906" w:h="16838" w:code="9"/>
      <w:pgMar w:top="1134" w:right="1134" w:bottom="1134" w:left="1134" w:header="567" w:footer="56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854CC" w14:textId="77777777" w:rsidR="007047EE" w:rsidRDefault="007047EE" w:rsidP="007B7733">
      <w:pPr>
        <w:spacing w:before="0"/>
      </w:pPr>
      <w:r>
        <w:separator/>
      </w:r>
    </w:p>
  </w:endnote>
  <w:endnote w:type="continuationSeparator" w:id="0">
    <w:p w14:paraId="536AAB83" w14:textId="77777777" w:rsidR="007047EE" w:rsidRDefault="007047EE" w:rsidP="007B7733">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
    <w:altName w:val="Yu Gothic"/>
    <w:panose1 w:val="00000000000000000000"/>
    <w:charset w:val="80"/>
    <w:family w:val="auto"/>
    <w:notTrueType/>
    <w:pitch w:val="variable"/>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Avenir Next W1G Medium">
    <w:altName w:val="Calibri"/>
    <w:panose1 w:val="00000000000000000000"/>
    <w:charset w:val="00"/>
    <w:family w:val="swiss"/>
    <w:notTrueType/>
    <w:pitch w:val="variable"/>
    <w:sig w:usb0="A00002EF" w:usb1="00000003" w:usb2="00000000" w:usb3="00000000" w:csb0="0000019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venirNext LT Pro Light">
    <w:panose1 w:val="00000000000000000000"/>
    <w:charset w:val="00"/>
    <w:family w:val="swiss"/>
    <w:notTrueType/>
    <w:pitch w:val="variable"/>
    <w:sig w:usb0="A00000AF" w:usb1="50002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0ECC1" w14:textId="77777777" w:rsidR="007E45C3" w:rsidRDefault="007E45C3" w:rsidP="00CE6FBD">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D2A4A" w14:textId="098115BB" w:rsidR="007E45C3" w:rsidRPr="008F0E27" w:rsidRDefault="007E45C3" w:rsidP="008F0E27">
    <w:pPr>
      <w:pStyle w:val="Footer"/>
      <w:tabs>
        <w:tab w:val="clear" w:pos="5954"/>
        <w:tab w:val="left" w:pos="851"/>
        <w:tab w:val="right" w:pos="9072"/>
      </w:tabs>
      <w:jc w:val="left"/>
      <w:rPr>
        <w:b/>
        <w:bCs/>
      </w:rPr>
    </w:pPr>
    <w:r w:rsidRPr="00926B6C">
      <w:fldChar w:fldCharType="begin"/>
    </w:r>
    <w:r w:rsidRPr="00926B6C">
      <w:instrText xml:space="preserve"> PAGE </w:instrText>
    </w:r>
    <w:r w:rsidRPr="00926B6C">
      <w:fldChar w:fldCharType="separate"/>
    </w:r>
    <w:r>
      <w:t>ii</w:t>
    </w:r>
    <w:r w:rsidRPr="00926B6C">
      <w:fldChar w:fldCharType="end"/>
    </w:r>
    <w:r>
      <w:tab/>
    </w:r>
    <w:r>
      <w:rPr>
        <w:b/>
        <w:bCs/>
      </w:rPr>
      <w:t>FG-CD-D2 (</w:t>
    </w:r>
    <w:r w:rsidR="00F8673B">
      <w:rPr>
        <w:b/>
        <w:bCs/>
      </w:rPr>
      <w:t>2025-10</w:t>
    </w:r>
    <w:r>
      <w:rPr>
        <w:b/>
        <w:bCs/>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82CFE" w14:textId="2020FF7B" w:rsidR="00ED4D85" w:rsidRPr="008F0E27" w:rsidRDefault="00ED4D85" w:rsidP="00ED4D85">
    <w:pPr>
      <w:pStyle w:val="Footer"/>
      <w:tabs>
        <w:tab w:val="clear" w:pos="5954"/>
        <w:tab w:val="right" w:pos="8789"/>
      </w:tabs>
      <w:jc w:val="right"/>
      <w:rPr>
        <w:b/>
        <w:bCs/>
      </w:rPr>
    </w:pPr>
    <w:r w:rsidRPr="00926B6C">
      <w:rPr>
        <w:b/>
        <w:bCs/>
      </w:rPr>
      <w:tab/>
    </w:r>
    <w:r>
      <w:rPr>
        <w:b/>
        <w:bCs/>
      </w:rPr>
      <w:t>FG-CD-D2 (</w:t>
    </w:r>
    <w:r w:rsidR="00001082">
      <w:rPr>
        <w:b/>
        <w:bCs/>
      </w:rPr>
      <w:t>202</w:t>
    </w:r>
    <w:r w:rsidR="00F8673B">
      <w:rPr>
        <w:b/>
        <w:bCs/>
      </w:rPr>
      <w:t>5</w:t>
    </w:r>
    <w:r w:rsidR="00001082">
      <w:rPr>
        <w:b/>
        <w:bCs/>
      </w:rPr>
      <w:t>-</w:t>
    </w:r>
    <w:r w:rsidR="00F8673B">
      <w:rPr>
        <w:b/>
        <w:bCs/>
      </w:rPr>
      <w:t>10</w:t>
    </w:r>
    <w:r>
      <w:rPr>
        <w:b/>
        <w:bCs/>
      </w:rPr>
      <w:t>)</w:t>
    </w:r>
    <w:r w:rsidRPr="00926B6C">
      <w:rPr>
        <w:b/>
        <w:bCs/>
      </w:rPr>
      <w:tab/>
    </w:r>
    <w:r w:rsidRPr="00926B6C">
      <w:fldChar w:fldCharType="begin"/>
    </w:r>
    <w:r w:rsidRPr="00926B6C">
      <w:instrText xml:space="preserve"> PAGE </w:instrText>
    </w:r>
    <w:r w:rsidRPr="00926B6C">
      <w:fldChar w:fldCharType="separate"/>
    </w:r>
    <w:r>
      <w:t>i</w:t>
    </w:r>
    <w:r w:rsidRPr="00926B6C">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A02E7" w14:textId="05817C60" w:rsidR="00ED4D85" w:rsidRPr="008F0E27" w:rsidRDefault="00ED4D85" w:rsidP="00ED4D85">
    <w:pPr>
      <w:pStyle w:val="Footer"/>
      <w:tabs>
        <w:tab w:val="clear" w:pos="5954"/>
        <w:tab w:val="left" w:pos="851"/>
        <w:tab w:val="right" w:pos="9072"/>
      </w:tabs>
      <w:jc w:val="left"/>
      <w:rPr>
        <w:b/>
        <w:bCs/>
      </w:rPr>
    </w:pPr>
    <w:r w:rsidRPr="00926B6C">
      <w:fldChar w:fldCharType="begin"/>
    </w:r>
    <w:r w:rsidRPr="00926B6C">
      <w:instrText xml:space="preserve"> PAGE </w:instrText>
    </w:r>
    <w:r w:rsidRPr="00926B6C">
      <w:fldChar w:fldCharType="separate"/>
    </w:r>
    <w:r>
      <w:t>2</w:t>
    </w:r>
    <w:r w:rsidRPr="00926B6C">
      <w:fldChar w:fldCharType="end"/>
    </w:r>
    <w:r>
      <w:tab/>
    </w:r>
    <w:r>
      <w:rPr>
        <w:b/>
        <w:bCs/>
      </w:rPr>
      <w:t>FG-CD-D2 (</w:t>
    </w:r>
    <w:r w:rsidR="00F8673B">
      <w:rPr>
        <w:b/>
        <w:bCs/>
      </w:rPr>
      <w:t>2025-10</w:t>
    </w:r>
    <w:r>
      <w:rPr>
        <w:b/>
        <w:bCs/>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50030" w14:textId="7197470E" w:rsidR="00ED4D85" w:rsidRPr="008F0E27" w:rsidRDefault="00ED4D85" w:rsidP="00ED4D85">
    <w:pPr>
      <w:pStyle w:val="Footer"/>
      <w:tabs>
        <w:tab w:val="clear" w:pos="5954"/>
        <w:tab w:val="right" w:pos="8789"/>
      </w:tabs>
      <w:jc w:val="right"/>
      <w:rPr>
        <w:b/>
        <w:bCs/>
      </w:rPr>
    </w:pPr>
    <w:r w:rsidRPr="00926B6C">
      <w:rPr>
        <w:b/>
        <w:bCs/>
      </w:rPr>
      <w:tab/>
    </w:r>
    <w:r>
      <w:rPr>
        <w:b/>
        <w:bCs/>
      </w:rPr>
      <w:t>FG-CD-D2 (</w:t>
    </w:r>
    <w:r w:rsidR="00F8673B">
      <w:rPr>
        <w:b/>
        <w:bCs/>
      </w:rPr>
      <w:t>2025-10</w:t>
    </w:r>
    <w:r>
      <w:rPr>
        <w:b/>
        <w:bCs/>
      </w:rPr>
      <w:t>)</w:t>
    </w:r>
    <w:r w:rsidRPr="00926B6C">
      <w:rPr>
        <w:b/>
        <w:bCs/>
      </w:rPr>
      <w:tab/>
    </w:r>
    <w:r w:rsidRPr="00926B6C">
      <w:fldChar w:fldCharType="begin"/>
    </w:r>
    <w:r w:rsidRPr="00926B6C">
      <w:instrText xml:space="preserve"> PAGE </w:instrText>
    </w:r>
    <w:r w:rsidRPr="00926B6C">
      <w:fldChar w:fldCharType="separate"/>
    </w:r>
    <w:r>
      <w:t>1</w:t>
    </w:r>
    <w:r w:rsidRPr="00926B6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68D13" w14:textId="77777777" w:rsidR="007047EE" w:rsidRDefault="007047EE" w:rsidP="007B7733">
      <w:pPr>
        <w:spacing w:before="0"/>
      </w:pPr>
      <w:r>
        <w:separator/>
      </w:r>
    </w:p>
  </w:footnote>
  <w:footnote w:type="continuationSeparator" w:id="0">
    <w:p w14:paraId="08831DB0" w14:textId="77777777" w:rsidR="007047EE" w:rsidRDefault="007047EE" w:rsidP="007B7733">
      <w:pPr>
        <w:spacing w:before="0"/>
      </w:pPr>
      <w:r>
        <w:continuationSeparator/>
      </w:r>
    </w:p>
  </w:footnote>
  <w:footnote w:id="1">
    <w:p w14:paraId="459503E3" w14:textId="2B439F5C" w:rsidR="007E45C3" w:rsidRDefault="007E45C3" w:rsidP="007E45C3">
      <w:pPr>
        <w:pStyle w:val="FootnoteText"/>
      </w:pPr>
      <w:r>
        <w:rPr>
          <w:rStyle w:val="FootnoteReference"/>
          <w:rFonts w:eastAsia="SimSun"/>
        </w:rPr>
        <w:footnoteRef/>
      </w:r>
      <w:r w:rsidR="009610BC">
        <w:tab/>
      </w:r>
      <w:r>
        <w:t xml:space="preserve">ECTEL countries include </w:t>
      </w:r>
      <w:r w:rsidRPr="00680D70">
        <w:t>Grenada, St Lucia, St Vincent, St Kitts and Nevis, Dominica</w:t>
      </w:r>
      <w:r>
        <w:t>.</w:t>
      </w:r>
    </w:p>
  </w:footnote>
  <w:footnote w:id="2">
    <w:p w14:paraId="00C2FFCC" w14:textId="38CE21C2" w:rsidR="007E45C3" w:rsidRPr="008E33B1" w:rsidRDefault="007E45C3" w:rsidP="007E45C3">
      <w:pPr>
        <w:pStyle w:val="FootnoteText"/>
        <w:rPr>
          <w:lang w:val="en-US"/>
        </w:rPr>
      </w:pPr>
      <w:r>
        <w:rPr>
          <w:rStyle w:val="FootnoteReference"/>
          <w:rFonts w:eastAsia="SimSun"/>
        </w:rPr>
        <w:footnoteRef/>
      </w:r>
      <w:r w:rsidR="00BF790F">
        <w:tab/>
      </w:r>
      <w:r w:rsidRPr="008E33B1">
        <w:t>The Federal Communications Commission (FCC) acts as the federal-level regulator for telecommunications—but each state also operates a public utility commission (or PUC) to regulate utilities (like gas and electric and telecommunications). PUCs can be formed by direct elections, appointments by state governors (executive), or appointments by legislatures.</w:t>
      </w:r>
    </w:p>
  </w:footnote>
  <w:footnote w:id="3">
    <w:p w14:paraId="53DBF0E7" w14:textId="560D7D2A" w:rsidR="007E45C3" w:rsidRPr="00A21C0E" w:rsidRDefault="007E45C3" w:rsidP="007E45C3">
      <w:pPr>
        <w:pStyle w:val="FootnoteText"/>
        <w:rPr>
          <w:lang w:val="fr-FR"/>
        </w:rPr>
      </w:pPr>
      <w:r>
        <w:rPr>
          <w:rStyle w:val="FootnoteReference"/>
          <w:rFonts w:eastAsia="SimSun"/>
        </w:rPr>
        <w:footnoteRef/>
      </w:r>
      <w:r w:rsidR="00A05190">
        <w:rPr>
          <w:lang w:val="fr-FR"/>
        </w:rPr>
        <w:tab/>
      </w:r>
      <w:proofErr w:type="gramStart"/>
      <w:r w:rsidRPr="00A21C0E">
        <w:rPr>
          <w:lang w:val="fr-FR"/>
        </w:rPr>
        <w:t>Source:</w:t>
      </w:r>
      <w:proofErr w:type="gramEnd"/>
      <w:r w:rsidRPr="00A21C0E">
        <w:rPr>
          <w:lang w:val="fr-FR"/>
        </w:rPr>
        <w:t xml:space="preserve"> </w:t>
      </w:r>
      <w:hyperlink r:id="rId1" w:history="1">
        <w:r w:rsidRPr="00BA73B3">
          <w:rPr>
            <w:rStyle w:val="Hyperlink"/>
            <w:lang w:val="fr-FR"/>
          </w:rPr>
          <w:t>https://www.trai.gov.in/sites/default/files/Consultation_Paper_05_August_2016.pdf</w:t>
        </w:r>
      </w:hyperlink>
    </w:p>
  </w:footnote>
  <w:footnote w:id="4">
    <w:p w14:paraId="37B5A5D0" w14:textId="14FDDD3E" w:rsidR="007E45C3" w:rsidRPr="00A21C0E" w:rsidRDefault="007E45C3" w:rsidP="007E45C3">
      <w:pPr>
        <w:pStyle w:val="FootnoteText"/>
        <w:rPr>
          <w:lang w:val="fr-FR"/>
        </w:rPr>
      </w:pPr>
      <w:r>
        <w:rPr>
          <w:rStyle w:val="FootnoteReference"/>
          <w:rFonts w:eastAsia="SimSun"/>
        </w:rPr>
        <w:footnoteRef/>
      </w:r>
      <w:r w:rsidR="00A05190">
        <w:rPr>
          <w:lang w:val="fr-FR"/>
        </w:rPr>
        <w:tab/>
      </w:r>
      <w:r w:rsidRPr="00A21C0E">
        <w:rPr>
          <w:lang w:val="fr-FR"/>
        </w:rPr>
        <w:t xml:space="preserve">Source </w:t>
      </w:r>
      <w:hyperlink r:id="rId2" w:history="1">
        <w:r w:rsidRPr="00BA73B3">
          <w:rPr>
            <w:rStyle w:val="Hyperlink"/>
            <w:lang w:val="fr-FR"/>
          </w:rPr>
          <w:t>https://www.trai.gov.in/sites/default/files/Consultation_Pap</w:t>
        </w:r>
        <w:r w:rsidRPr="00BA73B3">
          <w:rPr>
            <w:rStyle w:val="Hyperlink"/>
            <w:lang w:val="fr-FR"/>
          </w:rPr>
          <w:t>e</w:t>
        </w:r>
        <w:r w:rsidRPr="00BA73B3">
          <w:rPr>
            <w:rStyle w:val="Hyperlink"/>
            <w:lang w:val="fr-FR"/>
          </w:rPr>
          <w:t>r_05_August_2016.pdf</w:t>
        </w:r>
      </w:hyperlink>
    </w:p>
  </w:footnote>
  <w:footnote w:id="5">
    <w:p w14:paraId="4EA6DDF9" w14:textId="2B49A4A4" w:rsidR="007E45C3" w:rsidRDefault="007E45C3" w:rsidP="007E45C3">
      <w:pPr>
        <w:pStyle w:val="FootnoteText"/>
      </w:pPr>
      <w:r>
        <w:rPr>
          <w:rStyle w:val="FootnoteReference"/>
          <w:rFonts w:eastAsia="SimSun"/>
        </w:rPr>
        <w:footnoteRef/>
      </w:r>
      <w:r w:rsidR="007E1A64">
        <w:tab/>
      </w:r>
      <w:r>
        <w:t>The application of long run incremental cost model in the Jordanian telecommunication industry and its ability to support the financial performance in these companies (descriptive and comparative study: Jordanian telecommunication industry) 2014.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E893F" w14:textId="77777777" w:rsidR="007E45C3" w:rsidRDefault="007E45C3">
    <w:pPr>
      <w:pStyle w:val="Heade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76197" w14:textId="77777777" w:rsidR="007E45C3" w:rsidRDefault="007E45C3" w:rsidP="00CE6FBD">
    <w:pPr>
      <w:pStyle w:val="Header"/>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6CF4A" w14:textId="77777777" w:rsidR="007E45C3" w:rsidRDefault="007E45C3">
    <w:pPr>
      <w:pStyle w:val="Header"/>
      <w:ind w:right="360" w:firstLine="360"/>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A5F5B" w14:textId="77777777" w:rsidR="00EC2A6D" w:rsidRDefault="00EC2A6D">
    <w:pPr>
      <w:pStyle w:val="Header"/>
      <w:ind w:right="360" w:firstLine="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8C76A" w14:textId="77777777" w:rsidR="00EC2A6D" w:rsidRDefault="00EC2A6D" w:rsidP="002F0ED7">
    <w:pPr>
      <w:pStyle w:val="Header"/>
      <w:ind w:right="36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91CE4C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0D69C2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B8611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DBEFD3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94AAFE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756AE0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E2ACF6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E44B24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B82CA5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04EBB8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7C54F1"/>
    <w:multiLevelType w:val="hybridMultilevel"/>
    <w:tmpl w:val="9AC4E95E"/>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00991E65"/>
    <w:multiLevelType w:val="hybridMultilevel"/>
    <w:tmpl w:val="7E9001D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2CD27D4"/>
    <w:multiLevelType w:val="hybridMultilevel"/>
    <w:tmpl w:val="452641FE"/>
    <w:lvl w:ilvl="0" w:tplc="1F208C98">
      <w:start w:val="1"/>
      <w:numFmt w:val="decimal"/>
      <w:pStyle w:val="References"/>
      <w:lvlText w:val="[%1]"/>
      <w:lvlJc w:val="left"/>
      <w:pPr>
        <w:tabs>
          <w:tab w:val="num" w:pos="1418"/>
        </w:tabs>
        <w:ind w:left="1418" w:hanging="141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80D092A"/>
    <w:multiLevelType w:val="multilevel"/>
    <w:tmpl w:val="F5DA4754"/>
    <w:lvl w:ilvl="0">
      <w:start w:val="1"/>
      <w:numFmt w:val="lowerLetter"/>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B905451"/>
    <w:multiLevelType w:val="hybridMultilevel"/>
    <w:tmpl w:val="B21C6FFE"/>
    <w:lvl w:ilvl="0" w:tplc="FFFFFFFF">
      <w:start w:val="1"/>
      <w:numFmt w:val="lowerLetter"/>
      <w:lvlText w:val="%1)"/>
      <w:lvlJc w:val="left"/>
      <w:pPr>
        <w:ind w:left="720" w:hanging="360"/>
      </w:pPr>
    </w:lvl>
    <w:lvl w:ilvl="1" w:tplc="4009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C1543AD"/>
    <w:multiLevelType w:val="multilevel"/>
    <w:tmpl w:val="04C2DC3A"/>
    <w:lvl w:ilvl="0">
      <w:start w:val="4"/>
      <w:numFmt w:val="decimal"/>
      <w:lvlText w:val="%1"/>
      <w:lvlJc w:val="left"/>
      <w:pPr>
        <w:ind w:left="498" w:hanging="399"/>
      </w:pPr>
      <w:rPr>
        <w:rFonts w:hint="default"/>
        <w:lang w:val="en-US" w:eastAsia="en-US" w:bidi="ar-SA"/>
      </w:rPr>
    </w:lvl>
    <w:lvl w:ilvl="1">
      <w:start w:val="1"/>
      <w:numFmt w:val="decimal"/>
      <w:lvlText w:val="%1.%2"/>
      <w:lvlJc w:val="left"/>
      <w:pPr>
        <w:ind w:left="498" w:hanging="399"/>
      </w:pPr>
      <w:rPr>
        <w:rFonts w:ascii="Cambria" w:eastAsia="Cambria" w:hAnsi="Cambria" w:cs="Cambria" w:hint="default"/>
        <w:color w:val="365F91"/>
        <w:w w:val="99"/>
        <w:sz w:val="26"/>
        <w:szCs w:val="26"/>
        <w:lang w:val="en-US" w:eastAsia="en-US" w:bidi="ar-SA"/>
      </w:rPr>
    </w:lvl>
    <w:lvl w:ilvl="2">
      <w:start w:val="1"/>
      <w:numFmt w:val="decimal"/>
      <w:lvlText w:val="%3)"/>
      <w:lvlJc w:val="left"/>
      <w:pPr>
        <w:ind w:left="551" w:hanging="360"/>
      </w:pPr>
      <w:rPr>
        <w:rFonts w:ascii="Times New Roman" w:eastAsia="Arial MT" w:hAnsi="Times New Roman" w:cs="Times New Roman" w:hint="default"/>
        <w:w w:val="99"/>
        <w:sz w:val="24"/>
        <w:szCs w:val="24"/>
        <w:lang w:val="en-US" w:eastAsia="en-US" w:bidi="ar-SA"/>
      </w:rPr>
    </w:lvl>
    <w:lvl w:ilvl="3">
      <w:start w:val="1"/>
      <w:numFmt w:val="lowerLetter"/>
      <w:lvlText w:val="%4)"/>
      <w:lvlJc w:val="left"/>
      <w:pPr>
        <w:ind w:left="1473" w:hanging="382"/>
      </w:pPr>
      <w:rPr>
        <w:rFonts w:ascii="Arial MT" w:eastAsia="Arial MT" w:hAnsi="Arial MT" w:cs="Arial MT" w:hint="default"/>
        <w:w w:val="99"/>
        <w:sz w:val="24"/>
        <w:szCs w:val="24"/>
        <w:lang w:val="en-US" w:eastAsia="en-US" w:bidi="ar-SA"/>
      </w:rPr>
    </w:lvl>
    <w:lvl w:ilvl="4">
      <w:numFmt w:val="bullet"/>
      <w:lvlText w:val="•"/>
      <w:lvlJc w:val="left"/>
      <w:pPr>
        <w:ind w:left="2677" w:hanging="382"/>
      </w:pPr>
      <w:rPr>
        <w:rFonts w:hint="default"/>
        <w:lang w:val="en-US" w:eastAsia="en-US" w:bidi="ar-SA"/>
      </w:rPr>
    </w:lvl>
    <w:lvl w:ilvl="5">
      <w:numFmt w:val="bullet"/>
      <w:lvlText w:val="•"/>
      <w:lvlJc w:val="left"/>
      <w:pPr>
        <w:ind w:left="3874" w:hanging="382"/>
      </w:pPr>
      <w:rPr>
        <w:rFonts w:hint="default"/>
        <w:lang w:val="en-US" w:eastAsia="en-US" w:bidi="ar-SA"/>
      </w:rPr>
    </w:lvl>
    <w:lvl w:ilvl="6">
      <w:numFmt w:val="bullet"/>
      <w:lvlText w:val="•"/>
      <w:lvlJc w:val="left"/>
      <w:pPr>
        <w:ind w:left="5071" w:hanging="382"/>
      </w:pPr>
      <w:rPr>
        <w:rFonts w:hint="default"/>
        <w:lang w:val="en-US" w:eastAsia="en-US" w:bidi="ar-SA"/>
      </w:rPr>
    </w:lvl>
    <w:lvl w:ilvl="7">
      <w:numFmt w:val="bullet"/>
      <w:lvlText w:val="•"/>
      <w:lvlJc w:val="left"/>
      <w:pPr>
        <w:ind w:left="6268" w:hanging="382"/>
      </w:pPr>
      <w:rPr>
        <w:rFonts w:hint="default"/>
        <w:lang w:val="en-US" w:eastAsia="en-US" w:bidi="ar-SA"/>
      </w:rPr>
    </w:lvl>
    <w:lvl w:ilvl="8">
      <w:numFmt w:val="bullet"/>
      <w:lvlText w:val="•"/>
      <w:lvlJc w:val="left"/>
      <w:pPr>
        <w:ind w:left="7465" w:hanging="382"/>
      </w:pPr>
      <w:rPr>
        <w:rFonts w:hint="default"/>
        <w:lang w:val="en-US" w:eastAsia="en-US" w:bidi="ar-SA"/>
      </w:rPr>
    </w:lvl>
  </w:abstractNum>
  <w:abstractNum w:abstractNumId="16" w15:restartNumberingAfterBreak="0">
    <w:nsid w:val="0D34243B"/>
    <w:multiLevelType w:val="hybridMultilevel"/>
    <w:tmpl w:val="29249E76"/>
    <w:lvl w:ilvl="0" w:tplc="C3DC75A2">
      <w:start w:val="1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0DFF0FBC"/>
    <w:multiLevelType w:val="hybridMultilevel"/>
    <w:tmpl w:val="36F84C7A"/>
    <w:lvl w:ilvl="0" w:tplc="3C202488">
      <w:start w:val="1"/>
      <w:numFmt w:val="decimal"/>
      <w:lvlText w:val="%1"/>
      <w:lvlJc w:val="left"/>
      <w:pPr>
        <w:ind w:left="360" w:hanging="360"/>
      </w:pPr>
      <w:rPr>
        <w:rFonts w:hint="default"/>
        <w:b w:val="0"/>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0E6B4788"/>
    <w:multiLevelType w:val="hybridMultilevel"/>
    <w:tmpl w:val="65CE2F1E"/>
    <w:lvl w:ilvl="0" w:tplc="848ECC7C">
      <w:start w:val="9"/>
      <w:numFmt w:val="decimal"/>
      <w:lvlText w:val="%1."/>
      <w:lvlJc w:val="left"/>
      <w:pPr>
        <w:ind w:left="720" w:hanging="360"/>
      </w:pPr>
      <w:rPr>
        <w:rFonts w:hint="default"/>
        <w:color w:val="000000" w:themeColor="text1"/>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116B6549"/>
    <w:multiLevelType w:val="hybridMultilevel"/>
    <w:tmpl w:val="100267BA"/>
    <w:lvl w:ilvl="0" w:tplc="0809000F">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2736A62"/>
    <w:multiLevelType w:val="multilevel"/>
    <w:tmpl w:val="E5B28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890072D"/>
    <w:multiLevelType w:val="multilevel"/>
    <w:tmpl w:val="EAF42F6E"/>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9CD024D"/>
    <w:multiLevelType w:val="multilevel"/>
    <w:tmpl w:val="CEF2B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A295613"/>
    <w:multiLevelType w:val="hybridMultilevel"/>
    <w:tmpl w:val="9092B3D0"/>
    <w:lvl w:ilvl="0" w:tplc="A954872A">
      <w:start w:val="1"/>
      <w:numFmt w:val="lowerLetter"/>
      <w:lvlText w:val="%1)"/>
      <w:lvlJc w:val="left"/>
      <w:pPr>
        <w:ind w:left="1080" w:hanging="360"/>
      </w:pPr>
      <w:rPr>
        <w:rFonts w:hint="default"/>
        <w:b/>
        <w:bCs/>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4" w15:restartNumberingAfterBreak="0">
    <w:nsid w:val="1CE708F5"/>
    <w:multiLevelType w:val="multilevel"/>
    <w:tmpl w:val="120A46A8"/>
    <w:lvl w:ilvl="0">
      <w:start w:val="3"/>
      <w:numFmt w:val="decimal"/>
      <w:lvlText w:val="%1"/>
      <w:lvlJc w:val="left"/>
      <w:pPr>
        <w:ind w:left="360" w:hanging="360"/>
      </w:pPr>
      <w:rPr>
        <w:rFonts w:hint="default"/>
      </w:rPr>
    </w:lvl>
    <w:lvl w:ilvl="1">
      <w:start w:val="2"/>
      <w:numFmt w:val="decimal"/>
      <w:isLgl/>
      <w:lvlText w:val="%1.%2"/>
      <w:lvlJc w:val="left"/>
      <w:pPr>
        <w:ind w:left="540" w:hanging="54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25" w15:restartNumberingAfterBreak="0">
    <w:nsid w:val="1DF91DBD"/>
    <w:multiLevelType w:val="multilevel"/>
    <w:tmpl w:val="45006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02441B6"/>
    <w:multiLevelType w:val="hybridMultilevel"/>
    <w:tmpl w:val="B436004E"/>
    <w:lvl w:ilvl="0" w:tplc="C90EC0FA">
      <w:start w:val="8"/>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25A60B36"/>
    <w:multiLevelType w:val="hybridMultilevel"/>
    <w:tmpl w:val="1F6839EA"/>
    <w:lvl w:ilvl="0" w:tplc="7980A432">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2F2B4F90"/>
    <w:multiLevelType w:val="hybridMultilevel"/>
    <w:tmpl w:val="29B0B1B6"/>
    <w:lvl w:ilvl="0" w:tplc="FFFFFFFF">
      <w:start w:val="1"/>
      <w:numFmt w:val="lowerLetter"/>
      <w:lvlText w:val="%1)"/>
      <w:lvlJc w:val="left"/>
      <w:pPr>
        <w:ind w:left="720" w:hanging="360"/>
      </w:pPr>
    </w:lvl>
    <w:lvl w:ilvl="1" w:tplc="4009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4D2236B"/>
    <w:multiLevelType w:val="multilevel"/>
    <w:tmpl w:val="1B98F5C4"/>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8B0746D"/>
    <w:multiLevelType w:val="hybridMultilevel"/>
    <w:tmpl w:val="8CCAA2A4"/>
    <w:lvl w:ilvl="0" w:tplc="201E7A7C">
      <w:start w:val="1"/>
      <w:numFmt w:val="decimal"/>
      <w:lvlText w:val="%1)"/>
      <w:lvlJc w:val="left"/>
      <w:pPr>
        <w:ind w:left="520" w:hanging="360"/>
      </w:pPr>
      <w:rPr>
        <w:rFonts w:ascii="Arial MT" w:eastAsia="Arial MT" w:hAnsi="Arial MT" w:cs="Arial MT" w:hint="default"/>
        <w:w w:val="99"/>
        <w:sz w:val="24"/>
        <w:szCs w:val="24"/>
        <w:lang w:val="en-US" w:eastAsia="en-US" w:bidi="ar-SA"/>
      </w:rPr>
    </w:lvl>
    <w:lvl w:ilvl="1" w:tplc="42D43D34">
      <w:start w:val="1"/>
      <w:numFmt w:val="lowerLetter"/>
      <w:lvlText w:val="%2)"/>
      <w:lvlJc w:val="left"/>
      <w:pPr>
        <w:ind w:left="743" w:hanging="360"/>
      </w:pPr>
      <w:rPr>
        <w:rFonts w:ascii="Arial MT" w:eastAsia="Arial MT" w:hAnsi="Arial MT" w:cs="Arial MT" w:hint="default"/>
        <w:w w:val="99"/>
        <w:sz w:val="24"/>
        <w:szCs w:val="24"/>
        <w:lang w:val="en-US" w:eastAsia="en-US" w:bidi="ar-SA"/>
      </w:rPr>
    </w:lvl>
    <w:lvl w:ilvl="2" w:tplc="5B26437C">
      <w:numFmt w:val="bullet"/>
      <w:lvlText w:val="•"/>
      <w:lvlJc w:val="left"/>
      <w:pPr>
        <w:ind w:left="820" w:hanging="360"/>
      </w:pPr>
      <w:rPr>
        <w:rFonts w:hint="default"/>
        <w:lang w:val="en-US" w:eastAsia="en-US" w:bidi="ar-SA"/>
      </w:rPr>
    </w:lvl>
    <w:lvl w:ilvl="3" w:tplc="5FB89A52">
      <w:numFmt w:val="bullet"/>
      <w:lvlText w:val="•"/>
      <w:lvlJc w:val="left"/>
      <w:pPr>
        <w:ind w:left="1950" w:hanging="360"/>
      </w:pPr>
      <w:rPr>
        <w:rFonts w:hint="default"/>
        <w:lang w:val="en-US" w:eastAsia="en-US" w:bidi="ar-SA"/>
      </w:rPr>
    </w:lvl>
    <w:lvl w:ilvl="4" w:tplc="B75CF66A">
      <w:numFmt w:val="bullet"/>
      <w:lvlText w:val="•"/>
      <w:lvlJc w:val="left"/>
      <w:pPr>
        <w:ind w:left="3080" w:hanging="360"/>
      </w:pPr>
      <w:rPr>
        <w:rFonts w:hint="default"/>
        <w:lang w:val="en-US" w:eastAsia="en-US" w:bidi="ar-SA"/>
      </w:rPr>
    </w:lvl>
    <w:lvl w:ilvl="5" w:tplc="F5380938">
      <w:numFmt w:val="bullet"/>
      <w:lvlText w:val="•"/>
      <w:lvlJc w:val="left"/>
      <w:pPr>
        <w:ind w:left="4210" w:hanging="360"/>
      </w:pPr>
      <w:rPr>
        <w:rFonts w:hint="default"/>
        <w:lang w:val="en-US" w:eastAsia="en-US" w:bidi="ar-SA"/>
      </w:rPr>
    </w:lvl>
    <w:lvl w:ilvl="6" w:tplc="1BF8458E">
      <w:numFmt w:val="bullet"/>
      <w:lvlText w:val="•"/>
      <w:lvlJc w:val="left"/>
      <w:pPr>
        <w:ind w:left="5340" w:hanging="360"/>
      </w:pPr>
      <w:rPr>
        <w:rFonts w:hint="default"/>
        <w:lang w:val="en-US" w:eastAsia="en-US" w:bidi="ar-SA"/>
      </w:rPr>
    </w:lvl>
    <w:lvl w:ilvl="7" w:tplc="A78C45D4">
      <w:numFmt w:val="bullet"/>
      <w:lvlText w:val="•"/>
      <w:lvlJc w:val="left"/>
      <w:pPr>
        <w:ind w:left="6470" w:hanging="360"/>
      </w:pPr>
      <w:rPr>
        <w:rFonts w:hint="default"/>
        <w:lang w:val="en-US" w:eastAsia="en-US" w:bidi="ar-SA"/>
      </w:rPr>
    </w:lvl>
    <w:lvl w:ilvl="8" w:tplc="280E1BFC">
      <w:numFmt w:val="bullet"/>
      <w:lvlText w:val="•"/>
      <w:lvlJc w:val="left"/>
      <w:pPr>
        <w:ind w:left="7600" w:hanging="360"/>
      </w:pPr>
      <w:rPr>
        <w:rFonts w:hint="default"/>
        <w:lang w:val="en-US" w:eastAsia="en-US" w:bidi="ar-SA"/>
      </w:rPr>
    </w:lvl>
  </w:abstractNum>
  <w:abstractNum w:abstractNumId="31" w15:restartNumberingAfterBreak="0">
    <w:nsid w:val="3C9264E2"/>
    <w:multiLevelType w:val="hybridMultilevel"/>
    <w:tmpl w:val="44B2B524"/>
    <w:lvl w:ilvl="0" w:tplc="04090017">
      <w:start w:val="1"/>
      <w:numFmt w:val="lowerLetter"/>
      <w:lvlText w:val="%1)"/>
      <w:lvlJc w:val="left"/>
      <w:pPr>
        <w:ind w:left="720" w:hanging="360"/>
      </w:pPr>
    </w:lvl>
    <w:lvl w:ilvl="1" w:tplc="A79ED150">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92272E2"/>
    <w:multiLevelType w:val="hybridMultilevel"/>
    <w:tmpl w:val="35D6DC7A"/>
    <w:lvl w:ilvl="0" w:tplc="40090017">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40C1C96"/>
    <w:multiLevelType w:val="hybridMultilevel"/>
    <w:tmpl w:val="CFE06A2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15:restartNumberingAfterBreak="0">
    <w:nsid w:val="55352671"/>
    <w:multiLevelType w:val="multilevel"/>
    <w:tmpl w:val="E5C20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77D1FEC"/>
    <w:multiLevelType w:val="hybridMultilevel"/>
    <w:tmpl w:val="0606795C"/>
    <w:lvl w:ilvl="0" w:tplc="40090017">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A79151E"/>
    <w:multiLevelType w:val="hybridMultilevel"/>
    <w:tmpl w:val="9DF8B7E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15:restartNumberingAfterBreak="0">
    <w:nsid w:val="5B9408F3"/>
    <w:multiLevelType w:val="hybridMultilevel"/>
    <w:tmpl w:val="23B2AEEA"/>
    <w:lvl w:ilvl="0" w:tplc="BB009E04">
      <w:start w:val="1"/>
      <w:numFmt w:val="decimal"/>
      <w:lvlText w:val="(%1)"/>
      <w:lvlJc w:val="left"/>
      <w:pPr>
        <w:ind w:left="830" w:hanging="370"/>
      </w:pPr>
      <w:rPr>
        <w:rFonts w:ascii="Arial MT" w:eastAsia="Arial MT" w:hAnsi="Arial MT" w:cs="Arial MT" w:hint="default"/>
        <w:w w:val="99"/>
        <w:sz w:val="24"/>
        <w:szCs w:val="24"/>
        <w:lang w:val="en-US" w:eastAsia="en-US" w:bidi="ar-SA"/>
      </w:rPr>
    </w:lvl>
    <w:lvl w:ilvl="1" w:tplc="99E21C62">
      <w:numFmt w:val="bullet"/>
      <w:lvlText w:val="•"/>
      <w:lvlJc w:val="left"/>
      <w:pPr>
        <w:ind w:left="1742" w:hanging="370"/>
      </w:pPr>
      <w:rPr>
        <w:rFonts w:hint="default"/>
        <w:lang w:val="en-US" w:eastAsia="en-US" w:bidi="ar-SA"/>
      </w:rPr>
    </w:lvl>
    <w:lvl w:ilvl="2" w:tplc="27F2E92C">
      <w:numFmt w:val="bullet"/>
      <w:lvlText w:val="•"/>
      <w:lvlJc w:val="left"/>
      <w:pPr>
        <w:ind w:left="2644" w:hanging="370"/>
      </w:pPr>
      <w:rPr>
        <w:rFonts w:hint="default"/>
        <w:lang w:val="en-US" w:eastAsia="en-US" w:bidi="ar-SA"/>
      </w:rPr>
    </w:lvl>
    <w:lvl w:ilvl="3" w:tplc="E0165188">
      <w:numFmt w:val="bullet"/>
      <w:lvlText w:val="•"/>
      <w:lvlJc w:val="left"/>
      <w:pPr>
        <w:ind w:left="3546" w:hanging="370"/>
      </w:pPr>
      <w:rPr>
        <w:rFonts w:hint="default"/>
        <w:lang w:val="en-US" w:eastAsia="en-US" w:bidi="ar-SA"/>
      </w:rPr>
    </w:lvl>
    <w:lvl w:ilvl="4" w:tplc="52BA19B2">
      <w:numFmt w:val="bullet"/>
      <w:lvlText w:val="•"/>
      <w:lvlJc w:val="left"/>
      <w:pPr>
        <w:ind w:left="4448" w:hanging="370"/>
      </w:pPr>
      <w:rPr>
        <w:rFonts w:hint="default"/>
        <w:lang w:val="en-US" w:eastAsia="en-US" w:bidi="ar-SA"/>
      </w:rPr>
    </w:lvl>
    <w:lvl w:ilvl="5" w:tplc="290E409A">
      <w:numFmt w:val="bullet"/>
      <w:lvlText w:val="•"/>
      <w:lvlJc w:val="left"/>
      <w:pPr>
        <w:ind w:left="5350" w:hanging="370"/>
      </w:pPr>
      <w:rPr>
        <w:rFonts w:hint="default"/>
        <w:lang w:val="en-US" w:eastAsia="en-US" w:bidi="ar-SA"/>
      </w:rPr>
    </w:lvl>
    <w:lvl w:ilvl="6" w:tplc="C5D04234">
      <w:numFmt w:val="bullet"/>
      <w:lvlText w:val="•"/>
      <w:lvlJc w:val="left"/>
      <w:pPr>
        <w:ind w:left="6252" w:hanging="370"/>
      </w:pPr>
      <w:rPr>
        <w:rFonts w:hint="default"/>
        <w:lang w:val="en-US" w:eastAsia="en-US" w:bidi="ar-SA"/>
      </w:rPr>
    </w:lvl>
    <w:lvl w:ilvl="7" w:tplc="1E3C46E8">
      <w:numFmt w:val="bullet"/>
      <w:lvlText w:val="•"/>
      <w:lvlJc w:val="left"/>
      <w:pPr>
        <w:ind w:left="7154" w:hanging="370"/>
      </w:pPr>
      <w:rPr>
        <w:rFonts w:hint="default"/>
        <w:lang w:val="en-US" w:eastAsia="en-US" w:bidi="ar-SA"/>
      </w:rPr>
    </w:lvl>
    <w:lvl w:ilvl="8" w:tplc="AC4ED592">
      <w:numFmt w:val="bullet"/>
      <w:lvlText w:val="•"/>
      <w:lvlJc w:val="left"/>
      <w:pPr>
        <w:ind w:left="8056" w:hanging="370"/>
      </w:pPr>
      <w:rPr>
        <w:rFonts w:hint="default"/>
        <w:lang w:val="en-US" w:eastAsia="en-US" w:bidi="ar-SA"/>
      </w:rPr>
    </w:lvl>
  </w:abstractNum>
  <w:abstractNum w:abstractNumId="38" w15:restartNumberingAfterBreak="0">
    <w:nsid w:val="5F7F4AD5"/>
    <w:multiLevelType w:val="hybridMultilevel"/>
    <w:tmpl w:val="B20050F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67FA39E5"/>
    <w:multiLevelType w:val="multilevel"/>
    <w:tmpl w:val="B0206F24"/>
    <w:lvl w:ilvl="0">
      <w:start w:val="5"/>
      <w:numFmt w:val="decimal"/>
      <w:lvlText w:val="%1"/>
      <w:lvlJc w:val="left"/>
      <w:pPr>
        <w:ind w:left="498" w:hanging="399"/>
      </w:pPr>
      <w:rPr>
        <w:rFonts w:hint="default"/>
        <w:lang w:val="en-US" w:eastAsia="en-US" w:bidi="ar-SA"/>
      </w:rPr>
    </w:lvl>
    <w:lvl w:ilvl="1">
      <w:start w:val="1"/>
      <w:numFmt w:val="decimal"/>
      <w:lvlText w:val="%1.%2"/>
      <w:lvlJc w:val="left"/>
      <w:pPr>
        <w:ind w:left="498" w:hanging="399"/>
      </w:pPr>
      <w:rPr>
        <w:rFonts w:ascii="Times New Roman" w:eastAsia="Cambria" w:hAnsi="Times New Roman" w:cs="Times New Roman" w:hint="default"/>
        <w:color w:val="365F91"/>
        <w:w w:val="99"/>
        <w:sz w:val="24"/>
        <w:szCs w:val="24"/>
        <w:lang w:val="en-US" w:eastAsia="en-US" w:bidi="ar-SA"/>
      </w:rPr>
    </w:lvl>
    <w:lvl w:ilvl="2">
      <w:start w:val="1"/>
      <w:numFmt w:val="decimal"/>
      <w:lvlText w:val="%3)"/>
      <w:lvlJc w:val="left"/>
      <w:pPr>
        <w:ind w:left="1430" w:hanging="370"/>
      </w:pPr>
      <w:rPr>
        <w:rFonts w:hint="default"/>
        <w:w w:val="99"/>
        <w:lang w:val="en-US" w:eastAsia="en-US" w:bidi="ar-SA"/>
      </w:rPr>
    </w:lvl>
    <w:lvl w:ilvl="3">
      <w:start w:val="1"/>
      <w:numFmt w:val="lowerLetter"/>
      <w:lvlText w:val="%4)"/>
      <w:lvlJc w:val="left"/>
      <w:pPr>
        <w:ind w:left="1780" w:hanging="360"/>
      </w:pPr>
      <w:rPr>
        <w:rFonts w:ascii="Times New Roman" w:eastAsia="Arial MT" w:hAnsi="Times New Roman" w:cs="Times New Roman" w:hint="default"/>
        <w:w w:val="99"/>
        <w:sz w:val="24"/>
        <w:szCs w:val="24"/>
        <w:lang w:val="en-US" w:eastAsia="en-US" w:bidi="ar-SA"/>
      </w:rPr>
    </w:lvl>
    <w:lvl w:ilvl="4">
      <w:numFmt w:val="bullet"/>
      <w:lvlText w:val="•"/>
      <w:lvlJc w:val="left"/>
      <w:pPr>
        <w:ind w:left="2934" w:hanging="360"/>
      </w:pPr>
      <w:rPr>
        <w:rFonts w:hint="default"/>
        <w:lang w:val="en-US" w:eastAsia="en-US" w:bidi="ar-SA"/>
      </w:rPr>
    </w:lvl>
    <w:lvl w:ilvl="5">
      <w:numFmt w:val="bullet"/>
      <w:lvlText w:val="•"/>
      <w:lvlJc w:val="left"/>
      <w:pPr>
        <w:ind w:left="4088" w:hanging="360"/>
      </w:pPr>
      <w:rPr>
        <w:rFonts w:hint="default"/>
        <w:lang w:val="en-US" w:eastAsia="en-US" w:bidi="ar-SA"/>
      </w:rPr>
    </w:lvl>
    <w:lvl w:ilvl="6">
      <w:numFmt w:val="bullet"/>
      <w:lvlText w:val="•"/>
      <w:lvlJc w:val="left"/>
      <w:pPr>
        <w:ind w:left="5242" w:hanging="360"/>
      </w:pPr>
      <w:rPr>
        <w:rFonts w:hint="default"/>
        <w:lang w:val="en-US" w:eastAsia="en-US" w:bidi="ar-SA"/>
      </w:rPr>
    </w:lvl>
    <w:lvl w:ilvl="7">
      <w:numFmt w:val="bullet"/>
      <w:lvlText w:val="•"/>
      <w:lvlJc w:val="left"/>
      <w:pPr>
        <w:ind w:left="6397" w:hanging="360"/>
      </w:pPr>
      <w:rPr>
        <w:rFonts w:hint="default"/>
        <w:lang w:val="en-US" w:eastAsia="en-US" w:bidi="ar-SA"/>
      </w:rPr>
    </w:lvl>
    <w:lvl w:ilvl="8">
      <w:numFmt w:val="bullet"/>
      <w:lvlText w:val="•"/>
      <w:lvlJc w:val="left"/>
      <w:pPr>
        <w:ind w:left="7551" w:hanging="360"/>
      </w:pPr>
      <w:rPr>
        <w:rFonts w:hint="default"/>
        <w:lang w:val="en-US" w:eastAsia="en-US" w:bidi="ar-SA"/>
      </w:rPr>
    </w:lvl>
  </w:abstractNum>
  <w:abstractNum w:abstractNumId="40" w15:restartNumberingAfterBreak="0">
    <w:nsid w:val="6A0F0EFF"/>
    <w:multiLevelType w:val="hybridMultilevel"/>
    <w:tmpl w:val="CC50D910"/>
    <w:lvl w:ilvl="0" w:tplc="97AE681A">
      <w:start w:val="1"/>
      <w:numFmt w:val="decimal"/>
      <w:lvlText w:val="%1)"/>
      <w:lvlJc w:val="left"/>
      <w:pPr>
        <w:ind w:left="460" w:hanging="360"/>
      </w:pPr>
      <w:rPr>
        <w:rFonts w:ascii="Times New Roman" w:eastAsia="Arial MT" w:hAnsi="Times New Roman" w:cs="Times New Roman" w:hint="default"/>
        <w:w w:val="99"/>
        <w:sz w:val="24"/>
        <w:szCs w:val="24"/>
        <w:lang w:val="en-US" w:eastAsia="en-US" w:bidi="ar-SA"/>
      </w:rPr>
    </w:lvl>
    <w:lvl w:ilvl="1" w:tplc="E96EB91E">
      <w:start w:val="1"/>
      <w:numFmt w:val="lowerLetter"/>
      <w:lvlText w:val="%2)"/>
      <w:lvlJc w:val="left"/>
      <w:pPr>
        <w:ind w:left="820" w:hanging="360"/>
      </w:pPr>
      <w:rPr>
        <w:rFonts w:ascii="Times New Roman" w:eastAsia="Arial MT" w:hAnsi="Times New Roman" w:cs="Times New Roman" w:hint="default"/>
        <w:w w:val="99"/>
        <w:sz w:val="24"/>
        <w:szCs w:val="24"/>
        <w:lang w:val="en-US" w:eastAsia="en-US" w:bidi="ar-SA"/>
      </w:rPr>
    </w:lvl>
    <w:lvl w:ilvl="2" w:tplc="5D6463C0">
      <w:numFmt w:val="bullet"/>
      <w:lvlText w:val="•"/>
      <w:lvlJc w:val="left"/>
      <w:pPr>
        <w:ind w:left="1824" w:hanging="360"/>
      </w:pPr>
      <w:rPr>
        <w:rFonts w:hint="default"/>
        <w:lang w:val="en-US" w:eastAsia="en-US" w:bidi="ar-SA"/>
      </w:rPr>
    </w:lvl>
    <w:lvl w:ilvl="3" w:tplc="405A1B60">
      <w:numFmt w:val="bullet"/>
      <w:lvlText w:val="•"/>
      <w:lvlJc w:val="left"/>
      <w:pPr>
        <w:ind w:left="2828" w:hanging="360"/>
      </w:pPr>
      <w:rPr>
        <w:rFonts w:hint="default"/>
        <w:lang w:val="en-US" w:eastAsia="en-US" w:bidi="ar-SA"/>
      </w:rPr>
    </w:lvl>
    <w:lvl w:ilvl="4" w:tplc="A7609012">
      <w:numFmt w:val="bullet"/>
      <w:lvlText w:val="•"/>
      <w:lvlJc w:val="left"/>
      <w:pPr>
        <w:ind w:left="3833" w:hanging="360"/>
      </w:pPr>
      <w:rPr>
        <w:rFonts w:hint="default"/>
        <w:lang w:val="en-US" w:eastAsia="en-US" w:bidi="ar-SA"/>
      </w:rPr>
    </w:lvl>
    <w:lvl w:ilvl="5" w:tplc="94A02BC8">
      <w:numFmt w:val="bullet"/>
      <w:lvlText w:val="•"/>
      <w:lvlJc w:val="left"/>
      <w:pPr>
        <w:ind w:left="4837" w:hanging="360"/>
      </w:pPr>
      <w:rPr>
        <w:rFonts w:hint="default"/>
        <w:lang w:val="en-US" w:eastAsia="en-US" w:bidi="ar-SA"/>
      </w:rPr>
    </w:lvl>
    <w:lvl w:ilvl="6" w:tplc="1A08FF02">
      <w:numFmt w:val="bullet"/>
      <w:lvlText w:val="•"/>
      <w:lvlJc w:val="left"/>
      <w:pPr>
        <w:ind w:left="5842" w:hanging="360"/>
      </w:pPr>
      <w:rPr>
        <w:rFonts w:hint="default"/>
        <w:lang w:val="en-US" w:eastAsia="en-US" w:bidi="ar-SA"/>
      </w:rPr>
    </w:lvl>
    <w:lvl w:ilvl="7" w:tplc="7EDE9502">
      <w:numFmt w:val="bullet"/>
      <w:lvlText w:val="•"/>
      <w:lvlJc w:val="left"/>
      <w:pPr>
        <w:ind w:left="6846" w:hanging="360"/>
      </w:pPr>
      <w:rPr>
        <w:rFonts w:hint="default"/>
        <w:lang w:val="en-US" w:eastAsia="en-US" w:bidi="ar-SA"/>
      </w:rPr>
    </w:lvl>
    <w:lvl w:ilvl="8" w:tplc="1AAA4E5C">
      <w:numFmt w:val="bullet"/>
      <w:lvlText w:val="•"/>
      <w:lvlJc w:val="left"/>
      <w:pPr>
        <w:ind w:left="7851" w:hanging="360"/>
      </w:pPr>
      <w:rPr>
        <w:rFonts w:hint="default"/>
        <w:lang w:val="en-US" w:eastAsia="en-US" w:bidi="ar-SA"/>
      </w:rPr>
    </w:lvl>
  </w:abstractNum>
  <w:abstractNum w:abstractNumId="41" w15:restartNumberingAfterBreak="0">
    <w:nsid w:val="6EE34791"/>
    <w:multiLevelType w:val="multilevel"/>
    <w:tmpl w:val="74926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F013ABE"/>
    <w:multiLevelType w:val="multilevel"/>
    <w:tmpl w:val="2E909B8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7E170189"/>
    <w:multiLevelType w:val="hybridMultilevel"/>
    <w:tmpl w:val="101432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EE0399D"/>
    <w:multiLevelType w:val="hybridMultilevel"/>
    <w:tmpl w:val="9CA84324"/>
    <w:lvl w:ilvl="0" w:tplc="1A50AF74">
      <w:start w:val="1"/>
      <w:numFmt w:val="decimal"/>
      <w:lvlText w:val="%1."/>
      <w:lvlJc w:val="left"/>
      <w:pPr>
        <w:ind w:left="820" w:hanging="360"/>
      </w:pPr>
      <w:rPr>
        <w:rFonts w:ascii="Times New Roman" w:eastAsia="Arial" w:hAnsi="Times New Roman" w:cs="Times New Roman" w:hint="default"/>
        <w:b/>
        <w:bCs/>
        <w:i w:val="0"/>
        <w:iCs w:val="0"/>
        <w:color w:val="4F81BC"/>
        <w:w w:val="99"/>
        <w:sz w:val="24"/>
        <w:szCs w:val="24"/>
        <w:lang w:val="en-US" w:eastAsia="en-US" w:bidi="ar-SA"/>
      </w:rPr>
    </w:lvl>
    <w:lvl w:ilvl="1" w:tplc="4314CBDA">
      <w:start w:val="1"/>
      <w:numFmt w:val="lowerLetter"/>
      <w:lvlText w:val="%2)"/>
      <w:lvlJc w:val="left"/>
      <w:pPr>
        <w:ind w:left="1180" w:hanging="360"/>
      </w:pPr>
      <w:rPr>
        <w:rFonts w:ascii="Arial MT" w:eastAsia="Arial MT" w:hAnsi="Arial MT" w:cs="Arial MT" w:hint="default"/>
        <w:w w:val="99"/>
        <w:sz w:val="24"/>
        <w:szCs w:val="24"/>
        <w:lang w:val="en-US" w:eastAsia="en-US" w:bidi="ar-SA"/>
      </w:rPr>
    </w:lvl>
    <w:lvl w:ilvl="2" w:tplc="E1609FB0">
      <w:numFmt w:val="bullet"/>
      <w:lvlText w:val="•"/>
      <w:lvlJc w:val="left"/>
      <w:pPr>
        <w:ind w:left="2144" w:hanging="360"/>
      </w:pPr>
      <w:rPr>
        <w:rFonts w:hint="default"/>
        <w:lang w:val="en-US" w:eastAsia="en-US" w:bidi="ar-SA"/>
      </w:rPr>
    </w:lvl>
    <w:lvl w:ilvl="3" w:tplc="BBE4CC7A">
      <w:numFmt w:val="bullet"/>
      <w:lvlText w:val="•"/>
      <w:lvlJc w:val="left"/>
      <w:pPr>
        <w:ind w:left="3108" w:hanging="360"/>
      </w:pPr>
      <w:rPr>
        <w:rFonts w:hint="default"/>
        <w:lang w:val="en-US" w:eastAsia="en-US" w:bidi="ar-SA"/>
      </w:rPr>
    </w:lvl>
    <w:lvl w:ilvl="4" w:tplc="FD8EE85C">
      <w:numFmt w:val="bullet"/>
      <w:lvlText w:val="•"/>
      <w:lvlJc w:val="left"/>
      <w:pPr>
        <w:ind w:left="4073" w:hanging="360"/>
      </w:pPr>
      <w:rPr>
        <w:rFonts w:hint="default"/>
        <w:lang w:val="en-US" w:eastAsia="en-US" w:bidi="ar-SA"/>
      </w:rPr>
    </w:lvl>
    <w:lvl w:ilvl="5" w:tplc="D0EED652">
      <w:numFmt w:val="bullet"/>
      <w:lvlText w:val="•"/>
      <w:lvlJc w:val="left"/>
      <w:pPr>
        <w:ind w:left="5037" w:hanging="360"/>
      </w:pPr>
      <w:rPr>
        <w:rFonts w:hint="default"/>
        <w:lang w:val="en-US" w:eastAsia="en-US" w:bidi="ar-SA"/>
      </w:rPr>
    </w:lvl>
    <w:lvl w:ilvl="6" w:tplc="B25E61EE">
      <w:numFmt w:val="bullet"/>
      <w:lvlText w:val="•"/>
      <w:lvlJc w:val="left"/>
      <w:pPr>
        <w:ind w:left="6002" w:hanging="360"/>
      </w:pPr>
      <w:rPr>
        <w:rFonts w:hint="default"/>
        <w:lang w:val="en-US" w:eastAsia="en-US" w:bidi="ar-SA"/>
      </w:rPr>
    </w:lvl>
    <w:lvl w:ilvl="7" w:tplc="403C959A">
      <w:numFmt w:val="bullet"/>
      <w:lvlText w:val="•"/>
      <w:lvlJc w:val="left"/>
      <w:pPr>
        <w:ind w:left="6966" w:hanging="360"/>
      </w:pPr>
      <w:rPr>
        <w:rFonts w:hint="default"/>
        <w:lang w:val="en-US" w:eastAsia="en-US" w:bidi="ar-SA"/>
      </w:rPr>
    </w:lvl>
    <w:lvl w:ilvl="8" w:tplc="DF1029B4">
      <w:numFmt w:val="bullet"/>
      <w:lvlText w:val="•"/>
      <w:lvlJc w:val="left"/>
      <w:pPr>
        <w:ind w:left="7931" w:hanging="360"/>
      </w:pPr>
      <w:rPr>
        <w:rFonts w:hint="default"/>
        <w:lang w:val="en-US" w:eastAsia="en-US" w:bidi="ar-SA"/>
      </w:rPr>
    </w:lvl>
  </w:abstractNum>
  <w:num w:numId="1" w16cid:durableId="1579515709">
    <w:abstractNumId w:val="42"/>
  </w:num>
  <w:num w:numId="2" w16cid:durableId="1229725968">
    <w:abstractNumId w:val="12"/>
  </w:num>
  <w:num w:numId="3" w16cid:durableId="510145714">
    <w:abstractNumId w:val="9"/>
  </w:num>
  <w:num w:numId="4" w16cid:durableId="1568102562">
    <w:abstractNumId w:val="7"/>
  </w:num>
  <w:num w:numId="5" w16cid:durableId="1740055195">
    <w:abstractNumId w:val="6"/>
  </w:num>
  <w:num w:numId="6" w16cid:durableId="521092671">
    <w:abstractNumId w:val="5"/>
  </w:num>
  <w:num w:numId="7" w16cid:durableId="1296447924">
    <w:abstractNumId w:val="4"/>
  </w:num>
  <w:num w:numId="8" w16cid:durableId="477918875">
    <w:abstractNumId w:val="8"/>
  </w:num>
  <w:num w:numId="9" w16cid:durableId="971792279">
    <w:abstractNumId w:val="3"/>
  </w:num>
  <w:num w:numId="10" w16cid:durableId="1518543750">
    <w:abstractNumId w:val="2"/>
  </w:num>
  <w:num w:numId="11" w16cid:durableId="1807047585">
    <w:abstractNumId w:val="1"/>
  </w:num>
  <w:num w:numId="12" w16cid:durableId="1376850516">
    <w:abstractNumId w:val="0"/>
  </w:num>
  <w:num w:numId="13" w16cid:durableId="362563064">
    <w:abstractNumId w:val="27"/>
  </w:num>
  <w:num w:numId="14" w16cid:durableId="181209120">
    <w:abstractNumId w:val="11"/>
  </w:num>
  <w:num w:numId="15" w16cid:durableId="1235241684">
    <w:abstractNumId w:val="26"/>
  </w:num>
  <w:num w:numId="16" w16cid:durableId="1460029979">
    <w:abstractNumId w:val="31"/>
  </w:num>
  <w:num w:numId="17" w16cid:durableId="160387633">
    <w:abstractNumId w:val="29"/>
  </w:num>
  <w:num w:numId="18" w16cid:durableId="2123529342">
    <w:abstractNumId w:val="43"/>
  </w:num>
  <w:num w:numId="19" w16cid:durableId="448091410">
    <w:abstractNumId w:val="40"/>
  </w:num>
  <w:num w:numId="20" w16cid:durableId="1397897088">
    <w:abstractNumId w:val="39"/>
  </w:num>
  <w:num w:numId="21" w16cid:durableId="2038919157">
    <w:abstractNumId w:val="30"/>
  </w:num>
  <w:num w:numId="22" w16cid:durableId="2093962144">
    <w:abstractNumId w:val="15"/>
  </w:num>
  <w:num w:numId="23" w16cid:durableId="1553038096">
    <w:abstractNumId w:val="37"/>
  </w:num>
  <w:num w:numId="24" w16cid:durableId="1019744095">
    <w:abstractNumId w:val="44"/>
  </w:num>
  <w:num w:numId="25" w16cid:durableId="1038163920">
    <w:abstractNumId w:val="17"/>
  </w:num>
  <w:num w:numId="26" w16cid:durableId="921138992">
    <w:abstractNumId w:val="24"/>
  </w:num>
  <w:num w:numId="27" w16cid:durableId="1027170784">
    <w:abstractNumId w:val="20"/>
  </w:num>
  <w:num w:numId="28" w16cid:durableId="933977520">
    <w:abstractNumId w:val="35"/>
  </w:num>
  <w:num w:numId="29" w16cid:durableId="78521906">
    <w:abstractNumId w:val="32"/>
  </w:num>
  <w:num w:numId="30" w16cid:durableId="1045835061">
    <w:abstractNumId w:val="10"/>
  </w:num>
  <w:num w:numId="31" w16cid:durableId="1501310050">
    <w:abstractNumId w:val="28"/>
  </w:num>
  <w:num w:numId="32" w16cid:durableId="919798379">
    <w:abstractNumId w:val="14"/>
  </w:num>
  <w:num w:numId="33" w16cid:durableId="387917112">
    <w:abstractNumId w:val="18"/>
  </w:num>
  <w:num w:numId="34" w16cid:durableId="490223016">
    <w:abstractNumId w:val="16"/>
  </w:num>
  <w:num w:numId="35" w16cid:durableId="1721244882">
    <w:abstractNumId w:val="13"/>
  </w:num>
  <w:num w:numId="36" w16cid:durableId="415784446">
    <w:abstractNumId w:val="34"/>
  </w:num>
  <w:num w:numId="37" w16cid:durableId="1582523220">
    <w:abstractNumId w:val="36"/>
  </w:num>
  <w:num w:numId="38" w16cid:durableId="543064020">
    <w:abstractNumId w:val="23"/>
  </w:num>
  <w:num w:numId="39" w16cid:durableId="1372413892">
    <w:abstractNumId w:val="38"/>
  </w:num>
  <w:num w:numId="40" w16cid:durableId="402022863">
    <w:abstractNumId w:val="33"/>
  </w:num>
  <w:num w:numId="41" w16cid:durableId="1904679889">
    <w:abstractNumId w:val="41"/>
  </w:num>
  <w:num w:numId="42" w16cid:durableId="1080785876">
    <w:abstractNumId w:val="25"/>
  </w:num>
  <w:num w:numId="43" w16cid:durableId="798690279">
    <w:abstractNumId w:val="22"/>
  </w:num>
  <w:num w:numId="44" w16cid:durableId="1973705095">
    <w:abstractNumId w:val="42"/>
  </w:num>
  <w:num w:numId="45" w16cid:durableId="495417608">
    <w:abstractNumId w:val="19"/>
  </w:num>
  <w:num w:numId="46" w16cid:durableId="69544095">
    <w:abstractNumId w:val="21"/>
  </w:num>
  <w:num w:numId="47" w16cid:durableId="704522345">
    <w:abstractNumId w:val="42"/>
  </w:num>
  <w:num w:numId="48" w16cid:durableId="852689248">
    <w:abstractNumId w:val="42"/>
  </w:num>
  <w:num w:numId="49" w16cid:durableId="2102682354">
    <w:abstractNumId w:val="42"/>
  </w:num>
  <w:num w:numId="50" w16cid:durableId="2109423256">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zS2NDCyMLQ0t7QwMDRQ0lEKTi0uzszPAykwrgUArYIQ8iwAAAA="/>
  </w:docVars>
  <w:rsids>
    <w:rsidRoot w:val="00E03557"/>
    <w:rsid w:val="000002CE"/>
    <w:rsid w:val="00000339"/>
    <w:rsid w:val="00000FA8"/>
    <w:rsid w:val="00001082"/>
    <w:rsid w:val="000013AD"/>
    <w:rsid w:val="0000158E"/>
    <w:rsid w:val="0001104D"/>
    <w:rsid w:val="00012EB5"/>
    <w:rsid w:val="00013B19"/>
    <w:rsid w:val="00016713"/>
    <w:rsid w:val="00017655"/>
    <w:rsid w:val="00017FE7"/>
    <w:rsid w:val="000218B6"/>
    <w:rsid w:val="00021D51"/>
    <w:rsid w:val="000223D2"/>
    <w:rsid w:val="00022B29"/>
    <w:rsid w:val="00025502"/>
    <w:rsid w:val="00027A32"/>
    <w:rsid w:val="000304A6"/>
    <w:rsid w:val="00030DBC"/>
    <w:rsid w:val="0003117B"/>
    <w:rsid w:val="0003202F"/>
    <w:rsid w:val="0003257A"/>
    <w:rsid w:val="00034675"/>
    <w:rsid w:val="00041B41"/>
    <w:rsid w:val="0004493F"/>
    <w:rsid w:val="000471A3"/>
    <w:rsid w:val="0005055C"/>
    <w:rsid w:val="00050A24"/>
    <w:rsid w:val="00053EE5"/>
    <w:rsid w:val="00055464"/>
    <w:rsid w:val="00057ECE"/>
    <w:rsid w:val="00060D25"/>
    <w:rsid w:val="0006208C"/>
    <w:rsid w:val="00062AD7"/>
    <w:rsid w:val="0006330F"/>
    <w:rsid w:val="00063556"/>
    <w:rsid w:val="00065AE9"/>
    <w:rsid w:val="000661D3"/>
    <w:rsid w:val="00066F8F"/>
    <w:rsid w:val="00067019"/>
    <w:rsid w:val="000705C8"/>
    <w:rsid w:val="0007085C"/>
    <w:rsid w:val="00070939"/>
    <w:rsid w:val="0007212D"/>
    <w:rsid w:val="000769E6"/>
    <w:rsid w:val="00076A19"/>
    <w:rsid w:val="00077E88"/>
    <w:rsid w:val="0008099A"/>
    <w:rsid w:val="00081BE4"/>
    <w:rsid w:val="00082495"/>
    <w:rsid w:val="000842F4"/>
    <w:rsid w:val="00085268"/>
    <w:rsid w:val="000856B0"/>
    <w:rsid w:val="00092930"/>
    <w:rsid w:val="00095EF2"/>
    <w:rsid w:val="00096D82"/>
    <w:rsid w:val="00097D70"/>
    <w:rsid w:val="000A1971"/>
    <w:rsid w:val="000A2534"/>
    <w:rsid w:val="000A31CB"/>
    <w:rsid w:val="000A55A9"/>
    <w:rsid w:val="000A70B5"/>
    <w:rsid w:val="000B286A"/>
    <w:rsid w:val="000B594B"/>
    <w:rsid w:val="000B5E21"/>
    <w:rsid w:val="000B6A15"/>
    <w:rsid w:val="000B748C"/>
    <w:rsid w:val="000C1868"/>
    <w:rsid w:val="000C28B7"/>
    <w:rsid w:val="000C5FD9"/>
    <w:rsid w:val="000C64E1"/>
    <w:rsid w:val="000D05CD"/>
    <w:rsid w:val="000D06E9"/>
    <w:rsid w:val="000D61B5"/>
    <w:rsid w:val="000D6A7A"/>
    <w:rsid w:val="000D7A19"/>
    <w:rsid w:val="000E03E7"/>
    <w:rsid w:val="000E4E08"/>
    <w:rsid w:val="000E4E82"/>
    <w:rsid w:val="000E5D97"/>
    <w:rsid w:val="000E6414"/>
    <w:rsid w:val="000F1A3B"/>
    <w:rsid w:val="000F2C79"/>
    <w:rsid w:val="000F2E95"/>
    <w:rsid w:val="000F4F6D"/>
    <w:rsid w:val="000F5273"/>
    <w:rsid w:val="000F5467"/>
    <w:rsid w:val="000F67F1"/>
    <w:rsid w:val="000F703D"/>
    <w:rsid w:val="00103F3E"/>
    <w:rsid w:val="001048B7"/>
    <w:rsid w:val="00104ABB"/>
    <w:rsid w:val="00106AAB"/>
    <w:rsid w:val="00110480"/>
    <w:rsid w:val="00110E31"/>
    <w:rsid w:val="001113C7"/>
    <w:rsid w:val="00112783"/>
    <w:rsid w:val="00114606"/>
    <w:rsid w:val="00115004"/>
    <w:rsid w:val="0011559E"/>
    <w:rsid w:val="00117AD6"/>
    <w:rsid w:val="0012002D"/>
    <w:rsid w:val="00122669"/>
    <w:rsid w:val="00123A2B"/>
    <w:rsid w:val="001266E6"/>
    <w:rsid w:val="0012704F"/>
    <w:rsid w:val="001270CF"/>
    <w:rsid w:val="0012773A"/>
    <w:rsid w:val="001278E2"/>
    <w:rsid w:val="001300F7"/>
    <w:rsid w:val="001301CE"/>
    <w:rsid w:val="00131282"/>
    <w:rsid w:val="00131D86"/>
    <w:rsid w:val="00134BB5"/>
    <w:rsid w:val="00137E61"/>
    <w:rsid w:val="001454B6"/>
    <w:rsid w:val="00146FED"/>
    <w:rsid w:val="00147EE6"/>
    <w:rsid w:val="001504A2"/>
    <w:rsid w:val="001506F1"/>
    <w:rsid w:val="001515F6"/>
    <w:rsid w:val="001528E6"/>
    <w:rsid w:val="00152F6D"/>
    <w:rsid w:val="00155DD6"/>
    <w:rsid w:val="00157413"/>
    <w:rsid w:val="00157F54"/>
    <w:rsid w:val="001605F4"/>
    <w:rsid w:val="00161BAB"/>
    <w:rsid w:val="00162C64"/>
    <w:rsid w:val="0016529A"/>
    <w:rsid w:val="001664ED"/>
    <w:rsid w:val="00166E75"/>
    <w:rsid w:val="00167647"/>
    <w:rsid w:val="00167CED"/>
    <w:rsid w:val="00172670"/>
    <w:rsid w:val="00174F2C"/>
    <w:rsid w:val="00175CF6"/>
    <w:rsid w:val="00176C2F"/>
    <w:rsid w:val="001821BC"/>
    <w:rsid w:val="0018321B"/>
    <w:rsid w:val="00184A3C"/>
    <w:rsid w:val="001862D2"/>
    <w:rsid w:val="001871E3"/>
    <w:rsid w:val="001872B3"/>
    <w:rsid w:val="001942EC"/>
    <w:rsid w:val="001945B8"/>
    <w:rsid w:val="00196438"/>
    <w:rsid w:val="001A03CC"/>
    <w:rsid w:val="001A1E05"/>
    <w:rsid w:val="001A216D"/>
    <w:rsid w:val="001A39CB"/>
    <w:rsid w:val="001A6E14"/>
    <w:rsid w:val="001A70E2"/>
    <w:rsid w:val="001A7554"/>
    <w:rsid w:val="001A79B0"/>
    <w:rsid w:val="001B401A"/>
    <w:rsid w:val="001B4799"/>
    <w:rsid w:val="001B4A85"/>
    <w:rsid w:val="001B6D84"/>
    <w:rsid w:val="001C01DD"/>
    <w:rsid w:val="001C06CA"/>
    <w:rsid w:val="001C303F"/>
    <w:rsid w:val="001C4099"/>
    <w:rsid w:val="001C72B4"/>
    <w:rsid w:val="001D240C"/>
    <w:rsid w:val="001D27C6"/>
    <w:rsid w:val="001D3C1B"/>
    <w:rsid w:val="001D505A"/>
    <w:rsid w:val="001D5206"/>
    <w:rsid w:val="001D6401"/>
    <w:rsid w:val="001E031A"/>
    <w:rsid w:val="001E2CE2"/>
    <w:rsid w:val="001E3A97"/>
    <w:rsid w:val="001E408F"/>
    <w:rsid w:val="001E58AB"/>
    <w:rsid w:val="001E5965"/>
    <w:rsid w:val="001E5E42"/>
    <w:rsid w:val="001E6B7E"/>
    <w:rsid w:val="001E6C93"/>
    <w:rsid w:val="001E7321"/>
    <w:rsid w:val="001E7D6A"/>
    <w:rsid w:val="001F0D74"/>
    <w:rsid w:val="001F18FD"/>
    <w:rsid w:val="001F2464"/>
    <w:rsid w:val="001F5DA4"/>
    <w:rsid w:val="00200C1E"/>
    <w:rsid w:val="00200E4F"/>
    <w:rsid w:val="00201267"/>
    <w:rsid w:val="002027A2"/>
    <w:rsid w:val="00202AA7"/>
    <w:rsid w:val="00213C1C"/>
    <w:rsid w:val="00213D46"/>
    <w:rsid w:val="00214FEA"/>
    <w:rsid w:val="002157FB"/>
    <w:rsid w:val="00216499"/>
    <w:rsid w:val="002172E5"/>
    <w:rsid w:val="002213C8"/>
    <w:rsid w:val="0022194A"/>
    <w:rsid w:val="00222121"/>
    <w:rsid w:val="00222122"/>
    <w:rsid w:val="00223009"/>
    <w:rsid w:val="00225D6A"/>
    <w:rsid w:val="00226A0F"/>
    <w:rsid w:val="00230922"/>
    <w:rsid w:val="002313E5"/>
    <w:rsid w:val="0023262D"/>
    <w:rsid w:val="00232693"/>
    <w:rsid w:val="00233DC0"/>
    <w:rsid w:val="002341B0"/>
    <w:rsid w:val="00242B8D"/>
    <w:rsid w:val="002508CE"/>
    <w:rsid w:val="0025112D"/>
    <w:rsid w:val="00251399"/>
    <w:rsid w:val="00252C57"/>
    <w:rsid w:val="00255B20"/>
    <w:rsid w:val="00257576"/>
    <w:rsid w:val="00257A66"/>
    <w:rsid w:val="00260003"/>
    <w:rsid w:val="00262AC6"/>
    <w:rsid w:val="00263A01"/>
    <w:rsid w:val="0026559A"/>
    <w:rsid w:val="00265E0D"/>
    <w:rsid w:val="00265FC7"/>
    <w:rsid w:val="0026647E"/>
    <w:rsid w:val="002706A2"/>
    <w:rsid w:val="002708F3"/>
    <w:rsid w:val="00271D94"/>
    <w:rsid w:val="002722A9"/>
    <w:rsid w:val="00272930"/>
    <w:rsid w:val="00272DCD"/>
    <w:rsid w:val="0027462B"/>
    <w:rsid w:val="00277746"/>
    <w:rsid w:val="00281AC7"/>
    <w:rsid w:val="00282681"/>
    <w:rsid w:val="0028445D"/>
    <w:rsid w:val="00284F1F"/>
    <w:rsid w:val="00284F4B"/>
    <w:rsid w:val="0028651A"/>
    <w:rsid w:val="00287355"/>
    <w:rsid w:val="00287B09"/>
    <w:rsid w:val="002930FC"/>
    <w:rsid w:val="00294FE7"/>
    <w:rsid w:val="00295282"/>
    <w:rsid w:val="00296649"/>
    <w:rsid w:val="00296E0C"/>
    <w:rsid w:val="002A1F70"/>
    <w:rsid w:val="002A6E11"/>
    <w:rsid w:val="002B20C7"/>
    <w:rsid w:val="002B27EF"/>
    <w:rsid w:val="002B4844"/>
    <w:rsid w:val="002B49FE"/>
    <w:rsid w:val="002B4C67"/>
    <w:rsid w:val="002C6712"/>
    <w:rsid w:val="002C69A4"/>
    <w:rsid w:val="002C6A7F"/>
    <w:rsid w:val="002D0969"/>
    <w:rsid w:val="002D0AB8"/>
    <w:rsid w:val="002D372B"/>
    <w:rsid w:val="002D3E1C"/>
    <w:rsid w:val="002D6307"/>
    <w:rsid w:val="002D66C8"/>
    <w:rsid w:val="002E2EC1"/>
    <w:rsid w:val="002E40ED"/>
    <w:rsid w:val="002E525A"/>
    <w:rsid w:val="002E6279"/>
    <w:rsid w:val="002E6665"/>
    <w:rsid w:val="002E67C0"/>
    <w:rsid w:val="002E6C1F"/>
    <w:rsid w:val="002E712F"/>
    <w:rsid w:val="002E7224"/>
    <w:rsid w:val="002F00D4"/>
    <w:rsid w:val="002F0B65"/>
    <w:rsid w:val="002F0B8A"/>
    <w:rsid w:val="002F11B6"/>
    <w:rsid w:val="002F21DA"/>
    <w:rsid w:val="002F316F"/>
    <w:rsid w:val="002F3A6A"/>
    <w:rsid w:val="002F5706"/>
    <w:rsid w:val="002F5BC6"/>
    <w:rsid w:val="002F6AD3"/>
    <w:rsid w:val="003017E3"/>
    <w:rsid w:val="00301A34"/>
    <w:rsid w:val="00301C80"/>
    <w:rsid w:val="003031E7"/>
    <w:rsid w:val="00303828"/>
    <w:rsid w:val="00306040"/>
    <w:rsid w:val="003102A3"/>
    <w:rsid w:val="00310F96"/>
    <w:rsid w:val="00314E84"/>
    <w:rsid w:val="00315755"/>
    <w:rsid w:val="00322289"/>
    <w:rsid w:val="00327081"/>
    <w:rsid w:val="003331EE"/>
    <w:rsid w:val="00335A28"/>
    <w:rsid w:val="00337560"/>
    <w:rsid w:val="0034184E"/>
    <w:rsid w:val="00342460"/>
    <w:rsid w:val="003429F2"/>
    <w:rsid w:val="00343245"/>
    <w:rsid w:val="00343BA0"/>
    <w:rsid w:val="003442BA"/>
    <w:rsid w:val="00346116"/>
    <w:rsid w:val="0034630B"/>
    <w:rsid w:val="00346A41"/>
    <w:rsid w:val="00346AF9"/>
    <w:rsid w:val="00346B76"/>
    <w:rsid w:val="00347D06"/>
    <w:rsid w:val="00347EC8"/>
    <w:rsid w:val="00347FFC"/>
    <w:rsid w:val="00350363"/>
    <w:rsid w:val="00350AC2"/>
    <w:rsid w:val="00352738"/>
    <w:rsid w:val="00354D20"/>
    <w:rsid w:val="003558A1"/>
    <w:rsid w:val="00357B31"/>
    <w:rsid w:val="0036170A"/>
    <w:rsid w:val="003666B3"/>
    <w:rsid w:val="003676EB"/>
    <w:rsid w:val="0037050B"/>
    <w:rsid w:val="00370AB3"/>
    <w:rsid w:val="00370CF4"/>
    <w:rsid w:val="00371347"/>
    <w:rsid w:val="0037341A"/>
    <w:rsid w:val="00376609"/>
    <w:rsid w:val="00377B48"/>
    <w:rsid w:val="00377C74"/>
    <w:rsid w:val="00380D67"/>
    <w:rsid w:val="00382BD4"/>
    <w:rsid w:val="0038320B"/>
    <w:rsid w:val="00383C8F"/>
    <w:rsid w:val="00386275"/>
    <w:rsid w:val="00386455"/>
    <w:rsid w:val="00386C3A"/>
    <w:rsid w:val="00387228"/>
    <w:rsid w:val="003934C9"/>
    <w:rsid w:val="003977C5"/>
    <w:rsid w:val="00397D81"/>
    <w:rsid w:val="003A11D1"/>
    <w:rsid w:val="003A121C"/>
    <w:rsid w:val="003A229D"/>
    <w:rsid w:val="003A3D49"/>
    <w:rsid w:val="003A6745"/>
    <w:rsid w:val="003A6981"/>
    <w:rsid w:val="003A76F6"/>
    <w:rsid w:val="003B0E29"/>
    <w:rsid w:val="003B197C"/>
    <w:rsid w:val="003B1D28"/>
    <w:rsid w:val="003B2A40"/>
    <w:rsid w:val="003B53B3"/>
    <w:rsid w:val="003B5630"/>
    <w:rsid w:val="003C5717"/>
    <w:rsid w:val="003C642A"/>
    <w:rsid w:val="003C7CDF"/>
    <w:rsid w:val="003D0967"/>
    <w:rsid w:val="003D10E0"/>
    <w:rsid w:val="003D2C2B"/>
    <w:rsid w:val="003D39C8"/>
    <w:rsid w:val="003D3C3E"/>
    <w:rsid w:val="003D58F8"/>
    <w:rsid w:val="003D7964"/>
    <w:rsid w:val="003E152B"/>
    <w:rsid w:val="003E21BA"/>
    <w:rsid w:val="003E2C0A"/>
    <w:rsid w:val="003E440C"/>
    <w:rsid w:val="003E468D"/>
    <w:rsid w:val="003E7F69"/>
    <w:rsid w:val="003F5E9C"/>
    <w:rsid w:val="003F6921"/>
    <w:rsid w:val="003F7CBB"/>
    <w:rsid w:val="00402013"/>
    <w:rsid w:val="00402B6C"/>
    <w:rsid w:val="004032AC"/>
    <w:rsid w:val="004032BE"/>
    <w:rsid w:val="00403322"/>
    <w:rsid w:val="00403FEF"/>
    <w:rsid w:val="00404076"/>
    <w:rsid w:val="00410D5A"/>
    <w:rsid w:val="00411475"/>
    <w:rsid w:val="00411C59"/>
    <w:rsid w:val="00412A4D"/>
    <w:rsid w:val="00412A89"/>
    <w:rsid w:val="00413D0A"/>
    <w:rsid w:val="004143C4"/>
    <w:rsid w:val="00422C23"/>
    <w:rsid w:val="0042468A"/>
    <w:rsid w:val="00425055"/>
    <w:rsid w:val="00426375"/>
    <w:rsid w:val="0043111B"/>
    <w:rsid w:val="00432526"/>
    <w:rsid w:val="004331E9"/>
    <w:rsid w:val="00433B1A"/>
    <w:rsid w:val="00433B9D"/>
    <w:rsid w:val="00434345"/>
    <w:rsid w:val="00435BA6"/>
    <w:rsid w:val="00436465"/>
    <w:rsid w:val="004368E3"/>
    <w:rsid w:val="004401F6"/>
    <w:rsid w:val="00442C11"/>
    <w:rsid w:val="00444079"/>
    <w:rsid w:val="00444228"/>
    <w:rsid w:val="00444784"/>
    <w:rsid w:val="004450AE"/>
    <w:rsid w:val="004454D3"/>
    <w:rsid w:val="00445743"/>
    <w:rsid w:val="00445FF8"/>
    <w:rsid w:val="00446162"/>
    <w:rsid w:val="00446B1C"/>
    <w:rsid w:val="00446E8C"/>
    <w:rsid w:val="00446FEC"/>
    <w:rsid w:val="00451C83"/>
    <w:rsid w:val="00452887"/>
    <w:rsid w:val="0045405F"/>
    <w:rsid w:val="00454C7C"/>
    <w:rsid w:val="00455102"/>
    <w:rsid w:val="00455739"/>
    <w:rsid w:val="0045742F"/>
    <w:rsid w:val="00460665"/>
    <w:rsid w:val="004607FB"/>
    <w:rsid w:val="004609E3"/>
    <w:rsid w:val="00460ED4"/>
    <w:rsid w:val="00461306"/>
    <w:rsid w:val="0046182A"/>
    <w:rsid w:val="00462B6A"/>
    <w:rsid w:val="00464CC7"/>
    <w:rsid w:val="00465317"/>
    <w:rsid w:val="00465632"/>
    <w:rsid w:val="00466454"/>
    <w:rsid w:val="004669B1"/>
    <w:rsid w:val="00466AC2"/>
    <w:rsid w:val="00466E34"/>
    <w:rsid w:val="004700BD"/>
    <w:rsid w:val="004717A9"/>
    <w:rsid w:val="00473548"/>
    <w:rsid w:val="004753D9"/>
    <w:rsid w:val="00477426"/>
    <w:rsid w:val="00480088"/>
    <w:rsid w:val="004806F0"/>
    <w:rsid w:val="00480BF5"/>
    <w:rsid w:val="00481801"/>
    <w:rsid w:val="00481970"/>
    <w:rsid w:val="00481B8F"/>
    <w:rsid w:val="00482B83"/>
    <w:rsid w:val="00483B57"/>
    <w:rsid w:val="00486B76"/>
    <w:rsid w:val="004947A2"/>
    <w:rsid w:val="004A019C"/>
    <w:rsid w:val="004A3232"/>
    <w:rsid w:val="004A383A"/>
    <w:rsid w:val="004A460E"/>
    <w:rsid w:val="004A61FA"/>
    <w:rsid w:val="004A66F3"/>
    <w:rsid w:val="004A7C67"/>
    <w:rsid w:val="004A7E65"/>
    <w:rsid w:val="004B1BCD"/>
    <w:rsid w:val="004B1CEC"/>
    <w:rsid w:val="004B281E"/>
    <w:rsid w:val="004B2DB4"/>
    <w:rsid w:val="004B34BB"/>
    <w:rsid w:val="004B3BD0"/>
    <w:rsid w:val="004B4317"/>
    <w:rsid w:val="004B5105"/>
    <w:rsid w:val="004B6A78"/>
    <w:rsid w:val="004B6C67"/>
    <w:rsid w:val="004C18C0"/>
    <w:rsid w:val="004C28EA"/>
    <w:rsid w:val="004C2E42"/>
    <w:rsid w:val="004C3486"/>
    <w:rsid w:val="004C3990"/>
    <w:rsid w:val="004C3F99"/>
    <w:rsid w:val="004C5F5E"/>
    <w:rsid w:val="004C6367"/>
    <w:rsid w:val="004C6C19"/>
    <w:rsid w:val="004C7707"/>
    <w:rsid w:val="004D054B"/>
    <w:rsid w:val="004D0FFC"/>
    <w:rsid w:val="004D217C"/>
    <w:rsid w:val="004D267D"/>
    <w:rsid w:val="004D53AD"/>
    <w:rsid w:val="004D5D51"/>
    <w:rsid w:val="004D7424"/>
    <w:rsid w:val="004E0F7F"/>
    <w:rsid w:val="004E1D1B"/>
    <w:rsid w:val="004E27DE"/>
    <w:rsid w:val="004E5F4B"/>
    <w:rsid w:val="004E6B3B"/>
    <w:rsid w:val="004E6E68"/>
    <w:rsid w:val="004E7413"/>
    <w:rsid w:val="004F0335"/>
    <w:rsid w:val="004F18BB"/>
    <w:rsid w:val="004F2123"/>
    <w:rsid w:val="004F30ED"/>
    <w:rsid w:val="004F35CE"/>
    <w:rsid w:val="004F467F"/>
    <w:rsid w:val="004F4EB6"/>
    <w:rsid w:val="004F6FB3"/>
    <w:rsid w:val="00500C55"/>
    <w:rsid w:val="00502C16"/>
    <w:rsid w:val="00502F57"/>
    <w:rsid w:val="00504261"/>
    <w:rsid w:val="005066E7"/>
    <w:rsid w:val="0050799F"/>
    <w:rsid w:val="00507D55"/>
    <w:rsid w:val="00514399"/>
    <w:rsid w:val="005156D5"/>
    <w:rsid w:val="005166B9"/>
    <w:rsid w:val="00517C7D"/>
    <w:rsid w:val="00522154"/>
    <w:rsid w:val="005231D7"/>
    <w:rsid w:val="00524445"/>
    <w:rsid w:val="00524AFA"/>
    <w:rsid w:val="0052568E"/>
    <w:rsid w:val="0052618A"/>
    <w:rsid w:val="0052687E"/>
    <w:rsid w:val="00527984"/>
    <w:rsid w:val="005307FF"/>
    <w:rsid w:val="00530C25"/>
    <w:rsid w:val="00531D95"/>
    <w:rsid w:val="00532A86"/>
    <w:rsid w:val="00542167"/>
    <w:rsid w:val="0054509D"/>
    <w:rsid w:val="00547A8B"/>
    <w:rsid w:val="00550D69"/>
    <w:rsid w:val="00553C5C"/>
    <w:rsid w:val="005547C5"/>
    <w:rsid w:val="00554DAD"/>
    <w:rsid w:val="00555133"/>
    <w:rsid w:val="00560C65"/>
    <w:rsid w:val="005614F6"/>
    <w:rsid w:val="00561F32"/>
    <w:rsid w:val="005633B4"/>
    <w:rsid w:val="0057200A"/>
    <w:rsid w:val="00573AB3"/>
    <w:rsid w:val="0057404F"/>
    <w:rsid w:val="005741BB"/>
    <w:rsid w:val="00574F82"/>
    <w:rsid w:val="005759AE"/>
    <w:rsid w:val="00575F9B"/>
    <w:rsid w:val="00576118"/>
    <w:rsid w:val="005771A3"/>
    <w:rsid w:val="0057782F"/>
    <w:rsid w:val="0058091A"/>
    <w:rsid w:val="005812C3"/>
    <w:rsid w:val="005815CC"/>
    <w:rsid w:val="00583141"/>
    <w:rsid w:val="00583AC8"/>
    <w:rsid w:val="00583C34"/>
    <w:rsid w:val="0058633E"/>
    <w:rsid w:val="00590C8C"/>
    <w:rsid w:val="00590D62"/>
    <w:rsid w:val="00590E29"/>
    <w:rsid w:val="00590FE8"/>
    <w:rsid w:val="00592FE6"/>
    <w:rsid w:val="00593191"/>
    <w:rsid w:val="00593340"/>
    <w:rsid w:val="0059411D"/>
    <w:rsid w:val="00595658"/>
    <w:rsid w:val="005971C2"/>
    <w:rsid w:val="005A0247"/>
    <w:rsid w:val="005A2A95"/>
    <w:rsid w:val="005A7A37"/>
    <w:rsid w:val="005B0BB8"/>
    <w:rsid w:val="005B0D58"/>
    <w:rsid w:val="005B1C8B"/>
    <w:rsid w:val="005B29FD"/>
    <w:rsid w:val="005B2D15"/>
    <w:rsid w:val="005B5835"/>
    <w:rsid w:val="005B66FC"/>
    <w:rsid w:val="005C069A"/>
    <w:rsid w:val="005C083A"/>
    <w:rsid w:val="005C6264"/>
    <w:rsid w:val="005D3BE6"/>
    <w:rsid w:val="005D572B"/>
    <w:rsid w:val="005D633F"/>
    <w:rsid w:val="005D6949"/>
    <w:rsid w:val="005D6FA8"/>
    <w:rsid w:val="005D7328"/>
    <w:rsid w:val="005E3B99"/>
    <w:rsid w:val="005E3DA5"/>
    <w:rsid w:val="005E4224"/>
    <w:rsid w:val="005E4A04"/>
    <w:rsid w:val="005E4B83"/>
    <w:rsid w:val="005E51E1"/>
    <w:rsid w:val="005E5474"/>
    <w:rsid w:val="005E7AFD"/>
    <w:rsid w:val="005F13B3"/>
    <w:rsid w:val="005F23F2"/>
    <w:rsid w:val="005F3636"/>
    <w:rsid w:val="005F4B8F"/>
    <w:rsid w:val="005F6550"/>
    <w:rsid w:val="005F6894"/>
    <w:rsid w:val="005F6B17"/>
    <w:rsid w:val="00602812"/>
    <w:rsid w:val="006041E5"/>
    <w:rsid w:val="0060474D"/>
    <w:rsid w:val="006065BF"/>
    <w:rsid w:val="006067B5"/>
    <w:rsid w:val="00616390"/>
    <w:rsid w:val="00621FC0"/>
    <w:rsid w:val="006221FB"/>
    <w:rsid w:val="006246ED"/>
    <w:rsid w:val="0062570F"/>
    <w:rsid w:val="00625BA7"/>
    <w:rsid w:val="00626CF4"/>
    <w:rsid w:val="00627024"/>
    <w:rsid w:val="0063279B"/>
    <w:rsid w:val="006334FD"/>
    <w:rsid w:val="006336BF"/>
    <w:rsid w:val="00633C6A"/>
    <w:rsid w:val="00634E43"/>
    <w:rsid w:val="00637F57"/>
    <w:rsid w:val="006401EA"/>
    <w:rsid w:val="00641D2A"/>
    <w:rsid w:val="00642744"/>
    <w:rsid w:val="006440F8"/>
    <w:rsid w:val="006463E0"/>
    <w:rsid w:val="00650AE0"/>
    <w:rsid w:val="00650D74"/>
    <w:rsid w:val="0065231D"/>
    <w:rsid w:val="0065280D"/>
    <w:rsid w:val="00652934"/>
    <w:rsid w:val="006541BF"/>
    <w:rsid w:val="00654F09"/>
    <w:rsid w:val="00656BDC"/>
    <w:rsid w:val="00657650"/>
    <w:rsid w:val="00657999"/>
    <w:rsid w:val="0066061E"/>
    <w:rsid w:val="00661619"/>
    <w:rsid w:val="00661C0F"/>
    <w:rsid w:val="00662D95"/>
    <w:rsid w:val="00662E6A"/>
    <w:rsid w:val="00667CAF"/>
    <w:rsid w:val="00670127"/>
    <w:rsid w:val="00670418"/>
    <w:rsid w:val="006708FD"/>
    <w:rsid w:val="00671B96"/>
    <w:rsid w:val="00672840"/>
    <w:rsid w:val="00672A32"/>
    <w:rsid w:val="00672C0A"/>
    <w:rsid w:val="00672D90"/>
    <w:rsid w:val="00673355"/>
    <w:rsid w:val="006733BC"/>
    <w:rsid w:val="006737E5"/>
    <w:rsid w:val="00681E1D"/>
    <w:rsid w:val="006841C7"/>
    <w:rsid w:val="006851ED"/>
    <w:rsid w:val="00686D6E"/>
    <w:rsid w:val="006871D2"/>
    <w:rsid w:val="00691155"/>
    <w:rsid w:val="0069505A"/>
    <w:rsid w:val="0069505B"/>
    <w:rsid w:val="00695E47"/>
    <w:rsid w:val="006968F0"/>
    <w:rsid w:val="006A20A8"/>
    <w:rsid w:val="006A2774"/>
    <w:rsid w:val="006A3DF0"/>
    <w:rsid w:val="006A3EF1"/>
    <w:rsid w:val="006A417D"/>
    <w:rsid w:val="006A43C1"/>
    <w:rsid w:val="006A5B68"/>
    <w:rsid w:val="006B1676"/>
    <w:rsid w:val="006B1D1B"/>
    <w:rsid w:val="006B3F50"/>
    <w:rsid w:val="006B4BC7"/>
    <w:rsid w:val="006B5FAD"/>
    <w:rsid w:val="006C20B0"/>
    <w:rsid w:val="006C2430"/>
    <w:rsid w:val="006C2AC8"/>
    <w:rsid w:val="006C40DE"/>
    <w:rsid w:val="006C538F"/>
    <w:rsid w:val="006C6D6D"/>
    <w:rsid w:val="006C6EAE"/>
    <w:rsid w:val="006C72D3"/>
    <w:rsid w:val="006D0765"/>
    <w:rsid w:val="006D1F7B"/>
    <w:rsid w:val="006D3C11"/>
    <w:rsid w:val="006D4ADC"/>
    <w:rsid w:val="006D5CB5"/>
    <w:rsid w:val="006D6A9B"/>
    <w:rsid w:val="006E09C4"/>
    <w:rsid w:val="006E1652"/>
    <w:rsid w:val="006E3E05"/>
    <w:rsid w:val="006E47BF"/>
    <w:rsid w:val="006E550A"/>
    <w:rsid w:val="006E6D1D"/>
    <w:rsid w:val="006E7742"/>
    <w:rsid w:val="006E7AB0"/>
    <w:rsid w:val="006E7AFA"/>
    <w:rsid w:val="006F117E"/>
    <w:rsid w:val="006F5AB1"/>
    <w:rsid w:val="006F6A15"/>
    <w:rsid w:val="0070068E"/>
    <w:rsid w:val="007018AB"/>
    <w:rsid w:val="00701CB7"/>
    <w:rsid w:val="00701EAE"/>
    <w:rsid w:val="007047EE"/>
    <w:rsid w:val="00707C72"/>
    <w:rsid w:val="0071032C"/>
    <w:rsid w:val="0071243A"/>
    <w:rsid w:val="00712802"/>
    <w:rsid w:val="0071365C"/>
    <w:rsid w:val="007139EE"/>
    <w:rsid w:val="007164A1"/>
    <w:rsid w:val="00716B88"/>
    <w:rsid w:val="00721FE0"/>
    <w:rsid w:val="007231AD"/>
    <w:rsid w:val="0072345D"/>
    <w:rsid w:val="007238CA"/>
    <w:rsid w:val="00723B74"/>
    <w:rsid w:val="007262D6"/>
    <w:rsid w:val="007268DB"/>
    <w:rsid w:val="00726B8B"/>
    <w:rsid w:val="00735CC4"/>
    <w:rsid w:val="007379E5"/>
    <w:rsid w:val="0074216E"/>
    <w:rsid w:val="00742559"/>
    <w:rsid w:val="0074553A"/>
    <w:rsid w:val="007472FB"/>
    <w:rsid w:val="00753305"/>
    <w:rsid w:val="00753F94"/>
    <w:rsid w:val="00755A6D"/>
    <w:rsid w:val="00761CA4"/>
    <w:rsid w:val="00762876"/>
    <w:rsid w:val="00762DE4"/>
    <w:rsid w:val="00762E3F"/>
    <w:rsid w:val="00764015"/>
    <w:rsid w:val="00766B94"/>
    <w:rsid w:val="00766D4C"/>
    <w:rsid w:val="0076730D"/>
    <w:rsid w:val="0077101F"/>
    <w:rsid w:val="00771223"/>
    <w:rsid w:val="00771B16"/>
    <w:rsid w:val="00772D10"/>
    <w:rsid w:val="00774F2B"/>
    <w:rsid w:val="00775687"/>
    <w:rsid w:val="007760D0"/>
    <w:rsid w:val="0077674C"/>
    <w:rsid w:val="00780AF7"/>
    <w:rsid w:val="00780D51"/>
    <w:rsid w:val="00783489"/>
    <w:rsid w:val="00786241"/>
    <w:rsid w:val="007862F5"/>
    <w:rsid w:val="0078663F"/>
    <w:rsid w:val="00786FC7"/>
    <w:rsid w:val="00792FC1"/>
    <w:rsid w:val="007935B0"/>
    <w:rsid w:val="00793CD3"/>
    <w:rsid w:val="00794834"/>
    <w:rsid w:val="0079581B"/>
    <w:rsid w:val="00796096"/>
    <w:rsid w:val="00796FCB"/>
    <w:rsid w:val="007972D0"/>
    <w:rsid w:val="007977C4"/>
    <w:rsid w:val="007A0710"/>
    <w:rsid w:val="007A096C"/>
    <w:rsid w:val="007A0BBB"/>
    <w:rsid w:val="007A3620"/>
    <w:rsid w:val="007A4085"/>
    <w:rsid w:val="007A42A4"/>
    <w:rsid w:val="007A4E4C"/>
    <w:rsid w:val="007A522A"/>
    <w:rsid w:val="007A7398"/>
    <w:rsid w:val="007B278C"/>
    <w:rsid w:val="007B3431"/>
    <w:rsid w:val="007B40F5"/>
    <w:rsid w:val="007B7733"/>
    <w:rsid w:val="007C11F2"/>
    <w:rsid w:val="007C7042"/>
    <w:rsid w:val="007D2F0F"/>
    <w:rsid w:val="007D2F42"/>
    <w:rsid w:val="007D4D1F"/>
    <w:rsid w:val="007D5634"/>
    <w:rsid w:val="007D7074"/>
    <w:rsid w:val="007E1A64"/>
    <w:rsid w:val="007E1D1A"/>
    <w:rsid w:val="007E45C3"/>
    <w:rsid w:val="007E596E"/>
    <w:rsid w:val="007E59C4"/>
    <w:rsid w:val="007F107B"/>
    <w:rsid w:val="007F49FA"/>
    <w:rsid w:val="007F5562"/>
    <w:rsid w:val="007F6C9C"/>
    <w:rsid w:val="00802DB7"/>
    <w:rsid w:val="008062A5"/>
    <w:rsid w:val="00807B28"/>
    <w:rsid w:val="0081033A"/>
    <w:rsid w:val="00811118"/>
    <w:rsid w:val="00813C37"/>
    <w:rsid w:val="00814C73"/>
    <w:rsid w:val="00821CBF"/>
    <w:rsid w:val="00821E6D"/>
    <w:rsid w:val="00823B5F"/>
    <w:rsid w:val="00823E8E"/>
    <w:rsid w:val="008275C3"/>
    <w:rsid w:val="00831BDA"/>
    <w:rsid w:val="0083402B"/>
    <w:rsid w:val="00840285"/>
    <w:rsid w:val="00840CDC"/>
    <w:rsid w:val="008423A9"/>
    <w:rsid w:val="00846658"/>
    <w:rsid w:val="008472B4"/>
    <w:rsid w:val="00847782"/>
    <w:rsid w:val="00850AFE"/>
    <w:rsid w:val="00852B99"/>
    <w:rsid w:val="00855010"/>
    <w:rsid w:val="00855AA6"/>
    <w:rsid w:val="00855B71"/>
    <w:rsid w:val="00855C7D"/>
    <w:rsid w:val="0085720D"/>
    <w:rsid w:val="008579FD"/>
    <w:rsid w:val="00862429"/>
    <w:rsid w:val="00862783"/>
    <w:rsid w:val="00862F6E"/>
    <w:rsid w:val="00863D0D"/>
    <w:rsid w:val="00866A42"/>
    <w:rsid w:val="008709E6"/>
    <w:rsid w:val="00870CFD"/>
    <w:rsid w:val="00876CBF"/>
    <w:rsid w:val="00876E7B"/>
    <w:rsid w:val="00877486"/>
    <w:rsid w:val="008800C6"/>
    <w:rsid w:val="008804EB"/>
    <w:rsid w:val="008818C5"/>
    <w:rsid w:val="00882B58"/>
    <w:rsid w:val="00882DA8"/>
    <w:rsid w:val="00882DF8"/>
    <w:rsid w:val="00882FCF"/>
    <w:rsid w:val="0088492F"/>
    <w:rsid w:val="00886967"/>
    <w:rsid w:val="008879EF"/>
    <w:rsid w:val="00887A32"/>
    <w:rsid w:val="00887DC8"/>
    <w:rsid w:val="00890559"/>
    <w:rsid w:val="0089140E"/>
    <w:rsid w:val="00891EC9"/>
    <w:rsid w:val="00893909"/>
    <w:rsid w:val="00894717"/>
    <w:rsid w:val="00894C51"/>
    <w:rsid w:val="008A20A2"/>
    <w:rsid w:val="008A3BF9"/>
    <w:rsid w:val="008A76D4"/>
    <w:rsid w:val="008A79CD"/>
    <w:rsid w:val="008A7C9E"/>
    <w:rsid w:val="008B1D6B"/>
    <w:rsid w:val="008B2841"/>
    <w:rsid w:val="008B2FC9"/>
    <w:rsid w:val="008B3A00"/>
    <w:rsid w:val="008B3D3F"/>
    <w:rsid w:val="008B7A9A"/>
    <w:rsid w:val="008C15AA"/>
    <w:rsid w:val="008C25C8"/>
    <w:rsid w:val="008C2962"/>
    <w:rsid w:val="008C2F86"/>
    <w:rsid w:val="008C38B8"/>
    <w:rsid w:val="008C5677"/>
    <w:rsid w:val="008C56EC"/>
    <w:rsid w:val="008C71ED"/>
    <w:rsid w:val="008D31AC"/>
    <w:rsid w:val="008D3778"/>
    <w:rsid w:val="008D5B6C"/>
    <w:rsid w:val="008D6F8B"/>
    <w:rsid w:val="008E0BA9"/>
    <w:rsid w:val="008E3321"/>
    <w:rsid w:val="008E3FAA"/>
    <w:rsid w:val="008E3FD0"/>
    <w:rsid w:val="008E5942"/>
    <w:rsid w:val="008E6D2C"/>
    <w:rsid w:val="008E7D3D"/>
    <w:rsid w:val="008F0011"/>
    <w:rsid w:val="008F180F"/>
    <w:rsid w:val="008F24C6"/>
    <w:rsid w:val="008F55EA"/>
    <w:rsid w:val="008F6648"/>
    <w:rsid w:val="008F6B52"/>
    <w:rsid w:val="008F6E82"/>
    <w:rsid w:val="008F7D58"/>
    <w:rsid w:val="00900222"/>
    <w:rsid w:val="0090202A"/>
    <w:rsid w:val="0090354F"/>
    <w:rsid w:val="00903F1C"/>
    <w:rsid w:val="00905BD7"/>
    <w:rsid w:val="00906CD8"/>
    <w:rsid w:val="009105AB"/>
    <w:rsid w:val="00910E9B"/>
    <w:rsid w:val="009142BB"/>
    <w:rsid w:val="00914F9D"/>
    <w:rsid w:val="009154FC"/>
    <w:rsid w:val="009168AF"/>
    <w:rsid w:val="009177BB"/>
    <w:rsid w:val="00920E41"/>
    <w:rsid w:val="00921601"/>
    <w:rsid w:val="009232E9"/>
    <w:rsid w:val="00924C67"/>
    <w:rsid w:val="00925EEE"/>
    <w:rsid w:val="0092642F"/>
    <w:rsid w:val="00926E88"/>
    <w:rsid w:val="00932726"/>
    <w:rsid w:val="00934C1A"/>
    <w:rsid w:val="0093606E"/>
    <w:rsid w:val="0094144D"/>
    <w:rsid w:val="009414AC"/>
    <w:rsid w:val="00944925"/>
    <w:rsid w:val="00944AAC"/>
    <w:rsid w:val="00944EBC"/>
    <w:rsid w:val="009450B4"/>
    <w:rsid w:val="0094660D"/>
    <w:rsid w:val="00950BB9"/>
    <w:rsid w:val="00951D2A"/>
    <w:rsid w:val="00953111"/>
    <w:rsid w:val="00954956"/>
    <w:rsid w:val="00955E8A"/>
    <w:rsid w:val="00956489"/>
    <w:rsid w:val="00957B16"/>
    <w:rsid w:val="00960F92"/>
    <w:rsid w:val="009610BC"/>
    <w:rsid w:val="00961FA7"/>
    <w:rsid w:val="0096321C"/>
    <w:rsid w:val="009641D5"/>
    <w:rsid w:val="00964783"/>
    <w:rsid w:val="00964FDC"/>
    <w:rsid w:val="009659E4"/>
    <w:rsid w:val="00966911"/>
    <w:rsid w:val="009709A7"/>
    <w:rsid w:val="00976863"/>
    <w:rsid w:val="0098004D"/>
    <w:rsid w:val="00980114"/>
    <w:rsid w:val="00980403"/>
    <w:rsid w:val="00982C74"/>
    <w:rsid w:val="009847FC"/>
    <w:rsid w:val="009852E9"/>
    <w:rsid w:val="0098656C"/>
    <w:rsid w:val="00986863"/>
    <w:rsid w:val="0099055C"/>
    <w:rsid w:val="00990D51"/>
    <w:rsid w:val="00993F54"/>
    <w:rsid w:val="009961B2"/>
    <w:rsid w:val="009A0558"/>
    <w:rsid w:val="009A0FF0"/>
    <w:rsid w:val="009A618A"/>
    <w:rsid w:val="009A629B"/>
    <w:rsid w:val="009A7B14"/>
    <w:rsid w:val="009B20B2"/>
    <w:rsid w:val="009B3D53"/>
    <w:rsid w:val="009B4240"/>
    <w:rsid w:val="009B46CF"/>
    <w:rsid w:val="009B5F42"/>
    <w:rsid w:val="009B7695"/>
    <w:rsid w:val="009B7E38"/>
    <w:rsid w:val="009C17D4"/>
    <w:rsid w:val="009C1C09"/>
    <w:rsid w:val="009C7254"/>
    <w:rsid w:val="009C7DBA"/>
    <w:rsid w:val="009C7F12"/>
    <w:rsid w:val="009D1404"/>
    <w:rsid w:val="009D1536"/>
    <w:rsid w:val="009D1ABE"/>
    <w:rsid w:val="009D2D99"/>
    <w:rsid w:val="009D43A1"/>
    <w:rsid w:val="009D49B6"/>
    <w:rsid w:val="009D4B30"/>
    <w:rsid w:val="009D5238"/>
    <w:rsid w:val="009D57BD"/>
    <w:rsid w:val="009D5964"/>
    <w:rsid w:val="009D7620"/>
    <w:rsid w:val="009E05FB"/>
    <w:rsid w:val="009E0AF6"/>
    <w:rsid w:val="009E2EB0"/>
    <w:rsid w:val="009E396F"/>
    <w:rsid w:val="009E40AE"/>
    <w:rsid w:val="009E429C"/>
    <w:rsid w:val="009E45A6"/>
    <w:rsid w:val="009E4C27"/>
    <w:rsid w:val="009E5F5B"/>
    <w:rsid w:val="009E6409"/>
    <w:rsid w:val="009E7BCC"/>
    <w:rsid w:val="009F26FD"/>
    <w:rsid w:val="009F6454"/>
    <w:rsid w:val="00A01C22"/>
    <w:rsid w:val="00A01EE1"/>
    <w:rsid w:val="00A02421"/>
    <w:rsid w:val="00A043B9"/>
    <w:rsid w:val="00A05190"/>
    <w:rsid w:val="00A10A16"/>
    <w:rsid w:val="00A10AF6"/>
    <w:rsid w:val="00A113F2"/>
    <w:rsid w:val="00A12E8B"/>
    <w:rsid w:val="00A14F89"/>
    <w:rsid w:val="00A20591"/>
    <w:rsid w:val="00A2120B"/>
    <w:rsid w:val="00A22E8A"/>
    <w:rsid w:val="00A25BBB"/>
    <w:rsid w:val="00A26548"/>
    <w:rsid w:val="00A26ECB"/>
    <w:rsid w:val="00A270F6"/>
    <w:rsid w:val="00A270FE"/>
    <w:rsid w:val="00A3107C"/>
    <w:rsid w:val="00A31EDE"/>
    <w:rsid w:val="00A3317A"/>
    <w:rsid w:val="00A33885"/>
    <w:rsid w:val="00A351F8"/>
    <w:rsid w:val="00A3683A"/>
    <w:rsid w:val="00A36961"/>
    <w:rsid w:val="00A376AD"/>
    <w:rsid w:val="00A406B6"/>
    <w:rsid w:val="00A40D3F"/>
    <w:rsid w:val="00A4137D"/>
    <w:rsid w:val="00A41716"/>
    <w:rsid w:val="00A41EB0"/>
    <w:rsid w:val="00A44E77"/>
    <w:rsid w:val="00A46411"/>
    <w:rsid w:val="00A46751"/>
    <w:rsid w:val="00A46AE4"/>
    <w:rsid w:val="00A477B5"/>
    <w:rsid w:val="00A5040F"/>
    <w:rsid w:val="00A52F64"/>
    <w:rsid w:val="00A54750"/>
    <w:rsid w:val="00A555A4"/>
    <w:rsid w:val="00A564AE"/>
    <w:rsid w:val="00A60906"/>
    <w:rsid w:val="00A62887"/>
    <w:rsid w:val="00A638A2"/>
    <w:rsid w:val="00A63E91"/>
    <w:rsid w:val="00A64EF2"/>
    <w:rsid w:val="00A67788"/>
    <w:rsid w:val="00A7057D"/>
    <w:rsid w:val="00A71A73"/>
    <w:rsid w:val="00A72130"/>
    <w:rsid w:val="00A72748"/>
    <w:rsid w:val="00A72B2D"/>
    <w:rsid w:val="00A74048"/>
    <w:rsid w:val="00A7464F"/>
    <w:rsid w:val="00A74697"/>
    <w:rsid w:val="00A74ED9"/>
    <w:rsid w:val="00A76ABC"/>
    <w:rsid w:val="00A77A81"/>
    <w:rsid w:val="00A818FB"/>
    <w:rsid w:val="00A81DD7"/>
    <w:rsid w:val="00A82C4D"/>
    <w:rsid w:val="00A82DF4"/>
    <w:rsid w:val="00A865A5"/>
    <w:rsid w:val="00A902CC"/>
    <w:rsid w:val="00A90A92"/>
    <w:rsid w:val="00A91B6A"/>
    <w:rsid w:val="00A9519D"/>
    <w:rsid w:val="00A952C4"/>
    <w:rsid w:val="00AA04CC"/>
    <w:rsid w:val="00AA14F4"/>
    <w:rsid w:val="00AA2313"/>
    <w:rsid w:val="00AA3B47"/>
    <w:rsid w:val="00AA5D00"/>
    <w:rsid w:val="00AA7BFE"/>
    <w:rsid w:val="00AB05F7"/>
    <w:rsid w:val="00AB258E"/>
    <w:rsid w:val="00AB274D"/>
    <w:rsid w:val="00AB43F2"/>
    <w:rsid w:val="00AC20C3"/>
    <w:rsid w:val="00AC2669"/>
    <w:rsid w:val="00AC2D2F"/>
    <w:rsid w:val="00AC304D"/>
    <w:rsid w:val="00AC3107"/>
    <w:rsid w:val="00AC41CF"/>
    <w:rsid w:val="00AC55E6"/>
    <w:rsid w:val="00AC6163"/>
    <w:rsid w:val="00AC6353"/>
    <w:rsid w:val="00AC7AAE"/>
    <w:rsid w:val="00AD0060"/>
    <w:rsid w:val="00AD1E9E"/>
    <w:rsid w:val="00AD1ECD"/>
    <w:rsid w:val="00AD32EE"/>
    <w:rsid w:val="00AD3B5F"/>
    <w:rsid w:val="00AD4570"/>
    <w:rsid w:val="00AD5160"/>
    <w:rsid w:val="00AD5EBC"/>
    <w:rsid w:val="00AD70AE"/>
    <w:rsid w:val="00AD718C"/>
    <w:rsid w:val="00AD7AD8"/>
    <w:rsid w:val="00AE06BF"/>
    <w:rsid w:val="00AE14EC"/>
    <w:rsid w:val="00AE1BBA"/>
    <w:rsid w:val="00AE2CD6"/>
    <w:rsid w:val="00AE4CBB"/>
    <w:rsid w:val="00AE55AB"/>
    <w:rsid w:val="00AE5A26"/>
    <w:rsid w:val="00AE6929"/>
    <w:rsid w:val="00AF031A"/>
    <w:rsid w:val="00AF0E98"/>
    <w:rsid w:val="00AF34B2"/>
    <w:rsid w:val="00AF4B26"/>
    <w:rsid w:val="00B00BB8"/>
    <w:rsid w:val="00B02348"/>
    <w:rsid w:val="00B02E2F"/>
    <w:rsid w:val="00B04031"/>
    <w:rsid w:val="00B0460B"/>
    <w:rsid w:val="00B04944"/>
    <w:rsid w:val="00B060E3"/>
    <w:rsid w:val="00B10963"/>
    <w:rsid w:val="00B11A05"/>
    <w:rsid w:val="00B1252B"/>
    <w:rsid w:val="00B1257A"/>
    <w:rsid w:val="00B12D14"/>
    <w:rsid w:val="00B1358A"/>
    <w:rsid w:val="00B1425A"/>
    <w:rsid w:val="00B145E7"/>
    <w:rsid w:val="00B14E45"/>
    <w:rsid w:val="00B15013"/>
    <w:rsid w:val="00B16CB7"/>
    <w:rsid w:val="00B16E08"/>
    <w:rsid w:val="00B17455"/>
    <w:rsid w:val="00B21F02"/>
    <w:rsid w:val="00B22A7D"/>
    <w:rsid w:val="00B242CB"/>
    <w:rsid w:val="00B24663"/>
    <w:rsid w:val="00B250FE"/>
    <w:rsid w:val="00B26B45"/>
    <w:rsid w:val="00B30306"/>
    <w:rsid w:val="00B31689"/>
    <w:rsid w:val="00B32463"/>
    <w:rsid w:val="00B32A07"/>
    <w:rsid w:val="00B33205"/>
    <w:rsid w:val="00B33913"/>
    <w:rsid w:val="00B33DFA"/>
    <w:rsid w:val="00B36680"/>
    <w:rsid w:val="00B36A72"/>
    <w:rsid w:val="00B3765F"/>
    <w:rsid w:val="00B400A4"/>
    <w:rsid w:val="00B448FB"/>
    <w:rsid w:val="00B451A9"/>
    <w:rsid w:val="00B46698"/>
    <w:rsid w:val="00B47328"/>
    <w:rsid w:val="00B475B3"/>
    <w:rsid w:val="00B51AAF"/>
    <w:rsid w:val="00B54C4B"/>
    <w:rsid w:val="00B55B1E"/>
    <w:rsid w:val="00B6310C"/>
    <w:rsid w:val="00B641D0"/>
    <w:rsid w:val="00B648E0"/>
    <w:rsid w:val="00B67496"/>
    <w:rsid w:val="00B67F61"/>
    <w:rsid w:val="00B722D6"/>
    <w:rsid w:val="00B75A1D"/>
    <w:rsid w:val="00B77AA5"/>
    <w:rsid w:val="00B8109D"/>
    <w:rsid w:val="00B8179B"/>
    <w:rsid w:val="00B84329"/>
    <w:rsid w:val="00B84397"/>
    <w:rsid w:val="00B846A3"/>
    <w:rsid w:val="00B8647C"/>
    <w:rsid w:val="00B87D09"/>
    <w:rsid w:val="00B912E0"/>
    <w:rsid w:val="00B9268E"/>
    <w:rsid w:val="00B93C0B"/>
    <w:rsid w:val="00B94B9A"/>
    <w:rsid w:val="00B953C5"/>
    <w:rsid w:val="00B959B9"/>
    <w:rsid w:val="00B974E8"/>
    <w:rsid w:val="00B9764D"/>
    <w:rsid w:val="00BA06B5"/>
    <w:rsid w:val="00BA1424"/>
    <w:rsid w:val="00BA16AB"/>
    <w:rsid w:val="00BA1EA3"/>
    <w:rsid w:val="00BA2256"/>
    <w:rsid w:val="00BA2B4C"/>
    <w:rsid w:val="00BA3F2D"/>
    <w:rsid w:val="00BA451B"/>
    <w:rsid w:val="00BA5199"/>
    <w:rsid w:val="00BA73B3"/>
    <w:rsid w:val="00BB0838"/>
    <w:rsid w:val="00BB20DC"/>
    <w:rsid w:val="00BB2183"/>
    <w:rsid w:val="00BB411B"/>
    <w:rsid w:val="00BB42D6"/>
    <w:rsid w:val="00BB46A0"/>
    <w:rsid w:val="00BB7122"/>
    <w:rsid w:val="00BC031E"/>
    <w:rsid w:val="00BC1D31"/>
    <w:rsid w:val="00BC1F8A"/>
    <w:rsid w:val="00BC27D4"/>
    <w:rsid w:val="00BC41A0"/>
    <w:rsid w:val="00BC4C0A"/>
    <w:rsid w:val="00BD0091"/>
    <w:rsid w:val="00BD06A6"/>
    <w:rsid w:val="00BD0ED1"/>
    <w:rsid w:val="00BD1278"/>
    <w:rsid w:val="00BD16F7"/>
    <w:rsid w:val="00BD3ACE"/>
    <w:rsid w:val="00BD526B"/>
    <w:rsid w:val="00BD6C74"/>
    <w:rsid w:val="00BE0016"/>
    <w:rsid w:val="00BE1DF9"/>
    <w:rsid w:val="00BE5042"/>
    <w:rsid w:val="00BE68BC"/>
    <w:rsid w:val="00BE735C"/>
    <w:rsid w:val="00BF0878"/>
    <w:rsid w:val="00BF1142"/>
    <w:rsid w:val="00BF3358"/>
    <w:rsid w:val="00BF434B"/>
    <w:rsid w:val="00BF5690"/>
    <w:rsid w:val="00BF639B"/>
    <w:rsid w:val="00BF790F"/>
    <w:rsid w:val="00C0090C"/>
    <w:rsid w:val="00C0104E"/>
    <w:rsid w:val="00C0130D"/>
    <w:rsid w:val="00C02937"/>
    <w:rsid w:val="00C0323E"/>
    <w:rsid w:val="00C036F7"/>
    <w:rsid w:val="00C03E5B"/>
    <w:rsid w:val="00C04058"/>
    <w:rsid w:val="00C04857"/>
    <w:rsid w:val="00C06B27"/>
    <w:rsid w:val="00C076C1"/>
    <w:rsid w:val="00C10877"/>
    <w:rsid w:val="00C13153"/>
    <w:rsid w:val="00C1322A"/>
    <w:rsid w:val="00C142A5"/>
    <w:rsid w:val="00C15D4E"/>
    <w:rsid w:val="00C16FA2"/>
    <w:rsid w:val="00C2320B"/>
    <w:rsid w:val="00C24E33"/>
    <w:rsid w:val="00C27945"/>
    <w:rsid w:val="00C31D81"/>
    <w:rsid w:val="00C33297"/>
    <w:rsid w:val="00C352EA"/>
    <w:rsid w:val="00C35A1B"/>
    <w:rsid w:val="00C40AE6"/>
    <w:rsid w:val="00C40D49"/>
    <w:rsid w:val="00C420A0"/>
    <w:rsid w:val="00C42100"/>
    <w:rsid w:val="00C43515"/>
    <w:rsid w:val="00C44450"/>
    <w:rsid w:val="00C44893"/>
    <w:rsid w:val="00C448AF"/>
    <w:rsid w:val="00C44E1B"/>
    <w:rsid w:val="00C45C0E"/>
    <w:rsid w:val="00C4740B"/>
    <w:rsid w:val="00C4763B"/>
    <w:rsid w:val="00C477C4"/>
    <w:rsid w:val="00C60017"/>
    <w:rsid w:val="00C603DE"/>
    <w:rsid w:val="00C61742"/>
    <w:rsid w:val="00C61D2C"/>
    <w:rsid w:val="00C62383"/>
    <w:rsid w:val="00C633B4"/>
    <w:rsid w:val="00C63CB5"/>
    <w:rsid w:val="00C6485D"/>
    <w:rsid w:val="00C64E15"/>
    <w:rsid w:val="00C672A3"/>
    <w:rsid w:val="00C736B9"/>
    <w:rsid w:val="00C73A74"/>
    <w:rsid w:val="00C778AE"/>
    <w:rsid w:val="00C802CE"/>
    <w:rsid w:val="00C81734"/>
    <w:rsid w:val="00C83124"/>
    <w:rsid w:val="00C839F2"/>
    <w:rsid w:val="00C8468B"/>
    <w:rsid w:val="00C85DE9"/>
    <w:rsid w:val="00C87687"/>
    <w:rsid w:val="00C92423"/>
    <w:rsid w:val="00C939FC"/>
    <w:rsid w:val="00C9502D"/>
    <w:rsid w:val="00C95284"/>
    <w:rsid w:val="00C97908"/>
    <w:rsid w:val="00C979EF"/>
    <w:rsid w:val="00CA0B6A"/>
    <w:rsid w:val="00CA0E12"/>
    <w:rsid w:val="00CA1EC3"/>
    <w:rsid w:val="00CA318C"/>
    <w:rsid w:val="00CA577E"/>
    <w:rsid w:val="00CA6505"/>
    <w:rsid w:val="00CA7227"/>
    <w:rsid w:val="00CB254D"/>
    <w:rsid w:val="00CB2B37"/>
    <w:rsid w:val="00CB3043"/>
    <w:rsid w:val="00CB30B2"/>
    <w:rsid w:val="00CB314B"/>
    <w:rsid w:val="00CB479D"/>
    <w:rsid w:val="00CB588D"/>
    <w:rsid w:val="00CB6B5B"/>
    <w:rsid w:val="00CB76CF"/>
    <w:rsid w:val="00CB7D42"/>
    <w:rsid w:val="00CC37DB"/>
    <w:rsid w:val="00CC3A33"/>
    <w:rsid w:val="00CC4ECC"/>
    <w:rsid w:val="00CC795E"/>
    <w:rsid w:val="00CD0289"/>
    <w:rsid w:val="00CD24B3"/>
    <w:rsid w:val="00CD3809"/>
    <w:rsid w:val="00CD4ACC"/>
    <w:rsid w:val="00CD5798"/>
    <w:rsid w:val="00CD585C"/>
    <w:rsid w:val="00CD648E"/>
    <w:rsid w:val="00CD75D1"/>
    <w:rsid w:val="00CE0A86"/>
    <w:rsid w:val="00CE1BB7"/>
    <w:rsid w:val="00CE2E7F"/>
    <w:rsid w:val="00CE366E"/>
    <w:rsid w:val="00CE4840"/>
    <w:rsid w:val="00CE5CB5"/>
    <w:rsid w:val="00CF1AB3"/>
    <w:rsid w:val="00CF1F92"/>
    <w:rsid w:val="00CF3243"/>
    <w:rsid w:val="00CF3A9C"/>
    <w:rsid w:val="00CF4265"/>
    <w:rsid w:val="00CF44F8"/>
    <w:rsid w:val="00CF5D2F"/>
    <w:rsid w:val="00CF6D6F"/>
    <w:rsid w:val="00CF732D"/>
    <w:rsid w:val="00D002DE"/>
    <w:rsid w:val="00D01447"/>
    <w:rsid w:val="00D0442B"/>
    <w:rsid w:val="00D06403"/>
    <w:rsid w:val="00D11F7F"/>
    <w:rsid w:val="00D123BE"/>
    <w:rsid w:val="00D14083"/>
    <w:rsid w:val="00D164DB"/>
    <w:rsid w:val="00D17A15"/>
    <w:rsid w:val="00D22FC6"/>
    <w:rsid w:val="00D237DF"/>
    <w:rsid w:val="00D25E27"/>
    <w:rsid w:val="00D305B5"/>
    <w:rsid w:val="00D32900"/>
    <w:rsid w:val="00D34EC4"/>
    <w:rsid w:val="00D35FA4"/>
    <w:rsid w:val="00D362E4"/>
    <w:rsid w:val="00D36D74"/>
    <w:rsid w:val="00D42D8D"/>
    <w:rsid w:val="00D43B84"/>
    <w:rsid w:val="00D45DE4"/>
    <w:rsid w:val="00D46999"/>
    <w:rsid w:val="00D47251"/>
    <w:rsid w:val="00D47393"/>
    <w:rsid w:val="00D500DA"/>
    <w:rsid w:val="00D50156"/>
    <w:rsid w:val="00D50BAD"/>
    <w:rsid w:val="00D50DD7"/>
    <w:rsid w:val="00D5167B"/>
    <w:rsid w:val="00D51AFF"/>
    <w:rsid w:val="00D53F49"/>
    <w:rsid w:val="00D561D6"/>
    <w:rsid w:val="00D56450"/>
    <w:rsid w:val="00D56F01"/>
    <w:rsid w:val="00D61D76"/>
    <w:rsid w:val="00D63F1D"/>
    <w:rsid w:val="00D671C7"/>
    <w:rsid w:val="00D672BA"/>
    <w:rsid w:val="00D6768B"/>
    <w:rsid w:val="00D67CAA"/>
    <w:rsid w:val="00D70D16"/>
    <w:rsid w:val="00D72F49"/>
    <w:rsid w:val="00D749A3"/>
    <w:rsid w:val="00D76A88"/>
    <w:rsid w:val="00D76CBE"/>
    <w:rsid w:val="00D7799A"/>
    <w:rsid w:val="00D80ACE"/>
    <w:rsid w:val="00D816A5"/>
    <w:rsid w:val="00D816D3"/>
    <w:rsid w:val="00D81D09"/>
    <w:rsid w:val="00D84160"/>
    <w:rsid w:val="00D84CB7"/>
    <w:rsid w:val="00D85481"/>
    <w:rsid w:val="00D870CD"/>
    <w:rsid w:val="00D91255"/>
    <w:rsid w:val="00D922C4"/>
    <w:rsid w:val="00D93DA6"/>
    <w:rsid w:val="00D942F3"/>
    <w:rsid w:val="00D95FEE"/>
    <w:rsid w:val="00D97365"/>
    <w:rsid w:val="00D97E90"/>
    <w:rsid w:val="00DA080F"/>
    <w:rsid w:val="00DA13F7"/>
    <w:rsid w:val="00DA15E2"/>
    <w:rsid w:val="00DA1DE9"/>
    <w:rsid w:val="00DA2BE1"/>
    <w:rsid w:val="00DA2F78"/>
    <w:rsid w:val="00DA4292"/>
    <w:rsid w:val="00DA50CD"/>
    <w:rsid w:val="00DA55BE"/>
    <w:rsid w:val="00DA59D4"/>
    <w:rsid w:val="00DA7C58"/>
    <w:rsid w:val="00DB0B03"/>
    <w:rsid w:val="00DB29F8"/>
    <w:rsid w:val="00DB4F52"/>
    <w:rsid w:val="00DB4F7A"/>
    <w:rsid w:val="00DB511E"/>
    <w:rsid w:val="00DB545A"/>
    <w:rsid w:val="00DB676C"/>
    <w:rsid w:val="00DC08E9"/>
    <w:rsid w:val="00DC0A63"/>
    <w:rsid w:val="00DC1041"/>
    <w:rsid w:val="00DC1BFA"/>
    <w:rsid w:val="00DC5217"/>
    <w:rsid w:val="00DC5341"/>
    <w:rsid w:val="00DD136D"/>
    <w:rsid w:val="00DD1DDA"/>
    <w:rsid w:val="00DD2F98"/>
    <w:rsid w:val="00DD514A"/>
    <w:rsid w:val="00DD6740"/>
    <w:rsid w:val="00DD7CC3"/>
    <w:rsid w:val="00DD7E61"/>
    <w:rsid w:val="00DD7F8B"/>
    <w:rsid w:val="00DE2BD6"/>
    <w:rsid w:val="00DE415F"/>
    <w:rsid w:val="00DE5176"/>
    <w:rsid w:val="00DE6089"/>
    <w:rsid w:val="00DE6274"/>
    <w:rsid w:val="00DE68D8"/>
    <w:rsid w:val="00DE7E61"/>
    <w:rsid w:val="00DF131A"/>
    <w:rsid w:val="00DF1FFD"/>
    <w:rsid w:val="00DF5ABA"/>
    <w:rsid w:val="00DF6239"/>
    <w:rsid w:val="00DF6E53"/>
    <w:rsid w:val="00DF7352"/>
    <w:rsid w:val="00DF77B0"/>
    <w:rsid w:val="00DF7859"/>
    <w:rsid w:val="00E00C83"/>
    <w:rsid w:val="00E016C3"/>
    <w:rsid w:val="00E016E9"/>
    <w:rsid w:val="00E01A5E"/>
    <w:rsid w:val="00E01DAD"/>
    <w:rsid w:val="00E023A0"/>
    <w:rsid w:val="00E02E8F"/>
    <w:rsid w:val="00E03557"/>
    <w:rsid w:val="00E041DB"/>
    <w:rsid w:val="00E050C4"/>
    <w:rsid w:val="00E05A81"/>
    <w:rsid w:val="00E05E80"/>
    <w:rsid w:val="00E06828"/>
    <w:rsid w:val="00E115A6"/>
    <w:rsid w:val="00E133E2"/>
    <w:rsid w:val="00E150D6"/>
    <w:rsid w:val="00E16960"/>
    <w:rsid w:val="00E16A67"/>
    <w:rsid w:val="00E17381"/>
    <w:rsid w:val="00E17937"/>
    <w:rsid w:val="00E203FE"/>
    <w:rsid w:val="00E223A9"/>
    <w:rsid w:val="00E22EB1"/>
    <w:rsid w:val="00E232FF"/>
    <w:rsid w:val="00E254A6"/>
    <w:rsid w:val="00E26163"/>
    <w:rsid w:val="00E27939"/>
    <w:rsid w:val="00E27E41"/>
    <w:rsid w:val="00E331A8"/>
    <w:rsid w:val="00E3449C"/>
    <w:rsid w:val="00E34BBF"/>
    <w:rsid w:val="00E35418"/>
    <w:rsid w:val="00E36F50"/>
    <w:rsid w:val="00E42B0E"/>
    <w:rsid w:val="00E439DC"/>
    <w:rsid w:val="00E50B33"/>
    <w:rsid w:val="00E50C94"/>
    <w:rsid w:val="00E52824"/>
    <w:rsid w:val="00E52D35"/>
    <w:rsid w:val="00E5305A"/>
    <w:rsid w:val="00E54C54"/>
    <w:rsid w:val="00E5542A"/>
    <w:rsid w:val="00E60C20"/>
    <w:rsid w:val="00E628BB"/>
    <w:rsid w:val="00E62B7F"/>
    <w:rsid w:val="00E64AC4"/>
    <w:rsid w:val="00E67E1F"/>
    <w:rsid w:val="00E73324"/>
    <w:rsid w:val="00E75037"/>
    <w:rsid w:val="00E769EB"/>
    <w:rsid w:val="00E77DE2"/>
    <w:rsid w:val="00E809A7"/>
    <w:rsid w:val="00E847FD"/>
    <w:rsid w:val="00E85AB7"/>
    <w:rsid w:val="00E85F12"/>
    <w:rsid w:val="00E86A5D"/>
    <w:rsid w:val="00E86AE9"/>
    <w:rsid w:val="00E8765D"/>
    <w:rsid w:val="00E908D6"/>
    <w:rsid w:val="00E93343"/>
    <w:rsid w:val="00E95565"/>
    <w:rsid w:val="00E9645A"/>
    <w:rsid w:val="00E9664D"/>
    <w:rsid w:val="00EA05B6"/>
    <w:rsid w:val="00EA1377"/>
    <w:rsid w:val="00EA4AEB"/>
    <w:rsid w:val="00EA4E00"/>
    <w:rsid w:val="00EA51DE"/>
    <w:rsid w:val="00EA6376"/>
    <w:rsid w:val="00EA6BD4"/>
    <w:rsid w:val="00EA6E19"/>
    <w:rsid w:val="00EA6FA7"/>
    <w:rsid w:val="00EB000D"/>
    <w:rsid w:val="00EB01E4"/>
    <w:rsid w:val="00EB22C2"/>
    <w:rsid w:val="00EB2D68"/>
    <w:rsid w:val="00EB5397"/>
    <w:rsid w:val="00EB6D19"/>
    <w:rsid w:val="00EB6E6A"/>
    <w:rsid w:val="00EC00CA"/>
    <w:rsid w:val="00EC1BF4"/>
    <w:rsid w:val="00EC2769"/>
    <w:rsid w:val="00EC2801"/>
    <w:rsid w:val="00EC2A6D"/>
    <w:rsid w:val="00EC4AAC"/>
    <w:rsid w:val="00EC7452"/>
    <w:rsid w:val="00EC784D"/>
    <w:rsid w:val="00ED4081"/>
    <w:rsid w:val="00ED4B6F"/>
    <w:rsid w:val="00ED4D85"/>
    <w:rsid w:val="00ED5BA8"/>
    <w:rsid w:val="00ED5DF1"/>
    <w:rsid w:val="00EE0CA9"/>
    <w:rsid w:val="00EE18EC"/>
    <w:rsid w:val="00EF091F"/>
    <w:rsid w:val="00EF23EE"/>
    <w:rsid w:val="00EF32A4"/>
    <w:rsid w:val="00EF36E5"/>
    <w:rsid w:val="00EF39B8"/>
    <w:rsid w:val="00EF3E94"/>
    <w:rsid w:val="00EF42C3"/>
    <w:rsid w:val="00EF591D"/>
    <w:rsid w:val="00F014C3"/>
    <w:rsid w:val="00F01F9E"/>
    <w:rsid w:val="00F028CE"/>
    <w:rsid w:val="00F02A93"/>
    <w:rsid w:val="00F03019"/>
    <w:rsid w:val="00F057E3"/>
    <w:rsid w:val="00F05C9F"/>
    <w:rsid w:val="00F06CED"/>
    <w:rsid w:val="00F104D3"/>
    <w:rsid w:val="00F104F7"/>
    <w:rsid w:val="00F127BF"/>
    <w:rsid w:val="00F13B70"/>
    <w:rsid w:val="00F150E2"/>
    <w:rsid w:val="00F154A1"/>
    <w:rsid w:val="00F16309"/>
    <w:rsid w:val="00F208FE"/>
    <w:rsid w:val="00F226EE"/>
    <w:rsid w:val="00F24A36"/>
    <w:rsid w:val="00F24B18"/>
    <w:rsid w:val="00F24C23"/>
    <w:rsid w:val="00F24CB1"/>
    <w:rsid w:val="00F303CD"/>
    <w:rsid w:val="00F304FE"/>
    <w:rsid w:val="00F31F9C"/>
    <w:rsid w:val="00F327E6"/>
    <w:rsid w:val="00F3586C"/>
    <w:rsid w:val="00F35C9D"/>
    <w:rsid w:val="00F36239"/>
    <w:rsid w:val="00F368A4"/>
    <w:rsid w:val="00F36F66"/>
    <w:rsid w:val="00F37EB7"/>
    <w:rsid w:val="00F412E9"/>
    <w:rsid w:val="00F41AE8"/>
    <w:rsid w:val="00F41CEC"/>
    <w:rsid w:val="00F4765B"/>
    <w:rsid w:val="00F53572"/>
    <w:rsid w:val="00F554A8"/>
    <w:rsid w:val="00F57B8B"/>
    <w:rsid w:val="00F60788"/>
    <w:rsid w:val="00F60CC3"/>
    <w:rsid w:val="00F60E95"/>
    <w:rsid w:val="00F627E9"/>
    <w:rsid w:val="00F65790"/>
    <w:rsid w:val="00F67057"/>
    <w:rsid w:val="00F70E55"/>
    <w:rsid w:val="00F72643"/>
    <w:rsid w:val="00F731D9"/>
    <w:rsid w:val="00F736E6"/>
    <w:rsid w:val="00F809B8"/>
    <w:rsid w:val="00F80F4D"/>
    <w:rsid w:val="00F82906"/>
    <w:rsid w:val="00F84C25"/>
    <w:rsid w:val="00F8673B"/>
    <w:rsid w:val="00F86DCD"/>
    <w:rsid w:val="00F873DF"/>
    <w:rsid w:val="00F94445"/>
    <w:rsid w:val="00F94BBA"/>
    <w:rsid w:val="00F96940"/>
    <w:rsid w:val="00F96D56"/>
    <w:rsid w:val="00FA0E21"/>
    <w:rsid w:val="00FA1AF9"/>
    <w:rsid w:val="00FA57E6"/>
    <w:rsid w:val="00FA6F95"/>
    <w:rsid w:val="00FA7332"/>
    <w:rsid w:val="00FB0117"/>
    <w:rsid w:val="00FB2166"/>
    <w:rsid w:val="00FB24F8"/>
    <w:rsid w:val="00FB2C12"/>
    <w:rsid w:val="00FC0857"/>
    <w:rsid w:val="00FC1B22"/>
    <w:rsid w:val="00FC253A"/>
    <w:rsid w:val="00FC3300"/>
    <w:rsid w:val="00FC4278"/>
    <w:rsid w:val="00FC50E0"/>
    <w:rsid w:val="00FC6623"/>
    <w:rsid w:val="00FC7293"/>
    <w:rsid w:val="00FC73A2"/>
    <w:rsid w:val="00FC7ACB"/>
    <w:rsid w:val="00FC7E05"/>
    <w:rsid w:val="00FD1A71"/>
    <w:rsid w:val="00FD4C00"/>
    <w:rsid w:val="00FD5D7C"/>
    <w:rsid w:val="00FD6949"/>
    <w:rsid w:val="00FE1AE3"/>
    <w:rsid w:val="00FE5090"/>
    <w:rsid w:val="00FE7DBD"/>
    <w:rsid w:val="00FF2108"/>
    <w:rsid w:val="00FF2943"/>
    <w:rsid w:val="00FF4AC9"/>
    <w:rsid w:val="00FF55C6"/>
    <w:rsid w:val="00FF623F"/>
    <w:rsid w:val="7544681B"/>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995DB5"/>
  <w15:chartTrackingRefBased/>
  <w15:docId w15:val="{6BC0EABD-CE27-47F2-98B7-69BE09793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4B6"/>
    <w:pPr>
      <w:tabs>
        <w:tab w:val="left" w:pos="794"/>
        <w:tab w:val="left" w:pos="1191"/>
        <w:tab w:val="left" w:pos="1588"/>
        <w:tab w:val="left" w:pos="1985"/>
      </w:tabs>
      <w:overflowPunct w:val="0"/>
      <w:autoSpaceDE w:val="0"/>
      <w:autoSpaceDN w:val="0"/>
      <w:adjustRightInd w:val="0"/>
      <w:spacing w:before="120"/>
      <w:jc w:val="both"/>
      <w:textAlignment w:val="baseline"/>
    </w:pPr>
    <w:rPr>
      <w:rFonts w:eastAsia="Times New Roman"/>
      <w:sz w:val="24"/>
      <w:lang w:val="en-GB"/>
    </w:rPr>
  </w:style>
  <w:style w:type="paragraph" w:styleId="Heading1">
    <w:name w:val="heading 1"/>
    <w:basedOn w:val="Normal"/>
    <w:next w:val="Normal"/>
    <w:link w:val="Heading1Char"/>
    <w:qFormat/>
    <w:rsid w:val="001454B6"/>
    <w:pPr>
      <w:keepNext/>
      <w:keepLines/>
      <w:spacing w:before="360"/>
      <w:ind w:left="794" w:hanging="794"/>
      <w:jc w:val="left"/>
      <w:outlineLvl w:val="0"/>
    </w:pPr>
    <w:rPr>
      <w:b/>
    </w:rPr>
  </w:style>
  <w:style w:type="paragraph" w:styleId="Heading2">
    <w:name w:val="heading 2"/>
    <w:basedOn w:val="Heading1"/>
    <w:next w:val="Normal"/>
    <w:link w:val="Heading2Char"/>
    <w:qFormat/>
    <w:rsid w:val="001454B6"/>
    <w:pPr>
      <w:spacing w:before="240"/>
      <w:outlineLvl w:val="1"/>
    </w:pPr>
  </w:style>
  <w:style w:type="paragraph" w:styleId="Heading3">
    <w:name w:val="heading 3"/>
    <w:basedOn w:val="Heading1"/>
    <w:next w:val="Normal"/>
    <w:link w:val="Heading3Char"/>
    <w:qFormat/>
    <w:rsid w:val="001454B6"/>
    <w:pPr>
      <w:spacing w:before="160"/>
      <w:outlineLvl w:val="2"/>
    </w:pPr>
  </w:style>
  <w:style w:type="paragraph" w:styleId="Heading4">
    <w:name w:val="heading 4"/>
    <w:basedOn w:val="Heading3"/>
    <w:next w:val="Normal"/>
    <w:link w:val="Heading4Char"/>
    <w:qFormat/>
    <w:rsid w:val="001454B6"/>
    <w:pPr>
      <w:tabs>
        <w:tab w:val="clear" w:pos="794"/>
        <w:tab w:val="left" w:pos="1021"/>
      </w:tabs>
      <w:ind w:left="1021" w:hanging="1021"/>
      <w:outlineLvl w:val="3"/>
    </w:pPr>
  </w:style>
  <w:style w:type="paragraph" w:styleId="Heading5">
    <w:name w:val="heading 5"/>
    <w:basedOn w:val="Heading4"/>
    <w:next w:val="Normal"/>
    <w:link w:val="Heading5Char"/>
    <w:qFormat/>
    <w:rsid w:val="001454B6"/>
    <w:pPr>
      <w:outlineLvl w:val="4"/>
    </w:pPr>
  </w:style>
  <w:style w:type="paragraph" w:styleId="Heading6">
    <w:name w:val="heading 6"/>
    <w:basedOn w:val="Heading4"/>
    <w:next w:val="Normal"/>
    <w:link w:val="Heading6Char"/>
    <w:qFormat/>
    <w:rsid w:val="001454B6"/>
    <w:pPr>
      <w:tabs>
        <w:tab w:val="clear" w:pos="1021"/>
        <w:tab w:val="clear" w:pos="1191"/>
      </w:tabs>
      <w:ind w:left="1588" w:hanging="1588"/>
      <w:outlineLvl w:val="5"/>
    </w:pPr>
  </w:style>
  <w:style w:type="paragraph" w:styleId="Heading7">
    <w:name w:val="heading 7"/>
    <w:basedOn w:val="Heading6"/>
    <w:next w:val="Normal"/>
    <w:link w:val="Heading7Char"/>
    <w:qFormat/>
    <w:rsid w:val="001454B6"/>
    <w:pPr>
      <w:outlineLvl w:val="6"/>
    </w:pPr>
  </w:style>
  <w:style w:type="paragraph" w:styleId="Heading8">
    <w:name w:val="heading 8"/>
    <w:basedOn w:val="Heading6"/>
    <w:next w:val="Normal"/>
    <w:link w:val="Heading8Char"/>
    <w:qFormat/>
    <w:rsid w:val="001454B6"/>
    <w:pPr>
      <w:outlineLvl w:val="7"/>
    </w:pPr>
  </w:style>
  <w:style w:type="paragraph" w:styleId="Heading9">
    <w:name w:val="heading 9"/>
    <w:basedOn w:val="Heading6"/>
    <w:next w:val="Normal"/>
    <w:link w:val="Heading9Char"/>
    <w:qFormat/>
    <w:rsid w:val="001454B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rrectionSeparatorBegin">
    <w:name w:val="Correction Separator Begin"/>
    <w:basedOn w:val="Normal"/>
    <w:rsid w:val="007B7733"/>
    <w:pPr>
      <w:keepNext/>
      <w:pBdr>
        <w:bottom w:val="single" w:sz="12" w:space="1" w:color="auto"/>
      </w:pBdr>
      <w:spacing w:before="240" w:after="240"/>
      <w:ind w:left="1440" w:right="1440"/>
      <w:jc w:val="center"/>
    </w:pPr>
    <w:rPr>
      <w:b/>
      <w:i/>
      <w:sz w:val="20"/>
      <w:lang w:val="en-US"/>
    </w:rPr>
  </w:style>
  <w:style w:type="paragraph" w:customStyle="1" w:styleId="CorrectionSeparatorEnd">
    <w:name w:val="Correction Separator End"/>
    <w:basedOn w:val="Normal"/>
    <w:rsid w:val="007B7733"/>
    <w:pPr>
      <w:pBdr>
        <w:top w:val="single" w:sz="12" w:space="1" w:color="auto"/>
      </w:pBdr>
      <w:spacing w:before="240" w:after="240"/>
      <w:ind w:left="1440" w:right="1440"/>
      <w:jc w:val="center"/>
    </w:pPr>
    <w:rPr>
      <w:b/>
      <w:i/>
      <w:sz w:val="20"/>
      <w:lang w:val="en-US"/>
    </w:rPr>
  </w:style>
  <w:style w:type="paragraph" w:customStyle="1" w:styleId="Figure">
    <w:name w:val="Figure"/>
    <w:basedOn w:val="Normal"/>
    <w:next w:val="FigureNoTitle"/>
    <w:rsid w:val="001454B6"/>
    <w:pPr>
      <w:keepNext/>
      <w:keepLines/>
      <w:spacing w:before="240" w:after="120"/>
      <w:jc w:val="center"/>
    </w:pPr>
  </w:style>
  <w:style w:type="paragraph" w:customStyle="1" w:styleId="FigureNotitle0">
    <w:name w:val="Figure_No &amp; title"/>
    <w:basedOn w:val="Normal"/>
    <w:next w:val="Normal"/>
    <w:qFormat/>
    <w:rsid w:val="001454B6"/>
    <w:pPr>
      <w:keepLines/>
      <w:spacing w:before="240" w:after="120"/>
      <w:jc w:val="center"/>
    </w:pPr>
    <w:rPr>
      <w:b/>
    </w:rPr>
  </w:style>
  <w:style w:type="character" w:customStyle="1" w:styleId="Heading1Char">
    <w:name w:val="Heading 1 Char"/>
    <w:link w:val="Heading1"/>
    <w:rsid w:val="001454B6"/>
    <w:rPr>
      <w:rFonts w:eastAsia="Times New Roman"/>
      <w:b/>
      <w:sz w:val="24"/>
      <w:lang w:val="en-GB"/>
    </w:rPr>
  </w:style>
  <w:style w:type="paragraph" w:customStyle="1" w:styleId="Heading1Centered">
    <w:name w:val="Heading 1 Centered"/>
    <w:basedOn w:val="Heading1"/>
    <w:rsid w:val="00BB46A0"/>
    <w:pPr>
      <w:ind w:left="0" w:firstLine="0"/>
      <w:jc w:val="center"/>
    </w:pPr>
  </w:style>
  <w:style w:type="character" w:customStyle="1" w:styleId="Heading2Char">
    <w:name w:val="Heading 2 Char"/>
    <w:link w:val="Heading2"/>
    <w:rsid w:val="00BB46A0"/>
    <w:rPr>
      <w:rFonts w:eastAsia="Times New Roman"/>
      <w:b/>
      <w:sz w:val="24"/>
      <w:lang w:val="en-GB"/>
    </w:rPr>
  </w:style>
  <w:style w:type="character" w:customStyle="1" w:styleId="Heading3Char">
    <w:name w:val="Heading 3 Char"/>
    <w:link w:val="Heading3"/>
    <w:rsid w:val="00BB46A0"/>
    <w:rPr>
      <w:rFonts w:eastAsia="Times New Roman"/>
      <w:b/>
      <w:sz w:val="24"/>
      <w:lang w:val="en-GB"/>
    </w:rPr>
  </w:style>
  <w:style w:type="character" w:customStyle="1" w:styleId="Heading4Char">
    <w:name w:val="Heading 4 Char"/>
    <w:link w:val="Heading4"/>
    <w:rsid w:val="00BB46A0"/>
    <w:rPr>
      <w:rFonts w:eastAsia="Times New Roman"/>
      <w:b/>
      <w:sz w:val="24"/>
      <w:lang w:val="en-GB"/>
    </w:rPr>
  </w:style>
  <w:style w:type="character" w:customStyle="1" w:styleId="Heading5Char">
    <w:name w:val="Heading 5 Char"/>
    <w:link w:val="Heading5"/>
    <w:rsid w:val="00BB46A0"/>
    <w:rPr>
      <w:rFonts w:eastAsia="Times New Roman"/>
      <w:b/>
      <w:sz w:val="24"/>
      <w:lang w:val="en-GB"/>
    </w:rPr>
  </w:style>
  <w:style w:type="character" w:customStyle="1" w:styleId="Heading6Char">
    <w:name w:val="Heading 6 Char"/>
    <w:link w:val="Heading6"/>
    <w:rsid w:val="00BB46A0"/>
    <w:rPr>
      <w:rFonts w:eastAsia="Times New Roman"/>
      <w:b/>
      <w:sz w:val="24"/>
      <w:lang w:val="en-GB"/>
    </w:rPr>
  </w:style>
  <w:style w:type="character" w:customStyle="1" w:styleId="Heading7Char">
    <w:name w:val="Heading 7 Char"/>
    <w:link w:val="Heading7"/>
    <w:rsid w:val="00BB46A0"/>
    <w:rPr>
      <w:rFonts w:eastAsia="Times New Roman"/>
      <w:b/>
      <w:sz w:val="24"/>
      <w:lang w:val="en-GB"/>
    </w:rPr>
  </w:style>
  <w:style w:type="character" w:customStyle="1" w:styleId="Heading8Char">
    <w:name w:val="Heading 8 Char"/>
    <w:link w:val="Heading8"/>
    <w:rsid w:val="00BB46A0"/>
    <w:rPr>
      <w:rFonts w:eastAsia="Times New Roman"/>
      <w:b/>
      <w:sz w:val="24"/>
      <w:lang w:val="en-GB"/>
    </w:rPr>
  </w:style>
  <w:style w:type="character" w:customStyle="1" w:styleId="Heading9Char">
    <w:name w:val="Heading 9 Char"/>
    <w:link w:val="Heading9"/>
    <w:rsid w:val="00BB46A0"/>
    <w:rPr>
      <w:rFonts w:eastAsia="Times New Roman"/>
      <w:b/>
      <w:sz w:val="24"/>
      <w:lang w:val="en-GB"/>
    </w:rPr>
  </w:style>
  <w:style w:type="paragraph" w:customStyle="1" w:styleId="Headingb">
    <w:name w:val="Heading_b"/>
    <w:basedOn w:val="Normal"/>
    <w:next w:val="Normal"/>
    <w:rsid w:val="001454B6"/>
    <w:pPr>
      <w:keepNext/>
      <w:spacing w:before="160"/>
      <w:jc w:val="left"/>
    </w:pPr>
    <w:rPr>
      <w:b/>
    </w:rPr>
  </w:style>
  <w:style w:type="paragraph" w:customStyle="1" w:styleId="Headingi">
    <w:name w:val="Heading_i"/>
    <w:basedOn w:val="Normal"/>
    <w:next w:val="Normal"/>
    <w:rsid w:val="001454B6"/>
    <w:pPr>
      <w:keepNext/>
      <w:spacing w:before="160"/>
      <w:jc w:val="left"/>
    </w:pPr>
    <w:rPr>
      <w:i/>
    </w:rPr>
  </w:style>
  <w:style w:type="character" w:styleId="Hyperlink">
    <w:name w:val="Hyperlink"/>
    <w:basedOn w:val="DefaultParagraphFont"/>
    <w:uiPriority w:val="99"/>
    <w:rsid w:val="001454B6"/>
    <w:rPr>
      <w:color w:val="0000FF"/>
      <w:u w:val="single"/>
    </w:rPr>
  </w:style>
  <w:style w:type="paragraph" w:customStyle="1" w:styleId="LSDeadline">
    <w:name w:val="LSDeadline"/>
    <w:basedOn w:val="LSForAction"/>
    <w:next w:val="Normal"/>
    <w:rsid w:val="00CB588D"/>
    <w:rPr>
      <w:bCs w:val="0"/>
    </w:rPr>
  </w:style>
  <w:style w:type="paragraph" w:customStyle="1" w:styleId="LSSource">
    <w:name w:val="LSSource"/>
    <w:basedOn w:val="LSForAction"/>
    <w:next w:val="Normal"/>
    <w:rsid w:val="00CB588D"/>
    <w:rPr>
      <w:rFonts w:eastAsia="Calibri"/>
      <w:bCs w:val="0"/>
    </w:rPr>
  </w:style>
  <w:style w:type="paragraph" w:customStyle="1" w:styleId="LSTitle">
    <w:name w:val="LSTitle"/>
    <w:basedOn w:val="LSForAction"/>
    <w:next w:val="Normal"/>
    <w:rsid w:val="00CB588D"/>
    <w:rPr>
      <w:rFonts w:eastAsia="Calibri"/>
      <w:bCs w:val="0"/>
    </w:rPr>
  </w:style>
  <w:style w:type="paragraph" w:customStyle="1" w:styleId="Note">
    <w:name w:val="Note"/>
    <w:basedOn w:val="Normal"/>
    <w:rsid w:val="001454B6"/>
    <w:pPr>
      <w:spacing w:before="80"/>
    </w:pPr>
    <w:rPr>
      <w:sz w:val="22"/>
    </w:rPr>
  </w:style>
  <w:style w:type="paragraph" w:customStyle="1" w:styleId="RecNo">
    <w:name w:val="Rec_No"/>
    <w:basedOn w:val="Normal"/>
    <w:next w:val="Rectitle"/>
    <w:rsid w:val="001454B6"/>
    <w:pPr>
      <w:keepNext/>
      <w:keepLines/>
      <w:spacing w:before="0"/>
      <w:jc w:val="left"/>
    </w:pPr>
    <w:rPr>
      <w:b/>
      <w:sz w:val="28"/>
    </w:rPr>
  </w:style>
  <w:style w:type="paragraph" w:customStyle="1" w:styleId="Rectitle">
    <w:name w:val="Rec_title"/>
    <w:basedOn w:val="Normal"/>
    <w:next w:val="Normalaftertitle"/>
    <w:rsid w:val="001454B6"/>
    <w:pPr>
      <w:keepNext/>
      <w:keepLines/>
      <w:spacing w:before="360"/>
      <w:jc w:val="center"/>
    </w:pPr>
    <w:rPr>
      <w:b/>
      <w:sz w:val="28"/>
    </w:rPr>
  </w:style>
  <w:style w:type="paragraph" w:customStyle="1" w:styleId="Reftext">
    <w:name w:val="Ref_text"/>
    <w:basedOn w:val="Normal"/>
    <w:rsid w:val="001454B6"/>
    <w:pPr>
      <w:ind w:left="794" w:hanging="794"/>
      <w:jc w:val="left"/>
    </w:pPr>
  </w:style>
  <w:style w:type="paragraph" w:customStyle="1" w:styleId="TableNotitle">
    <w:name w:val="Table_No &amp; title"/>
    <w:basedOn w:val="Normal"/>
    <w:next w:val="Normal"/>
    <w:qFormat/>
    <w:rsid w:val="001454B6"/>
    <w:pPr>
      <w:keepNext/>
      <w:keepLines/>
      <w:spacing w:before="360" w:after="120"/>
      <w:jc w:val="center"/>
    </w:pPr>
    <w:rPr>
      <w:b/>
    </w:rPr>
  </w:style>
  <w:style w:type="paragraph" w:styleId="TOC1">
    <w:name w:val="toc 1"/>
    <w:basedOn w:val="Normal"/>
    <w:uiPriority w:val="39"/>
    <w:rsid w:val="001454B6"/>
    <w:pPr>
      <w:tabs>
        <w:tab w:val="clear" w:pos="794"/>
        <w:tab w:val="clear" w:pos="1191"/>
        <w:tab w:val="clear" w:pos="1588"/>
        <w:tab w:val="clear" w:pos="1985"/>
        <w:tab w:val="left" w:pos="964"/>
        <w:tab w:val="left" w:leader="dot" w:pos="8789"/>
        <w:tab w:val="right" w:pos="9639"/>
      </w:tabs>
      <w:ind w:left="680" w:right="851" w:hanging="680"/>
      <w:jc w:val="left"/>
    </w:pPr>
  </w:style>
  <w:style w:type="paragraph" w:styleId="TOC2">
    <w:name w:val="toc 2"/>
    <w:basedOn w:val="TOC1"/>
    <w:uiPriority w:val="39"/>
    <w:rsid w:val="001454B6"/>
    <w:pPr>
      <w:spacing w:before="80"/>
      <w:ind w:left="1531" w:hanging="851"/>
    </w:pPr>
  </w:style>
  <w:style w:type="paragraph" w:styleId="TOC3">
    <w:name w:val="toc 3"/>
    <w:basedOn w:val="TOC2"/>
    <w:rsid w:val="001454B6"/>
  </w:style>
  <w:style w:type="paragraph" w:customStyle="1" w:styleId="Normalbeforetable">
    <w:name w:val="Normal before table"/>
    <w:basedOn w:val="Normal"/>
    <w:rsid w:val="007B7733"/>
    <w:pPr>
      <w:keepNext/>
      <w:spacing w:after="120"/>
    </w:pPr>
    <w:rPr>
      <w:rFonts w:eastAsia="????"/>
    </w:rPr>
  </w:style>
  <w:style w:type="paragraph" w:customStyle="1" w:styleId="Tablehead">
    <w:name w:val="Table_head"/>
    <w:basedOn w:val="Normal"/>
    <w:next w:val="Tabletext"/>
    <w:rsid w:val="001454B6"/>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1454B6"/>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jc w:val="left"/>
    </w:pPr>
    <w:rPr>
      <w:sz w:val="22"/>
    </w:rPr>
  </w:style>
  <w:style w:type="paragraph" w:customStyle="1" w:styleId="Tabletext">
    <w:name w:val="Table_text"/>
    <w:basedOn w:val="Normal"/>
    <w:rsid w:val="001454B6"/>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pPr>
    <w:rPr>
      <w:sz w:val="22"/>
    </w:rPr>
  </w:style>
  <w:style w:type="paragraph" w:customStyle="1" w:styleId="Headingib">
    <w:name w:val="Heading_ib"/>
    <w:basedOn w:val="Headingi"/>
    <w:next w:val="Normal"/>
    <w:qFormat/>
    <w:rsid w:val="007B7733"/>
    <w:rPr>
      <w:b/>
      <w:bCs/>
    </w:rPr>
  </w:style>
  <w:style w:type="paragraph" w:customStyle="1" w:styleId="References">
    <w:name w:val="References"/>
    <w:basedOn w:val="Normal"/>
    <w:rsid w:val="0077101F"/>
    <w:pPr>
      <w:widowControl w:val="0"/>
      <w:numPr>
        <w:numId w:val="2"/>
      </w:numPr>
    </w:pPr>
    <w:rPr>
      <w:lang w:eastAsia="zh-CN"/>
    </w:rPr>
  </w:style>
  <w:style w:type="paragraph" w:customStyle="1" w:styleId="NormalITU">
    <w:name w:val="Normal_ITU"/>
    <w:basedOn w:val="Normal"/>
    <w:rsid w:val="00C02937"/>
    <w:rPr>
      <w:rFonts w:eastAsiaTheme="minorHAnsi" w:cs="Arial"/>
      <w:lang w:val="en-US"/>
    </w:rPr>
  </w:style>
  <w:style w:type="paragraph" w:customStyle="1" w:styleId="AnnexNotitle">
    <w:name w:val="Annex_No &amp; title"/>
    <w:basedOn w:val="Normal"/>
    <w:next w:val="Normal"/>
    <w:rsid w:val="001454B6"/>
    <w:pPr>
      <w:keepNext/>
      <w:keepLines/>
      <w:spacing w:before="480"/>
      <w:jc w:val="center"/>
    </w:pPr>
    <w:rPr>
      <w:b/>
      <w:sz w:val="28"/>
    </w:rPr>
  </w:style>
  <w:style w:type="paragraph" w:customStyle="1" w:styleId="AppendixNotitle">
    <w:name w:val="Appendix_No &amp; title"/>
    <w:basedOn w:val="AnnexNotitle"/>
    <w:next w:val="Normal"/>
    <w:rsid w:val="001454B6"/>
  </w:style>
  <w:style w:type="paragraph" w:customStyle="1" w:styleId="Figurelegend">
    <w:name w:val="Figure_legend"/>
    <w:basedOn w:val="Normal"/>
    <w:rsid w:val="001454B6"/>
    <w:pPr>
      <w:keepNext/>
      <w:keepLines/>
      <w:tabs>
        <w:tab w:val="clear" w:pos="794"/>
        <w:tab w:val="clear" w:pos="1191"/>
        <w:tab w:val="clear" w:pos="1588"/>
        <w:tab w:val="clear" w:pos="1985"/>
      </w:tabs>
      <w:spacing w:before="20" w:after="20"/>
      <w:jc w:val="left"/>
    </w:pPr>
    <w:rPr>
      <w:sz w:val="18"/>
    </w:rPr>
  </w:style>
  <w:style w:type="paragraph" w:customStyle="1" w:styleId="Title1">
    <w:name w:val="Title 1"/>
    <w:basedOn w:val="Source"/>
    <w:next w:val="Title2"/>
    <w:rsid w:val="001454B6"/>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1454B6"/>
  </w:style>
  <w:style w:type="paragraph" w:customStyle="1" w:styleId="Title3">
    <w:name w:val="Title 3"/>
    <w:basedOn w:val="Title2"/>
    <w:next w:val="Title4"/>
    <w:rsid w:val="001454B6"/>
    <w:rPr>
      <w:caps w:val="0"/>
    </w:rPr>
  </w:style>
  <w:style w:type="paragraph" w:customStyle="1" w:styleId="Title4">
    <w:name w:val="Title 4"/>
    <w:basedOn w:val="Title3"/>
    <w:next w:val="Heading1"/>
    <w:rsid w:val="001454B6"/>
    <w:rPr>
      <w:b/>
    </w:rPr>
  </w:style>
  <w:style w:type="paragraph" w:customStyle="1" w:styleId="Formal">
    <w:name w:val="Formal"/>
    <w:basedOn w:val="ASN1"/>
    <w:rsid w:val="001454B6"/>
    <w:rPr>
      <w:b w:val="0"/>
    </w:rPr>
  </w:style>
  <w:style w:type="paragraph" w:customStyle="1" w:styleId="Docnumber">
    <w:name w:val="Docnumber"/>
    <w:basedOn w:val="Normal"/>
    <w:link w:val="DocnumberChar"/>
    <w:qFormat/>
    <w:rsid w:val="00444784"/>
    <w:pPr>
      <w:jc w:val="right"/>
    </w:pPr>
    <w:rPr>
      <w:rFonts w:eastAsia="SimSun"/>
      <w:b/>
      <w:sz w:val="32"/>
    </w:rPr>
  </w:style>
  <w:style w:type="character" w:customStyle="1" w:styleId="DocnumberChar">
    <w:name w:val="Docnumber Char"/>
    <w:link w:val="Docnumber"/>
    <w:qFormat/>
    <w:rsid w:val="00444784"/>
    <w:rPr>
      <w:rFonts w:eastAsia="SimSun"/>
      <w:b/>
      <w:sz w:val="32"/>
      <w:lang w:val="en-GB"/>
    </w:rPr>
  </w:style>
  <w:style w:type="paragraph" w:styleId="TableofFigures">
    <w:name w:val="table of figures"/>
    <w:basedOn w:val="Normal"/>
    <w:next w:val="Normal"/>
    <w:uiPriority w:val="99"/>
    <w:rsid w:val="007B7733"/>
    <w:pPr>
      <w:tabs>
        <w:tab w:val="right" w:leader="dot" w:pos="9639"/>
      </w:tabs>
    </w:pPr>
  </w:style>
  <w:style w:type="paragraph" w:styleId="Header">
    <w:name w:val="header"/>
    <w:basedOn w:val="Normal"/>
    <w:link w:val="HeaderChar"/>
    <w:rsid w:val="001454B6"/>
    <w:pPr>
      <w:tabs>
        <w:tab w:val="clear" w:pos="794"/>
        <w:tab w:val="clear" w:pos="1191"/>
        <w:tab w:val="clear" w:pos="1588"/>
        <w:tab w:val="clear" w:pos="1985"/>
      </w:tabs>
      <w:spacing w:before="0"/>
      <w:jc w:val="center"/>
    </w:pPr>
    <w:rPr>
      <w:sz w:val="18"/>
    </w:rPr>
  </w:style>
  <w:style w:type="character" w:customStyle="1" w:styleId="HeaderChar">
    <w:name w:val="Header Char"/>
    <w:basedOn w:val="DefaultParagraphFont"/>
    <w:link w:val="Header"/>
    <w:rsid w:val="007B7733"/>
    <w:rPr>
      <w:rFonts w:eastAsia="Times New Roman"/>
      <w:sz w:val="18"/>
      <w:lang w:val="en-GB"/>
    </w:rPr>
  </w:style>
  <w:style w:type="character" w:customStyle="1" w:styleId="ReftextArial9pt">
    <w:name w:val="Ref_text Arial 9 pt"/>
    <w:rsid w:val="007B7733"/>
    <w:rPr>
      <w:rFonts w:ascii="Arial" w:hAnsi="Arial" w:cs="Arial"/>
      <w:sz w:val="18"/>
      <w:szCs w:val="18"/>
    </w:rPr>
  </w:style>
  <w:style w:type="paragraph" w:customStyle="1" w:styleId="LSForAction">
    <w:name w:val="LSForAction"/>
    <w:basedOn w:val="Normal"/>
    <w:rsid w:val="00CB588D"/>
    <w:rPr>
      <w:bCs/>
    </w:rPr>
  </w:style>
  <w:style w:type="paragraph" w:customStyle="1" w:styleId="LSForComment">
    <w:name w:val="LSForComment"/>
    <w:basedOn w:val="LSForAction"/>
    <w:next w:val="Normal"/>
    <w:rsid w:val="00CB588D"/>
  </w:style>
  <w:style w:type="paragraph" w:customStyle="1" w:styleId="LSForInfo">
    <w:name w:val="LSForInfo"/>
    <w:basedOn w:val="LSForAction"/>
    <w:next w:val="Normal"/>
    <w:rsid w:val="00CB588D"/>
  </w:style>
  <w:style w:type="character" w:styleId="PlaceholderText">
    <w:name w:val="Placeholder Text"/>
    <w:uiPriority w:val="99"/>
    <w:semiHidden/>
    <w:rsid w:val="00E03557"/>
    <w:rPr>
      <w:rFonts w:ascii="Times New Roman" w:hAnsi="Times New Roman"/>
      <w:color w:val="808080"/>
    </w:rPr>
  </w:style>
  <w:style w:type="paragraph" w:customStyle="1" w:styleId="enumlev1">
    <w:name w:val="enumlev1"/>
    <w:basedOn w:val="Normal"/>
    <w:rsid w:val="001454B6"/>
    <w:pPr>
      <w:spacing w:before="80"/>
      <w:ind w:left="794" w:hanging="794"/>
    </w:pPr>
  </w:style>
  <w:style w:type="paragraph" w:styleId="Caption">
    <w:name w:val="caption"/>
    <w:basedOn w:val="Normal"/>
    <w:next w:val="Normal"/>
    <w:uiPriority w:val="35"/>
    <w:unhideWhenUsed/>
    <w:qFormat/>
    <w:rsid w:val="007B7733"/>
    <w:pPr>
      <w:spacing w:before="0" w:after="200"/>
    </w:pPr>
    <w:rPr>
      <w:i/>
      <w:iCs/>
      <w:color w:val="44546A" w:themeColor="text2"/>
      <w:sz w:val="18"/>
      <w:szCs w:val="18"/>
    </w:rPr>
  </w:style>
  <w:style w:type="paragraph" w:styleId="Footer">
    <w:name w:val="footer"/>
    <w:basedOn w:val="Normal"/>
    <w:link w:val="FooterChar"/>
    <w:rsid w:val="001454B6"/>
    <w:pPr>
      <w:tabs>
        <w:tab w:val="clear" w:pos="794"/>
        <w:tab w:val="clear" w:pos="1191"/>
        <w:tab w:val="clear" w:pos="1588"/>
        <w:tab w:val="clear" w:pos="1985"/>
        <w:tab w:val="left" w:pos="5954"/>
        <w:tab w:val="right" w:pos="9639"/>
      </w:tabs>
      <w:spacing w:before="0"/>
    </w:pPr>
    <w:rPr>
      <w:caps/>
      <w:noProof/>
      <w:sz w:val="16"/>
    </w:rPr>
  </w:style>
  <w:style w:type="character" w:customStyle="1" w:styleId="FooterChar">
    <w:name w:val="Footer Char"/>
    <w:basedOn w:val="DefaultParagraphFont"/>
    <w:link w:val="Footer"/>
    <w:qFormat/>
    <w:rsid w:val="007B7733"/>
    <w:rPr>
      <w:rFonts w:eastAsia="Times New Roman"/>
      <w:caps/>
      <w:noProof/>
      <w:sz w:val="16"/>
      <w:lang w:val="en-GB"/>
    </w:rPr>
  </w:style>
  <w:style w:type="paragraph" w:styleId="FootnoteText">
    <w:name w:val="footnote text"/>
    <w:basedOn w:val="Note"/>
    <w:link w:val="FootnoteTextChar"/>
    <w:rsid w:val="001454B6"/>
    <w:pPr>
      <w:keepLines/>
      <w:tabs>
        <w:tab w:val="left" w:pos="255"/>
      </w:tabs>
      <w:ind w:left="255" w:hanging="255"/>
    </w:pPr>
  </w:style>
  <w:style w:type="character" w:customStyle="1" w:styleId="FootnoteTextChar">
    <w:name w:val="Footnote Text Char"/>
    <w:basedOn w:val="DefaultParagraphFont"/>
    <w:link w:val="FootnoteText"/>
    <w:rsid w:val="007B7733"/>
    <w:rPr>
      <w:rFonts w:eastAsia="Times New Roman"/>
      <w:sz w:val="22"/>
      <w:lang w:val="en-GB"/>
    </w:rPr>
  </w:style>
  <w:style w:type="character" w:styleId="FootnoteReference">
    <w:name w:val="footnote reference"/>
    <w:basedOn w:val="DefaultParagraphFont"/>
    <w:rsid w:val="001454B6"/>
    <w:rPr>
      <w:position w:val="6"/>
      <w:sz w:val="18"/>
    </w:rPr>
  </w:style>
  <w:style w:type="paragraph" w:styleId="BalloonText">
    <w:name w:val="Balloon Text"/>
    <w:basedOn w:val="Normal"/>
    <w:link w:val="BalloonTextChar"/>
    <w:rsid w:val="001454B6"/>
    <w:pPr>
      <w:spacing w:before="0"/>
    </w:pPr>
    <w:rPr>
      <w:rFonts w:ascii="Tahoma" w:hAnsi="Tahoma" w:cs="Tahoma"/>
      <w:sz w:val="16"/>
      <w:szCs w:val="16"/>
    </w:rPr>
  </w:style>
  <w:style w:type="character" w:customStyle="1" w:styleId="BalloonTextChar">
    <w:name w:val="Balloon Text Char"/>
    <w:basedOn w:val="DefaultParagraphFont"/>
    <w:link w:val="BalloonText"/>
    <w:rsid w:val="001454B6"/>
    <w:rPr>
      <w:rFonts w:ascii="Tahoma" w:eastAsia="Times New Roman" w:hAnsi="Tahoma" w:cs="Tahoma"/>
      <w:sz w:val="16"/>
      <w:szCs w:val="16"/>
      <w:lang w:val="en-GB"/>
    </w:rPr>
  </w:style>
  <w:style w:type="paragraph" w:styleId="Bibliography">
    <w:name w:val="Bibliography"/>
    <w:basedOn w:val="Normal"/>
    <w:next w:val="Normal"/>
    <w:uiPriority w:val="37"/>
    <w:semiHidden/>
    <w:unhideWhenUsed/>
    <w:rsid w:val="007B7733"/>
    <w:rPr>
      <w:rFonts w:eastAsiaTheme="minorHAnsi"/>
    </w:rPr>
  </w:style>
  <w:style w:type="paragraph" w:styleId="BlockText">
    <w:name w:val="Block Text"/>
    <w:basedOn w:val="Normal"/>
    <w:uiPriority w:val="99"/>
    <w:semiHidden/>
    <w:unhideWhenUsed/>
    <w:rsid w:val="007B7733"/>
    <w:pPr>
      <w:pBdr>
        <w:top w:val="single" w:sz="2" w:space="10" w:color="5B9BD5" w:themeColor="accent1" w:frame="1"/>
        <w:left w:val="single" w:sz="2" w:space="10" w:color="5B9BD5" w:themeColor="accent1" w:frame="1"/>
        <w:bottom w:val="single" w:sz="2" w:space="10" w:color="5B9BD5" w:themeColor="accent1" w:frame="1"/>
        <w:right w:val="single" w:sz="2" w:space="10" w:color="5B9BD5" w:themeColor="accent1" w:frame="1"/>
      </w:pBdr>
      <w:ind w:left="1152" w:right="1152"/>
    </w:pPr>
    <w:rPr>
      <w:rFonts w:asciiTheme="minorHAnsi" w:eastAsiaTheme="minorEastAsia" w:hAnsiTheme="minorHAnsi" w:cstheme="minorBidi"/>
      <w:i/>
      <w:iCs/>
      <w:color w:val="5B9BD5" w:themeColor="accent1"/>
    </w:rPr>
  </w:style>
  <w:style w:type="paragraph" w:styleId="BodyText">
    <w:name w:val="Body Text"/>
    <w:basedOn w:val="Normal"/>
    <w:link w:val="BodyTextChar"/>
    <w:uiPriority w:val="1"/>
    <w:qFormat/>
    <w:rsid w:val="001454B6"/>
    <w:pPr>
      <w:widowControl w:val="0"/>
      <w:tabs>
        <w:tab w:val="clear" w:pos="794"/>
        <w:tab w:val="clear" w:pos="1191"/>
        <w:tab w:val="clear" w:pos="1588"/>
        <w:tab w:val="clear" w:pos="1985"/>
      </w:tabs>
      <w:overflowPunct/>
      <w:adjustRightInd/>
      <w:spacing w:before="0"/>
      <w:jc w:val="left"/>
      <w:textAlignment w:val="auto"/>
    </w:pPr>
    <w:rPr>
      <w:rFonts w:ascii="Avenir Next W1G Medium" w:eastAsia="Avenir Next W1G Medium" w:hAnsi="Avenir Next W1G Medium" w:cs="Avenir Next W1G Medium"/>
      <w:b/>
      <w:bCs/>
      <w:sz w:val="48"/>
      <w:szCs w:val="48"/>
      <w:lang w:val="en-US"/>
    </w:rPr>
  </w:style>
  <w:style w:type="character" w:customStyle="1" w:styleId="BodyTextChar">
    <w:name w:val="Body Text Char"/>
    <w:basedOn w:val="DefaultParagraphFont"/>
    <w:link w:val="BodyText"/>
    <w:uiPriority w:val="1"/>
    <w:rsid w:val="001454B6"/>
    <w:rPr>
      <w:rFonts w:ascii="Avenir Next W1G Medium" w:eastAsia="Avenir Next W1G Medium" w:hAnsi="Avenir Next W1G Medium" w:cs="Avenir Next W1G Medium"/>
      <w:b/>
      <w:bCs/>
      <w:sz w:val="48"/>
      <w:szCs w:val="48"/>
    </w:rPr>
  </w:style>
  <w:style w:type="paragraph" w:styleId="BodyText2">
    <w:name w:val="Body Text 2"/>
    <w:basedOn w:val="Normal"/>
    <w:link w:val="BodyText2Char"/>
    <w:uiPriority w:val="99"/>
    <w:semiHidden/>
    <w:unhideWhenUsed/>
    <w:rsid w:val="007B7733"/>
    <w:pPr>
      <w:spacing w:after="120" w:line="480" w:lineRule="auto"/>
    </w:pPr>
  </w:style>
  <w:style w:type="character" w:customStyle="1" w:styleId="BodyText2Char">
    <w:name w:val="Body Text 2 Char"/>
    <w:basedOn w:val="DefaultParagraphFont"/>
    <w:link w:val="BodyText2"/>
    <w:uiPriority w:val="99"/>
    <w:semiHidden/>
    <w:rsid w:val="007B7733"/>
    <w:rPr>
      <w:rFonts w:eastAsiaTheme="minorHAnsi"/>
      <w:sz w:val="24"/>
      <w:szCs w:val="24"/>
      <w:lang w:val="en-GB" w:eastAsia="ja-JP"/>
    </w:rPr>
  </w:style>
  <w:style w:type="paragraph" w:styleId="BodyText3">
    <w:name w:val="Body Text 3"/>
    <w:basedOn w:val="Normal"/>
    <w:link w:val="BodyText3Char"/>
    <w:uiPriority w:val="99"/>
    <w:semiHidden/>
    <w:unhideWhenUsed/>
    <w:rsid w:val="007B7733"/>
    <w:pPr>
      <w:spacing w:after="120"/>
    </w:pPr>
    <w:rPr>
      <w:sz w:val="16"/>
      <w:szCs w:val="16"/>
    </w:rPr>
  </w:style>
  <w:style w:type="character" w:customStyle="1" w:styleId="BodyText3Char">
    <w:name w:val="Body Text 3 Char"/>
    <w:basedOn w:val="DefaultParagraphFont"/>
    <w:link w:val="BodyText3"/>
    <w:uiPriority w:val="99"/>
    <w:semiHidden/>
    <w:rsid w:val="007B7733"/>
    <w:rPr>
      <w:rFonts w:eastAsiaTheme="minorHAnsi"/>
      <w:sz w:val="16"/>
      <w:szCs w:val="16"/>
      <w:lang w:val="en-GB" w:eastAsia="ja-JP"/>
    </w:rPr>
  </w:style>
  <w:style w:type="paragraph" w:styleId="BodyTextFirstIndent">
    <w:name w:val="Body Text First Indent"/>
    <w:basedOn w:val="BodyText"/>
    <w:link w:val="BodyTextFirstIndentChar"/>
    <w:uiPriority w:val="99"/>
    <w:unhideWhenUsed/>
    <w:rsid w:val="007B7733"/>
    <w:pPr>
      <w:ind w:firstLine="360"/>
    </w:pPr>
  </w:style>
  <w:style w:type="character" w:customStyle="1" w:styleId="BodyTextFirstIndentChar">
    <w:name w:val="Body Text First Indent Char"/>
    <w:basedOn w:val="BodyTextChar"/>
    <w:link w:val="BodyTextFirstIndent"/>
    <w:uiPriority w:val="99"/>
    <w:rsid w:val="007B7733"/>
    <w:rPr>
      <w:rFonts w:ascii="Avenir Next W1G Medium" w:eastAsiaTheme="minorHAnsi" w:hAnsi="Avenir Next W1G Medium" w:cs="Avenir Next W1G Medium"/>
      <w:b/>
      <w:bCs/>
      <w:sz w:val="24"/>
      <w:szCs w:val="24"/>
      <w:lang w:val="en-GB" w:eastAsia="ja-JP"/>
    </w:rPr>
  </w:style>
  <w:style w:type="paragraph" w:styleId="BodyTextIndent">
    <w:name w:val="Body Text Indent"/>
    <w:basedOn w:val="Normal"/>
    <w:link w:val="BodyTextIndentChar"/>
    <w:uiPriority w:val="99"/>
    <w:semiHidden/>
    <w:unhideWhenUsed/>
    <w:rsid w:val="007B7733"/>
    <w:pPr>
      <w:spacing w:after="120"/>
      <w:ind w:left="360"/>
    </w:pPr>
  </w:style>
  <w:style w:type="character" w:customStyle="1" w:styleId="BodyTextIndentChar">
    <w:name w:val="Body Text Indent Char"/>
    <w:basedOn w:val="DefaultParagraphFont"/>
    <w:link w:val="BodyTextIndent"/>
    <w:uiPriority w:val="99"/>
    <w:semiHidden/>
    <w:rsid w:val="007B7733"/>
    <w:rPr>
      <w:rFonts w:eastAsiaTheme="minorHAnsi"/>
      <w:sz w:val="24"/>
      <w:szCs w:val="24"/>
      <w:lang w:val="en-GB" w:eastAsia="ja-JP"/>
    </w:rPr>
  </w:style>
  <w:style w:type="paragraph" w:styleId="BodyTextFirstIndent2">
    <w:name w:val="Body Text First Indent 2"/>
    <w:basedOn w:val="BodyTextIndent"/>
    <w:link w:val="BodyTextFirstIndent2Char"/>
    <w:uiPriority w:val="99"/>
    <w:semiHidden/>
    <w:unhideWhenUsed/>
    <w:rsid w:val="007B7733"/>
    <w:pPr>
      <w:spacing w:after="0"/>
      <w:ind w:firstLine="360"/>
    </w:pPr>
  </w:style>
  <w:style w:type="character" w:customStyle="1" w:styleId="BodyTextFirstIndent2Char">
    <w:name w:val="Body Text First Indent 2 Char"/>
    <w:basedOn w:val="BodyTextIndentChar"/>
    <w:link w:val="BodyTextFirstIndent2"/>
    <w:uiPriority w:val="99"/>
    <w:semiHidden/>
    <w:rsid w:val="007B7733"/>
    <w:rPr>
      <w:rFonts w:eastAsiaTheme="minorHAnsi"/>
      <w:sz w:val="24"/>
      <w:szCs w:val="24"/>
      <w:lang w:val="en-GB" w:eastAsia="ja-JP"/>
    </w:rPr>
  </w:style>
  <w:style w:type="paragraph" w:styleId="BodyTextIndent2">
    <w:name w:val="Body Text Indent 2"/>
    <w:basedOn w:val="Normal"/>
    <w:link w:val="BodyTextIndent2Char"/>
    <w:uiPriority w:val="99"/>
    <w:semiHidden/>
    <w:unhideWhenUsed/>
    <w:rsid w:val="007B7733"/>
    <w:pPr>
      <w:spacing w:after="120" w:line="480" w:lineRule="auto"/>
      <w:ind w:left="360"/>
    </w:pPr>
  </w:style>
  <w:style w:type="character" w:customStyle="1" w:styleId="BodyTextIndent2Char">
    <w:name w:val="Body Text Indent 2 Char"/>
    <w:basedOn w:val="DefaultParagraphFont"/>
    <w:link w:val="BodyTextIndent2"/>
    <w:uiPriority w:val="99"/>
    <w:semiHidden/>
    <w:rsid w:val="007B7733"/>
    <w:rPr>
      <w:rFonts w:eastAsiaTheme="minorHAnsi"/>
      <w:sz w:val="24"/>
      <w:szCs w:val="24"/>
      <w:lang w:val="en-GB" w:eastAsia="ja-JP"/>
    </w:rPr>
  </w:style>
  <w:style w:type="paragraph" w:styleId="BodyTextIndent3">
    <w:name w:val="Body Text Indent 3"/>
    <w:basedOn w:val="Normal"/>
    <w:link w:val="BodyTextIndent3Char"/>
    <w:uiPriority w:val="99"/>
    <w:semiHidden/>
    <w:unhideWhenUsed/>
    <w:rsid w:val="007B773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7B7733"/>
    <w:rPr>
      <w:rFonts w:eastAsiaTheme="minorHAnsi"/>
      <w:sz w:val="16"/>
      <w:szCs w:val="16"/>
      <w:lang w:val="en-GB" w:eastAsia="ja-JP"/>
    </w:rPr>
  </w:style>
  <w:style w:type="character" w:styleId="BookTitle">
    <w:name w:val="Book Title"/>
    <w:basedOn w:val="DefaultParagraphFont"/>
    <w:uiPriority w:val="33"/>
    <w:rsid w:val="007B7733"/>
    <w:rPr>
      <w:b/>
      <w:bCs/>
      <w:i/>
      <w:iCs/>
      <w:spacing w:val="5"/>
    </w:rPr>
  </w:style>
  <w:style w:type="paragraph" w:styleId="Closing">
    <w:name w:val="Closing"/>
    <w:basedOn w:val="Normal"/>
    <w:link w:val="ClosingChar"/>
    <w:uiPriority w:val="99"/>
    <w:semiHidden/>
    <w:unhideWhenUsed/>
    <w:rsid w:val="007B7733"/>
    <w:pPr>
      <w:spacing w:before="0"/>
      <w:ind w:left="4320"/>
    </w:pPr>
  </w:style>
  <w:style w:type="character" w:customStyle="1" w:styleId="ClosingChar">
    <w:name w:val="Closing Char"/>
    <w:basedOn w:val="DefaultParagraphFont"/>
    <w:link w:val="Closing"/>
    <w:uiPriority w:val="99"/>
    <w:semiHidden/>
    <w:rsid w:val="007B7733"/>
    <w:rPr>
      <w:rFonts w:eastAsiaTheme="minorHAnsi"/>
      <w:sz w:val="24"/>
      <w:szCs w:val="24"/>
      <w:lang w:val="en-GB" w:eastAsia="ja-JP"/>
    </w:rPr>
  </w:style>
  <w:style w:type="character" w:styleId="CommentReference">
    <w:name w:val="annotation reference"/>
    <w:basedOn w:val="DefaultParagraphFont"/>
    <w:semiHidden/>
    <w:rsid w:val="001454B6"/>
    <w:rPr>
      <w:sz w:val="16"/>
      <w:szCs w:val="16"/>
    </w:rPr>
  </w:style>
  <w:style w:type="paragraph" w:styleId="CommentText">
    <w:name w:val="annotation text"/>
    <w:basedOn w:val="Normal"/>
    <w:link w:val="CommentTextChar"/>
    <w:rsid w:val="001454B6"/>
    <w:pPr>
      <w:tabs>
        <w:tab w:val="clear" w:pos="794"/>
        <w:tab w:val="clear" w:pos="1191"/>
        <w:tab w:val="clear" w:pos="1588"/>
        <w:tab w:val="clear" w:pos="1985"/>
      </w:tabs>
      <w:overflowPunct/>
      <w:autoSpaceDE/>
      <w:autoSpaceDN/>
      <w:adjustRightInd/>
      <w:spacing w:before="0"/>
      <w:jc w:val="left"/>
      <w:textAlignment w:val="auto"/>
    </w:pPr>
    <w:rPr>
      <w:sz w:val="20"/>
      <w:lang w:val="en-US"/>
    </w:rPr>
  </w:style>
  <w:style w:type="character" w:customStyle="1" w:styleId="CommentTextChar">
    <w:name w:val="Comment Text Char"/>
    <w:basedOn w:val="DefaultParagraphFont"/>
    <w:link w:val="CommentText"/>
    <w:rsid w:val="007B7733"/>
    <w:rPr>
      <w:rFonts w:eastAsia="Times New Roman"/>
    </w:rPr>
  </w:style>
  <w:style w:type="paragraph" w:styleId="CommentSubject">
    <w:name w:val="annotation subject"/>
    <w:basedOn w:val="CommentText"/>
    <w:next w:val="CommentText"/>
    <w:link w:val="CommentSubjectChar"/>
    <w:uiPriority w:val="99"/>
    <w:semiHidden/>
    <w:unhideWhenUsed/>
    <w:rsid w:val="007B7733"/>
    <w:rPr>
      <w:b/>
      <w:bCs/>
    </w:rPr>
  </w:style>
  <w:style w:type="character" w:customStyle="1" w:styleId="CommentSubjectChar">
    <w:name w:val="Comment Subject Char"/>
    <w:basedOn w:val="CommentTextChar"/>
    <w:link w:val="CommentSubject"/>
    <w:uiPriority w:val="99"/>
    <w:semiHidden/>
    <w:rsid w:val="007B7733"/>
    <w:rPr>
      <w:rFonts w:eastAsiaTheme="minorHAnsi"/>
      <w:b/>
      <w:bCs/>
      <w:lang w:val="en-GB" w:eastAsia="ja-JP"/>
    </w:rPr>
  </w:style>
  <w:style w:type="paragraph" w:styleId="Date">
    <w:name w:val="Date"/>
    <w:basedOn w:val="Normal"/>
    <w:next w:val="Normal"/>
    <w:link w:val="DateChar"/>
    <w:uiPriority w:val="99"/>
    <w:unhideWhenUsed/>
    <w:rsid w:val="007B7733"/>
  </w:style>
  <w:style w:type="character" w:customStyle="1" w:styleId="DateChar">
    <w:name w:val="Date Char"/>
    <w:basedOn w:val="DefaultParagraphFont"/>
    <w:link w:val="Date"/>
    <w:uiPriority w:val="99"/>
    <w:rsid w:val="007B7733"/>
    <w:rPr>
      <w:rFonts w:eastAsiaTheme="minorHAnsi"/>
      <w:sz w:val="24"/>
      <w:szCs w:val="24"/>
      <w:lang w:val="en-GB" w:eastAsia="ja-JP"/>
    </w:rPr>
  </w:style>
  <w:style w:type="paragraph" w:styleId="DocumentMap">
    <w:name w:val="Document Map"/>
    <w:basedOn w:val="Normal"/>
    <w:link w:val="DocumentMapChar"/>
    <w:uiPriority w:val="99"/>
    <w:semiHidden/>
    <w:unhideWhenUsed/>
    <w:rsid w:val="007B7733"/>
    <w:pPr>
      <w:spacing w:before="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B7733"/>
    <w:rPr>
      <w:rFonts w:ascii="Segoe UI" w:eastAsiaTheme="minorHAnsi" w:hAnsi="Segoe UI" w:cs="Segoe UI"/>
      <w:sz w:val="16"/>
      <w:szCs w:val="16"/>
      <w:lang w:val="en-GB" w:eastAsia="ja-JP"/>
    </w:rPr>
  </w:style>
  <w:style w:type="paragraph" w:styleId="E-mailSignature">
    <w:name w:val="E-mail Signature"/>
    <w:basedOn w:val="Normal"/>
    <w:link w:val="E-mailSignatureChar"/>
    <w:uiPriority w:val="99"/>
    <w:semiHidden/>
    <w:unhideWhenUsed/>
    <w:rsid w:val="007B7733"/>
    <w:pPr>
      <w:spacing w:before="0"/>
    </w:pPr>
  </w:style>
  <w:style w:type="character" w:customStyle="1" w:styleId="E-mailSignatureChar">
    <w:name w:val="E-mail Signature Char"/>
    <w:basedOn w:val="DefaultParagraphFont"/>
    <w:link w:val="E-mailSignature"/>
    <w:uiPriority w:val="99"/>
    <w:semiHidden/>
    <w:rsid w:val="007B7733"/>
    <w:rPr>
      <w:rFonts w:eastAsiaTheme="minorHAnsi"/>
      <w:sz w:val="24"/>
      <w:szCs w:val="24"/>
      <w:lang w:val="en-GB" w:eastAsia="ja-JP"/>
    </w:rPr>
  </w:style>
  <w:style w:type="character" w:styleId="Emphasis">
    <w:name w:val="Emphasis"/>
    <w:basedOn w:val="DefaultParagraphFont"/>
    <w:uiPriority w:val="20"/>
    <w:qFormat/>
    <w:rsid w:val="007B7733"/>
    <w:rPr>
      <w:i/>
      <w:iCs/>
    </w:rPr>
  </w:style>
  <w:style w:type="character" w:styleId="EndnoteReference">
    <w:name w:val="endnote reference"/>
    <w:basedOn w:val="DefaultParagraphFont"/>
    <w:uiPriority w:val="99"/>
    <w:semiHidden/>
    <w:unhideWhenUsed/>
    <w:rsid w:val="007B7733"/>
    <w:rPr>
      <w:vertAlign w:val="superscript"/>
    </w:rPr>
  </w:style>
  <w:style w:type="paragraph" w:styleId="EndnoteText">
    <w:name w:val="endnote text"/>
    <w:basedOn w:val="Normal"/>
    <w:link w:val="EndnoteTextChar"/>
    <w:uiPriority w:val="99"/>
    <w:semiHidden/>
    <w:unhideWhenUsed/>
    <w:rsid w:val="007B7733"/>
    <w:pPr>
      <w:spacing w:before="0"/>
    </w:pPr>
    <w:rPr>
      <w:sz w:val="20"/>
    </w:rPr>
  </w:style>
  <w:style w:type="character" w:customStyle="1" w:styleId="EndnoteTextChar">
    <w:name w:val="Endnote Text Char"/>
    <w:basedOn w:val="DefaultParagraphFont"/>
    <w:link w:val="EndnoteText"/>
    <w:uiPriority w:val="99"/>
    <w:semiHidden/>
    <w:rsid w:val="007B7733"/>
    <w:rPr>
      <w:rFonts w:eastAsiaTheme="minorHAnsi"/>
      <w:lang w:val="en-GB" w:eastAsia="ja-JP"/>
    </w:rPr>
  </w:style>
  <w:style w:type="paragraph" w:styleId="EnvelopeAddress">
    <w:name w:val="envelope address"/>
    <w:basedOn w:val="Normal"/>
    <w:uiPriority w:val="99"/>
    <w:semiHidden/>
    <w:unhideWhenUsed/>
    <w:rsid w:val="007B7733"/>
    <w:pPr>
      <w:framePr w:w="7920" w:h="1980" w:hRule="exact" w:hSpace="180" w:wrap="auto" w:hAnchor="page" w:xAlign="center" w:yAlign="bottom"/>
      <w:spacing w:before="0"/>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7B7733"/>
    <w:pPr>
      <w:spacing w:before="0"/>
    </w:pPr>
    <w:rPr>
      <w:rFonts w:asciiTheme="majorHAnsi" w:eastAsiaTheme="majorEastAsia" w:hAnsiTheme="majorHAnsi" w:cstheme="majorBidi"/>
      <w:sz w:val="20"/>
    </w:rPr>
  </w:style>
  <w:style w:type="character" w:styleId="FollowedHyperlink">
    <w:name w:val="FollowedHyperlink"/>
    <w:basedOn w:val="DefaultParagraphFont"/>
    <w:uiPriority w:val="99"/>
    <w:semiHidden/>
    <w:unhideWhenUsed/>
    <w:rsid w:val="007B7733"/>
    <w:rPr>
      <w:color w:val="954F72" w:themeColor="followedHyperlink"/>
      <w:u w:val="single"/>
    </w:rPr>
  </w:style>
  <w:style w:type="character" w:customStyle="1" w:styleId="Hashtag1">
    <w:name w:val="Hashtag1"/>
    <w:basedOn w:val="DefaultParagraphFont"/>
    <w:uiPriority w:val="99"/>
    <w:semiHidden/>
    <w:unhideWhenUsed/>
    <w:rsid w:val="007B7733"/>
    <w:rPr>
      <w:color w:val="2B579A"/>
      <w:shd w:val="clear" w:color="auto" w:fill="E6E6E6"/>
    </w:rPr>
  </w:style>
  <w:style w:type="character" w:styleId="HTMLAcronym">
    <w:name w:val="HTML Acronym"/>
    <w:basedOn w:val="DefaultParagraphFont"/>
    <w:uiPriority w:val="99"/>
    <w:semiHidden/>
    <w:unhideWhenUsed/>
    <w:rsid w:val="007B7733"/>
  </w:style>
  <w:style w:type="paragraph" w:styleId="HTMLAddress">
    <w:name w:val="HTML Address"/>
    <w:basedOn w:val="Normal"/>
    <w:link w:val="HTMLAddressChar"/>
    <w:uiPriority w:val="99"/>
    <w:semiHidden/>
    <w:unhideWhenUsed/>
    <w:rsid w:val="007B7733"/>
    <w:pPr>
      <w:spacing w:before="0"/>
    </w:pPr>
    <w:rPr>
      <w:i/>
      <w:iCs/>
    </w:rPr>
  </w:style>
  <w:style w:type="character" w:customStyle="1" w:styleId="HTMLAddressChar">
    <w:name w:val="HTML Address Char"/>
    <w:basedOn w:val="DefaultParagraphFont"/>
    <w:link w:val="HTMLAddress"/>
    <w:uiPriority w:val="99"/>
    <w:semiHidden/>
    <w:rsid w:val="007B7733"/>
    <w:rPr>
      <w:rFonts w:eastAsiaTheme="minorHAnsi"/>
      <w:i/>
      <w:iCs/>
      <w:sz w:val="24"/>
      <w:szCs w:val="24"/>
      <w:lang w:val="en-GB" w:eastAsia="ja-JP"/>
    </w:rPr>
  </w:style>
  <w:style w:type="character" w:styleId="HTMLCite">
    <w:name w:val="HTML Cite"/>
    <w:basedOn w:val="DefaultParagraphFont"/>
    <w:uiPriority w:val="99"/>
    <w:semiHidden/>
    <w:unhideWhenUsed/>
    <w:rsid w:val="007B7733"/>
    <w:rPr>
      <w:i/>
      <w:iCs/>
    </w:rPr>
  </w:style>
  <w:style w:type="character" w:styleId="HTMLCode">
    <w:name w:val="HTML Code"/>
    <w:basedOn w:val="DefaultParagraphFont"/>
    <w:uiPriority w:val="99"/>
    <w:semiHidden/>
    <w:unhideWhenUsed/>
    <w:rsid w:val="007B7733"/>
    <w:rPr>
      <w:rFonts w:ascii="Consolas" w:hAnsi="Consolas"/>
      <w:sz w:val="20"/>
      <w:szCs w:val="20"/>
    </w:rPr>
  </w:style>
  <w:style w:type="character" w:styleId="HTMLDefinition">
    <w:name w:val="HTML Definition"/>
    <w:basedOn w:val="DefaultParagraphFont"/>
    <w:uiPriority w:val="99"/>
    <w:semiHidden/>
    <w:unhideWhenUsed/>
    <w:rsid w:val="007B7733"/>
    <w:rPr>
      <w:i/>
      <w:iCs/>
    </w:rPr>
  </w:style>
  <w:style w:type="character" w:styleId="HTMLKeyboard">
    <w:name w:val="HTML Keyboard"/>
    <w:basedOn w:val="DefaultParagraphFont"/>
    <w:uiPriority w:val="99"/>
    <w:semiHidden/>
    <w:unhideWhenUsed/>
    <w:rsid w:val="007B7733"/>
    <w:rPr>
      <w:rFonts w:ascii="Consolas" w:hAnsi="Consolas"/>
      <w:sz w:val="20"/>
      <w:szCs w:val="20"/>
    </w:rPr>
  </w:style>
  <w:style w:type="paragraph" w:styleId="HTMLPreformatted">
    <w:name w:val="HTML Preformatted"/>
    <w:basedOn w:val="Normal"/>
    <w:link w:val="HTMLPreformattedChar"/>
    <w:uiPriority w:val="99"/>
    <w:semiHidden/>
    <w:unhideWhenUsed/>
    <w:rsid w:val="007B7733"/>
    <w:pPr>
      <w:spacing w:before="0"/>
    </w:pPr>
    <w:rPr>
      <w:rFonts w:ascii="Consolas" w:hAnsi="Consolas"/>
      <w:sz w:val="20"/>
    </w:rPr>
  </w:style>
  <w:style w:type="character" w:customStyle="1" w:styleId="HTMLPreformattedChar">
    <w:name w:val="HTML Preformatted Char"/>
    <w:basedOn w:val="DefaultParagraphFont"/>
    <w:link w:val="HTMLPreformatted"/>
    <w:uiPriority w:val="99"/>
    <w:semiHidden/>
    <w:rsid w:val="007B7733"/>
    <w:rPr>
      <w:rFonts w:ascii="Consolas" w:eastAsiaTheme="minorHAnsi" w:hAnsi="Consolas"/>
      <w:lang w:val="en-GB" w:eastAsia="ja-JP"/>
    </w:rPr>
  </w:style>
  <w:style w:type="character" w:styleId="HTMLSample">
    <w:name w:val="HTML Sample"/>
    <w:basedOn w:val="DefaultParagraphFont"/>
    <w:uiPriority w:val="99"/>
    <w:semiHidden/>
    <w:unhideWhenUsed/>
    <w:rsid w:val="007B7733"/>
    <w:rPr>
      <w:rFonts w:ascii="Consolas" w:hAnsi="Consolas"/>
      <w:sz w:val="24"/>
      <w:szCs w:val="24"/>
    </w:rPr>
  </w:style>
  <w:style w:type="character" w:styleId="HTMLTypewriter">
    <w:name w:val="HTML Typewriter"/>
    <w:basedOn w:val="DefaultParagraphFont"/>
    <w:uiPriority w:val="99"/>
    <w:semiHidden/>
    <w:unhideWhenUsed/>
    <w:rsid w:val="007B7733"/>
    <w:rPr>
      <w:rFonts w:ascii="Consolas" w:hAnsi="Consolas"/>
      <w:sz w:val="20"/>
      <w:szCs w:val="20"/>
    </w:rPr>
  </w:style>
  <w:style w:type="character" w:styleId="HTMLVariable">
    <w:name w:val="HTML Variable"/>
    <w:basedOn w:val="DefaultParagraphFont"/>
    <w:uiPriority w:val="99"/>
    <w:semiHidden/>
    <w:unhideWhenUsed/>
    <w:rsid w:val="007B7733"/>
    <w:rPr>
      <w:i/>
      <w:iCs/>
    </w:rPr>
  </w:style>
  <w:style w:type="paragraph" w:styleId="Index1">
    <w:name w:val="index 1"/>
    <w:basedOn w:val="Normal"/>
    <w:next w:val="Normal"/>
    <w:semiHidden/>
    <w:rsid w:val="001454B6"/>
    <w:pPr>
      <w:jc w:val="left"/>
    </w:pPr>
  </w:style>
  <w:style w:type="paragraph" w:styleId="Index2">
    <w:name w:val="index 2"/>
    <w:basedOn w:val="Normal"/>
    <w:next w:val="Normal"/>
    <w:semiHidden/>
    <w:rsid w:val="001454B6"/>
    <w:pPr>
      <w:ind w:left="284"/>
      <w:jc w:val="left"/>
    </w:pPr>
  </w:style>
  <w:style w:type="paragraph" w:styleId="Index3">
    <w:name w:val="index 3"/>
    <w:basedOn w:val="Normal"/>
    <w:next w:val="Normal"/>
    <w:semiHidden/>
    <w:rsid w:val="001454B6"/>
    <w:pPr>
      <w:ind w:left="567"/>
      <w:jc w:val="left"/>
    </w:pPr>
  </w:style>
  <w:style w:type="paragraph" w:styleId="Index4">
    <w:name w:val="index 4"/>
    <w:basedOn w:val="Normal"/>
    <w:next w:val="Normal"/>
    <w:autoRedefine/>
    <w:uiPriority w:val="99"/>
    <w:semiHidden/>
    <w:unhideWhenUsed/>
    <w:rsid w:val="007B7733"/>
    <w:pPr>
      <w:spacing w:before="0"/>
      <w:ind w:left="960" w:hanging="240"/>
    </w:pPr>
  </w:style>
  <w:style w:type="paragraph" w:styleId="Index5">
    <w:name w:val="index 5"/>
    <w:basedOn w:val="Normal"/>
    <w:next w:val="Normal"/>
    <w:autoRedefine/>
    <w:uiPriority w:val="99"/>
    <w:semiHidden/>
    <w:unhideWhenUsed/>
    <w:rsid w:val="007B7733"/>
    <w:pPr>
      <w:spacing w:before="0"/>
      <w:ind w:left="1200" w:hanging="240"/>
    </w:pPr>
  </w:style>
  <w:style w:type="paragraph" w:styleId="Index6">
    <w:name w:val="index 6"/>
    <w:basedOn w:val="Normal"/>
    <w:next w:val="Normal"/>
    <w:autoRedefine/>
    <w:uiPriority w:val="99"/>
    <w:semiHidden/>
    <w:unhideWhenUsed/>
    <w:rsid w:val="007B7733"/>
    <w:pPr>
      <w:spacing w:before="0"/>
      <w:ind w:left="1440" w:hanging="240"/>
    </w:pPr>
  </w:style>
  <w:style w:type="paragraph" w:styleId="Index7">
    <w:name w:val="index 7"/>
    <w:basedOn w:val="Normal"/>
    <w:next w:val="Normal"/>
    <w:autoRedefine/>
    <w:uiPriority w:val="99"/>
    <w:semiHidden/>
    <w:unhideWhenUsed/>
    <w:rsid w:val="007B7733"/>
    <w:pPr>
      <w:spacing w:before="0"/>
      <w:ind w:left="1680" w:hanging="240"/>
    </w:pPr>
  </w:style>
  <w:style w:type="paragraph" w:styleId="Index8">
    <w:name w:val="index 8"/>
    <w:basedOn w:val="Normal"/>
    <w:next w:val="Normal"/>
    <w:autoRedefine/>
    <w:uiPriority w:val="99"/>
    <w:semiHidden/>
    <w:unhideWhenUsed/>
    <w:rsid w:val="007B7733"/>
    <w:pPr>
      <w:spacing w:before="0"/>
      <w:ind w:left="1920" w:hanging="240"/>
    </w:pPr>
  </w:style>
  <w:style w:type="paragraph" w:styleId="Index9">
    <w:name w:val="index 9"/>
    <w:basedOn w:val="Normal"/>
    <w:next w:val="Normal"/>
    <w:autoRedefine/>
    <w:uiPriority w:val="99"/>
    <w:semiHidden/>
    <w:unhideWhenUsed/>
    <w:rsid w:val="007B7733"/>
    <w:pPr>
      <w:spacing w:before="0"/>
      <w:ind w:left="2160" w:hanging="240"/>
    </w:pPr>
  </w:style>
  <w:style w:type="paragraph" w:styleId="IndexHeading">
    <w:name w:val="index heading"/>
    <w:basedOn w:val="Normal"/>
    <w:next w:val="Index1"/>
    <w:uiPriority w:val="99"/>
    <w:semiHidden/>
    <w:unhideWhenUsed/>
    <w:rsid w:val="007B7733"/>
    <w:rPr>
      <w:rFonts w:asciiTheme="majorHAnsi" w:eastAsiaTheme="majorEastAsia" w:hAnsiTheme="majorHAnsi" w:cstheme="majorBidi"/>
      <w:b/>
      <w:bCs/>
    </w:rPr>
  </w:style>
  <w:style w:type="character" w:styleId="IntenseEmphasis">
    <w:name w:val="Intense Emphasis"/>
    <w:basedOn w:val="DefaultParagraphFont"/>
    <w:uiPriority w:val="21"/>
    <w:rsid w:val="007B7733"/>
    <w:rPr>
      <w:i/>
      <w:iCs/>
      <w:color w:val="5B9BD5" w:themeColor="accent1"/>
    </w:rPr>
  </w:style>
  <w:style w:type="paragraph" w:styleId="IntenseQuote">
    <w:name w:val="Intense Quote"/>
    <w:basedOn w:val="Normal"/>
    <w:next w:val="Normal"/>
    <w:link w:val="IntenseQuoteChar"/>
    <w:uiPriority w:val="30"/>
    <w:rsid w:val="007B7733"/>
    <w:pPr>
      <w:pBdr>
        <w:top w:val="single" w:sz="4" w:space="10" w:color="5B9BD5" w:themeColor="accent1"/>
        <w:bottom w:val="single" w:sz="4" w:space="10" w:color="5B9BD5" w:themeColor="accent1"/>
      </w:pBdr>
      <w:spacing w:before="360" w:after="360"/>
      <w:ind w:left="864" w:right="864"/>
      <w:jc w:val="center"/>
    </w:pPr>
    <w:rPr>
      <w:rFonts w:eastAsiaTheme="minorHAnsi"/>
      <w:i/>
      <w:iCs/>
      <w:color w:val="5B9BD5" w:themeColor="accent1"/>
    </w:rPr>
  </w:style>
  <w:style w:type="character" w:customStyle="1" w:styleId="IntenseQuoteChar">
    <w:name w:val="Intense Quote Char"/>
    <w:basedOn w:val="DefaultParagraphFont"/>
    <w:link w:val="IntenseQuote"/>
    <w:uiPriority w:val="30"/>
    <w:rsid w:val="007B7733"/>
    <w:rPr>
      <w:rFonts w:eastAsiaTheme="minorHAnsi"/>
      <w:i/>
      <w:iCs/>
      <w:color w:val="5B9BD5" w:themeColor="accent1"/>
      <w:sz w:val="24"/>
      <w:szCs w:val="24"/>
      <w:lang w:val="en-GB" w:eastAsia="ja-JP"/>
    </w:rPr>
  </w:style>
  <w:style w:type="character" w:styleId="IntenseReference">
    <w:name w:val="Intense Reference"/>
    <w:basedOn w:val="DefaultParagraphFont"/>
    <w:uiPriority w:val="32"/>
    <w:rsid w:val="007B7733"/>
    <w:rPr>
      <w:b/>
      <w:bCs/>
      <w:smallCaps/>
      <w:color w:val="5B9BD5" w:themeColor="accent1"/>
      <w:spacing w:val="5"/>
    </w:rPr>
  </w:style>
  <w:style w:type="character" w:styleId="LineNumber">
    <w:name w:val="line number"/>
    <w:basedOn w:val="DefaultParagraphFont"/>
    <w:uiPriority w:val="99"/>
    <w:semiHidden/>
    <w:unhideWhenUsed/>
    <w:rsid w:val="007B7733"/>
  </w:style>
  <w:style w:type="paragraph" w:styleId="List">
    <w:name w:val="List"/>
    <w:basedOn w:val="Normal"/>
    <w:uiPriority w:val="99"/>
    <w:semiHidden/>
    <w:unhideWhenUsed/>
    <w:rsid w:val="007B7733"/>
    <w:pPr>
      <w:ind w:left="360" w:hanging="360"/>
      <w:contextualSpacing/>
    </w:pPr>
    <w:rPr>
      <w:rFonts w:eastAsiaTheme="minorHAnsi"/>
    </w:rPr>
  </w:style>
  <w:style w:type="paragraph" w:styleId="List2">
    <w:name w:val="List 2"/>
    <w:basedOn w:val="Normal"/>
    <w:uiPriority w:val="99"/>
    <w:semiHidden/>
    <w:unhideWhenUsed/>
    <w:rsid w:val="007B7733"/>
    <w:pPr>
      <w:ind w:left="720" w:hanging="360"/>
      <w:contextualSpacing/>
    </w:pPr>
  </w:style>
  <w:style w:type="paragraph" w:styleId="List3">
    <w:name w:val="List 3"/>
    <w:basedOn w:val="Normal"/>
    <w:uiPriority w:val="99"/>
    <w:semiHidden/>
    <w:unhideWhenUsed/>
    <w:rsid w:val="007B7733"/>
    <w:pPr>
      <w:ind w:left="1080" w:hanging="360"/>
      <w:contextualSpacing/>
    </w:pPr>
  </w:style>
  <w:style w:type="paragraph" w:styleId="List4">
    <w:name w:val="List 4"/>
    <w:basedOn w:val="Normal"/>
    <w:uiPriority w:val="99"/>
    <w:unhideWhenUsed/>
    <w:rsid w:val="007B7733"/>
    <w:pPr>
      <w:ind w:left="1440" w:hanging="360"/>
      <w:contextualSpacing/>
    </w:pPr>
  </w:style>
  <w:style w:type="paragraph" w:styleId="List5">
    <w:name w:val="List 5"/>
    <w:basedOn w:val="Normal"/>
    <w:uiPriority w:val="99"/>
    <w:unhideWhenUsed/>
    <w:rsid w:val="007B7733"/>
    <w:pPr>
      <w:ind w:left="1800" w:hanging="360"/>
      <w:contextualSpacing/>
    </w:pPr>
  </w:style>
  <w:style w:type="paragraph" w:styleId="ListBullet">
    <w:name w:val="List Bullet"/>
    <w:basedOn w:val="Normal"/>
    <w:uiPriority w:val="99"/>
    <w:semiHidden/>
    <w:unhideWhenUsed/>
    <w:rsid w:val="007B7733"/>
    <w:pPr>
      <w:numPr>
        <w:numId w:val="3"/>
      </w:numPr>
      <w:contextualSpacing/>
    </w:pPr>
    <w:rPr>
      <w:rFonts w:eastAsiaTheme="minorHAnsi"/>
    </w:rPr>
  </w:style>
  <w:style w:type="paragraph" w:styleId="ListBullet2">
    <w:name w:val="List Bullet 2"/>
    <w:basedOn w:val="Normal"/>
    <w:uiPriority w:val="99"/>
    <w:semiHidden/>
    <w:unhideWhenUsed/>
    <w:rsid w:val="007B7733"/>
    <w:pPr>
      <w:numPr>
        <w:numId w:val="4"/>
      </w:numPr>
      <w:contextualSpacing/>
    </w:pPr>
  </w:style>
  <w:style w:type="paragraph" w:styleId="ListBullet3">
    <w:name w:val="List Bullet 3"/>
    <w:basedOn w:val="Normal"/>
    <w:uiPriority w:val="99"/>
    <w:semiHidden/>
    <w:unhideWhenUsed/>
    <w:rsid w:val="007B7733"/>
    <w:pPr>
      <w:numPr>
        <w:numId w:val="5"/>
      </w:numPr>
      <w:contextualSpacing/>
    </w:pPr>
  </w:style>
  <w:style w:type="paragraph" w:styleId="ListBullet4">
    <w:name w:val="List Bullet 4"/>
    <w:basedOn w:val="Normal"/>
    <w:uiPriority w:val="99"/>
    <w:semiHidden/>
    <w:unhideWhenUsed/>
    <w:rsid w:val="007B7733"/>
    <w:pPr>
      <w:numPr>
        <w:numId w:val="6"/>
      </w:numPr>
      <w:contextualSpacing/>
    </w:pPr>
  </w:style>
  <w:style w:type="paragraph" w:styleId="ListBullet5">
    <w:name w:val="List Bullet 5"/>
    <w:basedOn w:val="Normal"/>
    <w:uiPriority w:val="99"/>
    <w:semiHidden/>
    <w:unhideWhenUsed/>
    <w:rsid w:val="007B7733"/>
    <w:pPr>
      <w:numPr>
        <w:numId w:val="7"/>
      </w:numPr>
      <w:contextualSpacing/>
    </w:pPr>
  </w:style>
  <w:style w:type="paragraph" w:styleId="ListContinue">
    <w:name w:val="List Continue"/>
    <w:basedOn w:val="Normal"/>
    <w:uiPriority w:val="99"/>
    <w:semiHidden/>
    <w:unhideWhenUsed/>
    <w:rsid w:val="007B7733"/>
    <w:pPr>
      <w:spacing w:after="120"/>
      <w:ind w:left="360"/>
      <w:contextualSpacing/>
    </w:pPr>
  </w:style>
  <w:style w:type="paragraph" w:styleId="ListContinue2">
    <w:name w:val="List Continue 2"/>
    <w:basedOn w:val="Normal"/>
    <w:uiPriority w:val="99"/>
    <w:semiHidden/>
    <w:unhideWhenUsed/>
    <w:rsid w:val="007B7733"/>
    <w:pPr>
      <w:spacing w:after="120"/>
      <w:ind w:left="720"/>
      <w:contextualSpacing/>
    </w:pPr>
  </w:style>
  <w:style w:type="paragraph" w:styleId="ListContinue3">
    <w:name w:val="List Continue 3"/>
    <w:basedOn w:val="Normal"/>
    <w:uiPriority w:val="99"/>
    <w:semiHidden/>
    <w:unhideWhenUsed/>
    <w:rsid w:val="007B7733"/>
    <w:pPr>
      <w:spacing w:after="120"/>
      <w:ind w:left="1080"/>
      <w:contextualSpacing/>
    </w:pPr>
  </w:style>
  <w:style w:type="paragraph" w:styleId="ListContinue4">
    <w:name w:val="List Continue 4"/>
    <w:basedOn w:val="Normal"/>
    <w:uiPriority w:val="99"/>
    <w:semiHidden/>
    <w:unhideWhenUsed/>
    <w:rsid w:val="007B7733"/>
    <w:pPr>
      <w:spacing w:after="120"/>
      <w:ind w:left="1440"/>
      <w:contextualSpacing/>
    </w:pPr>
  </w:style>
  <w:style w:type="paragraph" w:styleId="ListContinue5">
    <w:name w:val="List Continue 5"/>
    <w:basedOn w:val="Normal"/>
    <w:uiPriority w:val="99"/>
    <w:semiHidden/>
    <w:unhideWhenUsed/>
    <w:rsid w:val="007B7733"/>
    <w:pPr>
      <w:spacing w:after="120"/>
      <w:ind w:left="1800"/>
      <w:contextualSpacing/>
    </w:pPr>
  </w:style>
  <w:style w:type="paragraph" w:styleId="ListNumber">
    <w:name w:val="List Number"/>
    <w:basedOn w:val="Normal"/>
    <w:uiPriority w:val="99"/>
    <w:unhideWhenUsed/>
    <w:rsid w:val="007B7733"/>
    <w:pPr>
      <w:numPr>
        <w:numId w:val="8"/>
      </w:numPr>
      <w:contextualSpacing/>
    </w:pPr>
  </w:style>
  <w:style w:type="paragraph" w:styleId="ListNumber2">
    <w:name w:val="List Number 2"/>
    <w:basedOn w:val="Normal"/>
    <w:uiPriority w:val="99"/>
    <w:semiHidden/>
    <w:unhideWhenUsed/>
    <w:rsid w:val="007B7733"/>
    <w:pPr>
      <w:numPr>
        <w:numId w:val="9"/>
      </w:numPr>
      <w:contextualSpacing/>
    </w:pPr>
  </w:style>
  <w:style w:type="paragraph" w:styleId="ListNumber3">
    <w:name w:val="List Number 3"/>
    <w:basedOn w:val="Normal"/>
    <w:uiPriority w:val="99"/>
    <w:semiHidden/>
    <w:unhideWhenUsed/>
    <w:rsid w:val="007B7733"/>
    <w:pPr>
      <w:numPr>
        <w:numId w:val="10"/>
      </w:numPr>
      <w:contextualSpacing/>
    </w:pPr>
  </w:style>
  <w:style w:type="paragraph" w:styleId="ListNumber4">
    <w:name w:val="List Number 4"/>
    <w:basedOn w:val="Normal"/>
    <w:uiPriority w:val="99"/>
    <w:semiHidden/>
    <w:unhideWhenUsed/>
    <w:rsid w:val="007B7733"/>
    <w:pPr>
      <w:numPr>
        <w:numId w:val="11"/>
      </w:numPr>
      <w:contextualSpacing/>
    </w:pPr>
  </w:style>
  <w:style w:type="paragraph" w:styleId="ListNumber5">
    <w:name w:val="List Number 5"/>
    <w:basedOn w:val="Normal"/>
    <w:uiPriority w:val="99"/>
    <w:semiHidden/>
    <w:unhideWhenUsed/>
    <w:rsid w:val="007B7733"/>
    <w:pPr>
      <w:numPr>
        <w:numId w:val="12"/>
      </w:numPr>
      <w:contextualSpacing/>
    </w:pPr>
  </w:style>
  <w:style w:type="paragraph" w:styleId="ListParagraph">
    <w:name w:val="List Paragraph"/>
    <w:aliases w:val="Citation List,List Paragraph Char Char,List Paragraph1,Figure_name,Bullet- First level,Style 2,Numbered Indented Text,List NUmber,TOC style,Listenabsatz1,lp1,List Number1,Resume Title,Citation List1,Citation List2,Citation List3,3,d_bodyb"/>
    <w:basedOn w:val="Normal"/>
    <w:link w:val="ListParagraphChar"/>
    <w:uiPriority w:val="34"/>
    <w:qFormat/>
    <w:rsid w:val="007B7733"/>
    <w:pPr>
      <w:ind w:left="720"/>
      <w:contextualSpacing/>
    </w:pPr>
    <w:rPr>
      <w:rFonts w:eastAsiaTheme="minorHAnsi"/>
    </w:rPr>
  </w:style>
  <w:style w:type="paragraph" w:styleId="MacroText">
    <w:name w:val="macro"/>
    <w:link w:val="MacroTextChar"/>
    <w:uiPriority w:val="99"/>
    <w:semiHidden/>
    <w:unhideWhenUsed/>
    <w:rsid w:val="007B7733"/>
    <w:pPr>
      <w:tabs>
        <w:tab w:val="left" w:pos="480"/>
        <w:tab w:val="left" w:pos="960"/>
        <w:tab w:val="left" w:pos="1440"/>
        <w:tab w:val="left" w:pos="1920"/>
        <w:tab w:val="left" w:pos="2400"/>
        <w:tab w:val="left" w:pos="2880"/>
        <w:tab w:val="left" w:pos="3360"/>
        <w:tab w:val="left" w:pos="3840"/>
        <w:tab w:val="left" w:pos="4320"/>
      </w:tabs>
      <w:spacing w:before="120"/>
    </w:pPr>
    <w:rPr>
      <w:rFonts w:ascii="Consolas" w:eastAsiaTheme="minorHAnsi" w:hAnsi="Consolas"/>
      <w:lang w:val="en-GB" w:eastAsia="ja-JP"/>
    </w:rPr>
  </w:style>
  <w:style w:type="character" w:customStyle="1" w:styleId="MacroTextChar">
    <w:name w:val="Macro Text Char"/>
    <w:basedOn w:val="DefaultParagraphFont"/>
    <w:link w:val="MacroText"/>
    <w:uiPriority w:val="99"/>
    <w:semiHidden/>
    <w:rsid w:val="007B7733"/>
    <w:rPr>
      <w:rFonts w:ascii="Consolas" w:eastAsiaTheme="minorHAnsi" w:hAnsi="Consolas"/>
      <w:lang w:val="en-GB" w:eastAsia="ja-JP"/>
    </w:rPr>
  </w:style>
  <w:style w:type="character" w:customStyle="1" w:styleId="Mention1">
    <w:name w:val="Mention1"/>
    <w:basedOn w:val="DefaultParagraphFont"/>
    <w:uiPriority w:val="99"/>
    <w:semiHidden/>
    <w:unhideWhenUsed/>
    <w:rsid w:val="007B7733"/>
    <w:rPr>
      <w:color w:val="2B579A"/>
      <w:shd w:val="clear" w:color="auto" w:fill="E6E6E6"/>
    </w:rPr>
  </w:style>
  <w:style w:type="paragraph" w:styleId="MessageHeader">
    <w:name w:val="Message Header"/>
    <w:basedOn w:val="Normal"/>
    <w:link w:val="MessageHeaderChar"/>
    <w:uiPriority w:val="99"/>
    <w:semiHidden/>
    <w:unhideWhenUsed/>
    <w:rsid w:val="007B7733"/>
    <w:pPr>
      <w:pBdr>
        <w:top w:val="single" w:sz="6" w:space="1" w:color="auto"/>
        <w:left w:val="single" w:sz="6" w:space="1" w:color="auto"/>
        <w:bottom w:val="single" w:sz="6" w:space="1" w:color="auto"/>
        <w:right w:val="single" w:sz="6" w:space="1" w:color="auto"/>
      </w:pBdr>
      <w:shd w:val="pct20" w:color="auto" w:fill="auto"/>
      <w:spacing w:before="0"/>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7B7733"/>
    <w:rPr>
      <w:rFonts w:asciiTheme="majorHAnsi" w:eastAsiaTheme="majorEastAsia" w:hAnsiTheme="majorHAnsi" w:cstheme="majorBidi"/>
      <w:sz w:val="24"/>
      <w:szCs w:val="24"/>
      <w:shd w:val="pct20" w:color="auto" w:fill="auto"/>
      <w:lang w:val="en-GB" w:eastAsia="ja-JP"/>
    </w:rPr>
  </w:style>
  <w:style w:type="paragraph" w:styleId="NoSpacing">
    <w:name w:val="No Spacing"/>
    <w:uiPriority w:val="1"/>
    <w:rsid w:val="007B7733"/>
    <w:rPr>
      <w:rFonts w:eastAsiaTheme="minorHAnsi"/>
      <w:sz w:val="24"/>
      <w:szCs w:val="24"/>
      <w:lang w:val="en-GB" w:eastAsia="ja-JP"/>
    </w:rPr>
  </w:style>
  <w:style w:type="paragraph" w:styleId="NormalWeb">
    <w:name w:val="Normal (Web)"/>
    <w:basedOn w:val="Normal"/>
    <w:uiPriority w:val="99"/>
    <w:unhideWhenUsed/>
    <w:rsid w:val="007B7733"/>
  </w:style>
  <w:style w:type="paragraph" w:styleId="NormalIndent">
    <w:name w:val="Normal Indent"/>
    <w:basedOn w:val="Normal"/>
    <w:uiPriority w:val="99"/>
    <w:semiHidden/>
    <w:unhideWhenUsed/>
    <w:rsid w:val="007B7733"/>
    <w:pPr>
      <w:ind w:left="720"/>
    </w:pPr>
    <w:rPr>
      <w:rFonts w:eastAsiaTheme="minorHAnsi"/>
    </w:rPr>
  </w:style>
  <w:style w:type="paragraph" w:styleId="NoteHeading">
    <w:name w:val="Note Heading"/>
    <w:basedOn w:val="Normal"/>
    <w:next w:val="Normal"/>
    <w:link w:val="NoteHeadingChar"/>
    <w:uiPriority w:val="99"/>
    <w:semiHidden/>
    <w:unhideWhenUsed/>
    <w:rsid w:val="007B7733"/>
    <w:pPr>
      <w:spacing w:before="0"/>
    </w:pPr>
  </w:style>
  <w:style w:type="character" w:customStyle="1" w:styleId="NoteHeadingChar">
    <w:name w:val="Note Heading Char"/>
    <w:basedOn w:val="DefaultParagraphFont"/>
    <w:link w:val="NoteHeading"/>
    <w:uiPriority w:val="99"/>
    <w:semiHidden/>
    <w:rsid w:val="007B7733"/>
    <w:rPr>
      <w:rFonts w:eastAsiaTheme="minorHAnsi"/>
      <w:sz w:val="24"/>
      <w:szCs w:val="24"/>
      <w:lang w:val="en-GB" w:eastAsia="ja-JP"/>
    </w:rPr>
  </w:style>
  <w:style w:type="character" w:styleId="PageNumber">
    <w:name w:val="page number"/>
    <w:basedOn w:val="DefaultParagraphFont"/>
    <w:rsid w:val="001454B6"/>
  </w:style>
  <w:style w:type="paragraph" w:styleId="PlainText">
    <w:name w:val="Plain Text"/>
    <w:basedOn w:val="Normal"/>
    <w:link w:val="PlainTextChar"/>
    <w:uiPriority w:val="99"/>
    <w:semiHidden/>
    <w:unhideWhenUsed/>
    <w:rsid w:val="007B7733"/>
    <w:pPr>
      <w:spacing w:before="0"/>
    </w:pPr>
    <w:rPr>
      <w:rFonts w:ascii="Consolas" w:hAnsi="Consolas"/>
      <w:sz w:val="21"/>
      <w:szCs w:val="21"/>
    </w:rPr>
  </w:style>
  <w:style w:type="character" w:customStyle="1" w:styleId="PlainTextChar">
    <w:name w:val="Plain Text Char"/>
    <w:basedOn w:val="DefaultParagraphFont"/>
    <w:link w:val="PlainText"/>
    <w:uiPriority w:val="99"/>
    <w:semiHidden/>
    <w:rsid w:val="007B7733"/>
    <w:rPr>
      <w:rFonts w:ascii="Consolas" w:eastAsiaTheme="minorHAnsi" w:hAnsi="Consolas"/>
      <w:sz w:val="21"/>
      <w:szCs w:val="21"/>
      <w:lang w:val="en-GB" w:eastAsia="ja-JP"/>
    </w:rPr>
  </w:style>
  <w:style w:type="paragraph" w:styleId="Quote">
    <w:name w:val="Quote"/>
    <w:basedOn w:val="Normal"/>
    <w:next w:val="Normal"/>
    <w:link w:val="QuoteChar"/>
    <w:uiPriority w:val="29"/>
    <w:rsid w:val="007B7733"/>
    <w:pPr>
      <w:spacing w:before="200" w:after="160"/>
      <w:ind w:left="864" w:right="864"/>
      <w:jc w:val="center"/>
    </w:pPr>
    <w:rPr>
      <w:rFonts w:eastAsiaTheme="minorHAnsi"/>
      <w:i/>
      <w:iCs/>
      <w:color w:val="404040" w:themeColor="text1" w:themeTint="BF"/>
    </w:rPr>
  </w:style>
  <w:style w:type="character" w:customStyle="1" w:styleId="QuoteChar">
    <w:name w:val="Quote Char"/>
    <w:basedOn w:val="DefaultParagraphFont"/>
    <w:link w:val="Quote"/>
    <w:uiPriority w:val="29"/>
    <w:rsid w:val="007B7733"/>
    <w:rPr>
      <w:rFonts w:eastAsiaTheme="minorHAnsi"/>
      <w:i/>
      <w:iCs/>
      <w:color w:val="404040" w:themeColor="text1" w:themeTint="BF"/>
      <w:sz w:val="24"/>
      <w:szCs w:val="24"/>
      <w:lang w:val="en-GB" w:eastAsia="ja-JP"/>
    </w:rPr>
  </w:style>
  <w:style w:type="paragraph" w:styleId="Salutation">
    <w:name w:val="Salutation"/>
    <w:basedOn w:val="Normal"/>
    <w:next w:val="Normal"/>
    <w:link w:val="SalutationChar"/>
    <w:uiPriority w:val="99"/>
    <w:unhideWhenUsed/>
    <w:rsid w:val="007B7733"/>
  </w:style>
  <w:style w:type="character" w:customStyle="1" w:styleId="SalutationChar">
    <w:name w:val="Salutation Char"/>
    <w:basedOn w:val="DefaultParagraphFont"/>
    <w:link w:val="Salutation"/>
    <w:uiPriority w:val="99"/>
    <w:rsid w:val="007B7733"/>
    <w:rPr>
      <w:rFonts w:eastAsiaTheme="minorHAnsi"/>
      <w:sz w:val="24"/>
      <w:szCs w:val="24"/>
      <w:lang w:val="en-GB" w:eastAsia="ja-JP"/>
    </w:rPr>
  </w:style>
  <w:style w:type="paragraph" w:styleId="Signature">
    <w:name w:val="Signature"/>
    <w:basedOn w:val="Normal"/>
    <w:link w:val="SignatureChar"/>
    <w:uiPriority w:val="99"/>
    <w:semiHidden/>
    <w:unhideWhenUsed/>
    <w:rsid w:val="007B7733"/>
    <w:pPr>
      <w:spacing w:before="0"/>
      <w:ind w:left="4320"/>
    </w:pPr>
  </w:style>
  <w:style w:type="character" w:customStyle="1" w:styleId="SignatureChar">
    <w:name w:val="Signature Char"/>
    <w:basedOn w:val="DefaultParagraphFont"/>
    <w:link w:val="Signature"/>
    <w:uiPriority w:val="99"/>
    <w:semiHidden/>
    <w:rsid w:val="007B7733"/>
    <w:rPr>
      <w:rFonts w:eastAsiaTheme="minorHAnsi"/>
      <w:sz w:val="24"/>
      <w:szCs w:val="24"/>
      <w:lang w:val="en-GB" w:eastAsia="ja-JP"/>
    </w:rPr>
  </w:style>
  <w:style w:type="character" w:customStyle="1" w:styleId="SmartHyperlink1">
    <w:name w:val="Smart Hyperlink1"/>
    <w:basedOn w:val="DefaultParagraphFont"/>
    <w:uiPriority w:val="99"/>
    <w:semiHidden/>
    <w:unhideWhenUsed/>
    <w:rsid w:val="007B7733"/>
    <w:rPr>
      <w:u w:val="dotted"/>
    </w:rPr>
  </w:style>
  <w:style w:type="character" w:styleId="Strong">
    <w:name w:val="Strong"/>
    <w:basedOn w:val="DefaultParagraphFont"/>
    <w:uiPriority w:val="22"/>
    <w:qFormat/>
    <w:rsid w:val="007B7733"/>
    <w:rPr>
      <w:b/>
      <w:bCs/>
    </w:rPr>
  </w:style>
  <w:style w:type="paragraph" w:styleId="Subtitle">
    <w:name w:val="Subtitle"/>
    <w:basedOn w:val="Normal"/>
    <w:next w:val="Normal"/>
    <w:link w:val="SubtitleChar"/>
    <w:uiPriority w:val="11"/>
    <w:rsid w:val="007B773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7B7733"/>
    <w:rPr>
      <w:rFonts w:asciiTheme="minorHAnsi" w:eastAsiaTheme="minorEastAsia" w:hAnsiTheme="minorHAnsi" w:cstheme="minorBidi"/>
      <w:color w:val="5A5A5A" w:themeColor="text1" w:themeTint="A5"/>
      <w:spacing w:val="15"/>
      <w:sz w:val="22"/>
      <w:szCs w:val="22"/>
      <w:lang w:val="en-GB" w:eastAsia="ja-JP"/>
    </w:rPr>
  </w:style>
  <w:style w:type="character" w:styleId="SubtleEmphasis">
    <w:name w:val="Subtle Emphasis"/>
    <w:basedOn w:val="DefaultParagraphFont"/>
    <w:uiPriority w:val="19"/>
    <w:rsid w:val="007B7733"/>
    <w:rPr>
      <w:i/>
      <w:iCs/>
      <w:color w:val="404040" w:themeColor="text1" w:themeTint="BF"/>
    </w:rPr>
  </w:style>
  <w:style w:type="character" w:styleId="SubtleReference">
    <w:name w:val="Subtle Reference"/>
    <w:basedOn w:val="DefaultParagraphFont"/>
    <w:uiPriority w:val="31"/>
    <w:rsid w:val="007B7733"/>
    <w:rPr>
      <w:smallCaps/>
      <w:color w:val="5A5A5A" w:themeColor="text1" w:themeTint="A5"/>
    </w:rPr>
  </w:style>
  <w:style w:type="paragraph" w:styleId="TableofAuthorities">
    <w:name w:val="table of authorities"/>
    <w:basedOn w:val="Normal"/>
    <w:next w:val="Normal"/>
    <w:uiPriority w:val="99"/>
    <w:semiHidden/>
    <w:unhideWhenUsed/>
    <w:rsid w:val="007B7733"/>
    <w:pPr>
      <w:ind w:left="240" w:hanging="240"/>
    </w:pPr>
  </w:style>
  <w:style w:type="paragraph" w:styleId="Title">
    <w:name w:val="Title"/>
    <w:basedOn w:val="Normal"/>
    <w:next w:val="Normal"/>
    <w:link w:val="TitleChar"/>
    <w:uiPriority w:val="10"/>
    <w:rsid w:val="007B7733"/>
    <w:pPr>
      <w:spacing w:before="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7733"/>
    <w:rPr>
      <w:rFonts w:asciiTheme="majorHAnsi" w:eastAsiaTheme="majorEastAsia" w:hAnsiTheme="majorHAnsi" w:cstheme="majorBidi"/>
      <w:spacing w:val="-10"/>
      <w:kern w:val="28"/>
      <w:sz w:val="56"/>
      <w:szCs w:val="56"/>
      <w:lang w:val="en-GB" w:eastAsia="ja-JP"/>
    </w:rPr>
  </w:style>
  <w:style w:type="paragraph" w:styleId="TOAHeading">
    <w:name w:val="toa heading"/>
    <w:basedOn w:val="Normal"/>
    <w:next w:val="Normal"/>
    <w:uiPriority w:val="99"/>
    <w:semiHidden/>
    <w:unhideWhenUsed/>
    <w:rsid w:val="007B7733"/>
    <w:rPr>
      <w:rFonts w:asciiTheme="majorHAnsi" w:eastAsiaTheme="majorEastAsia" w:hAnsiTheme="majorHAnsi" w:cstheme="majorBidi"/>
      <w:b/>
      <w:bCs/>
    </w:rPr>
  </w:style>
  <w:style w:type="paragraph" w:styleId="TOC4">
    <w:name w:val="toc 4"/>
    <w:basedOn w:val="TOC3"/>
    <w:semiHidden/>
    <w:rsid w:val="001454B6"/>
  </w:style>
  <w:style w:type="paragraph" w:styleId="TOC5">
    <w:name w:val="toc 5"/>
    <w:basedOn w:val="TOC4"/>
    <w:semiHidden/>
    <w:rsid w:val="001454B6"/>
  </w:style>
  <w:style w:type="paragraph" w:styleId="TOC6">
    <w:name w:val="toc 6"/>
    <w:basedOn w:val="TOC4"/>
    <w:semiHidden/>
    <w:rsid w:val="001454B6"/>
  </w:style>
  <w:style w:type="paragraph" w:styleId="TOC7">
    <w:name w:val="toc 7"/>
    <w:basedOn w:val="TOC4"/>
    <w:semiHidden/>
    <w:rsid w:val="001454B6"/>
  </w:style>
  <w:style w:type="paragraph" w:styleId="TOC8">
    <w:name w:val="toc 8"/>
    <w:basedOn w:val="TOC4"/>
    <w:semiHidden/>
    <w:rsid w:val="001454B6"/>
  </w:style>
  <w:style w:type="paragraph" w:styleId="TOC9">
    <w:name w:val="toc 9"/>
    <w:basedOn w:val="TOC3"/>
    <w:semiHidden/>
    <w:rsid w:val="001454B6"/>
  </w:style>
  <w:style w:type="paragraph" w:styleId="TOCHeading">
    <w:name w:val="TOC Heading"/>
    <w:basedOn w:val="Heading1"/>
    <w:next w:val="Normal"/>
    <w:uiPriority w:val="39"/>
    <w:semiHidden/>
    <w:unhideWhenUsed/>
    <w:rsid w:val="007B7733"/>
    <w:pPr>
      <w:ind w:left="0" w:firstLine="0"/>
      <w:outlineLvl w:val="9"/>
    </w:pPr>
    <w:rPr>
      <w:rFonts w:asciiTheme="majorHAnsi" w:eastAsiaTheme="majorEastAsia" w:hAnsiTheme="majorHAnsi" w:cstheme="majorBidi"/>
      <w:b w:val="0"/>
      <w:bCs/>
      <w:color w:val="2E74B5" w:themeColor="accent1" w:themeShade="BF"/>
      <w:sz w:val="32"/>
    </w:rPr>
  </w:style>
  <w:style w:type="character" w:customStyle="1" w:styleId="UnresolvedMention1">
    <w:name w:val="Unresolved Mention1"/>
    <w:basedOn w:val="DefaultParagraphFont"/>
    <w:uiPriority w:val="99"/>
    <w:semiHidden/>
    <w:unhideWhenUsed/>
    <w:rsid w:val="007B7733"/>
    <w:rPr>
      <w:color w:val="808080"/>
      <w:shd w:val="clear" w:color="auto" w:fill="E6E6E6"/>
    </w:rPr>
  </w:style>
  <w:style w:type="paragraph" w:customStyle="1" w:styleId="toc0">
    <w:name w:val="toc 0"/>
    <w:basedOn w:val="Normal"/>
    <w:next w:val="TOC1"/>
    <w:rsid w:val="001454B6"/>
    <w:pPr>
      <w:keepLines/>
      <w:tabs>
        <w:tab w:val="clear" w:pos="794"/>
        <w:tab w:val="clear" w:pos="1191"/>
        <w:tab w:val="clear" w:pos="1588"/>
        <w:tab w:val="clear" w:pos="1985"/>
        <w:tab w:val="right" w:pos="9639"/>
      </w:tabs>
      <w:jc w:val="left"/>
    </w:pPr>
    <w:rPr>
      <w:b/>
    </w:rPr>
  </w:style>
  <w:style w:type="table" w:styleId="TableGrid">
    <w:name w:val="Table Grid"/>
    <w:basedOn w:val="TableNormal"/>
    <w:rsid w:val="001454B6"/>
    <w:rPr>
      <w:rFonts w:ascii="CG Times" w:eastAsia="Times New Roman" w:hAnsi="CG Times"/>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8">
    <w:name w:val="Pa18"/>
    <w:basedOn w:val="Normal"/>
    <w:next w:val="Normal"/>
    <w:uiPriority w:val="99"/>
    <w:rsid w:val="000E4E08"/>
    <w:pPr>
      <w:spacing w:before="0" w:line="201" w:lineRule="atLeast"/>
    </w:pPr>
    <w:rPr>
      <w:rFonts w:ascii="AvenirNext LT Pro Light" w:eastAsiaTheme="minorHAnsi" w:hAnsi="AvenirNext LT Pro Light" w:cstheme="minorBidi"/>
      <w:lang w:val="en-US"/>
      <w14:ligatures w14:val="standardContextual"/>
    </w:rPr>
  </w:style>
  <w:style w:type="paragraph" w:customStyle="1" w:styleId="Pa4">
    <w:name w:val="Pa4"/>
    <w:basedOn w:val="Normal"/>
    <w:next w:val="Normal"/>
    <w:uiPriority w:val="99"/>
    <w:rsid w:val="000E4E08"/>
    <w:pPr>
      <w:spacing w:before="0" w:line="201" w:lineRule="atLeast"/>
    </w:pPr>
    <w:rPr>
      <w:rFonts w:ascii="AvenirNext LT Pro Light" w:eastAsiaTheme="minorHAnsi" w:hAnsi="AvenirNext LT Pro Light" w:cstheme="minorBidi"/>
      <w:lang w:val="en-US"/>
      <w14:ligatures w14:val="standardContextual"/>
    </w:rPr>
  </w:style>
  <w:style w:type="character" w:customStyle="1" w:styleId="ListParagraphChar">
    <w:name w:val="List Paragraph Char"/>
    <w:aliases w:val="Citation List Char,List Paragraph Char Char Char,List Paragraph1 Char,Figure_name Char,Bullet- First level Char,Style 2 Char,Numbered Indented Text Char,List NUmber Char,TOC style Char,Listenabsatz1 Char,lp1 Char,List Number1 Char"/>
    <w:link w:val="ListParagraph"/>
    <w:uiPriority w:val="34"/>
    <w:qFormat/>
    <w:locked/>
    <w:rsid w:val="000E4E08"/>
    <w:rPr>
      <w:rFonts w:eastAsiaTheme="minorHAnsi"/>
      <w:sz w:val="24"/>
      <w:szCs w:val="24"/>
      <w:lang w:val="en-GB" w:eastAsia="ja-JP"/>
    </w:rPr>
  </w:style>
  <w:style w:type="paragraph" w:customStyle="1" w:styleId="ListBullet1">
    <w:name w:val="List Bullet1"/>
    <w:basedOn w:val="Normal"/>
    <w:next w:val="ListBullet"/>
    <w:uiPriority w:val="99"/>
    <w:semiHidden/>
    <w:unhideWhenUsed/>
    <w:rsid w:val="000E4E08"/>
    <w:pPr>
      <w:tabs>
        <w:tab w:val="num" w:pos="432"/>
      </w:tabs>
      <w:ind w:left="432" w:hanging="432"/>
      <w:contextualSpacing/>
    </w:pPr>
  </w:style>
  <w:style w:type="paragraph" w:styleId="Revision">
    <w:name w:val="Revision"/>
    <w:hidden/>
    <w:uiPriority w:val="99"/>
    <w:semiHidden/>
    <w:rsid w:val="0099055C"/>
    <w:rPr>
      <w:sz w:val="24"/>
      <w:szCs w:val="24"/>
      <w:lang w:val="en-GB" w:eastAsia="ja-JP"/>
    </w:rPr>
  </w:style>
  <w:style w:type="character" w:customStyle="1" w:styleId="UnresolvedMention2">
    <w:name w:val="Unresolved Mention2"/>
    <w:basedOn w:val="DefaultParagraphFont"/>
    <w:uiPriority w:val="99"/>
    <w:semiHidden/>
    <w:unhideWhenUsed/>
    <w:rsid w:val="00E60C20"/>
    <w:rPr>
      <w:color w:val="605E5C"/>
      <w:shd w:val="clear" w:color="auto" w:fill="E1DFDD"/>
    </w:rPr>
  </w:style>
  <w:style w:type="table" w:styleId="PlainTable1">
    <w:name w:val="Plain Table 1"/>
    <w:basedOn w:val="TableNormal"/>
    <w:uiPriority w:val="41"/>
    <w:rsid w:val="00E67E1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rsid w:val="00EC1BF4"/>
    <w:rPr>
      <w:rFonts w:ascii="CG Times" w:eastAsiaTheme="minorEastAsia" w:hAnsi="CG Times"/>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454B6"/>
    <w:rPr>
      <w:color w:val="605E5C"/>
      <w:shd w:val="clear" w:color="auto" w:fill="E1DFDD"/>
    </w:rPr>
  </w:style>
  <w:style w:type="paragraph" w:customStyle="1" w:styleId="AnnexNoTitle0">
    <w:name w:val="Annex_NoTitle"/>
    <w:basedOn w:val="Normal"/>
    <w:next w:val="Normalaftertitle"/>
    <w:rsid w:val="001454B6"/>
    <w:pPr>
      <w:keepNext/>
      <w:keepLines/>
      <w:spacing w:before="720"/>
      <w:jc w:val="center"/>
      <w:outlineLvl w:val="0"/>
    </w:pPr>
    <w:rPr>
      <w:b/>
      <w:sz w:val="28"/>
    </w:rPr>
  </w:style>
  <w:style w:type="character" w:customStyle="1" w:styleId="Appdef">
    <w:name w:val="App_def"/>
    <w:basedOn w:val="DefaultParagraphFont"/>
    <w:rsid w:val="001454B6"/>
    <w:rPr>
      <w:rFonts w:ascii="Times New Roman" w:hAnsi="Times New Roman"/>
      <w:b/>
    </w:rPr>
  </w:style>
  <w:style w:type="character" w:customStyle="1" w:styleId="Appref">
    <w:name w:val="App_ref"/>
    <w:basedOn w:val="DefaultParagraphFont"/>
    <w:rsid w:val="001454B6"/>
  </w:style>
  <w:style w:type="paragraph" w:customStyle="1" w:styleId="AppendixNoTitle0">
    <w:name w:val="Appendix_NoTitle"/>
    <w:basedOn w:val="AnnexNoTitle0"/>
    <w:next w:val="Normalaftertitle"/>
    <w:rsid w:val="001454B6"/>
  </w:style>
  <w:style w:type="character" w:customStyle="1" w:styleId="Artdef">
    <w:name w:val="Art_def"/>
    <w:basedOn w:val="DefaultParagraphFont"/>
    <w:rsid w:val="001454B6"/>
    <w:rPr>
      <w:rFonts w:ascii="Times New Roman" w:hAnsi="Times New Roman"/>
      <w:b/>
    </w:rPr>
  </w:style>
  <w:style w:type="paragraph" w:customStyle="1" w:styleId="Artheading">
    <w:name w:val="Art_heading"/>
    <w:basedOn w:val="Normal"/>
    <w:next w:val="Normalaftertitle"/>
    <w:rsid w:val="001454B6"/>
    <w:pPr>
      <w:spacing w:before="480"/>
      <w:jc w:val="center"/>
    </w:pPr>
    <w:rPr>
      <w:b/>
      <w:sz w:val="28"/>
    </w:rPr>
  </w:style>
  <w:style w:type="paragraph" w:customStyle="1" w:styleId="ArtNo">
    <w:name w:val="Art_No"/>
    <w:basedOn w:val="Normal"/>
    <w:next w:val="Arttitle"/>
    <w:rsid w:val="001454B6"/>
    <w:pPr>
      <w:keepNext/>
      <w:keepLines/>
      <w:spacing w:before="480"/>
      <w:jc w:val="center"/>
    </w:pPr>
    <w:rPr>
      <w:caps/>
      <w:sz w:val="28"/>
    </w:rPr>
  </w:style>
  <w:style w:type="character" w:customStyle="1" w:styleId="Artref">
    <w:name w:val="Art_ref"/>
    <w:basedOn w:val="DefaultParagraphFont"/>
    <w:rsid w:val="001454B6"/>
  </w:style>
  <w:style w:type="paragraph" w:customStyle="1" w:styleId="Arttitle">
    <w:name w:val="Art_title"/>
    <w:basedOn w:val="Normal"/>
    <w:next w:val="Normalaftertitle"/>
    <w:rsid w:val="001454B6"/>
    <w:pPr>
      <w:keepNext/>
      <w:keepLines/>
      <w:spacing w:before="240"/>
      <w:jc w:val="center"/>
    </w:pPr>
    <w:rPr>
      <w:b/>
      <w:sz w:val="28"/>
    </w:rPr>
  </w:style>
  <w:style w:type="paragraph" w:customStyle="1" w:styleId="ASN1">
    <w:name w:val="ASN.1"/>
    <w:rsid w:val="001454B6"/>
    <w:pPr>
      <w:tabs>
        <w:tab w:val="left" w:pos="567"/>
        <w:tab w:val="left" w:pos="1134"/>
        <w:tab w:val="left" w:pos="1701"/>
        <w:tab w:val="left" w:pos="2268"/>
        <w:tab w:val="left" w:pos="2835"/>
        <w:tab w:val="left" w:pos="3402"/>
        <w:tab w:val="left" w:pos="3969"/>
        <w:tab w:val="left" w:pos="4536"/>
        <w:tab w:val="left" w:pos="5103"/>
        <w:tab w:val="left" w:pos="5670"/>
      </w:tabs>
    </w:pPr>
    <w:rPr>
      <w:rFonts w:ascii="Courier New" w:eastAsia="Times New Roman" w:hAnsi="Courier New"/>
      <w:b/>
      <w:noProof/>
      <w:lang w:val="en-GB"/>
    </w:rPr>
  </w:style>
  <w:style w:type="paragraph" w:customStyle="1" w:styleId="Call">
    <w:name w:val="Call"/>
    <w:basedOn w:val="Normal"/>
    <w:next w:val="Normal"/>
    <w:rsid w:val="001454B6"/>
    <w:pPr>
      <w:keepNext/>
      <w:keepLines/>
      <w:spacing w:before="160"/>
      <w:ind w:left="794"/>
      <w:jc w:val="left"/>
    </w:pPr>
    <w:rPr>
      <w:i/>
    </w:rPr>
  </w:style>
  <w:style w:type="paragraph" w:customStyle="1" w:styleId="ChapNo">
    <w:name w:val="Chap_No"/>
    <w:basedOn w:val="Normal"/>
    <w:next w:val="Chaptitle"/>
    <w:rsid w:val="001454B6"/>
    <w:pPr>
      <w:keepNext/>
      <w:keepLines/>
      <w:spacing w:before="480"/>
      <w:jc w:val="center"/>
    </w:pPr>
    <w:rPr>
      <w:b/>
      <w:caps/>
      <w:sz w:val="28"/>
    </w:rPr>
  </w:style>
  <w:style w:type="paragraph" w:customStyle="1" w:styleId="Chaptitle">
    <w:name w:val="Chap_title"/>
    <w:basedOn w:val="Normal"/>
    <w:next w:val="Normalaftertitle"/>
    <w:rsid w:val="001454B6"/>
    <w:pPr>
      <w:keepNext/>
      <w:keepLines/>
      <w:spacing w:before="240"/>
      <w:jc w:val="center"/>
    </w:pPr>
    <w:rPr>
      <w:b/>
      <w:sz w:val="28"/>
    </w:rPr>
  </w:style>
  <w:style w:type="paragraph" w:customStyle="1" w:styleId="Default">
    <w:name w:val="Default"/>
    <w:rsid w:val="001454B6"/>
    <w:pPr>
      <w:autoSpaceDE w:val="0"/>
      <w:autoSpaceDN w:val="0"/>
      <w:adjustRightInd w:val="0"/>
    </w:pPr>
    <w:rPr>
      <w:rFonts w:eastAsia="Times New Roman"/>
      <w:color w:val="000000"/>
      <w:sz w:val="24"/>
      <w:szCs w:val="24"/>
      <w:lang w:val="en-GB" w:eastAsia="zh-CN"/>
    </w:rPr>
  </w:style>
  <w:style w:type="paragraph" w:customStyle="1" w:styleId="enumlev2">
    <w:name w:val="enumlev2"/>
    <w:basedOn w:val="enumlev1"/>
    <w:rsid w:val="001454B6"/>
    <w:pPr>
      <w:ind w:left="1191" w:hanging="397"/>
    </w:pPr>
  </w:style>
  <w:style w:type="paragraph" w:customStyle="1" w:styleId="enumlev3">
    <w:name w:val="enumlev3"/>
    <w:basedOn w:val="enumlev2"/>
    <w:rsid w:val="001454B6"/>
    <w:pPr>
      <w:ind w:left="1588"/>
    </w:pPr>
  </w:style>
  <w:style w:type="paragraph" w:customStyle="1" w:styleId="Equation">
    <w:name w:val="Equation"/>
    <w:basedOn w:val="Normal"/>
    <w:rsid w:val="001454B6"/>
    <w:pPr>
      <w:tabs>
        <w:tab w:val="clear" w:pos="1191"/>
        <w:tab w:val="clear" w:pos="1588"/>
        <w:tab w:val="clear" w:pos="1985"/>
        <w:tab w:val="center" w:pos="4820"/>
        <w:tab w:val="right" w:pos="9639"/>
      </w:tabs>
      <w:jc w:val="left"/>
    </w:pPr>
  </w:style>
  <w:style w:type="paragraph" w:customStyle="1" w:styleId="Equationlegend">
    <w:name w:val="Equation_legend"/>
    <w:basedOn w:val="Normal"/>
    <w:rsid w:val="001454B6"/>
    <w:pPr>
      <w:tabs>
        <w:tab w:val="clear" w:pos="794"/>
        <w:tab w:val="clear" w:pos="1191"/>
        <w:tab w:val="clear" w:pos="1588"/>
        <w:tab w:val="right" w:pos="1814"/>
      </w:tabs>
      <w:spacing w:before="80"/>
      <w:ind w:left="1985" w:hanging="1985"/>
    </w:pPr>
  </w:style>
  <w:style w:type="paragraph" w:customStyle="1" w:styleId="FigureNoTitle">
    <w:name w:val="Figure_NoTitle"/>
    <w:basedOn w:val="Normal"/>
    <w:next w:val="Normalaftertitle"/>
    <w:rsid w:val="001454B6"/>
    <w:pPr>
      <w:keepLines/>
      <w:spacing w:before="240" w:after="120"/>
      <w:jc w:val="center"/>
    </w:pPr>
    <w:rPr>
      <w:b/>
    </w:rPr>
  </w:style>
  <w:style w:type="paragraph" w:customStyle="1" w:styleId="Figurewithouttitle">
    <w:name w:val="Figure_without_title"/>
    <w:basedOn w:val="Normal"/>
    <w:next w:val="Normalaftertitle"/>
    <w:rsid w:val="001454B6"/>
    <w:pPr>
      <w:keepLines/>
      <w:spacing w:before="240" w:after="120"/>
      <w:jc w:val="center"/>
    </w:pPr>
  </w:style>
  <w:style w:type="paragraph" w:customStyle="1" w:styleId="FirstFooter">
    <w:name w:val="FirstFooter"/>
    <w:basedOn w:val="Footer"/>
    <w:rsid w:val="001454B6"/>
    <w:pPr>
      <w:tabs>
        <w:tab w:val="clear" w:pos="5954"/>
        <w:tab w:val="clear" w:pos="9639"/>
      </w:tabs>
      <w:overflowPunct/>
      <w:autoSpaceDE/>
      <w:autoSpaceDN/>
      <w:adjustRightInd/>
      <w:spacing w:before="40"/>
      <w:jc w:val="left"/>
      <w:textAlignment w:val="auto"/>
    </w:pPr>
    <w:rPr>
      <w:caps w:val="0"/>
      <w:noProof w:val="0"/>
    </w:rPr>
  </w:style>
  <w:style w:type="paragraph" w:customStyle="1" w:styleId="FooterQP">
    <w:name w:val="Footer_QP"/>
    <w:basedOn w:val="Normal"/>
    <w:rsid w:val="001454B6"/>
    <w:pPr>
      <w:tabs>
        <w:tab w:val="clear" w:pos="794"/>
        <w:tab w:val="clear" w:pos="1191"/>
        <w:tab w:val="clear" w:pos="1588"/>
        <w:tab w:val="clear" w:pos="1985"/>
        <w:tab w:val="left" w:pos="907"/>
        <w:tab w:val="right" w:pos="8789"/>
        <w:tab w:val="right" w:pos="9639"/>
      </w:tabs>
      <w:spacing w:before="0"/>
      <w:jc w:val="left"/>
    </w:pPr>
    <w:rPr>
      <w:b/>
      <w:sz w:val="22"/>
    </w:rPr>
  </w:style>
  <w:style w:type="paragraph" w:customStyle="1" w:styleId="Normalaftertitle">
    <w:name w:val="Normal_after_title"/>
    <w:basedOn w:val="Normal"/>
    <w:next w:val="Normal"/>
    <w:rsid w:val="001454B6"/>
    <w:pPr>
      <w:spacing w:before="360"/>
    </w:pPr>
  </w:style>
  <w:style w:type="paragraph" w:customStyle="1" w:styleId="PartNo">
    <w:name w:val="Part_No"/>
    <w:basedOn w:val="Normal"/>
    <w:next w:val="Partref"/>
    <w:rsid w:val="001454B6"/>
    <w:pPr>
      <w:keepNext/>
      <w:keepLines/>
      <w:spacing w:before="480" w:after="80"/>
      <w:jc w:val="center"/>
    </w:pPr>
    <w:rPr>
      <w:caps/>
      <w:sz w:val="28"/>
    </w:rPr>
  </w:style>
  <w:style w:type="paragraph" w:customStyle="1" w:styleId="Partref">
    <w:name w:val="Part_ref"/>
    <w:basedOn w:val="Normal"/>
    <w:next w:val="Parttitle"/>
    <w:rsid w:val="001454B6"/>
    <w:pPr>
      <w:keepNext/>
      <w:keepLines/>
      <w:spacing w:before="280"/>
      <w:jc w:val="center"/>
    </w:pPr>
  </w:style>
  <w:style w:type="paragraph" w:customStyle="1" w:styleId="Parttitle">
    <w:name w:val="Part_title"/>
    <w:basedOn w:val="Normal"/>
    <w:next w:val="Normalaftertitle"/>
    <w:rsid w:val="001454B6"/>
    <w:pPr>
      <w:keepNext/>
      <w:keepLines/>
      <w:spacing w:before="240" w:after="280"/>
      <w:jc w:val="center"/>
    </w:pPr>
    <w:rPr>
      <w:b/>
      <w:sz w:val="28"/>
    </w:rPr>
  </w:style>
  <w:style w:type="paragraph" w:customStyle="1" w:styleId="Recdate">
    <w:name w:val="Rec_date"/>
    <w:basedOn w:val="Normal"/>
    <w:next w:val="Normalaftertitle"/>
    <w:rsid w:val="001454B6"/>
    <w:pPr>
      <w:keepNext/>
      <w:keepLines/>
      <w:tabs>
        <w:tab w:val="clear" w:pos="794"/>
        <w:tab w:val="clear" w:pos="1191"/>
        <w:tab w:val="clear" w:pos="1588"/>
        <w:tab w:val="clear" w:pos="1985"/>
      </w:tabs>
      <w:jc w:val="right"/>
    </w:pPr>
    <w:rPr>
      <w:i/>
      <w:sz w:val="22"/>
    </w:rPr>
  </w:style>
  <w:style w:type="paragraph" w:customStyle="1" w:styleId="Questiondate">
    <w:name w:val="Question_date"/>
    <w:basedOn w:val="Recdate"/>
    <w:next w:val="Normalaftertitle"/>
    <w:rsid w:val="001454B6"/>
  </w:style>
  <w:style w:type="paragraph" w:customStyle="1" w:styleId="QuestionNo">
    <w:name w:val="Question_No"/>
    <w:basedOn w:val="RecNo"/>
    <w:next w:val="Questiontitle"/>
    <w:rsid w:val="001454B6"/>
  </w:style>
  <w:style w:type="paragraph" w:customStyle="1" w:styleId="Recref">
    <w:name w:val="Rec_ref"/>
    <w:basedOn w:val="Normal"/>
    <w:next w:val="Recdate"/>
    <w:rsid w:val="001454B6"/>
    <w:pPr>
      <w:keepNext/>
      <w:keepLines/>
      <w:tabs>
        <w:tab w:val="clear" w:pos="794"/>
        <w:tab w:val="clear" w:pos="1191"/>
        <w:tab w:val="clear" w:pos="1588"/>
        <w:tab w:val="clear" w:pos="1985"/>
      </w:tabs>
      <w:jc w:val="center"/>
    </w:pPr>
    <w:rPr>
      <w:i/>
    </w:rPr>
  </w:style>
  <w:style w:type="paragraph" w:customStyle="1" w:styleId="Questionref">
    <w:name w:val="Question_ref"/>
    <w:basedOn w:val="Recref"/>
    <w:next w:val="Questiondate"/>
    <w:rsid w:val="001454B6"/>
  </w:style>
  <w:style w:type="paragraph" w:customStyle="1" w:styleId="Questiontitle">
    <w:name w:val="Question_title"/>
    <w:basedOn w:val="Rectitle"/>
    <w:next w:val="Questionref"/>
    <w:rsid w:val="001454B6"/>
  </w:style>
  <w:style w:type="paragraph" w:customStyle="1" w:styleId="Reftitle">
    <w:name w:val="Ref_title"/>
    <w:basedOn w:val="Normal"/>
    <w:next w:val="Reftext"/>
    <w:rsid w:val="001454B6"/>
    <w:pPr>
      <w:spacing w:before="480"/>
      <w:jc w:val="center"/>
    </w:pPr>
    <w:rPr>
      <w:b/>
    </w:rPr>
  </w:style>
  <w:style w:type="paragraph" w:customStyle="1" w:styleId="Repdate">
    <w:name w:val="Rep_date"/>
    <w:basedOn w:val="Recdate"/>
    <w:next w:val="Normalaftertitle"/>
    <w:rsid w:val="001454B6"/>
  </w:style>
  <w:style w:type="paragraph" w:customStyle="1" w:styleId="RepNo">
    <w:name w:val="Rep_No"/>
    <w:basedOn w:val="RecNo"/>
    <w:next w:val="Reptitle"/>
    <w:rsid w:val="001454B6"/>
  </w:style>
  <w:style w:type="paragraph" w:customStyle="1" w:styleId="Repref">
    <w:name w:val="Rep_ref"/>
    <w:basedOn w:val="Recref"/>
    <w:next w:val="Repdate"/>
    <w:rsid w:val="001454B6"/>
  </w:style>
  <w:style w:type="paragraph" w:customStyle="1" w:styleId="Reptitle">
    <w:name w:val="Rep_title"/>
    <w:basedOn w:val="Rectitle"/>
    <w:next w:val="Repref"/>
    <w:rsid w:val="001454B6"/>
  </w:style>
  <w:style w:type="paragraph" w:customStyle="1" w:styleId="Resdate">
    <w:name w:val="Res_date"/>
    <w:basedOn w:val="Recdate"/>
    <w:next w:val="Normalaftertitle"/>
    <w:rsid w:val="001454B6"/>
  </w:style>
  <w:style w:type="character" w:customStyle="1" w:styleId="Resdef">
    <w:name w:val="Res_def"/>
    <w:basedOn w:val="DefaultParagraphFont"/>
    <w:rsid w:val="001454B6"/>
    <w:rPr>
      <w:rFonts w:ascii="Times New Roman" w:hAnsi="Times New Roman"/>
      <w:b/>
    </w:rPr>
  </w:style>
  <w:style w:type="paragraph" w:customStyle="1" w:styleId="ResNo">
    <w:name w:val="Res_No"/>
    <w:basedOn w:val="RecNo"/>
    <w:next w:val="Restitle"/>
    <w:rsid w:val="001454B6"/>
  </w:style>
  <w:style w:type="paragraph" w:customStyle="1" w:styleId="Resref">
    <w:name w:val="Res_ref"/>
    <w:basedOn w:val="Recref"/>
    <w:next w:val="Resdate"/>
    <w:rsid w:val="001454B6"/>
  </w:style>
  <w:style w:type="paragraph" w:customStyle="1" w:styleId="Restitle">
    <w:name w:val="Res_title"/>
    <w:basedOn w:val="Rectitle"/>
    <w:next w:val="Resref"/>
    <w:rsid w:val="001454B6"/>
  </w:style>
  <w:style w:type="paragraph" w:customStyle="1" w:styleId="Section1">
    <w:name w:val="Section_1"/>
    <w:basedOn w:val="Normal"/>
    <w:next w:val="Normal"/>
    <w:rsid w:val="001454B6"/>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1454B6"/>
    <w:pPr>
      <w:tabs>
        <w:tab w:val="clear" w:pos="794"/>
        <w:tab w:val="clear" w:pos="1191"/>
        <w:tab w:val="clear" w:pos="1588"/>
        <w:tab w:val="clear" w:pos="1985"/>
      </w:tabs>
      <w:spacing w:before="240"/>
      <w:jc w:val="center"/>
    </w:pPr>
    <w:rPr>
      <w:i/>
    </w:rPr>
  </w:style>
  <w:style w:type="paragraph" w:customStyle="1" w:styleId="SectionNo">
    <w:name w:val="Section_No"/>
    <w:basedOn w:val="Normal"/>
    <w:next w:val="Sectiontitle"/>
    <w:rsid w:val="001454B6"/>
    <w:pPr>
      <w:keepNext/>
      <w:keepLines/>
      <w:spacing w:before="480" w:after="80"/>
      <w:jc w:val="center"/>
    </w:pPr>
    <w:rPr>
      <w:caps/>
      <w:sz w:val="28"/>
    </w:rPr>
  </w:style>
  <w:style w:type="paragraph" w:customStyle="1" w:styleId="Sectiontitle">
    <w:name w:val="Section_title"/>
    <w:basedOn w:val="Normal"/>
    <w:next w:val="Normalaftertitle"/>
    <w:rsid w:val="001454B6"/>
    <w:pPr>
      <w:keepNext/>
      <w:keepLines/>
      <w:spacing w:before="480" w:after="280"/>
      <w:jc w:val="center"/>
    </w:pPr>
    <w:rPr>
      <w:b/>
      <w:sz w:val="28"/>
    </w:rPr>
  </w:style>
  <w:style w:type="paragraph" w:customStyle="1" w:styleId="Source">
    <w:name w:val="Source"/>
    <w:basedOn w:val="Normal"/>
    <w:next w:val="Normalaftertitle"/>
    <w:rsid w:val="001454B6"/>
    <w:pPr>
      <w:spacing w:before="840" w:after="200"/>
      <w:jc w:val="center"/>
    </w:pPr>
    <w:rPr>
      <w:b/>
      <w:sz w:val="28"/>
    </w:rPr>
  </w:style>
  <w:style w:type="paragraph" w:customStyle="1" w:styleId="SpecialFooter">
    <w:name w:val="Special Footer"/>
    <w:basedOn w:val="Footer"/>
    <w:rsid w:val="001454B6"/>
    <w:pPr>
      <w:tabs>
        <w:tab w:val="left" w:pos="567"/>
        <w:tab w:val="left" w:pos="1134"/>
        <w:tab w:val="left" w:pos="1701"/>
        <w:tab w:val="left" w:pos="2268"/>
        <w:tab w:val="left" w:pos="2835"/>
      </w:tabs>
    </w:pPr>
    <w:rPr>
      <w:caps w:val="0"/>
      <w:noProof w:val="0"/>
    </w:rPr>
  </w:style>
  <w:style w:type="character" w:customStyle="1" w:styleId="Tablefreq">
    <w:name w:val="Table_freq"/>
    <w:basedOn w:val="DefaultParagraphFont"/>
    <w:rsid w:val="001454B6"/>
    <w:rPr>
      <w:b/>
      <w:color w:val="auto"/>
    </w:rPr>
  </w:style>
  <w:style w:type="paragraph" w:customStyle="1" w:styleId="TableNoTitle0">
    <w:name w:val="Table_NoTitle"/>
    <w:basedOn w:val="Normal"/>
    <w:next w:val="Tablehead"/>
    <w:rsid w:val="001454B6"/>
    <w:pPr>
      <w:keepNext/>
      <w:keepLines/>
      <w:spacing w:before="360" w:after="120"/>
      <w:jc w:val="center"/>
    </w:pPr>
    <w:rPr>
      <w:b/>
    </w:rPr>
  </w:style>
  <w:style w:type="character" w:customStyle="1" w:styleId="FooterChar1">
    <w:name w:val="Footer Char1"/>
    <w:basedOn w:val="DefaultParagraphFont"/>
    <w:qFormat/>
    <w:rsid w:val="00924C67"/>
    <w:rPr>
      <w:rFonts w:eastAsia="Times New Roman"/>
      <w:caps/>
      <w:noProof/>
      <w:sz w:val="16"/>
      <w:lang w:eastAsia="en-US"/>
    </w:rPr>
  </w:style>
  <w:style w:type="character" w:customStyle="1" w:styleId="normaltextrun">
    <w:name w:val="normaltextrun"/>
    <w:basedOn w:val="DefaultParagraphFont"/>
    <w:rsid w:val="00A7464F"/>
  </w:style>
  <w:style w:type="character" w:customStyle="1" w:styleId="eop">
    <w:name w:val="eop"/>
    <w:basedOn w:val="DefaultParagraphFont"/>
    <w:rsid w:val="00A7464F"/>
  </w:style>
  <w:style w:type="character" w:customStyle="1" w:styleId="CommentTextChar1">
    <w:name w:val="Comment Text Char1"/>
    <w:basedOn w:val="DefaultParagraphFont"/>
    <w:rsid w:val="007E45C3"/>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30662">
      <w:bodyDiv w:val="1"/>
      <w:marLeft w:val="0"/>
      <w:marRight w:val="0"/>
      <w:marTop w:val="0"/>
      <w:marBottom w:val="0"/>
      <w:divBdr>
        <w:top w:val="none" w:sz="0" w:space="0" w:color="auto"/>
        <w:left w:val="none" w:sz="0" w:space="0" w:color="auto"/>
        <w:bottom w:val="none" w:sz="0" w:space="0" w:color="auto"/>
        <w:right w:val="none" w:sz="0" w:space="0" w:color="auto"/>
      </w:divBdr>
    </w:div>
    <w:div w:id="69892785">
      <w:bodyDiv w:val="1"/>
      <w:marLeft w:val="0"/>
      <w:marRight w:val="0"/>
      <w:marTop w:val="0"/>
      <w:marBottom w:val="0"/>
      <w:divBdr>
        <w:top w:val="none" w:sz="0" w:space="0" w:color="auto"/>
        <w:left w:val="none" w:sz="0" w:space="0" w:color="auto"/>
        <w:bottom w:val="none" w:sz="0" w:space="0" w:color="auto"/>
        <w:right w:val="none" w:sz="0" w:space="0" w:color="auto"/>
      </w:divBdr>
    </w:div>
    <w:div w:id="78019907">
      <w:bodyDiv w:val="1"/>
      <w:marLeft w:val="0"/>
      <w:marRight w:val="0"/>
      <w:marTop w:val="0"/>
      <w:marBottom w:val="0"/>
      <w:divBdr>
        <w:top w:val="none" w:sz="0" w:space="0" w:color="auto"/>
        <w:left w:val="none" w:sz="0" w:space="0" w:color="auto"/>
        <w:bottom w:val="none" w:sz="0" w:space="0" w:color="auto"/>
        <w:right w:val="none" w:sz="0" w:space="0" w:color="auto"/>
      </w:divBdr>
    </w:div>
    <w:div w:id="84035087">
      <w:bodyDiv w:val="1"/>
      <w:marLeft w:val="0"/>
      <w:marRight w:val="0"/>
      <w:marTop w:val="0"/>
      <w:marBottom w:val="0"/>
      <w:divBdr>
        <w:top w:val="none" w:sz="0" w:space="0" w:color="auto"/>
        <w:left w:val="none" w:sz="0" w:space="0" w:color="auto"/>
        <w:bottom w:val="none" w:sz="0" w:space="0" w:color="auto"/>
        <w:right w:val="none" w:sz="0" w:space="0" w:color="auto"/>
      </w:divBdr>
    </w:div>
    <w:div w:id="186599125">
      <w:bodyDiv w:val="1"/>
      <w:marLeft w:val="0"/>
      <w:marRight w:val="0"/>
      <w:marTop w:val="0"/>
      <w:marBottom w:val="0"/>
      <w:divBdr>
        <w:top w:val="none" w:sz="0" w:space="0" w:color="auto"/>
        <w:left w:val="none" w:sz="0" w:space="0" w:color="auto"/>
        <w:bottom w:val="none" w:sz="0" w:space="0" w:color="auto"/>
        <w:right w:val="none" w:sz="0" w:space="0" w:color="auto"/>
      </w:divBdr>
    </w:div>
    <w:div w:id="187109466">
      <w:bodyDiv w:val="1"/>
      <w:marLeft w:val="0"/>
      <w:marRight w:val="0"/>
      <w:marTop w:val="0"/>
      <w:marBottom w:val="0"/>
      <w:divBdr>
        <w:top w:val="none" w:sz="0" w:space="0" w:color="auto"/>
        <w:left w:val="none" w:sz="0" w:space="0" w:color="auto"/>
        <w:bottom w:val="none" w:sz="0" w:space="0" w:color="auto"/>
        <w:right w:val="none" w:sz="0" w:space="0" w:color="auto"/>
      </w:divBdr>
    </w:div>
    <w:div w:id="204027650">
      <w:bodyDiv w:val="1"/>
      <w:marLeft w:val="0"/>
      <w:marRight w:val="0"/>
      <w:marTop w:val="0"/>
      <w:marBottom w:val="0"/>
      <w:divBdr>
        <w:top w:val="none" w:sz="0" w:space="0" w:color="auto"/>
        <w:left w:val="none" w:sz="0" w:space="0" w:color="auto"/>
        <w:bottom w:val="none" w:sz="0" w:space="0" w:color="auto"/>
        <w:right w:val="none" w:sz="0" w:space="0" w:color="auto"/>
      </w:divBdr>
    </w:div>
    <w:div w:id="221136369">
      <w:bodyDiv w:val="1"/>
      <w:marLeft w:val="0"/>
      <w:marRight w:val="0"/>
      <w:marTop w:val="0"/>
      <w:marBottom w:val="0"/>
      <w:divBdr>
        <w:top w:val="none" w:sz="0" w:space="0" w:color="auto"/>
        <w:left w:val="none" w:sz="0" w:space="0" w:color="auto"/>
        <w:bottom w:val="none" w:sz="0" w:space="0" w:color="auto"/>
        <w:right w:val="none" w:sz="0" w:space="0" w:color="auto"/>
      </w:divBdr>
    </w:div>
    <w:div w:id="247620897">
      <w:bodyDiv w:val="1"/>
      <w:marLeft w:val="0"/>
      <w:marRight w:val="0"/>
      <w:marTop w:val="0"/>
      <w:marBottom w:val="0"/>
      <w:divBdr>
        <w:top w:val="none" w:sz="0" w:space="0" w:color="auto"/>
        <w:left w:val="none" w:sz="0" w:space="0" w:color="auto"/>
        <w:bottom w:val="none" w:sz="0" w:space="0" w:color="auto"/>
        <w:right w:val="none" w:sz="0" w:space="0" w:color="auto"/>
      </w:divBdr>
    </w:div>
    <w:div w:id="306979440">
      <w:bodyDiv w:val="1"/>
      <w:marLeft w:val="0"/>
      <w:marRight w:val="0"/>
      <w:marTop w:val="0"/>
      <w:marBottom w:val="0"/>
      <w:divBdr>
        <w:top w:val="none" w:sz="0" w:space="0" w:color="auto"/>
        <w:left w:val="none" w:sz="0" w:space="0" w:color="auto"/>
        <w:bottom w:val="none" w:sz="0" w:space="0" w:color="auto"/>
        <w:right w:val="none" w:sz="0" w:space="0" w:color="auto"/>
      </w:divBdr>
    </w:div>
    <w:div w:id="316736042">
      <w:bodyDiv w:val="1"/>
      <w:marLeft w:val="0"/>
      <w:marRight w:val="0"/>
      <w:marTop w:val="0"/>
      <w:marBottom w:val="0"/>
      <w:divBdr>
        <w:top w:val="none" w:sz="0" w:space="0" w:color="auto"/>
        <w:left w:val="none" w:sz="0" w:space="0" w:color="auto"/>
        <w:bottom w:val="none" w:sz="0" w:space="0" w:color="auto"/>
        <w:right w:val="none" w:sz="0" w:space="0" w:color="auto"/>
      </w:divBdr>
    </w:div>
    <w:div w:id="317006320">
      <w:bodyDiv w:val="1"/>
      <w:marLeft w:val="0"/>
      <w:marRight w:val="0"/>
      <w:marTop w:val="0"/>
      <w:marBottom w:val="0"/>
      <w:divBdr>
        <w:top w:val="none" w:sz="0" w:space="0" w:color="auto"/>
        <w:left w:val="none" w:sz="0" w:space="0" w:color="auto"/>
        <w:bottom w:val="none" w:sz="0" w:space="0" w:color="auto"/>
        <w:right w:val="none" w:sz="0" w:space="0" w:color="auto"/>
      </w:divBdr>
    </w:div>
    <w:div w:id="352926797">
      <w:bodyDiv w:val="1"/>
      <w:marLeft w:val="0"/>
      <w:marRight w:val="0"/>
      <w:marTop w:val="0"/>
      <w:marBottom w:val="0"/>
      <w:divBdr>
        <w:top w:val="none" w:sz="0" w:space="0" w:color="auto"/>
        <w:left w:val="none" w:sz="0" w:space="0" w:color="auto"/>
        <w:bottom w:val="none" w:sz="0" w:space="0" w:color="auto"/>
        <w:right w:val="none" w:sz="0" w:space="0" w:color="auto"/>
      </w:divBdr>
    </w:div>
    <w:div w:id="364991376">
      <w:bodyDiv w:val="1"/>
      <w:marLeft w:val="0"/>
      <w:marRight w:val="0"/>
      <w:marTop w:val="0"/>
      <w:marBottom w:val="0"/>
      <w:divBdr>
        <w:top w:val="none" w:sz="0" w:space="0" w:color="auto"/>
        <w:left w:val="none" w:sz="0" w:space="0" w:color="auto"/>
        <w:bottom w:val="none" w:sz="0" w:space="0" w:color="auto"/>
        <w:right w:val="none" w:sz="0" w:space="0" w:color="auto"/>
      </w:divBdr>
    </w:div>
    <w:div w:id="375391211">
      <w:bodyDiv w:val="1"/>
      <w:marLeft w:val="0"/>
      <w:marRight w:val="0"/>
      <w:marTop w:val="0"/>
      <w:marBottom w:val="0"/>
      <w:divBdr>
        <w:top w:val="none" w:sz="0" w:space="0" w:color="auto"/>
        <w:left w:val="none" w:sz="0" w:space="0" w:color="auto"/>
        <w:bottom w:val="none" w:sz="0" w:space="0" w:color="auto"/>
        <w:right w:val="none" w:sz="0" w:space="0" w:color="auto"/>
      </w:divBdr>
    </w:div>
    <w:div w:id="389111252">
      <w:bodyDiv w:val="1"/>
      <w:marLeft w:val="0"/>
      <w:marRight w:val="0"/>
      <w:marTop w:val="0"/>
      <w:marBottom w:val="0"/>
      <w:divBdr>
        <w:top w:val="none" w:sz="0" w:space="0" w:color="auto"/>
        <w:left w:val="none" w:sz="0" w:space="0" w:color="auto"/>
        <w:bottom w:val="none" w:sz="0" w:space="0" w:color="auto"/>
        <w:right w:val="none" w:sz="0" w:space="0" w:color="auto"/>
      </w:divBdr>
    </w:div>
    <w:div w:id="396588660">
      <w:bodyDiv w:val="1"/>
      <w:marLeft w:val="0"/>
      <w:marRight w:val="0"/>
      <w:marTop w:val="0"/>
      <w:marBottom w:val="0"/>
      <w:divBdr>
        <w:top w:val="none" w:sz="0" w:space="0" w:color="auto"/>
        <w:left w:val="none" w:sz="0" w:space="0" w:color="auto"/>
        <w:bottom w:val="none" w:sz="0" w:space="0" w:color="auto"/>
        <w:right w:val="none" w:sz="0" w:space="0" w:color="auto"/>
      </w:divBdr>
    </w:div>
    <w:div w:id="433017032">
      <w:bodyDiv w:val="1"/>
      <w:marLeft w:val="0"/>
      <w:marRight w:val="0"/>
      <w:marTop w:val="0"/>
      <w:marBottom w:val="0"/>
      <w:divBdr>
        <w:top w:val="none" w:sz="0" w:space="0" w:color="auto"/>
        <w:left w:val="none" w:sz="0" w:space="0" w:color="auto"/>
        <w:bottom w:val="none" w:sz="0" w:space="0" w:color="auto"/>
        <w:right w:val="none" w:sz="0" w:space="0" w:color="auto"/>
      </w:divBdr>
    </w:div>
    <w:div w:id="508444272">
      <w:bodyDiv w:val="1"/>
      <w:marLeft w:val="0"/>
      <w:marRight w:val="0"/>
      <w:marTop w:val="0"/>
      <w:marBottom w:val="0"/>
      <w:divBdr>
        <w:top w:val="none" w:sz="0" w:space="0" w:color="auto"/>
        <w:left w:val="none" w:sz="0" w:space="0" w:color="auto"/>
        <w:bottom w:val="none" w:sz="0" w:space="0" w:color="auto"/>
        <w:right w:val="none" w:sz="0" w:space="0" w:color="auto"/>
      </w:divBdr>
    </w:div>
    <w:div w:id="508523248">
      <w:bodyDiv w:val="1"/>
      <w:marLeft w:val="0"/>
      <w:marRight w:val="0"/>
      <w:marTop w:val="0"/>
      <w:marBottom w:val="0"/>
      <w:divBdr>
        <w:top w:val="none" w:sz="0" w:space="0" w:color="auto"/>
        <w:left w:val="none" w:sz="0" w:space="0" w:color="auto"/>
        <w:bottom w:val="none" w:sz="0" w:space="0" w:color="auto"/>
        <w:right w:val="none" w:sz="0" w:space="0" w:color="auto"/>
      </w:divBdr>
    </w:div>
    <w:div w:id="535512166">
      <w:bodyDiv w:val="1"/>
      <w:marLeft w:val="0"/>
      <w:marRight w:val="0"/>
      <w:marTop w:val="0"/>
      <w:marBottom w:val="0"/>
      <w:divBdr>
        <w:top w:val="none" w:sz="0" w:space="0" w:color="auto"/>
        <w:left w:val="none" w:sz="0" w:space="0" w:color="auto"/>
        <w:bottom w:val="none" w:sz="0" w:space="0" w:color="auto"/>
        <w:right w:val="none" w:sz="0" w:space="0" w:color="auto"/>
      </w:divBdr>
    </w:div>
    <w:div w:id="545409055">
      <w:bodyDiv w:val="1"/>
      <w:marLeft w:val="0"/>
      <w:marRight w:val="0"/>
      <w:marTop w:val="0"/>
      <w:marBottom w:val="0"/>
      <w:divBdr>
        <w:top w:val="none" w:sz="0" w:space="0" w:color="auto"/>
        <w:left w:val="none" w:sz="0" w:space="0" w:color="auto"/>
        <w:bottom w:val="none" w:sz="0" w:space="0" w:color="auto"/>
        <w:right w:val="none" w:sz="0" w:space="0" w:color="auto"/>
      </w:divBdr>
    </w:div>
    <w:div w:id="552082229">
      <w:bodyDiv w:val="1"/>
      <w:marLeft w:val="0"/>
      <w:marRight w:val="0"/>
      <w:marTop w:val="0"/>
      <w:marBottom w:val="0"/>
      <w:divBdr>
        <w:top w:val="none" w:sz="0" w:space="0" w:color="auto"/>
        <w:left w:val="none" w:sz="0" w:space="0" w:color="auto"/>
        <w:bottom w:val="none" w:sz="0" w:space="0" w:color="auto"/>
        <w:right w:val="none" w:sz="0" w:space="0" w:color="auto"/>
      </w:divBdr>
    </w:div>
    <w:div w:id="569776670">
      <w:bodyDiv w:val="1"/>
      <w:marLeft w:val="0"/>
      <w:marRight w:val="0"/>
      <w:marTop w:val="0"/>
      <w:marBottom w:val="0"/>
      <w:divBdr>
        <w:top w:val="none" w:sz="0" w:space="0" w:color="auto"/>
        <w:left w:val="none" w:sz="0" w:space="0" w:color="auto"/>
        <w:bottom w:val="none" w:sz="0" w:space="0" w:color="auto"/>
        <w:right w:val="none" w:sz="0" w:space="0" w:color="auto"/>
      </w:divBdr>
    </w:div>
    <w:div w:id="580411493">
      <w:bodyDiv w:val="1"/>
      <w:marLeft w:val="0"/>
      <w:marRight w:val="0"/>
      <w:marTop w:val="0"/>
      <w:marBottom w:val="0"/>
      <w:divBdr>
        <w:top w:val="none" w:sz="0" w:space="0" w:color="auto"/>
        <w:left w:val="none" w:sz="0" w:space="0" w:color="auto"/>
        <w:bottom w:val="none" w:sz="0" w:space="0" w:color="auto"/>
        <w:right w:val="none" w:sz="0" w:space="0" w:color="auto"/>
      </w:divBdr>
    </w:div>
    <w:div w:id="595359486">
      <w:bodyDiv w:val="1"/>
      <w:marLeft w:val="0"/>
      <w:marRight w:val="0"/>
      <w:marTop w:val="0"/>
      <w:marBottom w:val="0"/>
      <w:divBdr>
        <w:top w:val="none" w:sz="0" w:space="0" w:color="auto"/>
        <w:left w:val="none" w:sz="0" w:space="0" w:color="auto"/>
        <w:bottom w:val="none" w:sz="0" w:space="0" w:color="auto"/>
        <w:right w:val="none" w:sz="0" w:space="0" w:color="auto"/>
      </w:divBdr>
    </w:div>
    <w:div w:id="608704334">
      <w:bodyDiv w:val="1"/>
      <w:marLeft w:val="0"/>
      <w:marRight w:val="0"/>
      <w:marTop w:val="0"/>
      <w:marBottom w:val="0"/>
      <w:divBdr>
        <w:top w:val="none" w:sz="0" w:space="0" w:color="auto"/>
        <w:left w:val="none" w:sz="0" w:space="0" w:color="auto"/>
        <w:bottom w:val="none" w:sz="0" w:space="0" w:color="auto"/>
        <w:right w:val="none" w:sz="0" w:space="0" w:color="auto"/>
      </w:divBdr>
    </w:div>
    <w:div w:id="624506926">
      <w:bodyDiv w:val="1"/>
      <w:marLeft w:val="0"/>
      <w:marRight w:val="0"/>
      <w:marTop w:val="0"/>
      <w:marBottom w:val="0"/>
      <w:divBdr>
        <w:top w:val="none" w:sz="0" w:space="0" w:color="auto"/>
        <w:left w:val="none" w:sz="0" w:space="0" w:color="auto"/>
        <w:bottom w:val="none" w:sz="0" w:space="0" w:color="auto"/>
        <w:right w:val="none" w:sz="0" w:space="0" w:color="auto"/>
      </w:divBdr>
    </w:div>
    <w:div w:id="631910017">
      <w:bodyDiv w:val="1"/>
      <w:marLeft w:val="0"/>
      <w:marRight w:val="0"/>
      <w:marTop w:val="0"/>
      <w:marBottom w:val="0"/>
      <w:divBdr>
        <w:top w:val="none" w:sz="0" w:space="0" w:color="auto"/>
        <w:left w:val="none" w:sz="0" w:space="0" w:color="auto"/>
        <w:bottom w:val="none" w:sz="0" w:space="0" w:color="auto"/>
        <w:right w:val="none" w:sz="0" w:space="0" w:color="auto"/>
      </w:divBdr>
    </w:div>
    <w:div w:id="721371170">
      <w:bodyDiv w:val="1"/>
      <w:marLeft w:val="0"/>
      <w:marRight w:val="0"/>
      <w:marTop w:val="0"/>
      <w:marBottom w:val="0"/>
      <w:divBdr>
        <w:top w:val="none" w:sz="0" w:space="0" w:color="auto"/>
        <w:left w:val="none" w:sz="0" w:space="0" w:color="auto"/>
        <w:bottom w:val="none" w:sz="0" w:space="0" w:color="auto"/>
        <w:right w:val="none" w:sz="0" w:space="0" w:color="auto"/>
      </w:divBdr>
    </w:div>
    <w:div w:id="743063385">
      <w:bodyDiv w:val="1"/>
      <w:marLeft w:val="0"/>
      <w:marRight w:val="0"/>
      <w:marTop w:val="0"/>
      <w:marBottom w:val="0"/>
      <w:divBdr>
        <w:top w:val="none" w:sz="0" w:space="0" w:color="auto"/>
        <w:left w:val="none" w:sz="0" w:space="0" w:color="auto"/>
        <w:bottom w:val="none" w:sz="0" w:space="0" w:color="auto"/>
        <w:right w:val="none" w:sz="0" w:space="0" w:color="auto"/>
      </w:divBdr>
    </w:div>
    <w:div w:id="790824269">
      <w:bodyDiv w:val="1"/>
      <w:marLeft w:val="0"/>
      <w:marRight w:val="0"/>
      <w:marTop w:val="0"/>
      <w:marBottom w:val="0"/>
      <w:divBdr>
        <w:top w:val="none" w:sz="0" w:space="0" w:color="auto"/>
        <w:left w:val="none" w:sz="0" w:space="0" w:color="auto"/>
        <w:bottom w:val="none" w:sz="0" w:space="0" w:color="auto"/>
        <w:right w:val="none" w:sz="0" w:space="0" w:color="auto"/>
      </w:divBdr>
    </w:div>
    <w:div w:id="800078247">
      <w:bodyDiv w:val="1"/>
      <w:marLeft w:val="0"/>
      <w:marRight w:val="0"/>
      <w:marTop w:val="0"/>
      <w:marBottom w:val="0"/>
      <w:divBdr>
        <w:top w:val="none" w:sz="0" w:space="0" w:color="auto"/>
        <w:left w:val="none" w:sz="0" w:space="0" w:color="auto"/>
        <w:bottom w:val="none" w:sz="0" w:space="0" w:color="auto"/>
        <w:right w:val="none" w:sz="0" w:space="0" w:color="auto"/>
      </w:divBdr>
    </w:div>
    <w:div w:id="823935516">
      <w:bodyDiv w:val="1"/>
      <w:marLeft w:val="0"/>
      <w:marRight w:val="0"/>
      <w:marTop w:val="0"/>
      <w:marBottom w:val="0"/>
      <w:divBdr>
        <w:top w:val="none" w:sz="0" w:space="0" w:color="auto"/>
        <w:left w:val="none" w:sz="0" w:space="0" w:color="auto"/>
        <w:bottom w:val="none" w:sz="0" w:space="0" w:color="auto"/>
        <w:right w:val="none" w:sz="0" w:space="0" w:color="auto"/>
      </w:divBdr>
    </w:div>
    <w:div w:id="851141652">
      <w:bodyDiv w:val="1"/>
      <w:marLeft w:val="0"/>
      <w:marRight w:val="0"/>
      <w:marTop w:val="0"/>
      <w:marBottom w:val="0"/>
      <w:divBdr>
        <w:top w:val="none" w:sz="0" w:space="0" w:color="auto"/>
        <w:left w:val="none" w:sz="0" w:space="0" w:color="auto"/>
        <w:bottom w:val="none" w:sz="0" w:space="0" w:color="auto"/>
        <w:right w:val="none" w:sz="0" w:space="0" w:color="auto"/>
      </w:divBdr>
    </w:div>
    <w:div w:id="871773319">
      <w:bodyDiv w:val="1"/>
      <w:marLeft w:val="0"/>
      <w:marRight w:val="0"/>
      <w:marTop w:val="0"/>
      <w:marBottom w:val="0"/>
      <w:divBdr>
        <w:top w:val="none" w:sz="0" w:space="0" w:color="auto"/>
        <w:left w:val="none" w:sz="0" w:space="0" w:color="auto"/>
        <w:bottom w:val="none" w:sz="0" w:space="0" w:color="auto"/>
        <w:right w:val="none" w:sz="0" w:space="0" w:color="auto"/>
      </w:divBdr>
    </w:div>
    <w:div w:id="886065685">
      <w:bodyDiv w:val="1"/>
      <w:marLeft w:val="0"/>
      <w:marRight w:val="0"/>
      <w:marTop w:val="0"/>
      <w:marBottom w:val="0"/>
      <w:divBdr>
        <w:top w:val="none" w:sz="0" w:space="0" w:color="auto"/>
        <w:left w:val="none" w:sz="0" w:space="0" w:color="auto"/>
        <w:bottom w:val="none" w:sz="0" w:space="0" w:color="auto"/>
        <w:right w:val="none" w:sz="0" w:space="0" w:color="auto"/>
      </w:divBdr>
    </w:div>
    <w:div w:id="902957391">
      <w:bodyDiv w:val="1"/>
      <w:marLeft w:val="0"/>
      <w:marRight w:val="0"/>
      <w:marTop w:val="0"/>
      <w:marBottom w:val="0"/>
      <w:divBdr>
        <w:top w:val="none" w:sz="0" w:space="0" w:color="auto"/>
        <w:left w:val="none" w:sz="0" w:space="0" w:color="auto"/>
        <w:bottom w:val="none" w:sz="0" w:space="0" w:color="auto"/>
        <w:right w:val="none" w:sz="0" w:space="0" w:color="auto"/>
      </w:divBdr>
    </w:div>
    <w:div w:id="932321064">
      <w:bodyDiv w:val="1"/>
      <w:marLeft w:val="0"/>
      <w:marRight w:val="0"/>
      <w:marTop w:val="0"/>
      <w:marBottom w:val="0"/>
      <w:divBdr>
        <w:top w:val="none" w:sz="0" w:space="0" w:color="auto"/>
        <w:left w:val="none" w:sz="0" w:space="0" w:color="auto"/>
        <w:bottom w:val="none" w:sz="0" w:space="0" w:color="auto"/>
        <w:right w:val="none" w:sz="0" w:space="0" w:color="auto"/>
      </w:divBdr>
    </w:div>
    <w:div w:id="944339287">
      <w:bodyDiv w:val="1"/>
      <w:marLeft w:val="0"/>
      <w:marRight w:val="0"/>
      <w:marTop w:val="0"/>
      <w:marBottom w:val="0"/>
      <w:divBdr>
        <w:top w:val="none" w:sz="0" w:space="0" w:color="auto"/>
        <w:left w:val="none" w:sz="0" w:space="0" w:color="auto"/>
        <w:bottom w:val="none" w:sz="0" w:space="0" w:color="auto"/>
        <w:right w:val="none" w:sz="0" w:space="0" w:color="auto"/>
      </w:divBdr>
    </w:div>
    <w:div w:id="944460692">
      <w:bodyDiv w:val="1"/>
      <w:marLeft w:val="0"/>
      <w:marRight w:val="0"/>
      <w:marTop w:val="0"/>
      <w:marBottom w:val="0"/>
      <w:divBdr>
        <w:top w:val="none" w:sz="0" w:space="0" w:color="auto"/>
        <w:left w:val="none" w:sz="0" w:space="0" w:color="auto"/>
        <w:bottom w:val="none" w:sz="0" w:space="0" w:color="auto"/>
        <w:right w:val="none" w:sz="0" w:space="0" w:color="auto"/>
      </w:divBdr>
    </w:div>
    <w:div w:id="960526766">
      <w:bodyDiv w:val="1"/>
      <w:marLeft w:val="0"/>
      <w:marRight w:val="0"/>
      <w:marTop w:val="0"/>
      <w:marBottom w:val="0"/>
      <w:divBdr>
        <w:top w:val="none" w:sz="0" w:space="0" w:color="auto"/>
        <w:left w:val="none" w:sz="0" w:space="0" w:color="auto"/>
        <w:bottom w:val="none" w:sz="0" w:space="0" w:color="auto"/>
        <w:right w:val="none" w:sz="0" w:space="0" w:color="auto"/>
      </w:divBdr>
    </w:div>
    <w:div w:id="1001857233">
      <w:bodyDiv w:val="1"/>
      <w:marLeft w:val="0"/>
      <w:marRight w:val="0"/>
      <w:marTop w:val="0"/>
      <w:marBottom w:val="0"/>
      <w:divBdr>
        <w:top w:val="none" w:sz="0" w:space="0" w:color="auto"/>
        <w:left w:val="none" w:sz="0" w:space="0" w:color="auto"/>
        <w:bottom w:val="none" w:sz="0" w:space="0" w:color="auto"/>
        <w:right w:val="none" w:sz="0" w:space="0" w:color="auto"/>
      </w:divBdr>
    </w:div>
    <w:div w:id="1044216538">
      <w:bodyDiv w:val="1"/>
      <w:marLeft w:val="0"/>
      <w:marRight w:val="0"/>
      <w:marTop w:val="0"/>
      <w:marBottom w:val="0"/>
      <w:divBdr>
        <w:top w:val="none" w:sz="0" w:space="0" w:color="auto"/>
        <w:left w:val="none" w:sz="0" w:space="0" w:color="auto"/>
        <w:bottom w:val="none" w:sz="0" w:space="0" w:color="auto"/>
        <w:right w:val="none" w:sz="0" w:space="0" w:color="auto"/>
      </w:divBdr>
      <w:divsChild>
        <w:div w:id="1123620650">
          <w:marLeft w:val="0"/>
          <w:marRight w:val="0"/>
          <w:marTop w:val="0"/>
          <w:marBottom w:val="0"/>
          <w:divBdr>
            <w:top w:val="none" w:sz="0" w:space="0" w:color="auto"/>
            <w:left w:val="none" w:sz="0" w:space="0" w:color="auto"/>
            <w:bottom w:val="none" w:sz="0" w:space="0" w:color="auto"/>
            <w:right w:val="none" w:sz="0" w:space="0" w:color="auto"/>
          </w:divBdr>
          <w:divsChild>
            <w:div w:id="864556879">
              <w:marLeft w:val="0"/>
              <w:marRight w:val="0"/>
              <w:marTop w:val="0"/>
              <w:marBottom w:val="0"/>
              <w:divBdr>
                <w:top w:val="none" w:sz="0" w:space="0" w:color="auto"/>
                <w:left w:val="none" w:sz="0" w:space="0" w:color="auto"/>
                <w:bottom w:val="none" w:sz="0" w:space="0" w:color="auto"/>
                <w:right w:val="none" w:sz="0" w:space="0" w:color="auto"/>
              </w:divBdr>
              <w:divsChild>
                <w:div w:id="1020089024">
                  <w:marLeft w:val="0"/>
                  <w:marRight w:val="0"/>
                  <w:marTop w:val="0"/>
                  <w:marBottom w:val="0"/>
                  <w:divBdr>
                    <w:top w:val="none" w:sz="0" w:space="0" w:color="auto"/>
                    <w:left w:val="none" w:sz="0" w:space="0" w:color="auto"/>
                    <w:bottom w:val="none" w:sz="0" w:space="0" w:color="auto"/>
                    <w:right w:val="none" w:sz="0" w:space="0" w:color="auto"/>
                  </w:divBdr>
                  <w:divsChild>
                    <w:div w:id="964848609">
                      <w:marLeft w:val="0"/>
                      <w:marRight w:val="0"/>
                      <w:marTop w:val="0"/>
                      <w:marBottom w:val="0"/>
                      <w:divBdr>
                        <w:top w:val="none" w:sz="0" w:space="0" w:color="auto"/>
                        <w:left w:val="none" w:sz="0" w:space="0" w:color="auto"/>
                        <w:bottom w:val="none" w:sz="0" w:space="0" w:color="auto"/>
                        <w:right w:val="none" w:sz="0" w:space="0" w:color="auto"/>
                      </w:divBdr>
                      <w:divsChild>
                        <w:div w:id="1128818450">
                          <w:marLeft w:val="0"/>
                          <w:marRight w:val="0"/>
                          <w:marTop w:val="0"/>
                          <w:marBottom w:val="0"/>
                          <w:divBdr>
                            <w:top w:val="none" w:sz="0" w:space="0" w:color="auto"/>
                            <w:left w:val="none" w:sz="0" w:space="0" w:color="auto"/>
                            <w:bottom w:val="none" w:sz="0" w:space="0" w:color="auto"/>
                            <w:right w:val="none" w:sz="0" w:space="0" w:color="auto"/>
                          </w:divBdr>
                          <w:divsChild>
                            <w:div w:id="202947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4159943">
      <w:bodyDiv w:val="1"/>
      <w:marLeft w:val="0"/>
      <w:marRight w:val="0"/>
      <w:marTop w:val="0"/>
      <w:marBottom w:val="0"/>
      <w:divBdr>
        <w:top w:val="none" w:sz="0" w:space="0" w:color="auto"/>
        <w:left w:val="none" w:sz="0" w:space="0" w:color="auto"/>
        <w:bottom w:val="none" w:sz="0" w:space="0" w:color="auto"/>
        <w:right w:val="none" w:sz="0" w:space="0" w:color="auto"/>
      </w:divBdr>
    </w:div>
    <w:div w:id="1066682330">
      <w:bodyDiv w:val="1"/>
      <w:marLeft w:val="0"/>
      <w:marRight w:val="0"/>
      <w:marTop w:val="0"/>
      <w:marBottom w:val="0"/>
      <w:divBdr>
        <w:top w:val="none" w:sz="0" w:space="0" w:color="auto"/>
        <w:left w:val="none" w:sz="0" w:space="0" w:color="auto"/>
        <w:bottom w:val="none" w:sz="0" w:space="0" w:color="auto"/>
        <w:right w:val="none" w:sz="0" w:space="0" w:color="auto"/>
      </w:divBdr>
    </w:div>
    <w:div w:id="1080063886">
      <w:bodyDiv w:val="1"/>
      <w:marLeft w:val="0"/>
      <w:marRight w:val="0"/>
      <w:marTop w:val="0"/>
      <w:marBottom w:val="0"/>
      <w:divBdr>
        <w:top w:val="none" w:sz="0" w:space="0" w:color="auto"/>
        <w:left w:val="none" w:sz="0" w:space="0" w:color="auto"/>
        <w:bottom w:val="none" w:sz="0" w:space="0" w:color="auto"/>
        <w:right w:val="none" w:sz="0" w:space="0" w:color="auto"/>
      </w:divBdr>
      <w:divsChild>
        <w:div w:id="880675515">
          <w:marLeft w:val="0"/>
          <w:marRight w:val="0"/>
          <w:marTop w:val="0"/>
          <w:marBottom w:val="0"/>
          <w:divBdr>
            <w:top w:val="none" w:sz="0" w:space="0" w:color="auto"/>
            <w:left w:val="none" w:sz="0" w:space="0" w:color="auto"/>
            <w:bottom w:val="none" w:sz="0" w:space="0" w:color="auto"/>
            <w:right w:val="none" w:sz="0" w:space="0" w:color="auto"/>
          </w:divBdr>
          <w:divsChild>
            <w:div w:id="1158301766">
              <w:marLeft w:val="0"/>
              <w:marRight w:val="0"/>
              <w:marTop w:val="0"/>
              <w:marBottom w:val="0"/>
              <w:divBdr>
                <w:top w:val="none" w:sz="0" w:space="0" w:color="auto"/>
                <w:left w:val="none" w:sz="0" w:space="0" w:color="auto"/>
                <w:bottom w:val="none" w:sz="0" w:space="0" w:color="auto"/>
                <w:right w:val="none" w:sz="0" w:space="0" w:color="auto"/>
              </w:divBdr>
              <w:divsChild>
                <w:div w:id="1115096533">
                  <w:marLeft w:val="0"/>
                  <w:marRight w:val="0"/>
                  <w:marTop w:val="0"/>
                  <w:marBottom w:val="0"/>
                  <w:divBdr>
                    <w:top w:val="none" w:sz="0" w:space="0" w:color="auto"/>
                    <w:left w:val="none" w:sz="0" w:space="0" w:color="auto"/>
                    <w:bottom w:val="none" w:sz="0" w:space="0" w:color="auto"/>
                    <w:right w:val="none" w:sz="0" w:space="0" w:color="auto"/>
                  </w:divBdr>
                  <w:divsChild>
                    <w:div w:id="795610898">
                      <w:marLeft w:val="0"/>
                      <w:marRight w:val="0"/>
                      <w:marTop w:val="0"/>
                      <w:marBottom w:val="0"/>
                      <w:divBdr>
                        <w:top w:val="none" w:sz="0" w:space="0" w:color="auto"/>
                        <w:left w:val="none" w:sz="0" w:space="0" w:color="auto"/>
                        <w:bottom w:val="none" w:sz="0" w:space="0" w:color="auto"/>
                        <w:right w:val="none" w:sz="0" w:space="0" w:color="auto"/>
                      </w:divBdr>
                      <w:divsChild>
                        <w:div w:id="1243612225">
                          <w:marLeft w:val="0"/>
                          <w:marRight w:val="0"/>
                          <w:marTop w:val="0"/>
                          <w:marBottom w:val="0"/>
                          <w:divBdr>
                            <w:top w:val="none" w:sz="0" w:space="0" w:color="auto"/>
                            <w:left w:val="none" w:sz="0" w:space="0" w:color="auto"/>
                            <w:bottom w:val="none" w:sz="0" w:space="0" w:color="auto"/>
                            <w:right w:val="none" w:sz="0" w:space="0" w:color="auto"/>
                          </w:divBdr>
                          <w:divsChild>
                            <w:div w:id="173299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1973370">
      <w:bodyDiv w:val="1"/>
      <w:marLeft w:val="0"/>
      <w:marRight w:val="0"/>
      <w:marTop w:val="0"/>
      <w:marBottom w:val="0"/>
      <w:divBdr>
        <w:top w:val="none" w:sz="0" w:space="0" w:color="auto"/>
        <w:left w:val="none" w:sz="0" w:space="0" w:color="auto"/>
        <w:bottom w:val="none" w:sz="0" w:space="0" w:color="auto"/>
        <w:right w:val="none" w:sz="0" w:space="0" w:color="auto"/>
      </w:divBdr>
    </w:div>
    <w:div w:id="1113289285">
      <w:bodyDiv w:val="1"/>
      <w:marLeft w:val="0"/>
      <w:marRight w:val="0"/>
      <w:marTop w:val="0"/>
      <w:marBottom w:val="0"/>
      <w:divBdr>
        <w:top w:val="none" w:sz="0" w:space="0" w:color="auto"/>
        <w:left w:val="none" w:sz="0" w:space="0" w:color="auto"/>
        <w:bottom w:val="none" w:sz="0" w:space="0" w:color="auto"/>
        <w:right w:val="none" w:sz="0" w:space="0" w:color="auto"/>
      </w:divBdr>
    </w:div>
    <w:div w:id="1122378951">
      <w:bodyDiv w:val="1"/>
      <w:marLeft w:val="0"/>
      <w:marRight w:val="0"/>
      <w:marTop w:val="0"/>
      <w:marBottom w:val="0"/>
      <w:divBdr>
        <w:top w:val="none" w:sz="0" w:space="0" w:color="auto"/>
        <w:left w:val="none" w:sz="0" w:space="0" w:color="auto"/>
        <w:bottom w:val="none" w:sz="0" w:space="0" w:color="auto"/>
        <w:right w:val="none" w:sz="0" w:space="0" w:color="auto"/>
      </w:divBdr>
    </w:div>
    <w:div w:id="1144547473">
      <w:bodyDiv w:val="1"/>
      <w:marLeft w:val="0"/>
      <w:marRight w:val="0"/>
      <w:marTop w:val="0"/>
      <w:marBottom w:val="0"/>
      <w:divBdr>
        <w:top w:val="none" w:sz="0" w:space="0" w:color="auto"/>
        <w:left w:val="none" w:sz="0" w:space="0" w:color="auto"/>
        <w:bottom w:val="none" w:sz="0" w:space="0" w:color="auto"/>
        <w:right w:val="none" w:sz="0" w:space="0" w:color="auto"/>
      </w:divBdr>
    </w:div>
    <w:div w:id="1169557495">
      <w:bodyDiv w:val="1"/>
      <w:marLeft w:val="0"/>
      <w:marRight w:val="0"/>
      <w:marTop w:val="0"/>
      <w:marBottom w:val="0"/>
      <w:divBdr>
        <w:top w:val="none" w:sz="0" w:space="0" w:color="auto"/>
        <w:left w:val="none" w:sz="0" w:space="0" w:color="auto"/>
        <w:bottom w:val="none" w:sz="0" w:space="0" w:color="auto"/>
        <w:right w:val="none" w:sz="0" w:space="0" w:color="auto"/>
      </w:divBdr>
    </w:div>
    <w:div w:id="1194537970">
      <w:bodyDiv w:val="1"/>
      <w:marLeft w:val="0"/>
      <w:marRight w:val="0"/>
      <w:marTop w:val="0"/>
      <w:marBottom w:val="0"/>
      <w:divBdr>
        <w:top w:val="none" w:sz="0" w:space="0" w:color="auto"/>
        <w:left w:val="none" w:sz="0" w:space="0" w:color="auto"/>
        <w:bottom w:val="none" w:sz="0" w:space="0" w:color="auto"/>
        <w:right w:val="none" w:sz="0" w:space="0" w:color="auto"/>
      </w:divBdr>
    </w:div>
    <w:div w:id="1219828209">
      <w:bodyDiv w:val="1"/>
      <w:marLeft w:val="0"/>
      <w:marRight w:val="0"/>
      <w:marTop w:val="0"/>
      <w:marBottom w:val="0"/>
      <w:divBdr>
        <w:top w:val="none" w:sz="0" w:space="0" w:color="auto"/>
        <w:left w:val="none" w:sz="0" w:space="0" w:color="auto"/>
        <w:bottom w:val="none" w:sz="0" w:space="0" w:color="auto"/>
        <w:right w:val="none" w:sz="0" w:space="0" w:color="auto"/>
      </w:divBdr>
    </w:div>
    <w:div w:id="1222213085">
      <w:bodyDiv w:val="1"/>
      <w:marLeft w:val="0"/>
      <w:marRight w:val="0"/>
      <w:marTop w:val="0"/>
      <w:marBottom w:val="0"/>
      <w:divBdr>
        <w:top w:val="none" w:sz="0" w:space="0" w:color="auto"/>
        <w:left w:val="none" w:sz="0" w:space="0" w:color="auto"/>
        <w:bottom w:val="none" w:sz="0" w:space="0" w:color="auto"/>
        <w:right w:val="none" w:sz="0" w:space="0" w:color="auto"/>
      </w:divBdr>
    </w:div>
    <w:div w:id="1252271944">
      <w:bodyDiv w:val="1"/>
      <w:marLeft w:val="0"/>
      <w:marRight w:val="0"/>
      <w:marTop w:val="0"/>
      <w:marBottom w:val="0"/>
      <w:divBdr>
        <w:top w:val="none" w:sz="0" w:space="0" w:color="auto"/>
        <w:left w:val="none" w:sz="0" w:space="0" w:color="auto"/>
        <w:bottom w:val="none" w:sz="0" w:space="0" w:color="auto"/>
        <w:right w:val="none" w:sz="0" w:space="0" w:color="auto"/>
      </w:divBdr>
    </w:div>
    <w:div w:id="1257639411">
      <w:bodyDiv w:val="1"/>
      <w:marLeft w:val="0"/>
      <w:marRight w:val="0"/>
      <w:marTop w:val="0"/>
      <w:marBottom w:val="0"/>
      <w:divBdr>
        <w:top w:val="none" w:sz="0" w:space="0" w:color="auto"/>
        <w:left w:val="none" w:sz="0" w:space="0" w:color="auto"/>
        <w:bottom w:val="none" w:sz="0" w:space="0" w:color="auto"/>
        <w:right w:val="none" w:sz="0" w:space="0" w:color="auto"/>
      </w:divBdr>
      <w:divsChild>
        <w:div w:id="454493993">
          <w:marLeft w:val="0"/>
          <w:marRight w:val="0"/>
          <w:marTop w:val="0"/>
          <w:marBottom w:val="0"/>
          <w:divBdr>
            <w:top w:val="none" w:sz="0" w:space="0" w:color="auto"/>
            <w:left w:val="none" w:sz="0" w:space="0" w:color="auto"/>
            <w:bottom w:val="none" w:sz="0" w:space="0" w:color="auto"/>
            <w:right w:val="none" w:sz="0" w:space="0" w:color="auto"/>
          </w:divBdr>
          <w:divsChild>
            <w:div w:id="802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167023">
      <w:bodyDiv w:val="1"/>
      <w:marLeft w:val="0"/>
      <w:marRight w:val="0"/>
      <w:marTop w:val="0"/>
      <w:marBottom w:val="0"/>
      <w:divBdr>
        <w:top w:val="none" w:sz="0" w:space="0" w:color="auto"/>
        <w:left w:val="none" w:sz="0" w:space="0" w:color="auto"/>
        <w:bottom w:val="none" w:sz="0" w:space="0" w:color="auto"/>
        <w:right w:val="none" w:sz="0" w:space="0" w:color="auto"/>
      </w:divBdr>
    </w:div>
    <w:div w:id="1333072999">
      <w:bodyDiv w:val="1"/>
      <w:marLeft w:val="0"/>
      <w:marRight w:val="0"/>
      <w:marTop w:val="0"/>
      <w:marBottom w:val="0"/>
      <w:divBdr>
        <w:top w:val="none" w:sz="0" w:space="0" w:color="auto"/>
        <w:left w:val="none" w:sz="0" w:space="0" w:color="auto"/>
        <w:bottom w:val="none" w:sz="0" w:space="0" w:color="auto"/>
        <w:right w:val="none" w:sz="0" w:space="0" w:color="auto"/>
      </w:divBdr>
    </w:div>
    <w:div w:id="1335181512">
      <w:bodyDiv w:val="1"/>
      <w:marLeft w:val="0"/>
      <w:marRight w:val="0"/>
      <w:marTop w:val="0"/>
      <w:marBottom w:val="0"/>
      <w:divBdr>
        <w:top w:val="none" w:sz="0" w:space="0" w:color="auto"/>
        <w:left w:val="none" w:sz="0" w:space="0" w:color="auto"/>
        <w:bottom w:val="none" w:sz="0" w:space="0" w:color="auto"/>
        <w:right w:val="none" w:sz="0" w:space="0" w:color="auto"/>
      </w:divBdr>
      <w:divsChild>
        <w:div w:id="2009795473">
          <w:marLeft w:val="0"/>
          <w:marRight w:val="0"/>
          <w:marTop w:val="0"/>
          <w:marBottom w:val="0"/>
          <w:divBdr>
            <w:top w:val="none" w:sz="0" w:space="0" w:color="auto"/>
            <w:left w:val="none" w:sz="0" w:space="0" w:color="auto"/>
            <w:bottom w:val="none" w:sz="0" w:space="0" w:color="auto"/>
            <w:right w:val="none" w:sz="0" w:space="0" w:color="auto"/>
          </w:divBdr>
          <w:divsChild>
            <w:div w:id="6530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397140">
      <w:bodyDiv w:val="1"/>
      <w:marLeft w:val="0"/>
      <w:marRight w:val="0"/>
      <w:marTop w:val="0"/>
      <w:marBottom w:val="0"/>
      <w:divBdr>
        <w:top w:val="none" w:sz="0" w:space="0" w:color="auto"/>
        <w:left w:val="none" w:sz="0" w:space="0" w:color="auto"/>
        <w:bottom w:val="none" w:sz="0" w:space="0" w:color="auto"/>
        <w:right w:val="none" w:sz="0" w:space="0" w:color="auto"/>
      </w:divBdr>
    </w:div>
    <w:div w:id="1355811574">
      <w:bodyDiv w:val="1"/>
      <w:marLeft w:val="0"/>
      <w:marRight w:val="0"/>
      <w:marTop w:val="0"/>
      <w:marBottom w:val="0"/>
      <w:divBdr>
        <w:top w:val="none" w:sz="0" w:space="0" w:color="auto"/>
        <w:left w:val="none" w:sz="0" w:space="0" w:color="auto"/>
        <w:bottom w:val="none" w:sz="0" w:space="0" w:color="auto"/>
        <w:right w:val="none" w:sz="0" w:space="0" w:color="auto"/>
      </w:divBdr>
    </w:div>
    <w:div w:id="1359425772">
      <w:bodyDiv w:val="1"/>
      <w:marLeft w:val="0"/>
      <w:marRight w:val="0"/>
      <w:marTop w:val="0"/>
      <w:marBottom w:val="0"/>
      <w:divBdr>
        <w:top w:val="none" w:sz="0" w:space="0" w:color="auto"/>
        <w:left w:val="none" w:sz="0" w:space="0" w:color="auto"/>
        <w:bottom w:val="none" w:sz="0" w:space="0" w:color="auto"/>
        <w:right w:val="none" w:sz="0" w:space="0" w:color="auto"/>
      </w:divBdr>
    </w:div>
    <w:div w:id="1380740458">
      <w:bodyDiv w:val="1"/>
      <w:marLeft w:val="0"/>
      <w:marRight w:val="0"/>
      <w:marTop w:val="0"/>
      <w:marBottom w:val="0"/>
      <w:divBdr>
        <w:top w:val="none" w:sz="0" w:space="0" w:color="auto"/>
        <w:left w:val="none" w:sz="0" w:space="0" w:color="auto"/>
        <w:bottom w:val="none" w:sz="0" w:space="0" w:color="auto"/>
        <w:right w:val="none" w:sz="0" w:space="0" w:color="auto"/>
      </w:divBdr>
    </w:div>
    <w:div w:id="1382048153">
      <w:bodyDiv w:val="1"/>
      <w:marLeft w:val="0"/>
      <w:marRight w:val="0"/>
      <w:marTop w:val="0"/>
      <w:marBottom w:val="0"/>
      <w:divBdr>
        <w:top w:val="none" w:sz="0" w:space="0" w:color="auto"/>
        <w:left w:val="none" w:sz="0" w:space="0" w:color="auto"/>
        <w:bottom w:val="none" w:sz="0" w:space="0" w:color="auto"/>
        <w:right w:val="none" w:sz="0" w:space="0" w:color="auto"/>
      </w:divBdr>
    </w:div>
    <w:div w:id="1412579852">
      <w:bodyDiv w:val="1"/>
      <w:marLeft w:val="0"/>
      <w:marRight w:val="0"/>
      <w:marTop w:val="0"/>
      <w:marBottom w:val="0"/>
      <w:divBdr>
        <w:top w:val="none" w:sz="0" w:space="0" w:color="auto"/>
        <w:left w:val="none" w:sz="0" w:space="0" w:color="auto"/>
        <w:bottom w:val="none" w:sz="0" w:space="0" w:color="auto"/>
        <w:right w:val="none" w:sz="0" w:space="0" w:color="auto"/>
      </w:divBdr>
    </w:div>
    <w:div w:id="1435979590">
      <w:bodyDiv w:val="1"/>
      <w:marLeft w:val="0"/>
      <w:marRight w:val="0"/>
      <w:marTop w:val="0"/>
      <w:marBottom w:val="0"/>
      <w:divBdr>
        <w:top w:val="none" w:sz="0" w:space="0" w:color="auto"/>
        <w:left w:val="none" w:sz="0" w:space="0" w:color="auto"/>
        <w:bottom w:val="none" w:sz="0" w:space="0" w:color="auto"/>
        <w:right w:val="none" w:sz="0" w:space="0" w:color="auto"/>
      </w:divBdr>
    </w:div>
    <w:div w:id="1451971855">
      <w:bodyDiv w:val="1"/>
      <w:marLeft w:val="0"/>
      <w:marRight w:val="0"/>
      <w:marTop w:val="0"/>
      <w:marBottom w:val="0"/>
      <w:divBdr>
        <w:top w:val="none" w:sz="0" w:space="0" w:color="auto"/>
        <w:left w:val="none" w:sz="0" w:space="0" w:color="auto"/>
        <w:bottom w:val="none" w:sz="0" w:space="0" w:color="auto"/>
        <w:right w:val="none" w:sz="0" w:space="0" w:color="auto"/>
      </w:divBdr>
    </w:div>
    <w:div w:id="1453161708">
      <w:bodyDiv w:val="1"/>
      <w:marLeft w:val="0"/>
      <w:marRight w:val="0"/>
      <w:marTop w:val="0"/>
      <w:marBottom w:val="0"/>
      <w:divBdr>
        <w:top w:val="none" w:sz="0" w:space="0" w:color="auto"/>
        <w:left w:val="none" w:sz="0" w:space="0" w:color="auto"/>
        <w:bottom w:val="none" w:sz="0" w:space="0" w:color="auto"/>
        <w:right w:val="none" w:sz="0" w:space="0" w:color="auto"/>
      </w:divBdr>
    </w:div>
    <w:div w:id="1460685656">
      <w:bodyDiv w:val="1"/>
      <w:marLeft w:val="0"/>
      <w:marRight w:val="0"/>
      <w:marTop w:val="0"/>
      <w:marBottom w:val="0"/>
      <w:divBdr>
        <w:top w:val="none" w:sz="0" w:space="0" w:color="auto"/>
        <w:left w:val="none" w:sz="0" w:space="0" w:color="auto"/>
        <w:bottom w:val="none" w:sz="0" w:space="0" w:color="auto"/>
        <w:right w:val="none" w:sz="0" w:space="0" w:color="auto"/>
      </w:divBdr>
    </w:div>
    <w:div w:id="1462652294">
      <w:bodyDiv w:val="1"/>
      <w:marLeft w:val="0"/>
      <w:marRight w:val="0"/>
      <w:marTop w:val="0"/>
      <w:marBottom w:val="0"/>
      <w:divBdr>
        <w:top w:val="none" w:sz="0" w:space="0" w:color="auto"/>
        <w:left w:val="none" w:sz="0" w:space="0" w:color="auto"/>
        <w:bottom w:val="none" w:sz="0" w:space="0" w:color="auto"/>
        <w:right w:val="none" w:sz="0" w:space="0" w:color="auto"/>
      </w:divBdr>
      <w:divsChild>
        <w:div w:id="68429599">
          <w:marLeft w:val="0"/>
          <w:marRight w:val="0"/>
          <w:marTop w:val="0"/>
          <w:marBottom w:val="0"/>
          <w:divBdr>
            <w:top w:val="none" w:sz="0" w:space="0" w:color="auto"/>
            <w:left w:val="none" w:sz="0" w:space="0" w:color="auto"/>
            <w:bottom w:val="none" w:sz="0" w:space="0" w:color="auto"/>
            <w:right w:val="none" w:sz="0" w:space="0" w:color="auto"/>
          </w:divBdr>
          <w:divsChild>
            <w:div w:id="123589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077351">
      <w:bodyDiv w:val="1"/>
      <w:marLeft w:val="0"/>
      <w:marRight w:val="0"/>
      <w:marTop w:val="0"/>
      <w:marBottom w:val="0"/>
      <w:divBdr>
        <w:top w:val="none" w:sz="0" w:space="0" w:color="auto"/>
        <w:left w:val="none" w:sz="0" w:space="0" w:color="auto"/>
        <w:bottom w:val="none" w:sz="0" w:space="0" w:color="auto"/>
        <w:right w:val="none" w:sz="0" w:space="0" w:color="auto"/>
      </w:divBdr>
    </w:div>
    <w:div w:id="1522552718">
      <w:bodyDiv w:val="1"/>
      <w:marLeft w:val="0"/>
      <w:marRight w:val="0"/>
      <w:marTop w:val="0"/>
      <w:marBottom w:val="0"/>
      <w:divBdr>
        <w:top w:val="none" w:sz="0" w:space="0" w:color="auto"/>
        <w:left w:val="none" w:sz="0" w:space="0" w:color="auto"/>
        <w:bottom w:val="none" w:sz="0" w:space="0" w:color="auto"/>
        <w:right w:val="none" w:sz="0" w:space="0" w:color="auto"/>
      </w:divBdr>
    </w:div>
    <w:div w:id="1569681724">
      <w:bodyDiv w:val="1"/>
      <w:marLeft w:val="0"/>
      <w:marRight w:val="0"/>
      <w:marTop w:val="0"/>
      <w:marBottom w:val="0"/>
      <w:divBdr>
        <w:top w:val="none" w:sz="0" w:space="0" w:color="auto"/>
        <w:left w:val="none" w:sz="0" w:space="0" w:color="auto"/>
        <w:bottom w:val="none" w:sz="0" w:space="0" w:color="auto"/>
        <w:right w:val="none" w:sz="0" w:space="0" w:color="auto"/>
      </w:divBdr>
    </w:div>
    <w:div w:id="1581793432">
      <w:bodyDiv w:val="1"/>
      <w:marLeft w:val="0"/>
      <w:marRight w:val="0"/>
      <w:marTop w:val="0"/>
      <w:marBottom w:val="0"/>
      <w:divBdr>
        <w:top w:val="none" w:sz="0" w:space="0" w:color="auto"/>
        <w:left w:val="none" w:sz="0" w:space="0" w:color="auto"/>
        <w:bottom w:val="none" w:sz="0" w:space="0" w:color="auto"/>
        <w:right w:val="none" w:sz="0" w:space="0" w:color="auto"/>
      </w:divBdr>
    </w:div>
    <w:div w:id="1592466091">
      <w:bodyDiv w:val="1"/>
      <w:marLeft w:val="0"/>
      <w:marRight w:val="0"/>
      <w:marTop w:val="0"/>
      <w:marBottom w:val="0"/>
      <w:divBdr>
        <w:top w:val="none" w:sz="0" w:space="0" w:color="auto"/>
        <w:left w:val="none" w:sz="0" w:space="0" w:color="auto"/>
        <w:bottom w:val="none" w:sz="0" w:space="0" w:color="auto"/>
        <w:right w:val="none" w:sz="0" w:space="0" w:color="auto"/>
      </w:divBdr>
    </w:div>
    <w:div w:id="1658074502">
      <w:bodyDiv w:val="1"/>
      <w:marLeft w:val="0"/>
      <w:marRight w:val="0"/>
      <w:marTop w:val="0"/>
      <w:marBottom w:val="0"/>
      <w:divBdr>
        <w:top w:val="none" w:sz="0" w:space="0" w:color="auto"/>
        <w:left w:val="none" w:sz="0" w:space="0" w:color="auto"/>
        <w:bottom w:val="none" w:sz="0" w:space="0" w:color="auto"/>
        <w:right w:val="none" w:sz="0" w:space="0" w:color="auto"/>
      </w:divBdr>
    </w:div>
    <w:div w:id="1676111055">
      <w:bodyDiv w:val="1"/>
      <w:marLeft w:val="0"/>
      <w:marRight w:val="0"/>
      <w:marTop w:val="0"/>
      <w:marBottom w:val="0"/>
      <w:divBdr>
        <w:top w:val="none" w:sz="0" w:space="0" w:color="auto"/>
        <w:left w:val="none" w:sz="0" w:space="0" w:color="auto"/>
        <w:bottom w:val="none" w:sz="0" w:space="0" w:color="auto"/>
        <w:right w:val="none" w:sz="0" w:space="0" w:color="auto"/>
      </w:divBdr>
    </w:div>
    <w:div w:id="1723945668">
      <w:bodyDiv w:val="1"/>
      <w:marLeft w:val="0"/>
      <w:marRight w:val="0"/>
      <w:marTop w:val="0"/>
      <w:marBottom w:val="0"/>
      <w:divBdr>
        <w:top w:val="none" w:sz="0" w:space="0" w:color="auto"/>
        <w:left w:val="none" w:sz="0" w:space="0" w:color="auto"/>
        <w:bottom w:val="none" w:sz="0" w:space="0" w:color="auto"/>
        <w:right w:val="none" w:sz="0" w:space="0" w:color="auto"/>
      </w:divBdr>
    </w:div>
    <w:div w:id="1756240316">
      <w:bodyDiv w:val="1"/>
      <w:marLeft w:val="0"/>
      <w:marRight w:val="0"/>
      <w:marTop w:val="0"/>
      <w:marBottom w:val="0"/>
      <w:divBdr>
        <w:top w:val="none" w:sz="0" w:space="0" w:color="auto"/>
        <w:left w:val="none" w:sz="0" w:space="0" w:color="auto"/>
        <w:bottom w:val="none" w:sz="0" w:space="0" w:color="auto"/>
        <w:right w:val="none" w:sz="0" w:space="0" w:color="auto"/>
      </w:divBdr>
    </w:div>
    <w:div w:id="1770852193">
      <w:bodyDiv w:val="1"/>
      <w:marLeft w:val="0"/>
      <w:marRight w:val="0"/>
      <w:marTop w:val="0"/>
      <w:marBottom w:val="0"/>
      <w:divBdr>
        <w:top w:val="none" w:sz="0" w:space="0" w:color="auto"/>
        <w:left w:val="none" w:sz="0" w:space="0" w:color="auto"/>
        <w:bottom w:val="none" w:sz="0" w:space="0" w:color="auto"/>
        <w:right w:val="none" w:sz="0" w:space="0" w:color="auto"/>
      </w:divBdr>
    </w:div>
    <w:div w:id="1800561820">
      <w:bodyDiv w:val="1"/>
      <w:marLeft w:val="0"/>
      <w:marRight w:val="0"/>
      <w:marTop w:val="0"/>
      <w:marBottom w:val="0"/>
      <w:divBdr>
        <w:top w:val="none" w:sz="0" w:space="0" w:color="auto"/>
        <w:left w:val="none" w:sz="0" w:space="0" w:color="auto"/>
        <w:bottom w:val="none" w:sz="0" w:space="0" w:color="auto"/>
        <w:right w:val="none" w:sz="0" w:space="0" w:color="auto"/>
      </w:divBdr>
    </w:div>
    <w:div w:id="1814063050">
      <w:bodyDiv w:val="1"/>
      <w:marLeft w:val="0"/>
      <w:marRight w:val="0"/>
      <w:marTop w:val="0"/>
      <w:marBottom w:val="0"/>
      <w:divBdr>
        <w:top w:val="none" w:sz="0" w:space="0" w:color="auto"/>
        <w:left w:val="none" w:sz="0" w:space="0" w:color="auto"/>
        <w:bottom w:val="none" w:sz="0" w:space="0" w:color="auto"/>
        <w:right w:val="none" w:sz="0" w:space="0" w:color="auto"/>
      </w:divBdr>
    </w:div>
    <w:div w:id="1854957418">
      <w:bodyDiv w:val="1"/>
      <w:marLeft w:val="0"/>
      <w:marRight w:val="0"/>
      <w:marTop w:val="0"/>
      <w:marBottom w:val="0"/>
      <w:divBdr>
        <w:top w:val="none" w:sz="0" w:space="0" w:color="auto"/>
        <w:left w:val="none" w:sz="0" w:space="0" w:color="auto"/>
        <w:bottom w:val="none" w:sz="0" w:space="0" w:color="auto"/>
        <w:right w:val="none" w:sz="0" w:space="0" w:color="auto"/>
      </w:divBdr>
    </w:div>
    <w:div w:id="1905407174">
      <w:bodyDiv w:val="1"/>
      <w:marLeft w:val="0"/>
      <w:marRight w:val="0"/>
      <w:marTop w:val="0"/>
      <w:marBottom w:val="0"/>
      <w:divBdr>
        <w:top w:val="none" w:sz="0" w:space="0" w:color="auto"/>
        <w:left w:val="none" w:sz="0" w:space="0" w:color="auto"/>
        <w:bottom w:val="none" w:sz="0" w:space="0" w:color="auto"/>
        <w:right w:val="none" w:sz="0" w:space="0" w:color="auto"/>
      </w:divBdr>
    </w:div>
    <w:div w:id="1922642267">
      <w:bodyDiv w:val="1"/>
      <w:marLeft w:val="0"/>
      <w:marRight w:val="0"/>
      <w:marTop w:val="0"/>
      <w:marBottom w:val="0"/>
      <w:divBdr>
        <w:top w:val="none" w:sz="0" w:space="0" w:color="auto"/>
        <w:left w:val="none" w:sz="0" w:space="0" w:color="auto"/>
        <w:bottom w:val="none" w:sz="0" w:space="0" w:color="auto"/>
        <w:right w:val="none" w:sz="0" w:space="0" w:color="auto"/>
      </w:divBdr>
    </w:div>
    <w:div w:id="1958217299">
      <w:bodyDiv w:val="1"/>
      <w:marLeft w:val="0"/>
      <w:marRight w:val="0"/>
      <w:marTop w:val="0"/>
      <w:marBottom w:val="0"/>
      <w:divBdr>
        <w:top w:val="none" w:sz="0" w:space="0" w:color="auto"/>
        <w:left w:val="none" w:sz="0" w:space="0" w:color="auto"/>
        <w:bottom w:val="none" w:sz="0" w:space="0" w:color="auto"/>
        <w:right w:val="none" w:sz="0" w:space="0" w:color="auto"/>
      </w:divBdr>
    </w:div>
    <w:div w:id="1959726025">
      <w:bodyDiv w:val="1"/>
      <w:marLeft w:val="0"/>
      <w:marRight w:val="0"/>
      <w:marTop w:val="0"/>
      <w:marBottom w:val="0"/>
      <w:divBdr>
        <w:top w:val="none" w:sz="0" w:space="0" w:color="auto"/>
        <w:left w:val="none" w:sz="0" w:space="0" w:color="auto"/>
        <w:bottom w:val="none" w:sz="0" w:space="0" w:color="auto"/>
        <w:right w:val="none" w:sz="0" w:space="0" w:color="auto"/>
      </w:divBdr>
    </w:div>
    <w:div w:id="1967156168">
      <w:bodyDiv w:val="1"/>
      <w:marLeft w:val="0"/>
      <w:marRight w:val="0"/>
      <w:marTop w:val="0"/>
      <w:marBottom w:val="0"/>
      <w:divBdr>
        <w:top w:val="none" w:sz="0" w:space="0" w:color="auto"/>
        <w:left w:val="none" w:sz="0" w:space="0" w:color="auto"/>
        <w:bottom w:val="none" w:sz="0" w:space="0" w:color="auto"/>
        <w:right w:val="none" w:sz="0" w:space="0" w:color="auto"/>
      </w:divBdr>
    </w:div>
    <w:div w:id="2023704370">
      <w:bodyDiv w:val="1"/>
      <w:marLeft w:val="0"/>
      <w:marRight w:val="0"/>
      <w:marTop w:val="0"/>
      <w:marBottom w:val="0"/>
      <w:divBdr>
        <w:top w:val="none" w:sz="0" w:space="0" w:color="auto"/>
        <w:left w:val="none" w:sz="0" w:space="0" w:color="auto"/>
        <w:bottom w:val="none" w:sz="0" w:space="0" w:color="auto"/>
        <w:right w:val="none" w:sz="0" w:space="0" w:color="auto"/>
      </w:divBdr>
    </w:div>
    <w:div w:id="2027907060">
      <w:bodyDiv w:val="1"/>
      <w:marLeft w:val="0"/>
      <w:marRight w:val="0"/>
      <w:marTop w:val="0"/>
      <w:marBottom w:val="0"/>
      <w:divBdr>
        <w:top w:val="none" w:sz="0" w:space="0" w:color="auto"/>
        <w:left w:val="none" w:sz="0" w:space="0" w:color="auto"/>
        <w:bottom w:val="none" w:sz="0" w:space="0" w:color="auto"/>
        <w:right w:val="none" w:sz="0" w:space="0" w:color="auto"/>
      </w:divBdr>
    </w:div>
    <w:div w:id="2033458320">
      <w:bodyDiv w:val="1"/>
      <w:marLeft w:val="0"/>
      <w:marRight w:val="0"/>
      <w:marTop w:val="0"/>
      <w:marBottom w:val="0"/>
      <w:divBdr>
        <w:top w:val="none" w:sz="0" w:space="0" w:color="auto"/>
        <w:left w:val="none" w:sz="0" w:space="0" w:color="auto"/>
        <w:bottom w:val="none" w:sz="0" w:space="0" w:color="auto"/>
        <w:right w:val="none" w:sz="0" w:space="0" w:color="auto"/>
      </w:divBdr>
    </w:div>
    <w:div w:id="2073308345">
      <w:bodyDiv w:val="1"/>
      <w:marLeft w:val="0"/>
      <w:marRight w:val="0"/>
      <w:marTop w:val="0"/>
      <w:marBottom w:val="0"/>
      <w:divBdr>
        <w:top w:val="none" w:sz="0" w:space="0" w:color="auto"/>
        <w:left w:val="none" w:sz="0" w:space="0" w:color="auto"/>
        <w:bottom w:val="none" w:sz="0" w:space="0" w:color="auto"/>
        <w:right w:val="none" w:sz="0" w:space="0" w:color="auto"/>
      </w:divBdr>
    </w:div>
    <w:div w:id="2112701567">
      <w:bodyDiv w:val="1"/>
      <w:marLeft w:val="0"/>
      <w:marRight w:val="0"/>
      <w:marTop w:val="0"/>
      <w:marBottom w:val="0"/>
      <w:divBdr>
        <w:top w:val="none" w:sz="0" w:space="0" w:color="auto"/>
        <w:left w:val="none" w:sz="0" w:space="0" w:color="auto"/>
        <w:bottom w:val="none" w:sz="0" w:space="0" w:color="auto"/>
        <w:right w:val="none" w:sz="0" w:space="0" w:color="auto"/>
      </w:divBdr>
    </w:div>
    <w:div w:id="2118403388">
      <w:bodyDiv w:val="1"/>
      <w:marLeft w:val="0"/>
      <w:marRight w:val="0"/>
      <w:marTop w:val="0"/>
      <w:marBottom w:val="0"/>
      <w:divBdr>
        <w:top w:val="none" w:sz="0" w:space="0" w:color="auto"/>
        <w:left w:val="none" w:sz="0" w:space="0" w:color="auto"/>
        <w:bottom w:val="none" w:sz="0" w:space="0" w:color="auto"/>
        <w:right w:val="none" w:sz="0" w:space="0" w:color="auto"/>
      </w:divBdr>
    </w:div>
    <w:div w:id="2121728265">
      <w:bodyDiv w:val="1"/>
      <w:marLeft w:val="0"/>
      <w:marRight w:val="0"/>
      <w:marTop w:val="0"/>
      <w:marBottom w:val="0"/>
      <w:divBdr>
        <w:top w:val="none" w:sz="0" w:space="0" w:color="auto"/>
        <w:left w:val="none" w:sz="0" w:space="0" w:color="auto"/>
        <w:bottom w:val="none" w:sz="0" w:space="0" w:color="auto"/>
        <w:right w:val="none" w:sz="0" w:space="0" w:color="auto"/>
      </w:divBdr>
    </w:div>
    <w:div w:id="2122992101">
      <w:bodyDiv w:val="1"/>
      <w:marLeft w:val="0"/>
      <w:marRight w:val="0"/>
      <w:marTop w:val="0"/>
      <w:marBottom w:val="0"/>
      <w:divBdr>
        <w:top w:val="none" w:sz="0" w:space="0" w:color="auto"/>
        <w:left w:val="none" w:sz="0" w:space="0" w:color="auto"/>
        <w:bottom w:val="none" w:sz="0" w:space="0" w:color="auto"/>
        <w:right w:val="none" w:sz="0" w:space="0" w:color="auto"/>
      </w:divBdr>
    </w:div>
    <w:div w:id="2134253347">
      <w:bodyDiv w:val="1"/>
      <w:marLeft w:val="0"/>
      <w:marRight w:val="0"/>
      <w:marTop w:val="0"/>
      <w:marBottom w:val="0"/>
      <w:divBdr>
        <w:top w:val="none" w:sz="0" w:space="0" w:color="auto"/>
        <w:left w:val="none" w:sz="0" w:space="0" w:color="auto"/>
        <w:bottom w:val="none" w:sz="0" w:space="0" w:color="auto"/>
        <w:right w:val="none" w:sz="0" w:space="0" w:color="auto"/>
      </w:divBdr>
    </w:div>
    <w:div w:id="2140033509">
      <w:bodyDiv w:val="1"/>
      <w:marLeft w:val="0"/>
      <w:marRight w:val="0"/>
      <w:marTop w:val="0"/>
      <w:marBottom w:val="0"/>
      <w:divBdr>
        <w:top w:val="none" w:sz="0" w:space="0" w:color="auto"/>
        <w:left w:val="none" w:sz="0" w:space="0" w:color="auto"/>
        <w:bottom w:val="none" w:sz="0" w:space="0" w:color="auto"/>
        <w:right w:val="none" w:sz="0" w:space="0" w:color="auto"/>
      </w:divBdr>
    </w:div>
    <w:div w:id="2143380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eur03.safelinks.protection.outlook.com/?url=https%3A%2F%2Fcreativecommons.org%2Flicenses%2Fby-nc-sa%2F3.0%2Figo&amp;data=05%7C02%7Canibal.cabrera%40itu.int%7C0fe5406e5055456a0b5a08dc7bce06f3%7C23e464d704e64b87913c24bd89219fd3%7C0%7C0%7C638521372007831165%7CUnknown%7CTWFpbGZsb3d8eyJWIjoiMC4wLjAwMDAiLCJQIjoiV2luMzIiLCJBTiI6Ik1haWwiLCJXVCI6Mn0%3D%7C0%7C%7C%7C&amp;sdata=V4LM72V7Z%2F80irqs1MTJY8U1C%2FFVgqCq26On8J9MZuo%3D&amp;reserved=0" TargetMode="External"/><Relationship Id="rId26" Type="http://schemas.openxmlformats.org/officeDocument/2006/relationships/hyperlink" Target="https://datahub.itu.int/data/?i=100033&amp;s=31608" TargetMode="External"/><Relationship Id="rId39" Type="http://schemas.openxmlformats.org/officeDocument/2006/relationships/hyperlink" Target="https://datahub.itu.int/data/?i=100030" TargetMode="External"/><Relationship Id="rId21" Type="http://schemas.openxmlformats.org/officeDocument/2006/relationships/footer" Target="footer2.xml"/><Relationship Id="rId34" Type="http://schemas.openxmlformats.org/officeDocument/2006/relationships/hyperlink" Target="https://datahub.itu.int/data/?i=100031" TargetMode="External"/><Relationship Id="rId42" Type="http://schemas.openxmlformats.org/officeDocument/2006/relationships/hyperlink" Target="https://datahub.itu.int/data/?i=100030&amp;s=31664" TargetMode="External"/><Relationship Id="rId47" Type="http://schemas.openxmlformats.org/officeDocument/2006/relationships/hyperlink" Target="https://datahub.itu.int/data/?i=100029&amp;s=11811" TargetMode="External"/><Relationship Id="rId50" Type="http://schemas.openxmlformats.org/officeDocument/2006/relationships/hyperlink" Target="https://datahub.itu.int/data/?i=100034&amp;s=22557" TargetMode="External"/><Relationship Id="rId55" Type="http://schemas.openxmlformats.org/officeDocument/2006/relationships/header" Target="head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mc.sathish@gov.in" TargetMode="External"/><Relationship Id="rId29" Type="http://schemas.openxmlformats.org/officeDocument/2006/relationships/hyperlink" Target="https://datahub.itu.int/data/?i=100032" TargetMode="External"/><Relationship Id="rId11" Type="http://schemas.openxmlformats.org/officeDocument/2006/relationships/image" Target="media/image1.png"/><Relationship Id="rId24" Type="http://schemas.openxmlformats.org/officeDocument/2006/relationships/hyperlink" Target="https://datahub.itu.int/data/?i=100033" TargetMode="External"/><Relationship Id="rId32" Type="http://schemas.openxmlformats.org/officeDocument/2006/relationships/hyperlink" Target="https://datahub.itu.int/data/?i=100032&amp;s=31672" TargetMode="External"/><Relationship Id="rId37" Type="http://schemas.openxmlformats.org/officeDocument/2006/relationships/hyperlink" Target="https://datahub.itu.int/data/?i=100031&amp;s=31599" TargetMode="External"/><Relationship Id="rId40" Type="http://schemas.openxmlformats.org/officeDocument/2006/relationships/hyperlink" Target="https://datahub.itu.int/data/?i=100030&amp;s=31662" TargetMode="External"/><Relationship Id="rId45" Type="http://schemas.openxmlformats.org/officeDocument/2006/relationships/hyperlink" Target="https://datahub.itu.int/data/?i=100029&amp;s=5368" TargetMode="External"/><Relationship Id="rId53" Type="http://schemas.openxmlformats.org/officeDocument/2006/relationships/hyperlink" Target="https://datahub.itu.int/indicators/" TargetMode="External"/><Relationship Id="rId58" Type="http://schemas.openxmlformats.org/officeDocument/2006/relationships/footer" Target="footer5.xml"/><Relationship Id="rId5" Type="http://schemas.openxmlformats.org/officeDocument/2006/relationships/numbering" Target="numbering.xml"/><Relationship Id="rId19" Type="http://schemas.openxmlformats.org/officeDocument/2006/relationships/hyperlink" Target="mailto:TSBmail@itu.i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3.xml"/><Relationship Id="rId27" Type="http://schemas.openxmlformats.org/officeDocument/2006/relationships/hyperlink" Target="https://datahub.itu.int/data/?i=100033&amp;s=31610" TargetMode="External"/><Relationship Id="rId30" Type="http://schemas.openxmlformats.org/officeDocument/2006/relationships/hyperlink" Target="https://datahub.itu.int/data/?i=100032&amp;s=31670" TargetMode="External"/><Relationship Id="rId35" Type="http://schemas.openxmlformats.org/officeDocument/2006/relationships/hyperlink" Target="https://datahub.itu.int/data/?i=100031&amp;s=31597" TargetMode="External"/><Relationship Id="rId43" Type="http://schemas.openxmlformats.org/officeDocument/2006/relationships/hyperlink" Target="https://datahub.itu.int/data/?i=100030&amp;s=31665" TargetMode="External"/><Relationship Id="rId48" Type="http://schemas.openxmlformats.org/officeDocument/2006/relationships/hyperlink" Target="https://datahub.itu.int/data/?i=100034" TargetMode="External"/><Relationship Id="rId56" Type="http://schemas.openxmlformats.org/officeDocument/2006/relationships/header" Target="header5.xml"/><Relationship Id="rId8" Type="http://schemas.openxmlformats.org/officeDocument/2006/relationships/webSettings" Target="webSettings.xml"/><Relationship Id="rId51" Type="http://schemas.openxmlformats.org/officeDocument/2006/relationships/image" Target="media/image3.png"/><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mailto:abaldeo@tatt.org.tt" TargetMode="External"/><Relationship Id="rId25" Type="http://schemas.openxmlformats.org/officeDocument/2006/relationships/hyperlink" Target="https://datahub.itu.int/data/?i=100033&amp;s=31606" TargetMode="External"/><Relationship Id="rId33" Type="http://schemas.openxmlformats.org/officeDocument/2006/relationships/hyperlink" Target="https://datahub.itu.int/data/?i=100032&amp;s=31673" TargetMode="External"/><Relationship Id="rId38" Type="http://schemas.openxmlformats.org/officeDocument/2006/relationships/hyperlink" Target="https://datahub.itu.int/data/?i=100031&amp;s=31600" TargetMode="External"/><Relationship Id="rId46" Type="http://schemas.openxmlformats.org/officeDocument/2006/relationships/hyperlink" Target="https://datahub.itu.int/data/?i=100029&amp;s=11810" TargetMode="External"/><Relationship Id="rId59" Type="http://schemas.openxmlformats.org/officeDocument/2006/relationships/fontTable" Target="fontTable.xml"/><Relationship Id="rId20" Type="http://schemas.openxmlformats.org/officeDocument/2006/relationships/header" Target="header3.xml"/><Relationship Id="rId41" Type="http://schemas.openxmlformats.org/officeDocument/2006/relationships/hyperlink" Target="https://datahub.itu.int/data/?i=100030&amp;s=31663" TargetMode="External"/><Relationship Id="rId54" Type="http://schemas.openxmlformats.org/officeDocument/2006/relationships/hyperlink" Target="https://www.itu.int/ITU-D/finance/Studies/Regulatory_accounting_guide-final1.1.pdf"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tsbfgcd@itu.int" TargetMode="External"/><Relationship Id="rId23" Type="http://schemas.openxmlformats.org/officeDocument/2006/relationships/image" Target="media/image2.png"/><Relationship Id="rId28" Type="http://schemas.openxmlformats.org/officeDocument/2006/relationships/hyperlink" Target="https://datahub.itu.int/data/?i=100033&amp;s=31611" TargetMode="External"/><Relationship Id="rId36" Type="http://schemas.openxmlformats.org/officeDocument/2006/relationships/hyperlink" Target="https://datahub.itu.int/data/?i=100031&amp;s=31598" TargetMode="External"/><Relationship Id="rId49" Type="http://schemas.openxmlformats.org/officeDocument/2006/relationships/hyperlink" Target="https://datahub.itu.int/data/?i=100034&amp;s=22556" TargetMode="External"/><Relationship Id="rId57" Type="http://schemas.openxmlformats.org/officeDocument/2006/relationships/footer" Target="footer4.xml"/><Relationship Id="rId10" Type="http://schemas.openxmlformats.org/officeDocument/2006/relationships/endnotes" Target="endnotes.xml"/><Relationship Id="rId31" Type="http://schemas.openxmlformats.org/officeDocument/2006/relationships/hyperlink" Target="https://datahub.itu.int/data/?i=100032&amp;s=31671" TargetMode="External"/><Relationship Id="rId44" Type="http://schemas.openxmlformats.org/officeDocument/2006/relationships/hyperlink" Target="https://datahub.itu.int/data/?i=100029" TargetMode="External"/><Relationship Id="rId52" Type="http://schemas.openxmlformats.org/officeDocument/2006/relationships/image" Target="media/image4.png"/><Relationship Id="rId60"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trai.gov.in/sites/default/files/2024-09/Consultation_Paper_05_August_2016.pdf" TargetMode="External"/><Relationship Id="rId1" Type="http://schemas.openxmlformats.org/officeDocument/2006/relationships/hyperlink" Target="https://www.trai.gov.in/sites/default/files/2024-09/Consultation_Paper_05_August_2016.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onga\AppData\Roaming\Microsoft\Templates\TSB%20PUB\T-TUT-REPOR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51B9FB01E70094FA4DE1989EE11A2A4" ma:contentTypeVersion="18" ma:contentTypeDescription="Create a new document." ma:contentTypeScope="" ma:versionID="95fbd517e3b23343ffeedd187cbaee27">
  <xsd:schema xmlns:xsd="http://www.w3.org/2001/XMLSchema" xmlns:xs="http://www.w3.org/2001/XMLSchema" xmlns:p="http://schemas.microsoft.com/office/2006/metadata/properties" xmlns:ns3="ff1d7c6e-a4bf-49cb-9bf4-5edb8596213c" xmlns:ns4="5d7ec615-0615-4bfc-a3d2-dd400d6f9037" targetNamespace="http://schemas.microsoft.com/office/2006/metadata/properties" ma:root="true" ma:fieldsID="a37e5e21bcce1830a1b2d680d1841c32" ns3:_="" ns4:_="">
    <xsd:import namespace="ff1d7c6e-a4bf-49cb-9bf4-5edb8596213c"/>
    <xsd:import namespace="5d7ec615-0615-4bfc-a3d2-dd400d6f903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Locatio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1d7c6e-a4bf-49cb-9bf4-5edb859621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7ec615-0615-4bfc-a3d2-dd400d6f903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ff1d7c6e-a4bf-49cb-9bf4-5edb8596213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A3EC5-EE3B-49BD-949C-862509B33055}">
  <ds:schemaRefs>
    <ds:schemaRef ds:uri="http://schemas.microsoft.com/sharepoint/v3/contenttype/forms"/>
  </ds:schemaRefs>
</ds:datastoreItem>
</file>

<file path=customXml/itemProps2.xml><?xml version="1.0" encoding="utf-8"?>
<ds:datastoreItem xmlns:ds="http://schemas.openxmlformats.org/officeDocument/2006/customXml" ds:itemID="{A48A60EC-3308-4C16-BDDF-676D19CEF2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1d7c6e-a4bf-49cb-9bf4-5edb8596213c"/>
    <ds:schemaRef ds:uri="5d7ec615-0615-4bfc-a3d2-dd400d6f90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FA4F6D-5F7E-4C68-950D-BEFE5DA802F6}">
  <ds:schemaRefs>
    <ds:schemaRef ds:uri="http://schemas.microsoft.com/office/2006/metadata/properties"/>
    <ds:schemaRef ds:uri="http://schemas.microsoft.com/office/infopath/2007/PartnerControls"/>
    <ds:schemaRef ds:uri="ff1d7c6e-a4bf-49cb-9bf4-5edb8596213c"/>
  </ds:schemaRefs>
</ds:datastoreItem>
</file>

<file path=customXml/itemProps4.xml><?xml version="1.0" encoding="utf-8"?>
<ds:datastoreItem xmlns:ds="http://schemas.openxmlformats.org/officeDocument/2006/customXml" ds:itemID="{460652EE-81DA-41B6-9E89-C8ADE4AD6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T-TUT-REPORT-E.dotm</Template>
  <TotalTime>700</TotalTime>
  <Pages>45</Pages>
  <Words>18204</Words>
  <Characters>99215</Characters>
  <Application>Microsoft Office Word</Application>
  <DocSecurity>0</DocSecurity>
  <Lines>1574</Lines>
  <Paragraphs>590</Paragraphs>
  <ScaleCrop>false</ScaleCrop>
  <HeadingPairs>
    <vt:vector size="2" baseType="variant">
      <vt:variant>
        <vt:lpstr>Title</vt:lpstr>
      </vt:variant>
      <vt:variant>
        <vt:i4>1</vt:i4>
      </vt:variant>
    </vt:vector>
  </HeadingPairs>
  <TitlesOfParts>
    <vt:vector size="1" baseType="lpstr">
      <vt:lpstr>ITU-T Technical Report - Best practices of cost assessment methodologies, regulatory and standardization aspects related to cost models for affordable data services Working Group 1: Cost models for domestic data services</vt:lpstr>
    </vt:vector>
  </TitlesOfParts>
  <Manager>ITU-T</Manager>
  <Company>International Telecommunication Union (ITU)</Company>
  <LinksUpToDate>false</LinksUpToDate>
  <CharactersWithSpaces>116829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ITU-T Technical Report (10/2025) - Best practices of cost assessment methodologies, regulatory and standardization aspects related to cost models for affordable data services Working Group 1: Cost models for domestic data services</dc:title>
  <dc:subject/>
  <dc:creator>ITU-T </dc:creator>
  <cp:keywords>Activity-based costing (ABC), affordable data services, benchmarking, bill-and-keep (BAK), bottom-up (BU) models, capacity-based costing (CBC), convergence, cost models, cost orientation, fully allocated cost/fully distributed cost (FAC/FDC), herfindahl–hirschman index (HHI), hybrid models, infrastructure sharing, interconnection, life-cycle costing (LCC), long-run average incremental cost (LRAIC), long-run incremental cost (LRIC), LRIC-plus (LRIC+), margin squeeze, significant market power (SMP), network function virtualization (NFV), network slicing, price caps/ceilings, real-time cost attribution (RTCA), reference access offer (RAO), reference interconnection offer (RIO), retail-minus, scorched-node, service-level agreement (SLA), software-defined networking (SDN), spectrum policy, top-down (TD) models, total service LRIC (TSLRIC/TSLRIC+), universal service (USF), weighted average cost of capital (WACC), wholesale access.</cp:keywords>
  <dc:description/>
  <cp:lastModifiedBy>TSB(AC)</cp:lastModifiedBy>
  <cp:revision>194</cp:revision>
  <cp:lastPrinted>2025-11-28T10:53:00Z</cp:lastPrinted>
  <dcterms:created xsi:type="dcterms:W3CDTF">2026-09-01T09:38:00Z</dcterms:created>
  <dcterms:modified xsi:type="dcterms:W3CDTF">2026-09-07T15:24:00Z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0x010100051B9FB01E70094FA4DE1989EE11A2A4</vt:lpwstr>
  </property>
  <property fmtid="{D5CDD505-2E9C-101B-9397-08002B2CF9AE}" pid="3" name="Docnum">
    <vt:lpwstr>FG-CD-I-066</vt:lpwstr>
  </property>
  <property fmtid="{D5CDD505-2E9C-101B-9397-08002B2CF9AE}" pid="4" name="Docdate">
    <vt:lpwstr>Focus Group on Costing Data Services</vt:lpwstr>
  </property>
  <property fmtid="{D5CDD505-2E9C-101B-9397-08002B2CF9AE}" pid="5" name="Docorlang">
    <vt:lpwstr>Original: English</vt:lpwstr>
  </property>
  <property fmtid="{D5CDD505-2E9C-101B-9397-08002B2CF9AE}" pid="6" name="Docbluepink">
    <vt:lpwstr>WG1</vt:lpwstr>
  </property>
  <property fmtid="{D5CDD505-2E9C-101B-9397-08002B2CF9AE}" pid="7" name="Docdest">
    <vt:lpwstr>Online, 26 November 2024</vt:lpwstr>
  </property>
  <property fmtid="{D5CDD505-2E9C-101B-9397-08002B2CF9AE}" pid="8" name="Docauthor">
    <vt:lpwstr>India</vt:lpwstr>
  </property>
  <property fmtid="{D5CDD505-2E9C-101B-9397-08002B2CF9AE}" pid="9" name="Language">
    <vt:lpwstr>English</vt:lpwstr>
  </property>
  <property fmtid="{D5CDD505-2E9C-101B-9397-08002B2CF9AE}" pid="10" name="Typist">
    <vt:lpwstr>Yonga</vt:lpwstr>
  </property>
  <property fmtid="{D5CDD505-2E9C-101B-9397-08002B2CF9AE}" pid="11" name="Date completed">
    <vt:lpwstr>Tuesday, September 1, 2026</vt:lpwstr>
  </property>
</Properties>
</file>