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3201BA" w:rsidRPr="00AA6C13" w14:paraId="54544506" w14:textId="77777777" w:rsidTr="007E3BD1">
        <w:trPr>
          <w:trHeight w:hRule="exact" w:val="992"/>
        </w:trPr>
        <w:tc>
          <w:tcPr>
            <w:tcW w:w="5070" w:type="dxa"/>
            <w:gridSpan w:val="2"/>
          </w:tcPr>
          <w:p w14:paraId="4F76BF13" w14:textId="77777777" w:rsidR="003201BA" w:rsidRPr="00AA6C13" w:rsidRDefault="003201BA" w:rsidP="005413B7">
            <w:pPr>
              <w:spacing w:before="0"/>
              <w:rPr>
                <w:rFonts w:ascii="Arial" w:eastAsia="Avenir Next W1G Medium" w:hAnsi="Arial" w:cs="Arial"/>
                <w:szCs w:val="24"/>
              </w:rPr>
            </w:pPr>
            <w:r w:rsidRPr="00AA6C13">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250E574" wp14:editId="647F69C1">
                      <wp:simplePos x="0" y="0"/>
                      <wp:positionH relativeFrom="page">
                        <wp:posOffset>-381000</wp:posOffset>
                      </wp:positionH>
                      <wp:positionV relativeFrom="page">
                        <wp:posOffset>317500</wp:posOffset>
                      </wp:positionV>
                      <wp:extent cx="7772400" cy="229870"/>
                      <wp:effectExtent l="0" t="5080" r="0" b="3175"/>
                      <wp:wrapNone/>
                      <wp:docPr id="2135993063"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1163591058"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92869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58143"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198D1466" w14:textId="77777777" w:rsidR="003201BA" w:rsidRPr="00AA6C13" w:rsidRDefault="003201BA" w:rsidP="005413B7">
            <w:pPr>
              <w:spacing w:before="0"/>
              <w:jc w:val="right"/>
              <w:rPr>
                <w:rFonts w:ascii="Arial" w:eastAsia="Avenir Next W1G Medium" w:hAnsi="Arial" w:cs="Arial"/>
                <w:szCs w:val="24"/>
              </w:rPr>
            </w:pPr>
            <w:r w:rsidRPr="00AA6C13">
              <w:rPr>
                <w:rFonts w:ascii="Arial" w:eastAsia="Avenir Next W1G Medium" w:hAnsi="Arial" w:cs="Arial"/>
                <w:szCs w:val="24"/>
              </w:rPr>
              <w:t>Standardization Sector</w:t>
            </w:r>
          </w:p>
        </w:tc>
      </w:tr>
      <w:tr w:rsidR="003201BA" w:rsidRPr="00AA6C13" w14:paraId="65987118" w14:textId="77777777" w:rsidTr="007E3BD1">
        <w:tblPrEx>
          <w:tblCellMar>
            <w:left w:w="85" w:type="dxa"/>
            <w:right w:w="85" w:type="dxa"/>
          </w:tblCellMar>
        </w:tblPrEx>
        <w:trPr>
          <w:gridBefore w:val="1"/>
          <w:wBefore w:w="817" w:type="dxa"/>
          <w:trHeight w:val="709"/>
        </w:trPr>
        <w:tc>
          <w:tcPr>
            <w:tcW w:w="9923" w:type="dxa"/>
            <w:gridSpan w:val="2"/>
          </w:tcPr>
          <w:p w14:paraId="3FE8EB52" w14:textId="77777777" w:rsidR="003201BA" w:rsidRPr="00AA6C13" w:rsidRDefault="003201BA" w:rsidP="005413B7">
            <w:pPr>
              <w:pStyle w:val="BodyText"/>
              <w:spacing w:before="440"/>
              <w:rPr>
                <w:rFonts w:ascii="Arial" w:hAnsi="Arial" w:cs="Arial"/>
                <w:spacing w:val="-6"/>
                <w:sz w:val="44"/>
                <w:szCs w:val="44"/>
                <w:lang w:val="en-GB"/>
              </w:rPr>
            </w:pPr>
            <w:bookmarkStart w:id="0" w:name="dnume"/>
            <w:r w:rsidRPr="00AA6C13">
              <w:rPr>
                <w:rFonts w:ascii="Arial" w:hAnsi="Arial" w:cs="Arial"/>
                <w:spacing w:val="-6"/>
                <w:sz w:val="44"/>
                <w:szCs w:val="44"/>
                <w:lang w:val="en-GB"/>
              </w:rPr>
              <w:t xml:space="preserve">ITU-T </w:t>
            </w:r>
            <w:r w:rsidRPr="00AA6C13">
              <w:rPr>
                <w:rFonts w:ascii="Arial" w:hAnsi="Arial" w:cs="Arial"/>
                <w:sz w:val="44"/>
                <w:szCs w:val="44"/>
                <w:lang w:val="en-GB"/>
              </w:rPr>
              <w:t>Focus Group Deliverable</w:t>
            </w:r>
            <w:r w:rsidRPr="00AA6C13">
              <w:rPr>
                <w:rFonts w:ascii="Arial" w:hAnsi="Arial" w:cs="Arial"/>
                <w:spacing w:val="-6"/>
                <w:sz w:val="44"/>
                <w:szCs w:val="44"/>
                <w:lang w:val="en-GB"/>
              </w:rPr>
              <w:t xml:space="preserve"> </w:t>
            </w:r>
          </w:p>
        </w:tc>
      </w:tr>
      <w:tr w:rsidR="003201BA" w:rsidRPr="00AA6C13" w14:paraId="01C62FDF" w14:textId="77777777" w:rsidTr="004D4B8A">
        <w:tblPrEx>
          <w:tblCellMar>
            <w:left w:w="85" w:type="dxa"/>
            <w:right w:w="85" w:type="dxa"/>
          </w:tblCellMar>
        </w:tblPrEx>
        <w:trPr>
          <w:gridBefore w:val="1"/>
          <w:wBefore w:w="817" w:type="dxa"/>
          <w:trHeight w:val="129"/>
        </w:trPr>
        <w:tc>
          <w:tcPr>
            <w:tcW w:w="9923" w:type="dxa"/>
            <w:gridSpan w:val="2"/>
          </w:tcPr>
          <w:p w14:paraId="24378A6D" w14:textId="77777777" w:rsidR="003201BA" w:rsidRPr="00AA6C13" w:rsidRDefault="003201BA" w:rsidP="005413B7">
            <w:pPr>
              <w:pStyle w:val="BodyText"/>
              <w:spacing w:before="120" w:after="240"/>
              <w:jc w:val="right"/>
              <w:rPr>
                <w:rFonts w:ascii="Arial" w:hAnsi="Arial" w:cs="Arial"/>
                <w:spacing w:val="-6"/>
                <w:sz w:val="28"/>
                <w:szCs w:val="28"/>
                <w:lang w:val="en-GB"/>
              </w:rPr>
            </w:pPr>
            <w:bookmarkStart w:id="1" w:name="dnume2"/>
            <w:bookmarkEnd w:id="0"/>
            <w:r w:rsidRPr="00AA6C13">
              <w:rPr>
                <w:rFonts w:ascii="Arial" w:hAnsi="Arial" w:cs="Arial"/>
                <w:spacing w:val="-6"/>
                <w:sz w:val="28"/>
                <w:szCs w:val="28"/>
                <w:lang w:val="en-GB"/>
              </w:rPr>
              <w:t>(03/2023)</w:t>
            </w:r>
          </w:p>
        </w:tc>
      </w:tr>
      <w:tr w:rsidR="003201BA" w:rsidRPr="00AA6C13" w14:paraId="2DFA6E20" w14:textId="77777777" w:rsidTr="004D4B8A">
        <w:trPr>
          <w:trHeight w:val="80"/>
        </w:trPr>
        <w:tc>
          <w:tcPr>
            <w:tcW w:w="817" w:type="dxa"/>
          </w:tcPr>
          <w:p w14:paraId="2B27414D" w14:textId="77777777" w:rsidR="003201BA" w:rsidRPr="00AA6C13" w:rsidRDefault="003201BA" w:rsidP="005413B7">
            <w:pPr>
              <w:tabs>
                <w:tab w:val="right" w:pos="9639"/>
              </w:tabs>
              <w:rPr>
                <w:rFonts w:ascii="Arial" w:hAnsi="Arial" w:cs="Arial"/>
                <w:sz w:val="18"/>
              </w:rPr>
            </w:pPr>
            <w:bookmarkStart w:id="2" w:name="dsece" w:colFirst="1" w:colLast="1"/>
            <w:bookmarkEnd w:id="1"/>
          </w:p>
        </w:tc>
        <w:tc>
          <w:tcPr>
            <w:tcW w:w="9923" w:type="dxa"/>
            <w:gridSpan w:val="2"/>
            <w:tcBorders>
              <w:bottom w:val="single" w:sz="4" w:space="0" w:color="auto"/>
            </w:tcBorders>
          </w:tcPr>
          <w:p w14:paraId="1C00DECD" w14:textId="77777777" w:rsidR="003201BA" w:rsidRPr="00AA6C13" w:rsidRDefault="003201BA" w:rsidP="005413B7">
            <w:pPr>
              <w:widowControl w:val="0"/>
              <w:tabs>
                <w:tab w:val="clear" w:pos="794"/>
                <w:tab w:val="clear" w:pos="1191"/>
                <w:tab w:val="clear" w:pos="1588"/>
                <w:tab w:val="clear" w:pos="1985"/>
              </w:tabs>
              <w:overflowPunct/>
              <w:adjustRightInd/>
              <w:spacing w:before="276"/>
              <w:jc w:val="left"/>
              <w:textAlignment w:val="auto"/>
              <w:rPr>
                <w:rFonts w:ascii="Arial" w:hAnsi="Arial" w:cs="Arial"/>
                <w:spacing w:val="-6"/>
                <w:sz w:val="40"/>
                <w:szCs w:val="40"/>
              </w:rPr>
            </w:pPr>
            <w:r w:rsidRPr="00AA6C13">
              <w:rPr>
                <w:rFonts w:ascii="Arial" w:hAnsi="Arial" w:cs="Arial"/>
                <w:spacing w:val="-6"/>
                <w:sz w:val="40"/>
                <w:szCs w:val="40"/>
              </w:rPr>
              <w:t xml:space="preserve">Focus Group on Artificial Intelligence for Health </w:t>
            </w:r>
          </w:p>
          <w:p w14:paraId="68700EF3" w14:textId="22604B65" w:rsidR="003201BA" w:rsidRPr="00AA6C13" w:rsidRDefault="003201BA" w:rsidP="007E3BD1">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AA6C13">
              <w:rPr>
                <w:rFonts w:ascii="Arial" w:hAnsi="Arial" w:cs="Arial"/>
                <w:spacing w:val="-6"/>
                <w:sz w:val="40"/>
                <w:szCs w:val="40"/>
              </w:rPr>
              <w:t xml:space="preserve">(FG-AI4H) </w:t>
            </w:r>
          </w:p>
        </w:tc>
      </w:tr>
      <w:tr w:rsidR="003201BA" w:rsidRPr="00AA6C13" w14:paraId="707A92B6" w14:textId="77777777" w:rsidTr="004D4B8A">
        <w:trPr>
          <w:trHeight w:val="743"/>
        </w:trPr>
        <w:tc>
          <w:tcPr>
            <w:tcW w:w="817" w:type="dxa"/>
            <w:tcBorders>
              <w:top w:val="single" w:sz="4" w:space="0" w:color="auto"/>
            </w:tcBorders>
          </w:tcPr>
          <w:p w14:paraId="7B5F8009" w14:textId="77777777" w:rsidR="003201BA" w:rsidRPr="00AA6C13" w:rsidRDefault="003201BA" w:rsidP="005413B7">
            <w:pPr>
              <w:tabs>
                <w:tab w:val="right" w:pos="9639"/>
              </w:tabs>
              <w:rPr>
                <w:rFonts w:ascii="Arial" w:hAnsi="Arial" w:cs="Arial"/>
                <w:sz w:val="48"/>
                <w:szCs w:val="48"/>
              </w:rPr>
            </w:pPr>
            <w:bookmarkStart w:id="3" w:name="c1tite" w:colFirst="1" w:colLast="1"/>
            <w:bookmarkEnd w:id="2"/>
          </w:p>
        </w:tc>
        <w:tc>
          <w:tcPr>
            <w:tcW w:w="9923" w:type="dxa"/>
            <w:gridSpan w:val="2"/>
            <w:tcBorders>
              <w:top w:val="single" w:sz="4" w:space="0" w:color="auto"/>
            </w:tcBorders>
          </w:tcPr>
          <w:p w14:paraId="19BFE53D" w14:textId="0D34BAFC" w:rsidR="003201BA" w:rsidRPr="00AA6C13" w:rsidRDefault="003201BA" w:rsidP="005413B7">
            <w:pPr>
              <w:pStyle w:val="BodyText"/>
              <w:spacing w:before="120" w:line="192" w:lineRule="auto"/>
              <w:rPr>
                <w:rFonts w:ascii="Arial" w:hAnsi="Arial" w:cs="Arial"/>
                <w:spacing w:val="-6"/>
                <w:sz w:val="44"/>
                <w:szCs w:val="44"/>
                <w:lang w:val="en-GB"/>
              </w:rPr>
            </w:pPr>
            <w:r w:rsidRPr="00AA6C13">
              <w:rPr>
                <w:rFonts w:ascii="Arial" w:hAnsi="Arial" w:cs="Arial"/>
                <w:spacing w:val="-6"/>
                <w:sz w:val="44"/>
                <w:szCs w:val="44"/>
                <w:lang w:val="en-GB"/>
              </w:rPr>
              <w:t>FG-AI4H DEL07</w:t>
            </w:r>
          </w:p>
          <w:p w14:paraId="71CA1452" w14:textId="7A213634" w:rsidR="003201BA" w:rsidRPr="00AA6C13" w:rsidRDefault="003201BA" w:rsidP="005413B7">
            <w:pPr>
              <w:pStyle w:val="BodyText"/>
              <w:spacing w:before="440" w:line="192" w:lineRule="auto"/>
              <w:rPr>
                <w:rFonts w:ascii="Arial" w:hAnsi="Arial" w:cs="Arial"/>
                <w:spacing w:val="-6"/>
                <w:sz w:val="44"/>
                <w:szCs w:val="44"/>
                <w:lang w:val="en-GB"/>
              </w:rPr>
            </w:pPr>
            <w:r w:rsidRPr="00AA6C13">
              <w:rPr>
                <w:rFonts w:ascii="Arial" w:hAnsi="Arial" w:cs="Arial"/>
                <w:spacing w:val="-6"/>
                <w:sz w:val="44"/>
                <w:szCs w:val="44"/>
                <w:lang w:val="en-GB"/>
              </w:rPr>
              <w:t>Artificial intelligence for health evaluation considerations</w:t>
            </w:r>
          </w:p>
        </w:tc>
      </w:tr>
      <w:tr w:rsidR="003201BA" w:rsidRPr="00AA6C13" w14:paraId="6431E1FC" w14:textId="1A4B974B" w:rsidTr="004D4B8A">
        <w:trPr>
          <w:trHeight w:val="743"/>
        </w:trPr>
        <w:tc>
          <w:tcPr>
            <w:tcW w:w="817" w:type="dxa"/>
          </w:tcPr>
          <w:p w14:paraId="295B32F3" w14:textId="4ED94E63" w:rsidR="003201BA" w:rsidRPr="00AA6C13" w:rsidRDefault="003201BA" w:rsidP="005413B7">
            <w:pPr>
              <w:tabs>
                <w:tab w:val="right" w:pos="9639"/>
              </w:tabs>
              <w:rPr>
                <w:rFonts w:ascii="Arial" w:hAnsi="Arial" w:cs="Arial"/>
                <w:sz w:val="48"/>
                <w:szCs w:val="48"/>
              </w:rPr>
            </w:pPr>
          </w:p>
        </w:tc>
        <w:tc>
          <w:tcPr>
            <w:tcW w:w="9923" w:type="dxa"/>
            <w:gridSpan w:val="2"/>
          </w:tcPr>
          <w:p w14:paraId="2ABE5E3C" w14:textId="01A10BBA" w:rsidR="003201BA" w:rsidRPr="00AA6C13" w:rsidRDefault="003201BA" w:rsidP="005413B7">
            <w:pPr>
              <w:pStyle w:val="BodyText"/>
              <w:spacing w:before="120" w:line="192" w:lineRule="auto"/>
              <w:rPr>
                <w:rFonts w:ascii="Arial" w:hAnsi="Arial" w:cs="Arial"/>
                <w:spacing w:val="-6"/>
                <w:sz w:val="44"/>
                <w:szCs w:val="44"/>
                <w:lang w:val="en-GB"/>
              </w:rPr>
            </w:pP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3201BA" w:rsidRPr="00AA6C13" w14:paraId="49A7ECF6" w14:textId="77777777" w:rsidTr="005413B7">
        <w:tc>
          <w:tcPr>
            <w:tcW w:w="5070" w:type="dxa"/>
            <w:vAlign w:val="center"/>
          </w:tcPr>
          <w:bookmarkEnd w:id="3"/>
          <w:p w14:paraId="68B7779B" w14:textId="77777777" w:rsidR="003201BA" w:rsidRPr="00AA6C13" w:rsidRDefault="003201BA" w:rsidP="005413B7">
            <w:pPr>
              <w:jc w:val="left"/>
              <w:rPr>
                <w:rFonts w:ascii="Arial" w:hAnsi="Arial" w:cs="Arial"/>
                <w:sz w:val="32"/>
                <w:szCs w:val="32"/>
              </w:rPr>
            </w:pPr>
            <w:proofErr w:type="spellStart"/>
            <w:r w:rsidRPr="00AA6C13">
              <w:rPr>
                <w:rFonts w:ascii="Arial" w:hAnsi="Arial" w:cs="Arial"/>
                <w:b/>
                <w:color w:val="009CD6"/>
                <w:spacing w:val="-4"/>
                <w:sz w:val="32"/>
                <w:szCs w:val="32"/>
              </w:rPr>
              <w:t>ITU</w:t>
            </w:r>
            <w:r w:rsidRPr="00AA6C13">
              <w:rPr>
                <w:rFonts w:ascii="Arial" w:hAnsi="Arial" w:cs="Arial"/>
                <w:b/>
                <w:color w:val="292829"/>
                <w:spacing w:val="-4"/>
                <w:sz w:val="32"/>
                <w:szCs w:val="32"/>
              </w:rPr>
              <w:t>Publications</w:t>
            </w:r>
            <w:proofErr w:type="spellEnd"/>
          </w:p>
        </w:tc>
        <w:tc>
          <w:tcPr>
            <w:tcW w:w="5669" w:type="dxa"/>
            <w:vAlign w:val="center"/>
          </w:tcPr>
          <w:p w14:paraId="61746733" w14:textId="77777777" w:rsidR="003201BA" w:rsidRPr="00AA6C13" w:rsidRDefault="003201BA" w:rsidP="005413B7">
            <w:pPr>
              <w:jc w:val="right"/>
              <w:rPr>
                <w:rFonts w:ascii="Arial" w:hAnsi="Arial" w:cs="Arial"/>
                <w:szCs w:val="24"/>
              </w:rPr>
            </w:pPr>
            <w:r w:rsidRPr="00AA6C13">
              <w:rPr>
                <w:rFonts w:ascii="Arial" w:eastAsia="Avenir Next W1G Medium" w:hAnsi="Arial" w:cs="Arial"/>
                <w:b/>
                <w:spacing w:val="-4"/>
                <w:szCs w:val="24"/>
              </w:rPr>
              <w:t>International Telecommunication Union</w:t>
            </w:r>
          </w:p>
        </w:tc>
      </w:tr>
    </w:tbl>
    <w:p w14:paraId="4A3A869D" w14:textId="77777777" w:rsidR="003201BA" w:rsidRPr="00AA6C13" w:rsidRDefault="003201BA" w:rsidP="003201BA">
      <w:pPr>
        <w:tabs>
          <w:tab w:val="clear" w:pos="794"/>
          <w:tab w:val="clear" w:pos="1191"/>
          <w:tab w:val="clear" w:pos="1588"/>
          <w:tab w:val="clear" w:pos="1985"/>
        </w:tabs>
        <w:overflowPunct/>
        <w:autoSpaceDE/>
        <w:autoSpaceDN/>
        <w:adjustRightInd/>
        <w:spacing w:before="0"/>
        <w:jc w:val="center"/>
        <w:textAlignment w:val="auto"/>
      </w:pPr>
      <w:r w:rsidRPr="00AA6C13">
        <w:rPr>
          <w:noProof/>
        </w:rPr>
        <w:drawing>
          <wp:anchor distT="0" distB="0" distL="0" distR="0" simplePos="0" relativeHeight="251659264" behindDoc="1" locked="0" layoutInCell="1" allowOverlap="1" wp14:anchorId="0709106C" wp14:editId="01C7A3A7">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Pr="00AA6C13">
        <w:t xml:space="preserve"> </w:t>
      </w:r>
    </w:p>
    <w:p w14:paraId="424B086E" w14:textId="77777777" w:rsidR="003201BA" w:rsidRPr="00AA6C13" w:rsidRDefault="003201BA" w:rsidP="003201BA">
      <w:pPr>
        <w:spacing w:before="80"/>
        <w:jc w:val="left"/>
        <w:rPr>
          <w:i/>
          <w:sz w:val="20"/>
        </w:rPr>
      </w:pPr>
    </w:p>
    <w:p w14:paraId="538F442B" w14:textId="77777777" w:rsidR="003201BA" w:rsidRPr="00AA6C13" w:rsidRDefault="003201BA" w:rsidP="003201BA">
      <w:pPr>
        <w:jc w:val="left"/>
        <w:sectPr w:rsidR="003201BA" w:rsidRPr="00AA6C13" w:rsidSect="00316826">
          <w:headerReference w:type="even" r:id="rId12"/>
          <w:headerReference w:type="default" r:id="rId13"/>
          <w:footerReference w:type="even" r:id="rId14"/>
          <w:footerReference w:type="default" r:id="rId15"/>
          <w:pgSz w:w="11907" w:h="16840" w:code="9"/>
          <w:pgMar w:top="1038" w:right="601" w:bottom="1860" w:left="618" w:header="567" w:footer="284" w:gutter="0"/>
          <w:pgNumType w:start="1"/>
          <w:cols w:space="720"/>
          <w:docGrid w:linePitch="326"/>
        </w:sectPr>
      </w:pPr>
    </w:p>
    <w:tbl>
      <w:tblPr>
        <w:tblW w:w="9945" w:type="dxa"/>
        <w:tblLayout w:type="fixed"/>
        <w:tblLook w:val="0000" w:firstRow="0" w:lastRow="0" w:firstColumn="0" w:lastColumn="0" w:noHBand="0" w:noVBand="0"/>
      </w:tblPr>
      <w:tblGrid>
        <w:gridCol w:w="9945"/>
      </w:tblGrid>
      <w:tr w:rsidR="003201BA" w:rsidRPr="00AA6C13" w14:paraId="048F39D8" w14:textId="77777777" w:rsidTr="005413B7">
        <w:tc>
          <w:tcPr>
            <w:tcW w:w="9945" w:type="dxa"/>
          </w:tcPr>
          <w:p w14:paraId="3A370827" w14:textId="77777777" w:rsidR="003201BA" w:rsidRPr="007E3BD1" w:rsidRDefault="003201BA" w:rsidP="005413B7">
            <w:pPr>
              <w:pStyle w:val="RecNo"/>
            </w:pPr>
            <w:bookmarkStart w:id="5" w:name="irecnoe"/>
            <w:bookmarkStart w:id="6" w:name="_Hlk128146943"/>
            <w:bookmarkEnd w:id="5"/>
            <w:r w:rsidRPr="007E3BD1">
              <w:lastRenderedPageBreak/>
              <w:t xml:space="preserve">ITU-T </w:t>
            </w:r>
            <w:r w:rsidRPr="007E3BD1">
              <w:rPr>
                <w:bCs/>
              </w:rPr>
              <w:t>FG-AI4H Deliverable DEL07</w:t>
            </w:r>
          </w:p>
          <w:bookmarkEnd w:id="6"/>
          <w:p w14:paraId="6C409489" w14:textId="77777777" w:rsidR="003201BA" w:rsidRPr="00AA6C13" w:rsidRDefault="003201BA" w:rsidP="005413B7">
            <w:pPr>
              <w:pStyle w:val="Rectitle"/>
            </w:pPr>
            <w:r w:rsidRPr="00AA6C13">
              <w:t>Artificial intelligence for health evaluation considerations</w:t>
            </w:r>
          </w:p>
        </w:tc>
      </w:tr>
      <w:tr w:rsidR="003201BA" w:rsidRPr="00AA6C13" w14:paraId="7AB1D848" w14:textId="77777777" w:rsidTr="005413B7">
        <w:tc>
          <w:tcPr>
            <w:tcW w:w="9945" w:type="dxa"/>
          </w:tcPr>
          <w:p w14:paraId="05AAC081" w14:textId="77777777" w:rsidR="003201BA" w:rsidRPr="00AA6C13" w:rsidRDefault="003201BA" w:rsidP="005413B7">
            <w:pPr>
              <w:pStyle w:val="Headingb"/>
            </w:pPr>
            <w:bookmarkStart w:id="7" w:name="isume"/>
            <w:r w:rsidRPr="00AA6C13">
              <w:t>Summary</w:t>
            </w:r>
          </w:p>
          <w:p w14:paraId="02A7CEB6" w14:textId="77777777" w:rsidR="003201BA" w:rsidRPr="00AA6C13" w:rsidRDefault="003201BA" w:rsidP="005413B7">
            <w:r w:rsidRPr="00AA6C13">
              <w:t>In this Technical Report, considerations on the evaluation and benchmarking of health artificial intelligence (AI) are presented, novel characteristics of health AI validation and evaluation are identified, and the concept of standardized model benchmarking is discussed. Moreover, requirements for a benchmarking platform are considered in detail, and best practices for a health AI model assessment are collected from selected sources.</w:t>
            </w:r>
            <w:bookmarkEnd w:id="7"/>
          </w:p>
        </w:tc>
      </w:tr>
    </w:tbl>
    <w:p w14:paraId="13C33CE5" w14:textId="77777777" w:rsidR="003201BA" w:rsidRPr="00AA6C13" w:rsidRDefault="003201BA" w:rsidP="003201BA"/>
    <w:tbl>
      <w:tblPr>
        <w:tblW w:w="9945" w:type="dxa"/>
        <w:tblLayout w:type="fixed"/>
        <w:tblLook w:val="0000" w:firstRow="0" w:lastRow="0" w:firstColumn="0" w:lastColumn="0" w:noHBand="0" w:noVBand="0"/>
      </w:tblPr>
      <w:tblGrid>
        <w:gridCol w:w="9945"/>
      </w:tblGrid>
      <w:tr w:rsidR="003201BA" w:rsidRPr="00AA6C13" w14:paraId="029DEEEC" w14:textId="77777777" w:rsidTr="005413B7">
        <w:tc>
          <w:tcPr>
            <w:tcW w:w="9945" w:type="dxa"/>
          </w:tcPr>
          <w:p w14:paraId="4403D59D" w14:textId="77777777" w:rsidR="003201BA" w:rsidRPr="00AA6C13" w:rsidRDefault="003201BA" w:rsidP="005413B7">
            <w:pPr>
              <w:pStyle w:val="Headingb"/>
            </w:pPr>
            <w:bookmarkStart w:id="8" w:name="ikeye"/>
            <w:r w:rsidRPr="00AA6C13">
              <w:t>Keywords</w:t>
            </w:r>
          </w:p>
          <w:bookmarkEnd w:id="8"/>
          <w:p w14:paraId="6226B941" w14:textId="77777777" w:rsidR="003201BA" w:rsidRPr="00AA6C13" w:rsidRDefault="003201BA" w:rsidP="005413B7">
            <w:pPr>
              <w:rPr>
                <w:bCs/>
              </w:rPr>
            </w:pPr>
            <w:r w:rsidRPr="00AA6C13">
              <w:t>Artificial intelligence, assessment, clinical evaluation, health, machine learning, medical informatics, software, technical validation, testing, medicine, trustworthy.</w:t>
            </w:r>
          </w:p>
        </w:tc>
      </w:tr>
    </w:tbl>
    <w:p w14:paraId="7FE39452" w14:textId="77777777" w:rsidR="003201BA" w:rsidRPr="00AA6C13" w:rsidRDefault="003201BA" w:rsidP="003201BA">
      <w:pPr>
        <w:pStyle w:val="Headingb"/>
      </w:pPr>
    </w:p>
    <w:p w14:paraId="58BDFDA8" w14:textId="77777777" w:rsidR="003201BA" w:rsidRPr="00AA6C13" w:rsidRDefault="003201BA" w:rsidP="003201BA">
      <w:pPr>
        <w:pStyle w:val="Headingb"/>
        <w:rPr>
          <w:bCs/>
          <w:sz w:val="22"/>
        </w:rPr>
      </w:pPr>
      <w:r w:rsidRPr="00AA6C13">
        <w:t>Note</w:t>
      </w:r>
      <w:r w:rsidRPr="00AA6C13">
        <w:rPr>
          <w:b w:val="0"/>
          <w:bCs/>
          <w:sz w:val="22"/>
        </w:rPr>
        <w:t xml:space="preserve"> </w:t>
      </w:r>
    </w:p>
    <w:p w14:paraId="0BB90E25" w14:textId="77777777" w:rsidR="003201BA" w:rsidRPr="00AA6C13" w:rsidRDefault="003201BA" w:rsidP="003201BA">
      <w:pPr>
        <w:pStyle w:val="Note"/>
      </w:pPr>
      <w:r w:rsidRPr="00AA6C13">
        <w:t>This is an informative ITU-T publication. Mandatory provisions, such as those found in ITU-T Recommendations, are outside the scope of this publication. This publication should only be referenced bibliographically in ITU-T Recommendations.</w:t>
      </w:r>
    </w:p>
    <w:p w14:paraId="55605B6F" w14:textId="77777777" w:rsidR="003201BA" w:rsidRPr="00AA6C13" w:rsidRDefault="003201BA" w:rsidP="003201BA"/>
    <w:p w14:paraId="6CA0A1CA" w14:textId="77777777" w:rsidR="003201BA" w:rsidRPr="00AA6C13" w:rsidRDefault="003201BA" w:rsidP="003201BA">
      <w:pPr>
        <w:pStyle w:val="Headingb"/>
        <w:jc w:val="both"/>
      </w:pPr>
      <w:r w:rsidRPr="00AA6C13">
        <w:t>Change Log</w:t>
      </w:r>
    </w:p>
    <w:p w14:paraId="696BB4DF" w14:textId="77777777" w:rsidR="003201BA" w:rsidRPr="00AA6C13" w:rsidRDefault="003201BA" w:rsidP="003201BA">
      <w:r w:rsidRPr="00AA6C13">
        <w:t xml:space="preserve">This document contains Version 1 of Deliverable </w:t>
      </w:r>
      <w:r w:rsidRPr="00AA6C13">
        <w:rPr>
          <w:noProof/>
        </w:rPr>
        <w:t>DEL07</w:t>
      </w:r>
      <w:r w:rsidRPr="00AA6C13">
        <w:t xml:space="preserve"> on "</w:t>
      </w:r>
      <w:r w:rsidRPr="00AA6C13">
        <w:rPr>
          <w:i/>
          <w:iCs/>
          <w:noProof/>
        </w:rPr>
        <w:t>Artificial intelligence for health evaluation considerations</w:t>
      </w:r>
      <w:r w:rsidRPr="00AA6C13">
        <w:t xml:space="preserve">" approved on </w:t>
      </w:r>
      <w:r w:rsidRPr="00AA6C13">
        <w:rPr>
          <w:noProof/>
        </w:rPr>
        <w:t>16 March 2023</w:t>
      </w:r>
      <w:r w:rsidRPr="00AA6C13">
        <w:t xml:space="preserve"> via the online approval process for the ITU</w:t>
      </w:r>
      <w:r w:rsidRPr="00AA6C13">
        <w:noBreakHyphen/>
        <w:t>T Focus Group on AI for Health (FG-AI4H)].</w:t>
      </w:r>
    </w:p>
    <w:p w14:paraId="6406BDD4" w14:textId="77777777" w:rsidR="003201BA" w:rsidRPr="00AA6C13" w:rsidRDefault="003201BA" w:rsidP="003201BA"/>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201BA" w:rsidRPr="00AA6C13" w14:paraId="2FE24DDD" w14:textId="77777777" w:rsidTr="005413B7">
        <w:trPr>
          <w:cantSplit/>
          <w:trHeight w:val="204"/>
          <w:jc w:val="center"/>
        </w:trPr>
        <w:tc>
          <w:tcPr>
            <w:tcW w:w="1617" w:type="dxa"/>
          </w:tcPr>
          <w:p w14:paraId="71AD60A7" w14:textId="77777777" w:rsidR="003201BA" w:rsidRPr="00AA6C13" w:rsidRDefault="003201BA" w:rsidP="005413B7">
            <w:pPr>
              <w:rPr>
                <w:b/>
                <w:bCs/>
                <w:sz w:val="22"/>
                <w:szCs w:val="22"/>
              </w:rPr>
            </w:pPr>
            <w:r w:rsidRPr="00AA6C13">
              <w:rPr>
                <w:b/>
                <w:bCs/>
                <w:sz w:val="22"/>
                <w:szCs w:val="22"/>
              </w:rPr>
              <w:t>Editor:</w:t>
            </w:r>
          </w:p>
        </w:tc>
        <w:tc>
          <w:tcPr>
            <w:tcW w:w="4394" w:type="dxa"/>
          </w:tcPr>
          <w:p w14:paraId="2361E36D" w14:textId="77777777" w:rsidR="003201BA" w:rsidRPr="00AA6C13" w:rsidRDefault="003201BA" w:rsidP="005413B7">
            <w:pPr>
              <w:jc w:val="left"/>
              <w:rPr>
                <w:sz w:val="22"/>
                <w:szCs w:val="22"/>
              </w:rPr>
            </w:pPr>
            <w:r w:rsidRPr="00AA6C13">
              <w:rPr>
                <w:sz w:val="22"/>
                <w:szCs w:val="22"/>
              </w:rPr>
              <w:t>Markus Wenzel</w:t>
            </w:r>
            <w:r w:rsidRPr="00AA6C13">
              <w:rPr>
                <w:sz w:val="22"/>
                <w:szCs w:val="22"/>
              </w:rPr>
              <w:br/>
              <w:t>Fraunhofer HHI, Germany</w:t>
            </w:r>
          </w:p>
        </w:tc>
        <w:tc>
          <w:tcPr>
            <w:tcW w:w="3912" w:type="dxa"/>
          </w:tcPr>
          <w:p w14:paraId="7D5E90B4" w14:textId="77777777" w:rsidR="003201BA" w:rsidRPr="00AA6C13" w:rsidRDefault="003201BA" w:rsidP="005413B7">
            <w:pPr>
              <w:rPr>
                <w:sz w:val="22"/>
                <w:szCs w:val="22"/>
              </w:rPr>
            </w:pPr>
            <w:r w:rsidRPr="00AA6C13">
              <w:rPr>
                <w:sz w:val="22"/>
                <w:szCs w:val="22"/>
              </w:rPr>
              <w:t xml:space="preserve">Email: </w:t>
            </w:r>
            <w:hyperlink r:id="rId16">
              <w:r w:rsidRPr="00AA6C13">
                <w:rPr>
                  <w:rStyle w:val="Hyperlink"/>
                  <w:sz w:val="22"/>
                  <w:szCs w:val="22"/>
                </w:rPr>
                <w:t>markus.wenzel@hhi.fraunhofer.de</w:t>
              </w:r>
            </w:hyperlink>
            <w:r w:rsidRPr="00AA6C13">
              <w:rPr>
                <w:sz w:val="22"/>
                <w:szCs w:val="22"/>
              </w:rPr>
              <w:t xml:space="preserve"> </w:t>
            </w:r>
          </w:p>
        </w:tc>
      </w:tr>
    </w:tbl>
    <w:p w14:paraId="17D1F686" w14:textId="77777777" w:rsidR="003201BA" w:rsidRPr="00AA6C13" w:rsidRDefault="003201BA" w:rsidP="003201BA"/>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3201BA" w:rsidRPr="00AA6C13" w14:paraId="1BFD7C44" w14:textId="77777777" w:rsidTr="005413B7">
        <w:trPr>
          <w:cantSplit/>
          <w:trHeight w:val="204"/>
          <w:jc w:val="center"/>
        </w:trPr>
        <w:tc>
          <w:tcPr>
            <w:tcW w:w="1617" w:type="dxa"/>
          </w:tcPr>
          <w:p w14:paraId="6CEB20FC" w14:textId="77777777" w:rsidR="003201BA" w:rsidRPr="00AA6C13" w:rsidRDefault="003201BA" w:rsidP="005413B7">
            <w:pPr>
              <w:rPr>
                <w:b/>
                <w:bCs/>
                <w:sz w:val="20"/>
              </w:rPr>
            </w:pPr>
            <w:r w:rsidRPr="00AA6C13">
              <w:rPr>
                <w:b/>
                <w:bCs/>
                <w:sz w:val="20"/>
              </w:rPr>
              <w:t>Contributors:</w:t>
            </w:r>
          </w:p>
        </w:tc>
        <w:tc>
          <w:tcPr>
            <w:tcW w:w="4394" w:type="dxa"/>
          </w:tcPr>
          <w:p w14:paraId="135D4721" w14:textId="77777777" w:rsidR="003201BA" w:rsidRPr="00EF13CB" w:rsidRDefault="003201BA" w:rsidP="005413B7">
            <w:pPr>
              <w:jc w:val="left"/>
              <w:rPr>
                <w:sz w:val="20"/>
              </w:rPr>
            </w:pPr>
            <w:r w:rsidRPr="00EF13CB">
              <w:rPr>
                <w:sz w:val="20"/>
              </w:rPr>
              <w:t>(in alphabetical order)</w:t>
            </w:r>
          </w:p>
        </w:tc>
        <w:tc>
          <w:tcPr>
            <w:tcW w:w="3912" w:type="dxa"/>
          </w:tcPr>
          <w:p w14:paraId="7C7E7FE5" w14:textId="77777777" w:rsidR="003201BA" w:rsidRPr="00EF13CB" w:rsidRDefault="003201BA" w:rsidP="005413B7">
            <w:pPr>
              <w:rPr>
                <w:sz w:val="20"/>
              </w:rPr>
            </w:pPr>
          </w:p>
        </w:tc>
      </w:tr>
      <w:tr w:rsidR="003201BA" w:rsidRPr="00AA6C13" w14:paraId="632D4DF9" w14:textId="77777777" w:rsidTr="005413B7">
        <w:trPr>
          <w:cantSplit/>
          <w:trHeight w:val="204"/>
          <w:jc w:val="center"/>
        </w:trPr>
        <w:tc>
          <w:tcPr>
            <w:tcW w:w="1617" w:type="dxa"/>
          </w:tcPr>
          <w:p w14:paraId="6694EAC8" w14:textId="77777777" w:rsidR="003201BA" w:rsidRPr="00AA6C13" w:rsidRDefault="003201BA" w:rsidP="005413B7">
            <w:pPr>
              <w:rPr>
                <w:b/>
                <w:bCs/>
                <w:sz w:val="20"/>
              </w:rPr>
            </w:pPr>
          </w:p>
        </w:tc>
        <w:tc>
          <w:tcPr>
            <w:tcW w:w="4394" w:type="dxa"/>
          </w:tcPr>
          <w:p w14:paraId="79FFEFB1" w14:textId="77777777" w:rsidR="003201BA" w:rsidRPr="00EF13CB" w:rsidRDefault="003201BA" w:rsidP="005413B7">
            <w:pPr>
              <w:jc w:val="left"/>
              <w:rPr>
                <w:sz w:val="20"/>
              </w:rPr>
            </w:pPr>
            <w:r w:rsidRPr="00EF13CB">
              <w:rPr>
                <w:sz w:val="20"/>
              </w:rPr>
              <w:t>Alberto Merola</w:t>
            </w:r>
            <w:r w:rsidRPr="00EF13CB">
              <w:rPr>
                <w:sz w:val="20"/>
              </w:rPr>
              <w:br/>
              <w:t>AICURA medical GmbH, Germany</w:t>
            </w:r>
          </w:p>
        </w:tc>
        <w:tc>
          <w:tcPr>
            <w:tcW w:w="3912" w:type="dxa"/>
          </w:tcPr>
          <w:p w14:paraId="6A9B4EDC" w14:textId="77777777" w:rsidR="003201BA" w:rsidRPr="00EF13CB" w:rsidRDefault="003201BA" w:rsidP="005413B7">
            <w:pPr>
              <w:jc w:val="left"/>
              <w:rPr>
                <w:sz w:val="20"/>
              </w:rPr>
            </w:pPr>
            <w:r w:rsidRPr="00EF13CB">
              <w:rPr>
                <w:sz w:val="20"/>
              </w:rPr>
              <w:t xml:space="preserve">Email: </w:t>
            </w:r>
            <w:hyperlink r:id="rId17">
              <w:r w:rsidRPr="00EF13CB">
                <w:rPr>
                  <w:rStyle w:val="Hyperlink"/>
                  <w:sz w:val="20"/>
                </w:rPr>
                <w:t>alberto.merola@aicura-medical.com</w:t>
              </w:r>
            </w:hyperlink>
            <w:r w:rsidRPr="00EF13CB">
              <w:rPr>
                <w:sz w:val="20"/>
              </w:rPr>
              <w:t xml:space="preserve"> </w:t>
            </w:r>
          </w:p>
        </w:tc>
      </w:tr>
      <w:tr w:rsidR="003201BA" w:rsidRPr="00AA6C13" w14:paraId="197E4816" w14:textId="77777777" w:rsidTr="005413B7">
        <w:trPr>
          <w:cantSplit/>
          <w:trHeight w:val="204"/>
          <w:jc w:val="center"/>
        </w:trPr>
        <w:tc>
          <w:tcPr>
            <w:tcW w:w="1617" w:type="dxa"/>
          </w:tcPr>
          <w:p w14:paraId="5C15338E" w14:textId="77777777" w:rsidR="003201BA" w:rsidRPr="00AA6C13" w:rsidRDefault="003201BA" w:rsidP="005413B7">
            <w:pPr>
              <w:rPr>
                <w:b/>
                <w:bCs/>
                <w:sz w:val="20"/>
              </w:rPr>
            </w:pPr>
          </w:p>
        </w:tc>
        <w:tc>
          <w:tcPr>
            <w:tcW w:w="4394" w:type="dxa"/>
          </w:tcPr>
          <w:p w14:paraId="3467B038" w14:textId="77777777" w:rsidR="003201BA" w:rsidRPr="00EF13CB" w:rsidRDefault="003201BA" w:rsidP="005413B7">
            <w:pPr>
              <w:jc w:val="left"/>
              <w:rPr>
                <w:sz w:val="20"/>
                <w:highlight w:val="yellow"/>
              </w:rPr>
            </w:pPr>
            <w:r w:rsidRPr="00EF13CB">
              <w:rPr>
                <w:sz w:val="20"/>
              </w:rPr>
              <w:t xml:space="preserve">David Neumann </w:t>
            </w:r>
            <w:r w:rsidRPr="00EF13CB">
              <w:rPr>
                <w:sz w:val="20"/>
              </w:rPr>
              <w:br/>
              <w:t>Fraunhofer HHI, Germany</w:t>
            </w:r>
          </w:p>
        </w:tc>
        <w:tc>
          <w:tcPr>
            <w:tcW w:w="3912" w:type="dxa"/>
          </w:tcPr>
          <w:p w14:paraId="08E021D3" w14:textId="77777777" w:rsidR="003201BA" w:rsidRPr="00EF13CB" w:rsidRDefault="003201BA" w:rsidP="005413B7">
            <w:pPr>
              <w:jc w:val="left"/>
              <w:rPr>
                <w:sz w:val="20"/>
              </w:rPr>
            </w:pPr>
            <w:r w:rsidRPr="00EF13CB">
              <w:rPr>
                <w:sz w:val="20"/>
              </w:rPr>
              <w:t xml:space="preserve">Email: </w:t>
            </w:r>
            <w:hyperlink r:id="rId18">
              <w:r w:rsidRPr="00EF13CB">
                <w:rPr>
                  <w:rStyle w:val="Hyperlink"/>
                  <w:sz w:val="20"/>
                </w:rPr>
                <w:t>david.neumann@hhi.fraunhofer.de</w:t>
              </w:r>
            </w:hyperlink>
            <w:r w:rsidRPr="00EF13CB">
              <w:rPr>
                <w:sz w:val="20"/>
              </w:rPr>
              <w:t xml:space="preserve"> </w:t>
            </w:r>
          </w:p>
        </w:tc>
      </w:tr>
      <w:tr w:rsidR="003201BA" w:rsidRPr="00AA6C13" w14:paraId="5FDA1AF4" w14:textId="77777777" w:rsidTr="005413B7">
        <w:trPr>
          <w:cantSplit/>
          <w:trHeight w:val="204"/>
          <w:jc w:val="center"/>
        </w:trPr>
        <w:tc>
          <w:tcPr>
            <w:tcW w:w="1617" w:type="dxa"/>
          </w:tcPr>
          <w:p w14:paraId="1CA042D2" w14:textId="77777777" w:rsidR="003201BA" w:rsidRPr="00AA6C13" w:rsidRDefault="003201BA" w:rsidP="005413B7">
            <w:pPr>
              <w:rPr>
                <w:b/>
                <w:bCs/>
                <w:sz w:val="20"/>
              </w:rPr>
            </w:pPr>
          </w:p>
        </w:tc>
        <w:tc>
          <w:tcPr>
            <w:tcW w:w="4394" w:type="dxa"/>
          </w:tcPr>
          <w:p w14:paraId="4B302910" w14:textId="77777777" w:rsidR="003201BA" w:rsidRPr="00EF13CB" w:rsidRDefault="003201BA" w:rsidP="005413B7">
            <w:pPr>
              <w:jc w:val="left"/>
              <w:rPr>
                <w:sz w:val="20"/>
                <w:highlight w:val="yellow"/>
              </w:rPr>
            </w:pPr>
            <w:r w:rsidRPr="00EF13CB">
              <w:rPr>
                <w:sz w:val="20"/>
              </w:rPr>
              <w:t xml:space="preserve">Sandeep Reddy </w:t>
            </w:r>
            <w:r w:rsidRPr="00EF13CB">
              <w:rPr>
                <w:sz w:val="20"/>
              </w:rPr>
              <w:br/>
              <w:t>Deakin University, Australia</w:t>
            </w:r>
          </w:p>
        </w:tc>
        <w:tc>
          <w:tcPr>
            <w:tcW w:w="3912" w:type="dxa"/>
          </w:tcPr>
          <w:p w14:paraId="11A41C30" w14:textId="77777777" w:rsidR="003201BA" w:rsidRPr="00EF13CB" w:rsidRDefault="003201BA" w:rsidP="005413B7">
            <w:pPr>
              <w:jc w:val="left"/>
              <w:rPr>
                <w:sz w:val="20"/>
              </w:rPr>
            </w:pPr>
            <w:r w:rsidRPr="00EF13CB">
              <w:rPr>
                <w:sz w:val="20"/>
              </w:rPr>
              <w:t xml:space="preserve">Email: </w:t>
            </w:r>
            <w:hyperlink r:id="rId19">
              <w:r w:rsidRPr="00EF13CB">
                <w:rPr>
                  <w:rStyle w:val="Hyperlink"/>
                  <w:sz w:val="20"/>
                </w:rPr>
                <w:t>sandeep.reddy@deakin.edu.au</w:t>
              </w:r>
            </w:hyperlink>
          </w:p>
        </w:tc>
      </w:tr>
      <w:tr w:rsidR="003201BA" w:rsidRPr="00AA6C13" w14:paraId="189AFF56" w14:textId="77777777" w:rsidTr="005413B7">
        <w:trPr>
          <w:cantSplit/>
          <w:trHeight w:val="204"/>
          <w:jc w:val="center"/>
        </w:trPr>
        <w:tc>
          <w:tcPr>
            <w:tcW w:w="1617" w:type="dxa"/>
          </w:tcPr>
          <w:p w14:paraId="4D48E159" w14:textId="77777777" w:rsidR="003201BA" w:rsidRPr="00AA6C13" w:rsidRDefault="003201BA" w:rsidP="005413B7">
            <w:pPr>
              <w:rPr>
                <w:b/>
                <w:bCs/>
                <w:sz w:val="20"/>
              </w:rPr>
            </w:pPr>
          </w:p>
        </w:tc>
        <w:tc>
          <w:tcPr>
            <w:tcW w:w="4394" w:type="dxa"/>
          </w:tcPr>
          <w:p w14:paraId="7FFA03F2" w14:textId="77777777" w:rsidR="003201BA" w:rsidRPr="00EF13CB" w:rsidRDefault="003201BA" w:rsidP="005413B7">
            <w:pPr>
              <w:jc w:val="left"/>
              <w:rPr>
                <w:sz w:val="20"/>
              </w:rPr>
            </w:pPr>
            <w:r w:rsidRPr="00EF13CB">
              <w:rPr>
                <w:sz w:val="20"/>
              </w:rPr>
              <w:t xml:space="preserve">Annika Reinke </w:t>
            </w:r>
            <w:r w:rsidRPr="00EF13CB">
              <w:rPr>
                <w:sz w:val="20"/>
              </w:rPr>
              <w:br/>
              <w:t>DKFZ, Germany</w:t>
            </w:r>
          </w:p>
        </w:tc>
        <w:tc>
          <w:tcPr>
            <w:tcW w:w="3912" w:type="dxa"/>
          </w:tcPr>
          <w:p w14:paraId="35765B58" w14:textId="77777777" w:rsidR="003201BA" w:rsidRPr="00EF13CB" w:rsidRDefault="003201BA" w:rsidP="005413B7">
            <w:pPr>
              <w:jc w:val="left"/>
              <w:rPr>
                <w:sz w:val="20"/>
              </w:rPr>
            </w:pPr>
            <w:r w:rsidRPr="00EF13CB">
              <w:rPr>
                <w:sz w:val="20"/>
              </w:rPr>
              <w:t xml:space="preserve">Email: </w:t>
            </w:r>
            <w:hyperlink r:id="rId20">
              <w:r w:rsidRPr="00EF13CB">
                <w:rPr>
                  <w:rStyle w:val="Hyperlink"/>
                  <w:sz w:val="20"/>
                </w:rPr>
                <w:t>a.reinke@dkfz-heidelberg.de</w:t>
              </w:r>
            </w:hyperlink>
          </w:p>
        </w:tc>
      </w:tr>
      <w:tr w:rsidR="003201BA" w:rsidRPr="00AA6C13" w14:paraId="39B0CF3C" w14:textId="77777777" w:rsidTr="005413B7">
        <w:trPr>
          <w:cantSplit/>
          <w:trHeight w:val="204"/>
          <w:jc w:val="center"/>
        </w:trPr>
        <w:tc>
          <w:tcPr>
            <w:tcW w:w="1617" w:type="dxa"/>
          </w:tcPr>
          <w:p w14:paraId="0D423AD8" w14:textId="77777777" w:rsidR="003201BA" w:rsidRPr="00AA6C13" w:rsidRDefault="003201BA" w:rsidP="005413B7">
            <w:pPr>
              <w:rPr>
                <w:b/>
                <w:bCs/>
                <w:sz w:val="20"/>
              </w:rPr>
            </w:pPr>
          </w:p>
        </w:tc>
        <w:tc>
          <w:tcPr>
            <w:tcW w:w="4394" w:type="dxa"/>
          </w:tcPr>
          <w:p w14:paraId="40D83793" w14:textId="77777777" w:rsidR="003201BA" w:rsidRPr="00EF13CB" w:rsidRDefault="003201BA" w:rsidP="005413B7">
            <w:pPr>
              <w:jc w:val="left"/>
              <w:rPr>
                <w:sz w:val="20"/>
              </w:rPr>
            </w:pPr>
            <w:r w:rsidRPr="00EF13CB">
              <w:rPr>
                <w:sz w:val="20"/>
              </w:rPr>
              <w:t>Steffen Vogler</w:t>
            </w:r>
            <w:r w:rsidRPr="00EF13CB">
              <w:rPr>
                <w:sz w:val="20"/>
              </w:rPr>
              <w:br/>
              <w:t>Bayer AG, Germany</w:t>
            </w:r>
          </w:p>
        </w:tc>
        <w:tc>
          <w:tcPr>
            <w:tcW w:w="3912" w:type="dxa"/>
          </w:tcPr>
          <w:p w14:paraId="41D8EAB4" w14:textId="77777777" w:rsidR="003201BA" w:rsidRPr="00EF13CB" w:rsidRDefault="003201BA" w:rsidP="005413B7">
            <w:pPr>
              <w:jc w:val="left"/>
              <w:rPr>
                <w:sz w:val="20"/>
              </w:rPr>
            </w:pPr>
            <w:r w:rsidRPr="00EF13CB">
              <w:rPr>
                <w:sz w:val="20"/>
              </w:rPr>
              <w:t xml:space="preserve">Email: </w:t>
            </w:r>
            <w:hyperlink r:id="rId21">
              <w:r w:rsidRPr="00EF13CB">
                <w:rPr>
                  <w:rStyle w:val="Hyperlink"/>
                  <w:sz w:val="20"/>
                </w:rPr>
                <w:t>steffen.vogler@bayer.com</w:t>
              </w:r>
            </w:hyperlink>
            <w:r w:rsidRPr="00EF13CB">
              <w:rPr>
                <w:sz w:val="20"/>
              </w:rPr>
              <w:t xml:space="preserve"> </w:t>
            </w:r>
          </w:p>
        </w:tc>
      </w:tr>
    </w:tbl>
    <w:p w14:paraId="4F0B1473" w14:textId="31AFA1C9" w:rsidR="003201BA" w:rsidRPr="00FB666F" w:rsidRDefault="003201BA" w:rsidP="003201BA">
      <w:pPr>
        <w:jc w:val="center"/>
        <w:rPr>
          <w:sz w:val="22"/>
          <w:szCs w:val="22"/>
        </w:rPr>
      </w:pPr>
      <w:r w:rsidRPr="00FB666F">
        <w:rPr>
          <w:sz w:val="22"/>
          <w:szCs w:val="22"/>
        </w:rPr>
        <w:sym w:font="Symbol" w:char="F0E3"/>
      </w:r>
      <w:r w:rsidRPr="00FB666F">
        <w:rPr>
          <w:sz w:val="22"/>
          <w:szCs w:val="22"/>
        </w:rPr>
        <w:t> ITU </w:t>
      </w:r>
      <w:bookmarkStart w:id="9" w:name="iiannee"/>
      <w:bookmarkEnd w:id="9"/>
      <w:r w:rsidRPr="00FB666F">
        <w:rPr>
          <w:sz w:val="22"/>
          <w:szCs w:val="22"/>
        </w:rPr>
        <w:t>202</w:t>
      </w:r>
      <w:r w:rsidR="007E3BD1" w:rsidRPr="00B45EEC">
        <w:rPr>
          <w:sz w:val="22"/>
          <w:szCs w:val="22"/>
        </w:rPr>
        <w:t>5</w:t>
      </w:r>
    </w:p>
    <w:p w14:paraId="2D593A3F" w14:textId="2F2EFA53" w:rsidR="00AA6C13" w:rsidRPr="008827FD" w:rsidRDefault="00AA6C13" w:rsidP="00AA6C13">
      <w:pPr>
        <w:rPr>
          <w:sz w:val="22"/>
          <w:szCs w:val="22"/>
        </w:rPr>
      </w:pPr>
      <w:r w:rsidRPr="008827FD">
        <w:rPr>
          <w:sz w:val="22"/>
          <w:szCs w:val="22"/>
        </w:rPr>
        <w:t>Some rights reserved.</w:t>
      </w:r>
      <w:r w:rsidRPr="008827FD">
        <w:rPr>
          <w:i/>
          <w:iCs/>
          <w:sz w:val="22"/>
          <w:szCs w:val="22"/>
        </w:rPr>
        <w:t xml:space="preserve"> </w:t>
      </w:r>
      <w:r w:rsidRPr="008827FD">
        <w:rPr>
          <w:sz w:val="22"/>
          <w:szCs w:val="22"/>
        </w:rPr>
        <w:t xml:space="preserve">This publication is available under the Creative Commons Attribution-Non Commercial-Share Alike 3.0 IGO licence (CC BY-NC-SA 3.0 IGO; </w:t>
      </w:r>
      <w:hyperlink r:id="rId22" w:history="1">
        <w:r w:rsidRPr="008827FD">
          <w:rPr>
            <w:rStyle w:val="Hyperlink"/>
            <w:sz w:val="22"/>
            <w:szCs w:val="22"/>
          </w:rPr>
          <w:t>https://creativecommons.org/licenses/by-nc-sa/3.0/igo</w:t>
        </w:r>
      </w:hyperlink>
      <w:r w:rsidRPr="008827FD">
        <w:rPr>
          <w:sz w:val="22"/>
          <w:szCs w:val="22"/>
        </w:rPr>
        <w:t xml:space="preserve">). For any uses of this publication that are not included in this licence, please seek permission from ITU by contacting </w:t>
      </w:r>
      <w:hyperlink r:id="rId23" w:history="1">
        <w:r w:rsidRPr="008827FD">
          <w:rPr>
            <w:rStyle w:val="Hyperlink"/>
            <w:sz w:val="22"/>
            <w:szCs w:val="22"/>
          </w:rPr>
          <w:t>TSBmail@itu.int</w:t>
        </w:r>
      </w:hyperlink>
      <w:r w:rsidRPr="008827FD">
        <w:rPr>
          <w:sz w:val="22"/>
          <w:szCs w:val="22"/>
        </w:rPr>
        <w:t xml:space="preserve">. </w:t>
      </w:r>
    </w:p>
    <w:p w14:paraId="18FF6D89" w14:textId="77777777" w:rsidR="003201BA" w:rsidRPr="00AA6C13" w:rsidRDefault="003201BA" w:rsidP="003201BA">
      <w:pPr>
        <w:tabs>
          <w:tab w:val="clear" w:pos="794"/>
          <w:tab w:val="clear" w:pos="1191"/>
          <w:tab w:val="clear" w:pos="1588"/>
          <w:tab w:val="clear" w:pos="1985"/>
        </w:tabs>
        <w:overflowPunct/>
        <w:autoSpaceDE/>
        <w:autoSpaceDN/>
        <w:adjustRightInd/>
        <w:spacing w:before="0"/>
        <w:jc w:val="left"/>
        <w:textAlignment w:val="auto"/>
      </w:pPr>
      <w:r w:rsidRPr="00AA6C13">
        <w:br w:type="page"/>
      </w:r>
    </w:p>
    <w:p w14:paraId="798A0253" w14:textId="77777777" w:rsidR="008827FD" w:rsidRDefault="008827FD" w:rsidP="003201BA">
      <w:pPr>
        <w:jc w:val="center"/>
        <w:rPr>
          <w:b/>
        </w:rPr>
      </w:pPr>
    </w:p>
    <w:p w14:paraId="1A19D359" w14:textId="07238AA1" w:rsidR="003201BA" w:rsidRPr="00AA6C13" w:rsidRDefault="003201BA" w:rsidP="003201BA">
      <w:pPr>
        <w:jc w:val="center"/>
        <w:rPr>
          <w:b/>
        </w:rPr>
      </w:pPr>
      <w:r w:rsidRPr="00AA6C13">
        <w:rPr>
          <w:b/>
        </w:rPr>
        <w:t>Table of Contents</w:t>
      </w:r>
    </w:p>
    <w:p w14:paraId="13598284" w14:textId="73ECB5EE" w:rsidR="00645915" w:rsidRPr="00AA6C13" w:rsidRDefault="00645915" w:rsidP="00645915">
      <w:pPr>
        <w:pStyle w:val="toc0"/>
        <w:ind w:right="992"/>
        <w:rPr>
          <w:noProof/>
        </w:rPr>
      </w:pPr>
      <w:r w:rsidRPr="00AA6C13">
        <w:tab/>
        <w:t>Page</w:t>
      </w:r>
    </w:p>
    <w:p w14:paraId="6BF0B73A" w14:textId="49875E6C"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1</w:t>
      </w:r>
      <w:r w:rsidRPr="00AA6C13">
        <w:rPr>
          <w:rFonts w:asciiTheme="minorHAnsi" w:hAnsiTheme="minorHAnsi" w:cstheme="minorBidi"/>
          <w:noProof/>
          <w:kern w:val="2"/>
          <w:sz w:val="22"/>
          <w:szCs w:val="22"/>
          <w:lang w:eastAsia="en-GB"/>
          <w14:ligatures w14:val="standardContextual"/>
        </w:rPr>
        <w:tab/>
      </w:r>
      <w:r w:rsidRPr="00AA6C13">
        <w:rPr>
          <w:noProof/>
        </w:rPr>
        <w:t>Scope</w:t>
      </w:r>
      <w:r w:rsidRPr="00AA6C13">
        <w:rPr>
          <w:noProof/>
        </w:rPr>
        <w:tab/>
      </w:r>
      <w:r w:rsidRPr="00AA6C13">
        <w:rPr>
          <w:noProof/>
        </w:rPr>
        <w:tab/>
        <w:t>1</w:t>
      </w:r>
    </w:p>
    <w:p w14:paraId="0CB20B88" w14:textId="4606D1AD"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2</w:t>
      </w:r>
      <w:r w:rsidRPr="00AA6C13">
        <w:rPr>
          <w:rFonts w:asciiTheme="minorHAnsi" w:hAnsiTheme="minorHAnsi" w:cstheme="minorBidi"/>
          <w:noProof/>
          <w:kern w:val="2"/>
          <w:sz w:val="22"/>
          <w:szCs w:val="22"/>
          <w:lang w:eastAsia="en-GB"/>
          <w14:ligatures w14:val="standardContextual"/>
        </w:rPr>
        <w:tab/>
      </w:r>
      <w:r w:rsidRPr="00AA6C13">
        <w:rPr>
          <w:noProof/>
        </w:rPr>
        <w:t>References</w:t>
      </w:r>
      <w:r w:rsidRPr="00AA6C13">
        <w:rPr>
          <w:noProof/>
        </w:rPr>
        <w:tab/>
      </w:r>
      <w:r w:rsidRPr="00AA6C13">
        <w:rPr>
          <w:noProof/>
        </w:rPr>
        <w:tab/>
        <w:t>1</w:t>
      </w:r>
    </w:p>
    <w:p w14:paraId="257123C5" w14:textId="1BC43C42"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3</w:t>
      </w:r>
      <w:r w:rsidRPr="00AA6C13">
        <w:rPr>
          <w:rFonts w:asciiTheme="minorHAnsi" w:hAnsiTheme="minorHAnsi" w:cstheme="minorBidi"/>
          <w:noProof/>
          <w:kern w:val="2"/>
          <w:sz w:val="22"/>
          <w:szCs w:val="22"/>
          <w:lang w:eastAsia="en-GB"/>
          <w14:ligatures w14:val="standardContextual"/>
        </w:rPr>
        <w:tab/>
      </w:r>
      <w:r w:rsidRPr="00AA6C13">
        <w:rPr>
          <w:noProof/>
        </w:rPr>
        <w:t>Definitions</w:t>
      </w:r>
      <w:r w:rsidRPr="00AA6C13">
        <w:rPr>
          <w:noProof/>
        </w:rPr>
        <w:tab/>
      </w:r>
      <w:r w:rsidRPr="00AA6C13">
        <w:rPr>
          <w:noProof/>
        </w:rPr>
        <w:tab/>
        <w:t>1</w:t>
      </w:r>
    </w:p>
    <w:p w14:paraId="0075FB5C" w14:textId="213B7A46"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3.1</w:t>
      </w:r>
      <w:r w:rsidRPr="00AA6C13">
        <w:rPr>
          <w:rFonts w:asciiTheme="minorHAnsi" w:hAnsiTheme="minorHAnsi" w:cstheme="minorBidi"/>
          <w:noProof/>
          <w:kern w:val="2"/>
          <w:sz w:val="22"/>
          <w:szCs w:val="22"/>
          <w:lang w:eastAsia="en-GB"/>
          <w14:ligatures w14:val="standardContextual"/>
        </w:rPr>
        <w:tab/>
      </w:r>
      <w:r w:rsidRPr="00AA6C13">
        <w:rPr>
          <w:noProof/>
        </w:rPr>
        <w:t>Terms defined elsewhere</w:t>
      </w:r>
      <w:r w:rsidRPr="00AA6C13">
        <w:rPr>
          <w:noProof/>
        </w:rPr>
        <w:tab/>
      </w:r>
      <w:r w:rsidRPr="00AA6C13">
        <w:rPr>
          <w:noProof/>
        </w:rPr>
        <w:tab/>
        <w:t>1</w:t>
      </w:r>
    </w:p>
    <w:p w14:paraId="4938B424" w14:textId="39A3F9F5"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3.2</w:t>
      </w:r>
      <w:r w:rsidRPr="00AA6C13">
        <w:rPr>
          <w:rFonts w:asciiTheme="minorHAnsi" w:hAnsiTheme="minorHAnsi" w:cstheme="minorBidi"/>
          <w:noProof/>
          <w:kern w:val="2"/>
          <w:sz w:val="22"/>
          <w:szCs w:val="22"/>
          <w:lang w:eastAsia="en-GB"/>
          <w14:ligatures w14:val="standardContextual"/>
        </w:rPr>
        <w:tab/>
      </w:r>
      <w:r w:rsidRPr="00AA6C13">
        <w:rPr>
          <w:noProof/>
        </w:rPr>
        <w:t>Terms defined in this Technical Report</w:t>
      </w:r>
      <w:r w:rsidRPr="00AA6C13">
        <w:rPr>
          <w:noProof/>
        </w:rPr>
        <w:tab/>
      </w:r>
      <w:r w:rsidRPr="00AA6C13">
        <w:rPr>
          <w:noProof/>
        </w:rPr>
        <w:tab/>
        <w:t>1</w:t>
      </w:r>
    </w:p>
    <w:p w14:paraId="1F639A01" w14:textId="3BEA89F2"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4</w:t>
      </w:r>
      <w:r w:rsidRPr="00AA6C13">
        <w:rPr>
          <w:rFonts w:asciiTheme="minorHAnsi" w:hAnsiTheme="minorHAnsi" w:cstheme="minorBidi"/>
          <w:noProof/>
          <w:kern w:val="2"/>
          <w:sz w:val="22"/>
          <w:szCs w:val="22"/>
          <w:lang w:eastAsia="en-GB"/>
          <w14:ligatures w14:val="standardContextual"/>
        </w:rPr>
        <w:tab/>
      </w:r>
      <w:r w:rsidRPr="00AA6C13">
        <w:rPr>
          <w:noProof/>
        </w:rPr>
        <w:t>Abbreviations and acronyms</w:t>
      </w:r>
      <w:r w:rsidRPr="00AA6C13">
        <w:rPr>
          <w:noProof/>
        </w:rPr>
        <w:tab/>
      </w:r>
      <w:r w:rsidRPr="00AA6C13">
        <w:rPr>
          <w:noProof/>
        </w:rPr>
        <w:tab/>
        <w:t>1</w:t>
      </w:r>
    </w:p>
    <w:p w14:paraId="4B17DDE5" w14:textId="2911E1F4"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5</w:t>
      </w:r>
      <w:r w:rsidRPr="00AA6C13">
        <w:rPr>
          <w:rFonts w:asciiTheme="minorHAnsi" w:hAnsiTheme="minorHAnsi" w:cstheme="minorBidi"/>
          <w:noProof/>
          <w:kern w:val="2"/>
          <w:sz w:val="22"/>
          <w:szCs w:val="22"/>
          <w:lang w:eastAsia="en-GB"/>
          <w14:ligatures w14:val="standardContextual"/>
        </w:rPr>
        <w:tab/>
      </w:r>
      <w:r w:rsidRPr="00AA6C13">
        <w:rPr>
          <w:noProof/>
        </w:rPr>
        <w:t>Background</w:t>
      </w:r>
      <w:r w:rsidRPr="00AA6C13">
        <w:rPr>
          <w:noProof/>
        </w:rPr>
        <w:tab/>
      </w:r>
      <w:r w:rsidRPr="00AA6C13">
        <w:rPr>
          <w:noProof/>
        </w:rPr>
        <w:tab/>
        <w:t>2</w:t>
      </w:r>
    </w:p>
    <w:p w14:paraId="6DA8899B" w14:textId="4BE9AAB5"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6</w:t>
      </w:r>
      <w:r w:rsidRPr="00AA6C13">
        <w:rPr>
          <w:rFonts w:asciiTheme="minorHAnsi" w:hAnsiTheme="minorHAnsi" w:cstheme="minorBidi"/>
          <w:noProof/>
          <w:kern w:val="2"/>
          <w:sz w:val="22"/>
          <w:szCs w:val="22"/>
          <w:lang w:eastAsia="en-GB"/>
          <w14:ligatures w14:val="standardContextual"/>
        </w:rPr>
        <w:tab/>
      </w:r>
      <w:r w:rsidRPr="00AA6C13">
        <w:rPr>
          <w:noProof/>
        </w:rPr>
        <w:t>Evaluation process</w:t>
      </w:r>
      <w:r w:rsidRPr="00AA6C13">
        <w:rPr>
          <w:noProof/>
        </w:rPr>
        <w:tab/>
      </w:r>
      <w:r w:rsidRPr="00AA6C13">
        <w:rPr>
          <w:noProof/>
        </w:rPr>
        <w:tab/>
        <w:t>3</w:t>
      </w:r>
    </w:p>
    <w:p w14:paraId="75B40354" w14:textId="4B88F4CC"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6.1</w:t>
      </w:r>
      <w:r w:rsidRPr="00AA6C13">
        <w:rPr>
          <w:rFonts w:asciiTheme="minorHAnsi" w:hAnsiTheme="minorHAnsi" w:cstheme="minorBidi"/>
          <w:noProof/>
          <w:kern w:val="2"/>
          <w:sz w:val="22"/>
          <w:szCs w:val="22"/>
          <w:lang w:eastAsia="en-GB"/>
          <w14:ligatures w14:val="standardContextual"/>
        </w:rPr>
        <w:tab/>
      </w:r>
      <w:r w:rsidRPr="00AA6C13">
        <w:rPr>
          <w:noProof/>
        </w:rPr>
        <w:t>Reference to related deliverables</w:t>
      </w:r>
      <w:r w:rsidRPr="00AA6C13">
        <w:rPr>
          <w:noProof/>
        </w:rPr>
        <w:tab/>
      </w:r>
      <w:r w:rsidRPr="00AA6C13">
        <w:rPr>
          <w:noProof/>
        </w:rPr>
        <w:tab/>
        <w:t>3</w:t>
      </w:r>
    </w:p>
    <w:p w14:paraId="15F0AFD2" w14:textId="6285CA2A"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7</w:t>
      </w:r>
      <w:r w:rsidRPr="00AA6C13">
        <w:rPr>
          <w:rFonts w:asciiTheme="minorHAnsi" w:hAnsiTheme="minorHAnsi" w:cstheme="minorBidi"/>
          <w:noProof/>
          <w:kern w:val="2"/>
          <w:sz w:val="22"/>
          <w:szCs w:val="22"/>
          <w:lang w:eastAsia="en-GB"/>
          <w14:ligatures w14:val="standardContextual"/>
        </w:rPr>
        <w:tab/>
      </w:r>
      <w:r w:rsidRPr="00AA6C13">
        <w:rPr>
          <w:noProof/>
        </w:rPr>
        <w:t>Novelty</w:t>
      </w:r>
      <w:r w:rsidRPr="00AA6C13">
        <w:rPr>
          <w:noProof/>
        </w:rPr>
        <w:tab/>
      </w:r>
      <w:r w:rsidRPr="00AA6C13">
        <w:rPr>
          <w:noProof/>
        </w:rPr>
        <w:tab/>
        <w:t>4</w:t>
      </w:r>
    </w:p>
    <w:p w14:paraId="4D95B9F8" w14:textId="320EBA27"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7.1</w:t>
      </w:r>
      <w:r w:rsidRPr="00AA6C13">
        <w:rPr>
          <w:rFonts w:asciiTheme="minorHAnsi" w:hAnsiTheme="minorHAnsi" w:cstheme="minorBidi"/>
          <w:noProof/>
          <w:kern w:val="2"/>
          <w:sz w:val="22"/>
          <w:szCs w:val="22"/>
          <w:lang w:eastAsia="en-GB"/>
          <w14:ligatures w14:val="standardContextual"/>
        </w:rPr>
        <w:tab/>
      </w:r>
      <w:r w:rsidRPr="00AA6C13">
        <w:rPr>
          <w:noProof/>
        </w:rPr>
        <w:t>Appropriate test data sets</w:t>
      </w:r>
      <w:r w:rsidRPr="00AA6C13">
        <w:rPr>
          <w:noProof/>
        </w:rPr>
        <w:tab/>
      </w:r>
      <w:r w:rsidRPr="00AA6C13">
        <w:rPr>
          <w:noProof/>
        </w:rPr>
        <w:tab/>
        <w:t>4</w:t>
      </w:r>
    </w:p>
    <w:p w14:paraId="040C3F28" w14:textId="77686BCD"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7.2</w:t>
      </w:r>
      <w:r w:rsidRPr="00AA6C13">
        <w:rPr>
          <w:rFonts w:asciiTheme="minorHAnsi" w:hAnsiTheme="minorHAnsi" w:cstheme="minorBidi"/>
          <w:noProof/>
          <w:kern w:val="2"/>
          <w:sz w:val="22"/>
          <w:szCs w:val="22"/>
          <w:lang w:eastAsia="en-GB"/>
          <w14:ligatures w14:val="standardContextual"/>
        </w:rPr>
        <w:tab/>
      </w:r>
      <w:r w:rsidRPr="00AA6C13">
        <w:rPr>
          <w:noProof/>
        </w:rPr>
        <w:t>Internal versus external validation</w:t>
      </w:r>
      <w:r w:rsidRPr="00AA6C13">
        <w:rPr>
          <w:noProof/>
        </w:rPr>
        <w:tab/>
      </w:r>
      <w:r w:rsidRPr="00AA6C13">
        <w:rPr>
          <w:noProof/>
        </w:rPr>
        <w:tab/>
        <w:t>5</w:t>
      </w:r>
    </w:p>
    <w:p w14:paraId="64DF8FC3" w14:textId="639D65C3"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7.3</w:t>
      </w:r>
      <w:r w:rsidRPr="00AA6C13">
        <w:rPr>
          <w:rFonts w:asciiTheme="minorHAnsi" w:hAnsiTheme="minorHAnsi" w:cstheme="minorBidi"/>
          <w:noProof/>
          <w:kern w:val="2"/>
          <w:sz w:val="22"/>
          <w:szCs w:val="22"/>
          <w:lang w:eastAsia="en-GB"/>
          <w14:ligatures w14:val="standardContextual"/>
        </w:rPr>
        <w:tab/>
      </w:r>
      <w:r w:rsidRPr="00AA6C13">
        <w:rPr>
          <w:noProof/>
        </w:rPr>
        <w:t>Technical versus clinical criteria</w:t>
      </w:r>
      <w:r w:rsidRPr="00AA6C13">
        <w:rPr>
          <w:noProof/>
        </w:rPr>
        <w:tab/>
      </w:r>
      <w:r w:rsidRPr="00AA6C13">
        <w:rPr>
          <w:noProof/>
        </w:rPr>
        <w:tab/>
        <w:t>5</w:t>
      </w:r>
    </w:p>
    <w:p w14:paraId="6F9B0873" w14:textId="2C2670F2"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7.4</w:t>
      </w:r>
      <w:r w:rsidRPr="00AA6C13">
        <w:rPr>
          <w:rFonts w:asciiTheme="minorHAnsi" w:hAnsiTheme="minorHAnsi" w:cstheme="minorBidi"/>
          <w:noProof/>
          <w:kern w:val="2"/>
          <w:sz w:val="22"/>
          <w:szCs w:val="22"/>
          <w:lang w:eastAsia="en-GB"/>
          <w14:ligatures w14:val="standardContextual"/>
        </w:rPr>
        <w:tab/>
      </w:r>
      <w:r w:rsidRPr="00AA6C13">
        <w:rPr>
          <w:noProof/>
        </w:rPr>
        <w:t>Proper benchmarking</w:t>
      </w:r>
      <w:r w:rsidRPr="00AA6C13">
        <w:rPr>
          <w:noProof/>
        </w:rPr>
        <w:tab/>
      </w:r>
      <w:r w:rsidRPr="00AA6C13">
        <w:rPr>
          <w:noProof/>
        </w:rPr>
        <w:tab/>
        <w:t>5</w:t>
      </w:r>
    </w:p>
    <w:p w14:paraId="29A01119" w14:textId="0B7CB1DB"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7.5</w:t>
      </w:r>
      <w:r w:rsidRPr="00AA6C13">
        <w:rPr>
          <w:rFonts w:asciiTheme="minorHAnsi" w:hAnsiTheme="minorHAnsi" w:cstheme="minorBidi"/>
          <w:noProof/>
          <w:kern w:val="2"/>
          <w:sz w:val="22"/>
          <w:szCs w:val="22"/>
          <w:lang w:eastAsia="en-GB"/>
          <w14:ligatures w14:val="standardContextual"/>
        </w:rPr>
        <w:tab/>
      </w:r>
      <w:r w:rsidRPr="00AA6C13">
        <w:rPr>
          <w:noProof/>
        </w:rPr>
        <w:t>Complex, opaque DL models and XAI solutions to make them transparent and interpretable</w:t>
      </w:r>
      <w:r w:rsidRPr="00AA6C13">
        <w:rPr>
          <w:noProof/>
        </w:rPr>
        <w:tab/>
      </w:r>
      <w:r w:rsidRPr="00AA6C13">
        <w:rPr>
          <w:noProof/>
        </w:rPr>
        <w:tab/>
        <w:t>6</w:t>
      </w:r>
    </w:p>
    <w:p w14:paraId="7CBCC684" w14:textId="69B6013A"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7.6</w:t>
      </w:r>
      <w:r w:rsidRPr="00AA6C13">
        <w:rPr>
          <w:rFonts w:asciiTheme="minorHAnsi" w:hAnsiTheme="minorHAnsi" w:cstheme="minorBidi"/>
          <w:noProof/>
          <w:kern w:val="2"/>
          <w:sz w:val="22"/>
          <w:szCs w:val="22"/>
          <w:lang w:eastAsia="en-GB"/>
          <w14:ligatures w14:val="standardContextual"/>
        </w:rPr>
        <w:tab/>
      </w:r>
      <w:r w:rsidRPr="00AA6C13">
        <w:rPr>
          <w:noProof/>
        </w:rPr>
        <w:t>Self-learning algorithms</w:t>
      </w:r>
      <w:r w:rsidRPr="00AA6C13">
        <w:rPr>
          <w:noProof/>
        </w:rPr>
        <w:tab/>
      </w:r>
      <w:r w:rsidRPr="00AA6C13">
        <w:rPr>
          <w:noProof/>
        </w:rPr>
        <w:tab/>
        <w:t>6</w:t>
      </w:r>
    </w:p>
    <w:p w14:paraId="7118BF5E" w14:textId="0311A992"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7.7</w:t>
      </w:r>
      <w:r w:rsidRPr="00AA6C13">
        <w:rPr>
          <w:rFonts w:asciiTheme="minorHAnsi" w:hAnsiTheme="minorHAnsi" w:cstheme="minorBidi"/>
          <w:noProof/>
          <w:kern w:val="2"/>
          <w:sz w:val="22"/>
          <w:szCs w:val="22"/>
          <w:lang w:eastAsia="en-GB"/>
          <w14:ligatures w14:val="standardContextual"/>
        </w:rPr>
        <w:tab/>
      </w:r>
      <w:r w:rsidRPr="00AA6C13">
        <w:rPr>
          <w:noProof/>
        </w:rPr>
        <w:t>Human factors</w:t>
      </w:r>
      <w:r w:rsidRPr="00AA6C13">
        <w:rPr>
          <w:noProof/>
        </w:rPr>
        <w:tab/>
      </w:r>
      <w:r w:rsidRPr="00AA6C13">
        <w:rPr>
          <w:noProof/>
        </w:rPr>
        <w:tab/>
        <w:t>6</w:t>
      </w:r>
    </w:p>
    <w:p w14:paraId="5D727E72" w14:textId="6E60F441"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7.8</w:t>
      </w:r>
      <w:r w:rsidRPr="00AA6C13">
        <w:rPr>
          <w:rFonts w:asciiTheme="minorHAnsi" w:hAnsiTheme="minorHAnsi" w:cstheme="minorBidi"/>
          <w:noProof/>
          <w:kern w:val="2"/>
          <w:sz w:val="22"/>
          <w:szCs w:val="22"/>
          <w:lang w:eastAsia="en-GB"/>
          <w14:ligatures w14:val="standardContextual"/>
        </w:rPr>
        <w:tab/>
      </w:r>
      <w:r w:rsidRPr="00AA6C13">
        <w:rPr>
          <w:noProof/>
        </w:rPr>
        <w:t>Misuse of accurate tools</w:t>
      </w:r>
      <w:r w:rsidRPr="00AA6C13">
        <w:rPr>
          <w:noProof/>
        </w:rPr>
        <w:tab/>
      </w:r>
      <w:r w:rsidRPr="00AA6C13">
        <w:rPr>
          <w:noProof/>
        </w:rPr>
        <w:tab/>
        <w:t>6</w:t>
      </w:r>
    </w:p>
    <w:p w14:paraId="0C69BAA7" w14:textId="60139741"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7.9</w:t>
      </w:r>
      <w:r w:rsidRPr="00AA6C13">
        <w:rPr>
          <w:rFonts w:asciiTheme="minorHAnsi" w:hAnsiTheme="minorHAnsi" w:cstheme="minorBidi"/>
          <w:noProof/>
          <w:kern w:val="2"/>
          <w:sz w:val="22"/>
          <w:szCs w:val="22"/>
          <w:lang w:eastAsia="en-GB"/>
          <w14:ligatures w14:val="standardContextual"/>
        </w:rPr>
        <w:tab/>
      </w:r>
      <w:r w:rsidRPr="00AA6C13">
        <w:rPr>
          <w:noProof/>
        </w:rPr>
        <w:t>Design of clinical trials with AI</w:t>
      </w:r>
      <w:r w:rsidRPr="00AA6C13">
        <w:rPr>
          <w:noProof/>
        </w:rPr>
        <w:tab/>
      </w:r>
      <w:r w:rsidRPr="00AA6C13">
        <w:rPr>
          <w:noProof/>
        </w:rPr>
        <w:tab/>
        <w:t>6</w:t>
      </w:r>
    </w:p>
    <w:p w14:paraId="4F2A46F9" w14:textId="2FD196FF"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7.10</w:t>
      </w:r>
      <w:r w:rsidRPr="00AA6C13">
        <w:rPr>
          <w:rFonts w:asciiTheme="minorHAnsi" w:hAnsiTheme="minorHAnsi" w:cstheme="minorBidi"/>
          <w:noProof/>
          <w:kern w:val="2"/>
          <w:sz w:val="22"/>
          <w:szCs w:val="22"/>
          <w:lang w:eastAsia="en-GB"/>
          <w14:ligatures w14:val="standardContextual"/>
        </w:rPr>
        <w:tab/>
      </w:r>
      <w:r w:rsidRPr="00AA6C13">
        <w:rPr>
          <w:noProof/>
        </w:rPr>
        <w:t>Agreement on/interoperable encoding of benchmarking cases</w:t>
      </w:r>
      <w:r w:rsidRPr="00AA6C13">
        <w:rPr>
          <w:noProof/>
        </w:rPr>
        <w:tab/>
      </w:r>
      <w:r w:rsidRPr="00AA6C13">
        <w:rPr>
          <w:noProof/>
        </w:rPr>
        <w:tab/>
        <w:t>7</w:t>
      </w:r>
    </w:p>
    <w:p w14:paraId="23F1A20A" w14:textId="7DB48189"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7.11</w:t>
      </w:r>
      <w:r w:rsidRPr="00AA6C13">
        <w:rPr>
          <w:rFonts w:asciiTheme="minorHAnsi" w:hAnsiTheme="minorHAnsi" w:cstheme="minorBidi"/>
          <w:noProof/>
          <w:kern w:val="2"/>
          <w:sz w:val="22"/>
          <w:szCs w:val="22"/>
          <w:lang w:eastAsia="en-GB"/>
          <w14:ligatures w14:val="standardContextual"/>
        </w:rPr>
        <w:tab/>
      </w:r>
      <w:r w:rsidRPr="00AA6C13">
        <w:rPr>
          <w:noProof/>
        </w:rPr>
        <w:t>Testing existing AI products versus ML-challenges</w:t>
      </w:r>
      <w:r w:rsidRPr="00AA6C13">
        <w:rPr>
          <w:noProof/>
        </w:rPr>
        <w:tab/>
      </w:r>
      <w:r w:rsidRPr="00AA6C13">
        <w:rPr>
          <w:noProof/>
        </w:rPr>
        <w:tab/>
        <w:t>7</w:t>
      </w:r>
    </w:p>
    <w:p w14:paraId="07E21C79" w14:textId="354BBD65"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8</w:t>
      </w:r>
      <w:r w:rsidRPr="00AA6C13">
        <w:rPr>
          <w:rFonts w:asciiTheme="minorHAnsi" w:hAnsiTheme="minorHAnsi" w:cstheme="minorBidi"/>
          <w:noProof/>
          <w:kern w:val="2"/>
          <w:sz w:val="22"/>
          <w:szCs w:val="22"/>
          <w:lang w:eastAsia="en-GB"/>
          <w14:ligatures w14:val="standardContextual"/>
        </w:rPr>
        <w:tab/>
      </w:r>
      <w:r w:rsidRPr="00AA6C13">
        <w:rPr>
          <w:noProof/>
        </w:rPr>
        <w:t>Independent standardized model benchmarking</w:t>
      </w:r>
      <w:r w:rsidRPr="00AA6C13">
        <w:rPr>
          <w:noProof/>
        </w:rPr>
        <w:tab/>
      </w:r>
      <w:r w:rsidRPr="00AA6C13">
        <w:rPr>
          <w:noProof/>
        </w:rPr>
        <w:tab/>
        <w:t>7</w:t>
      </w:r>
    </w:p>
    <w:p w14:paraId="086B0256" w14:textId="39C158BD"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8.1</w:t>
      </w:r>
      <w:r w:rsidRPr="00AA6C13">
        <w:rPr>
          <w:rFonts w:asciiTheme="minorHAnsi" w:hAnsiTheme="minorHAnsi" w:cstheme="minorBidi"/>
          <w:noProof/>
          <w:kern w:val="2"/>
          <w:sz w:val="22"/>
          <w:szCs w:val="22"/>
          <w:lang w:eastAsia="en-GB"/>
          <w14:ligatures w14:val="standardContextual"/>
        </w:rPr>
        <w:tab/>
      </w:r>
      <w:r w:rsidRPr="00AA6C13">
        <w:rPr>
          <w:noProof/>
        </w:rPr>
        <w:t>Benchmarking platform with validation in a closed environment</w:t>
      </w:r>
      <w:r w:rsidRPr="00AA6C13">
        <w:rPr>
          <w:noProof/>
        </w:rPr>
        <w:tab/>
      </w:r>
      <w:r w:rsidRPr="00AA6C13">
        <w:rPr>
          <w:noProof/>
        </w:rPr>
        <w:tab/>
        <w:t>8</w:t>
      </w:r>
    </w:p>
    <w:p w14:paraId="0C454F73" w14:textId="22D60006"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8.2</w:t>
      </w:r>
      <w:r w:rsidRPr="00AA6C13">
        <w:rPr>
          <w:rFonts w:asciiTheme="minorHAnsi" w:hAnsiTheme="minorHAnsi" w:cstheme="minorBidi"/>
          <w:noProof/>
          <w:kern w:val="2"/>
          <w:sz w:val="22"/>
          <w:szCs w:val="22"/>
          <w:lang w:eastAsia="en-GB"/>
          <w14:ligatures w14:val="standardContextual"/>
        </w:rPr>
        <w:tab/>
      </w:r>
      <w:r w:rsidRPr="00AA6C13">
        <w:rPr>
          <w:noProof/>
        </w:rPr>
        <w:t>Benchmarking platform with validation via interface</w:t>
      </w:r>
      <w:r w:rsidRPr="00AA6C13">
        <w:rPr>
          <w:noProof/>
        </w:rPr>
        <w:tab/>
      </w:r>
      <w:r w:rsidRPr="00AA6C13">
        <w:rPr>
          <w:noProof/>
        </w:rPr>
        <w:tab/>
        <w:t>9</w:t>
      </w:r>
    </w:p>
    <w:p w14:paraId="5A0596B6" w14:textId="08A520D4"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8.3</w:t>
      </w:r>
      <w:r w:rsidRPr="00AA6C13">
        <w:rPr>
          <w:rFonts w:asciiTheme="minorHAnsi" w:hAnsiTheme="minorHAnsi" w:cstheme="minorBidi"/>
          <w:noProof/>
          <w:kern w:val="2"/>
          <w:sz w:val="22"/>
          <w:szCs w:val="22"/>
          <w:lang w:eastAsia="en-GB"/>
          <w14:ligatures w14:val="standardContextual"/>
        </w:rPr>
        <w:tab/>
      </w:r>
      <w:r w:rsidRPr="00AA6C13">
        <w:rPr>
          <w:noProof/>
        </w:rPr>
        <w:t>Federated benchmarking platform</w:t>
      </w:r>
      <w:r w:rsidRPr="00AA6C13">
        <w:rPr>
          <w:noProof/>
        </w:rPr>
        <w:tab/>
      </w:r>
      <w:r w:rsidRPr="00AA6C13">
        <w:rPr>
          <w:noProof/>
        </w:rPr>
        <w:tab/>
        <w:t>10</w:t>
      </w:r>
    </w:p>
    <w:p w14:paraId="2373BD34" w14:textId="3346B250"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9</w:t>
      </w:r>
      <w:r w:rsidRPr="00AA6C13">
        <w:rPr>
          <w:rFonts w:asciiTheme="minorHAnsi" w:hAnsiTheme="minorHAnsi" w:cstheme="minorBidi"/>
          <w:noProof/>
          <w:kern w:val="2"/>
          <w:sz w:val="22"/>
          <w:szCs w:val="22"/>
          <w:lang w:eastAsia="en-GB"/>
          <w14:ligatures w14:val="standardContextual"/>
        </w:rPr>
        <w:tab/>
      </w:r>
      <w:r w:rsidRPr="00AA6C13">
        <w:rPr>
          <w:noProof/>
        </w:rPr>
        <w:t>Requirements of a benchmarking platform with validation in a closed environment</w:t>
      </w:r>
      <w:r w:rsidRPr="00AA6C13">
        <w:rPr>
          <w:noProof/>
        </w:rPr>
        <w:tab/>
      </w:r>
      <w:r w:rsidRPr="00AA6C13">
        <w:rPr>
          <w:noProof/>
        </w:rPr>
        <w:tab/>
        <w:t>10</w:t>
      </w:r>
    </w:p>
    <w:p w14:paraId="2A2E3BC0" w14:textId="67F1B51E"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9.1</w:t>
      </w:r>
      <w:r w:rsidRPr="00AA6C13">
        <w:rPr>
          <w:rFonts w:asciiTheme="minorHAnsi" w:hAnsiTheme="minorHAnsi" w:cstheme="minorBidi"/>
          <w:noProof/>
          <w:kern w:val="2"/>
          <w:sz w:val="22"/>
          <w:szCs w:val="22"/>
          <w:lang w:eastAsia="en-GB"/>
          <w14:ligatures w14:val="standardContextual"/>
        </w:rPr>
        <w:tab/>
      </w:r>
      <w:r w:rsidRPr="00AA6C13">
        <w:rPr>
          <w:noProof/>
        </w:rPr>
        <w:t>System overview</w:t>
      </w:r>
      <w:r w:rsidRPr="00AA6C13">
        <w:rPr>
          <w:noProof/>
        </w:rPr>
        <w:tab/>
      </w:r>
      <w:r w:rsidRPr="00AA6C13">
        <w:rPr>
          <w:noProof/>
        </w:rPr>
        <w:tab/>
        <w:t>10</w:t>
      </w:r>
    </w:p>
    <w:p w14:paraId="4AB6EFA5" w14:textId="16A8625A" w:rsidR="00645915" w:rsidRPr="00AA6C13" w:rsidRDefault="00645915" w:rsidP="00645915">
      <w:pPr>
        <w:pStyle w:val="TOC2"/>
        <w:ind w:right="992"/>
        <w:rPr>
          <w:rFonts w:asciiTheme="minorHAnsi" w:hAnsiTheme="minorHAnsi" w:cstheme="minorBidi"/>
          <w:noProof/>
          <w:kern w:val="2"/>
          <w:sz w:val="22"/>
          <w:szCs w:val="22"/>
          <w:lang w:eastAsia="en-GB"/>
          <w14:ligatures w14:val="standardContextual"/>
        </w:rPr>
      </w:pPr>
      <w:r w:rsidRPr="00AA6C13">
        <w:rPr>
          <w:noProof/>
        </w:rPr>
        <w:t>9.2</w:t>
      </w:r>
      <w:r w:rsidRPr="00AA6C13">
        <w:rPr>
          <w:rFonts w:asciiTheme="minorHAnsi" w:hAnsiTheme="minorHAnsi" w:cstheme="minorBidi"/>
          <w:noProof/>
          <w:kern w:val="2"/>
          <w:sz w:val="22"/>
          <w:szCs w:val="22"/>
          <w:lang w:eastAsia="en-GB"/>
          <w14:ligatures w14:val="standardContextual"/>
        </w:rPr>
        <w:tab/>
      </w:r>
      <w:r w:rsidRPr="00AA6C13">
        <w:rPr>
          <w:noProof/>
        </w:rPr>
        <w:t>General considerations</w:t>
      </w:r>
      <w:r w:rsidRPr="00AA6C13">
        <w:rPr>
          <w:noProof/>
        </w:rPr>
        <w:tab/>
      </w:r>
      <w:r w:rsidRPr="00AA6C13">
        <w:rPr>
          <w:noProof/>
        </w:rPr>
        <w:tab/>
        <w:t>15</w:t>
      </w:r>
    </w:p>
    <w:p w14:paraId="67145DF0" w14:textId="349D17E2"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rPr>
        <w:t>10</w:t>
      </w:r>
      <w:r w:rsidRPr="00AA6C13">
        <w:rPr>
          <w:rFonts w:asciiTheme="minorHAnsi" w:hAnsiTheme="minorHAnsi" w:cstheme="minorBidi"/>
          <w:noProof/>
          <w:kern w:val="2"/>
          <w:sz w:val="22"/>
          <w:szCs w:val="22"/>
          <w:lang w:eastAsia="en-GB"/>
          <w14:ligatures w14:val="standardContextual"/>
        </w:rPr>
        <w:tab/>
      </w:r>
      <w:r w:rsidRPr="00AA6C13">
        <w:rPr>
          <w:noProof/>
        </w:rPr>
        <w:t xml:space="preserve">Best practices for the testing, </w:t>
      </w:r>
      <w:r w:rsidRPr="00AA6C13">
        <w:rPr>
          <w:noProof/>
          <w:lang w:bidi="ar-DZ"/>
        </w:rPr>
        <w:t xml:space="preserve">validation, benchmarking and evaluation of health AI/ML models </w:t>
      </w:r>
      <w:r w:rsidRPr="00AA6C13">
        <w:rPr>
          <w:noProof/>
        </w:rPr>
        <w:t>from the scientific literature and other documents</w:t>
      </w:r>
      <w:r w:rsidRPr="00AA6C13">
        <w:rPr>
          <w:noProof/>
        </w:rPr>
        <w:tab/>
      </w:r>
      <w:r w:rsidRPr="00AA6C13">
        <w:rPr>
          <w:noProof/>
        </w:rPr>
        <w:tab/>
        <w:t>16</w:t>
      </w:r>
    </w:p>
    <w:p w14:paraId="1364A797" w14:textId="247C1432" w:rsidR="00645915" w:rsidRPr="00AA6C13" w:rsidRDefault="00645915" w:rsidP="00645915">
      <w:pPr>
        <w:pStyle w:val="TOC1"/>
        <w:ind w:right="992"/>
        <w:rPr>
          <w:rFonts w:asciiTheme="minorHAnsi" w:hAnsiTheme="minorHAnsi" w:cstheme="minorBidi"/>
          <w:noProof/>
          <w:kern w:val="2"/>
          <w:sz w:val="22"/>
          <w:szCs w:val="22"/>
          <w:lang w:eastAsia="en-GB"/>
          <w14:ligatures w14:val="standardContextual"/>
        </w:rPr>
      </w:pPr>
      <w:r w:rsidRPr="00AA6C13">
        <w:rPr>
          <w:noProof/>
          <w:lang w:bidi="ar-DZ"/>
        </w:rPr>
        <w:t>Bibliography</w:t>
      </w:r>
      <w:r w:rsidRPr="00AA6C13">
        <w:rPr>
          <w:noProof/>
          <w:lang w:bidi="ar-DZ"/>
        </w:rPr>
        <w:tab/>
      </w:r>
      <w:r w:rsidRPr="00AA6C13">
        <w:rPr>
          <w:noProof/>
          <w:lang w:bidi="ar-DZ"/>
        </w:rPr>
        <w:tab/>
      </w:r>
      <w:r w:rsidRPr="00AA6C13">
        <w:rPr>
          <w:noProof/>
        </w:rPr>
        <w:t>33</w:t>
      </w:r>
    </w:p>
    <w:p w14:paraId="2A00E416" w14:textId="77777777" w:rsidR="007F6ED7" w:rsidRPr="00AA6C13" w:rsidRDefault="007F6ED7" w:rsidP="003201BA"/>
    <w:p w14:paraId="13A8B694" w14:textId="77777777" w:rsidR="003201BA" w:rsidRPr="00AA6C13" w:rsidRDefault="003201BA" w:rsidP="003201BA"/>
    <w:p w14:paraId="4A70FE58" w14:textId="77777777" w:rsidR="003201BA" w:rsidRPr="00AA6C13" w:rsidRDefault="003201BA" w:rsidP="003201BA">
      <w:pPr>
        <w:sectPr w:rsidR="003201BA" w:rsidRPr="00AA6C13" w:rsidSect="00316826">
          <w:headerReference w:type="even" r:id="rId24"/>
          <w:footerReference w:type="default" r:id="rId25"/>
          <w:type w:val="oddPage"/>
          <w:pgSz w:w="11907" w:h="16834" w:code="9"/>
          <w:pgMar w:top="1134" w:right="1134" w:bottom="1134" w:left="1134" w:header="567" w:footer="567" w:gutter="0"/>
          <w:paperSrc w:first="15" w:other="15"/>
          <w:pgNumType w:fmt="lowerRoman" w:start="1"/>
          <w:cols w:space="720"/>
          <w:docGrid w:linePitch="326"/>
        </w:sectPr>
      </w:pPr>
    </w:p>
    <w:p w14:paraId="6E02DEB9" w14:textId="747DF685" w:rsidR="00FF57DA" w:rsidRPr="00AA6C13" w:rsidRDefault="00FF57DA" w:rsidP="00FF57DA">
      <w:pPr>
        <w:pStyle w:val="RecNo"/>
      </w:pPr>
      <w:r w:rsidRPr="00AA6C13">
        <w:lastRenderedPageBreak/>
        <w:t xml:space="preserve">ITU-T FG-AI4H Deliverable </w:t>
      </w:r>
      <w:r w:rsidR="0057123C" w:rsidRPr="00AA6C13">
        <w:rPr>
          <w:noProof/>
        </w:rPr>
        <w:t>DEL07</w:t>
      </w:r>
    </w:p>
    <w:p w14:paraId="7F2754C4" w14:textId="570C71CA" w:rsidR="00FF57DA" w:rsidRPr="00AA6C13" w:rsidRDefault="0057123C" w:rsidP="00FF57DA">
      <w:pPr>
        <w:pStyle w:val="Rectitle"/>
      </w:pPr>
      <w:r w:rsidRPr="00AA6C13">
        <w:rPr>
          <w:noProof/>
        </w:rPr>
        <w:t>Artificial intelligence for health evaluation considerations</w:t>
      </w:r>
    </w:p>
    <w:p w14:paraId="7FB41951" w14:textId="09D331EC" w:rsidR="000F37B9" w:rsidRPr="00AA6C13" w:rsidRDefault="0093536E" w:rsidP="009F1217">
      <w:pPr>
        <w:pStyle w:val="Heading1"/>
      </w:pPr>
      <w:bookmarkStart w:id="10" w:name="_Toc401158818"/>
      <w:bookmarkStart w:id="11" w:name="_Toc134124070"/>
      <w:bookmarkStart w:id="12" w:name="_Toc142387507"/>
      <w:bookmarkStart w:id="13" w:name="_Toc155950628"/>
      <w:bookmarkStart w:id="14" w:name="_Toc155950794"/>
      <w:r w:rsidRPr="00AA6C13">
        <w:t>1</w:t>
      </w:r>
      <w:r w:rsidRPr="00AA6C13">
        <w:tab/>
      </w:r>
      <w:r w:rsidR="000F37B9" w:rsidRPr="00AA6C13">
        <w:t>Scope</w:t>
      </w:r>
      <w:bookmarkEnd w:id="10"/>
      <w:bookmarkEnd w:id="11"/>
      <w:bookmarkEnd w:id="12"/>
      <w:bookmarkEnd w:id="13"/>
      <w:bookmarkEnd w:id="14"/>
    </w:p>
    <w:p w14:paraId="3B3C3C4D" w14:textId="04C94DC3" w:rsidR="000F37B9" w:rsidRPr="00AA6C13" w:rsidRDefault="000F37B9" w:rsidP="000F37B9">
      <w:r w:rsidRPr="00AA6C13">
        <w:t xml:space="preserve">Considerations on the testing, validation, benchmarking and evaluation of </w:t>
      </w:r>
      <w:r w:rsidR="009D081E" w:rsidRPr="00AA6C13">
        <w:t>Artificial Intelligence (</w:t>
      </w:r>
      <w:r w:rsidRPr="00AA6C13">
        <w:t>AI</w:t>
      </w:r>
      <w:r w:rsidR="009D081E" w:rsidRPr="00AA6C13">
        <w:t>)</w:t>
      </w:r>
      <w:r w:rsidRPr="00AA6C13">
        <w:t xml:space="preserve"> and machine learning </w:t>
      </w:r>
      <w:r w:rsidR="0010399A" w:rsidRPr="00AA6C13">
        <w:t xml:space="preserve">(ML) </w:t>
      </w:r>
      <w:r w:rsidRPr="00AA6C13">
        <w:t>models, methods</w:t>
      </w:r>
      <w:r w:rsidR="003F1EC5" w:rsidRPr="00AA6C13">
        <w:t>,</w:t>
      </w:r>
      <w:r w:rsidRPr="00AA6C13">
        <w:t xml:space="preserve"> or systems in the healthcare domain. The </w:t>
      </w:r>
      <w:r w:rsidR="006831B6" w:rsidRPr="00AA6C13">
        <w:t>Technical Report</w:t>
      </w:r>
      <w:r w:rsidRPr="00AA6C13">
        <w:t xml:space="preserve"> belongs to a series of </w:t>
      </w:r>
      <w:r w:rsidR="003E74E6" w:rsidRPr="00AA6C13">
        <w:t xml:space="preserve">International Telecommunication Union </w:t>
      </w:r>
      <w:r w:rsidR="00F45520" w:rsidRPr="00AA6C13">
        <w:t>ITU/WHO Focus Group on Artificial Intelligence for Health (</w:t>
      </w:r>
      <w:r w:rsidRPr="00AA6C13">
        <w:t>FG-AI4H</w:t>
      </w:r>
      <w:r w:rsidR="0005015E" w:rsidRPr="00AA6C13">
        <w:t>)</w:t>
      </w:r>
      <w:r w:rsidRPr="00AA6C13">
        <w:t xml:space="preserve"> deliverables </w:t>
      </w:r>
      <w:r w:rsidR="00F01727" w:rsidRPr="00AA6C13">
        <w:t xml:space="preserve">(DEL) </w:t>
      </w:r>
      <w:r w:rsidRPr="00AA6C13">
        <w:t xml:space="preserve">listed in the overview </w:t>
      </w:r>
      <w:r w:rsidR="0047196D">
        <w:t>[</w:t>
      </w:r>
      <w:hyperlink r:id="rId26" w:history="1">
        <w:r w:rsidRPr="00B312FA">
          <w:rPr>
            <w:rStyle w:val="Hyperlink"/>
          </w:rPr>
          <w:t>DEL0</w:t>
        </w:r>
      </w:hyperlink>
      <w:r w:rsidR="0047196D">
        <w:t>]</w:t>
      </w:r>
      <w:r w:rsidRPr="00AA6C13">
        <w:t>. Thus, separate deliverables cover several aspects not addressed here, e.g., data, ethics, regulation</w:t>
      </w:r>
      <w:r w:rsidR="00D55A1B" w:rsidRPr="00AA6C13">
        <w:t>,</w:t>
      </w:r>
      <w:r w:rsidRPr="00AA6C13">
        <w:t xml:space="preserve"> etc.</w:t>
      </w:r>
    </w:p>
    <w:p w14:paraId="10E223D4" w14:textId="5037A1F8" w:rsidR="000F37B9" w:rsidRPr="00AA6C13" w:rsidRDefault="0093536E" w:rsidP="009F1217">
      <w:pPr>
        <w:pStyle w:val="Heading1"/>
      </w:pPr>
      <w:bookmarkStart w:id="15" w:name="__RefHeading___Toc5091_3617894909"/>
      <w:bookmarkStart w:id="16" w:name="_Toc401158819"/>
      <w:bookmarkStart w:id="17" w:name="_Toc134124071"/>
      <w:bookmarkStart w:id="18" w:name="_Toc142387508"/>
      <w:bookmarkStart w:id="19" w:name="_Toc155950629"/>
      <w:bookmarkStart w:id="20" w:name="_Toc155950795"/>
      <w:bookmarkEnd w:id="15"/>
      <w:r w:rsidRPr="00AA6C13">
        <w:t>2</w:t>
      </w:r>
      <w:r w:rsidRPr="00AA6C13">
        <w:tab/>
      </w:r>
      <w:r w:rsidR="000F37B9" w:rsidRPr="00AA6C13">
        <w:t>References</w:t>
      </w:r>
      <w:bookmarkEnd w:id="16"/>
      <w:bookmarkEnd w:id="17"/>
      <w:bookmarkEnd w:id="18"/>
      <w:bookmarkEnd w:id="19"/>
      <w:bookmarkEnd w:id="20"/>
    </w:p>
    <w:p w14:paraId="64E678AE" w14:textId="040E8E64" w:rsidR="000F37B9" w:rsidRPr="00AA6C13" w:rsidRDefault="000F37B9" w:rsidP="0093536E">
      <w:pPr>
        <w:pStyle w:val="Reftext"/>
        <w:tabs>
          <w:tab w:val="clear" w:pos="1191"/>
        </w:tabs>
        <w:ind w:left="1588" w:hanging="1588"/>
        <w:rPr>
          <w:lang w:bidi="ar-DZ"/>
        </w:rPr>
      </w:pPr>
      <w:r w:rsidRPr="00AA6C13">
        <w:rPr>
          <w:lang w:bidi="ar-DZ"/>
        </w:rPr>
        <w:t>[</w:t>
      </w:r>
      <w:hyperlink r:id="rId27" w:history="1">
        <w:r w:rsidRPr="0047196D">
          <w:rPr>
            <w:rStyle w:val="Hyperlink"/>
            <w:lang w:bidi="ar-DZ"/>
          </w:rPr>
          <w:t>DEL0</w:t>
        </w:r>
      </w:hyperlink>
      <w:r w:rsidRPr="00AA6C13">
        <w:rPr>
          <w:lang w:bidi="ar-DZ"/>
        </w:rPr>
        <w:t>]</w:t>
      </w:r>
      <w:r w:rsidRPr="00AA6C13">
        <w:tab/>
      </w:r>
      <w:r w:rsidR="009C3604">
        <w:tab/>
      </w:r>
      <w:r w:rsidRPr="00AA6C13">
        <w:rPr>
          <w:lang w:bidi="ar-DZ"/>
        </w:rPr>
        <w:t xml:space="preserve">FG-AI4H deliverable DEL0, </w:t>
      </w:r>
      <w:r w:rsidRPr="00AA6C13">
        <w:rPr>
          <w:i/>
          <w:iCs/>
          <w:lang w:bidi="ar-DZ"/>
        </w:rPr>
        <w:t>Overview of the FG-AI4H deliverables</w:t>
      </w:r>
      <w:r w:rsidRPr="00AA6C13">
        <w:rPr>
          <w:lang w:bidi="ar-DZ"/>
        </w:rPr>
        <w:t>.</w:t>
      </w:r>
    </w:p>
    <w:p w14:paraId="78B08A38" w14:textId="119FF695" w:rsidR="000F37B9" w:rsidRPr="00AA6C13" w:rsidRDefault="000F37B9" w:rsidP="0093536E">
      <w:pPr>
        <w:pStyle w:val="Reftext"/>
        <w:tabs>
          <w:tab w:val="clear" w:pos="1191"/>
        </w:tabs>
        <w:ind w:left="1588" w:hanging="1588"/>
        <w:rPr>
          <w:lang w:bidi="ar-DZ"/>
        </w:rPr>
      </w:pPr>
      <w:r w:rsidRPr="00AA6C13">
        <w:rPr>
          <w:lang w:bidi="ar-DZ"/>
        </w:rPr>
        <w:t>[</w:t>
      </w:r>
      <w:hyperlink r:id="rId28" w:history="1">
        <w:r w:rsidRPr="00921391">
          <w:rPr>
            <w:rStyle w:val="Hyperlink"/>
            <w:lang w:bidi="ar-DZ"/>
          </w:rPr>
          <w:t>DEL0.1</w:t>
        </w:r>
      </w:hyperlink>
      <w:r w:rsidRPr="00AA6C13">
        <w:rPr>
          <w:lang w:bidi="ar-DZ"/>
        </w:rPr>
        <w:t>]</w:t>
      </w:r>
      <w:r w:rsidRPr="00AA6C13">
        <w:tab/>
      </w:r>
      <w:r w:rsidRPr="00AA6C13">
        <w:rPr>
          <w:lang w:bidi="ar-DZ"/>
        </w:rPr>
        <w:t xml:space="preserve">FG-AI4H deliverable DEL0.1, </w:t>
      </w:r>
      <w:r w:rsidRPr="00AA6C13">
        <w:rPr>
          <w:i/>
          <w:iCs/>
          <w:lang w:bidi="ar-DZ"/>
        </w:rPr>
        <w:t>Common unified terms in artificial intelligence for health.</w:t>
      </w:r>
    </w:p>
    <w:p w14:paraId="42935939" w14:textId="00CBB059" w:rsidR="002E2071" w:rsidRPr="003C4833" w:rsidRDefault="000F37B9" w:rsidP="0093536E">
      <w:pPr>
        <w:pStyle w:val="Reftext"/>
        <w:tabs>
          <w:tab w:val="clear" w:pos="1191"/>
        </w:tabs>
        <w:ind w:left="1588" w:hanging="1588"/>
        <w:rPr>
          <w:lang w:bidi="ar-DZ"/>
        </w:rPr>
      </w:pPr>
      <w:r w:rsidRPr="003C4833">
        <w:rPr>
          <w:lang w:bidi="ar-DZ"/>
        </w:rPr>
        <w:t>[</w:t>
      </w:r>
      <w:hyperlink r:id="rId29" w:history="1">
        <w:r w:rsidRPr="00145D5A">
          <w:rPr>
            <w:rStyle w:val="Hyperlink"/>
            <w:lang w:bidi="ar-DZ"/>
          </w:rPr>
          <w:t>DEL1</w:t>
        </w:r>
      </w:hyperlink>
      <w:r w:rsidRPr="003C4833">
        <w:rPr>
          <w:lang w:bidi="ar-DZ"/>
        </w:rPr>
        <w:t>]</w:t>
      </w:r>
      <w:r w:rsidRPr="003C4833">
        <w:rPr>
          <w:lang w:bidi="ar-DZ"/>
        </w:rPr>
        <w:tab/>
      </w:r>
      <w:r w:rsidR="009C3604">
        <w:rPr>
          <w:lang w:bidi="ar-DZ"/>
        </w:rPr>
        <w:tab/>
      </w:r>
      <w:r w:rsidRPr="003C4833">
        <w:rPr>
          <w:lang w:bidi="ar-DZ"/>
        </w:rPr>
        <w:t xml:space="preserve">FG-AI4H deliverable DEL01, </w:t>
      </w:r>
      <w:r w:rsidRPr="003C4833">
        <w:rPr>
          <w:i/>
          <w:iCs/>
          <w:lang w:bidi="ar-DZ"/>
        </w:rPr>
        <w:t>AI4H ethics considerations</w:t>
      </w:r>
      <w:r w:rsidRPr="003C4833">
        <w:rPr>
          <w:lang w:bidi="ar-DZ"/>
        </w:rPr>
        <w:t>.</w:t>
      </w:r>
    </w:p>
    <w:p w14:paraId="28F56983" w14:textId="39B8DCED" w:rsidR="002E2071" w:rsidRPr="00AA6C13" w:rsidRDefault="000F37B9" w:rsidP="0093536E">
      <w:pPr>
        <w:pStyle w:val="Reftext"/>
        <w:tabs>
          <w:tab w:val="clear" w:pos="1191"/>
        </w:tabs>
        <w:ind w:left="1588" w:hanging="1588"/>
        <w:rPr>
          <w:lang w:bidi="ar-DZ"/>
        </w:rPr>
      </w:pPr>
      <w:r w:rsidRPr="00AA6C13">
        <w:rPr>
          <w:lang w:bidi="ar-DZ"/>
        </w:rPr>
        <w:t>[</w:t>
      </w:r>
      <w:hyperlink r:id="rId30" w:history="1">
        <w:r w:rsidRPr="000F06EC">
          <w:rPr>
            <w:rStyle w:val="Hyperlink"/>
            <w:lang w:bidi="ar-DZ"/>
          </w:rPr>
          <w:t>DEL2</w:t>
        </w:r>
      </w:hyperlink>
      <w:r w:rsidRPr="00AA6C13">
        <w:rPr>
          <w:lang w:bidi="ar-DZ"/>
        </w:rPr>
        <w:t>]</w:t>
      </w:r>
      <w:r w:rsidRPr="00AA6C13">
        <w:rPr>
          <w:lang w:bidi="ar-DZ"/>
        </w:rPr>
        <w:tab/>
      </w:r>
      <w:r w:rsidR="009C3604">
        <w:rPr>
          <w:lang w:bidi="ar-DZ"/>
        </w:rPr>
        <w:tab/>
      </w:r>
      <w:r w:rsidRPr="00AA6C13">
        <w:rPr>
          <w:lang w:bidi="ar-DZ"/>
        </w:rPr>
        <w:t xml:space="preserve">FG-AI4H deliverable DEL02, </w:t>
      </w:r>
      <w:r w:rsidR="00792E8E" w:rsidRPr="00AA6C13">
        <w:rPr>
          <w:i/>
          <w:iCs/>
          <w:lang w:bidi="ar-DZ"/>
        </w:rPr>
        <w:t>Overview of</w:t>
      </w:r>
      <w:r w:rsidRPr="00AA6C13">
        <w:rPr>
          <w:i/>
          <w:iCs/>
          <w:lang w:bidi="ar-DZ"/>
        </w:rPr>
        <w:t xml:space="preserve"> regulatory considerations</w:t>
      </w:r>
      <w:r w:rsidR="00792E8E" w:rsidRPr="00AA6C13">
        <w:rPr>
          <w:i/>
          <w:iCs/>
          <w:lang w:bidi="ar-DZ"/>
        </w:rPr>
        <w:t xml:space="preserve"> on artificial intelligence for health</w:t>
      </w:r>
      <w:r w:rsidRPr="00AA6C13">
        <w:rPr>
          <w:lang w:bidi="ar-DZ"/>
        </w:rPr>
        <w:t>.</w:t>
      </w:r>
    </w:p>
    <w:p w14:paraId="5DEE8595" w14:textId="04003496" w:rsidR="002E2071" w:rsidRPr="003C4833" w:rsidRDefault="000F37B9" w:rsidP="0093536E">
      <w:pPr>
        <w:pStyle w:val="Reftext"/>
        <w:tabs>
          <w:tab w:val="clear" w:pos="1191"/>
        </w:tabs>
        <w:ind w:left="1588" w:hanging="1588"/>
        <w:rPr>
          <w:lang w:bidi="ar-DZ"/>
        </w:rPr>
      </w:pPr>
      <w:r w:rsidRPr="003C4833">
        <w:rPr>
          <w:lang w:bidi="ar-DZ"/>
        </w:rPr>
        <w:t>[DEL5]</w:t>
      </w:r>
      <w:r w:rsidRPr="003C4833">
        <w:rPr>
          <w:lang w:bidi="ar-DZ"/>
        </w:rPr>
        <w:tab/>
      </w:r>
      <w:r w:rsidR="009C3604">
        <w:rPr>
          <w:lang w:bidi="ar-DZ"/>
        </w:rPr>
        <w:tab/>
      </w:r>
      <w:r w:rsidRPr="003C4833">
        <w:rPr>
          <w:lang w:bidi="ar-DZ"/>
        </w:rPr>
        <w:t xml:space="preserve">FG-AI4H deliverable DEL05, </w:t>
      </w:r>
      <w:r w:rsidRPr="003C4833">
        <w:rPr>
          <w:i/>
          <w:iCs/>
          <w:lang w:bidi="ar-DZ"/>
        </w:rPr>
        <w:t>Data specification</w:t>
      </w:r>
      <w:r w:rsidRPr="003C4833">
        <w:rPr>
          <w:lang w:bidi="ar-DZ"/>
        </w:rPr>
        <w:t>.</w:t>
      </w:r>
    </w:p>
    <w:p w14:paraId="380179A7" w14:textId="16EE12B8" w:rsidR="003A4F3F" w:rsidRPr="00AA6C13" w:rsidRDefault="003A4F3F" w:rsidP="0093536E">
      <w:pPr>
        <w:pStyle w:val="Reftext"/>
        <w:tabs>
          <w:tab w:val="clear" w:pos="1191"/>
        </w:tabs>
        <w:ind w:left="1588" w:hanging="1588"/>
        <w:rPr>
          <w:lang w:bidi="ar-DZ"/>
        </w:rPr>
      </w:pPr>
      <w:r w:rsidRPr="00AA6C13">
        <w:rPr>
          <w:lang w:bidi="ar-DZ"/>
        </w:rPr>
        <w:t>[</w:t>
      </w:r>
      <w:hyperlink r:id="rId31" w:history="1">
        <w:r w:rsidRPr="00C12355">
          <w:rPr>
            <w:rStyle w:val="Hyperlink"/>
            <w:lang w:bidi="ar-DZ"/>
          </w:rPr>
          <w:t>DEL7</w:t>
        </w:r>
      </w:hyperlink>
      <w:r w:rsidRPr="00AA6C13">
        <w:rPr>
          <w:lang w:bidi="ar-DZ"/>
        </w:rPr>
        <w:t>]</w:t>
      </w:r>
      <w:r w:rsidR="00E75663" w:rsidRPr="00AA6C13">
        <w:rPr>
          <w:lang w:bidi="ar-DZ"/>
        </w:rPr>
        <w:tab/>
      </w:r>
      <w:r w:rsidR="009C3604">
        <w:rPr>
          <w:lang w:bidi="ar-DZ"/>
        </w:rPr>
        <w:tab/>
      </w:r>
      <w:r w:rsidR="00E75663" w:rsidRPr="00AA6C13">
        <w:rPr>
          <w:lang w:bidi="ar-DZ"/>
        </w:rPr>
        <w:t xml:space="preserve">FG-AI4H deliverable DEL07, </w:t>
      </w:r>
      <w:r w:rsidR="00E75663" w:rsidRPr="00AA6C13">
        <w:rPr>
          <w:i/>
          <w:iCs/>
          <w:lang w:bidi="ar-DZ"/>
        </w:rPr>
        <w:t>Artific</w:t>
      </w:r>
      <w:r w:rsidR="00A82267" w:rsidRPr="00AA6C13">
        <w:rPr>
          <w:i/>
          <w:iCs/>
          <w:lang w:bidi="ar-DZ"/>
        </w:rPr>
        <w:t>i</w:t>
      </w:r>
      <w:r w:rsidR="00E75663" w:rsidRPr="00AA6C13">
        <w:rPr>
          <w:i/>
          <w:iCs/>
          <w:lang w:bidi="ar-DZ"/>
        </w:rPr>
        <w:t>al intelligence for health evaluation consideration</w:t>
      </w:r>
      <w:r w:rsidR="00E75663" w:rsidRPr="00AA6C13">
        <w:rPr>
          <w:lang w:bidi="ar-DZ"/>
        </w:rPr>
        <w:t>.</w:t>
      </w:r>
    </w:p>
    <w:p w14:paraId="0AAA2CBC" w14:textId="4650E779" w:rsidR="002E2071" w:rsidRPr="00AA6C13" w:rsidRDefault="000F37B9" w:rsidP="0093536E">
      <w:pPr>
        <w:pStyle w:val="Reftext"/>
        <w:tabs>
          <w:tab w:val="clear" w:pos="1191"/>
        </w:tabs>
        <w:ind w:left="1588" w:hanging="1588"/>
        <w:rPr>
          <w:lang w:bidi="ar-DZ"/>
        </w:rPr>
      </w:pPr>
      <w:r w:rsidRPr="00AA6C13">
        <w:rPr>
          <w:lang w:bidi="ar-DZ"/>
        </w:rPr>
        <w:t>[</w:t>
      </w:r>
      <w:hyperlink r:id="rId32" w:history="1">
        <w:r w:rsidRPr="00146960">
          <w:rPr>
            <w:rStyle w:val="Hyperlink"/>
            <w:lang w:bidi="ar-DZ"/>
          </w:rPr>
          <w:t>DEL7.2</w:t>
        </w:r>
      </w:hyperlink>
      <w:r w:rsidRPr="00AA6C13">
        <w:rPr>
          <w:lang w:bidi="ar-DZ"/>
        </w:rPr>
        <w:t>]</w:t>
      </w:r>
      <w:r w:rsidRPr="00AA6C13">
        <w:rPr>
          <w:lang w:bidi="ar-DZ"/>
        </w:rPr>
        <w:tab/>
        <w:t xml:space="preserve">FG-AI4H deliverable DEL07.2, </w:t>
      </w:r>
      <w:r w:rsidRPr="00AA6C13">
        <w:rPr>
          <w:i/>
          <w:iCs/>
          <w:lang w:bidi="ar-DZ"/>
        </w:rPr>
        <w:t>AI technical test specification</w:t>
      </w:r>
      <w:r w:rsidRPr="00AA6C13">
        <w:rPr>
          <w:lang w:bidi="ar-DZ"/>
        </w:rPr>
        <w:t>.</w:t>
      </w:r>
    </w:p>
    <w:p w14:paraId="4A22105E" w14:textId="28CCE380" w:rsidR="002E2071" w:rsidRPr="00AA6C13" w:rsidRDefault="000F37B9" w:rsidP="0093536E">
      <w:pPr>
        <w:pStyle w:val="Reftext"/>
        <w:tabs>
          <w:tab w:val="clear" w:pos="1191"/>
        </w:tabs>
        <w:ind w:left="1588" w:hanging="1588"/>
        <w:rPr>
          <w:lang w:bidi="ar-DZ"/>
        </w:rPr>
      </w:pPr>
      <w:r w:rsidRPr="00AA6C13">
        <w:rPr>
          <w:lang w:bidi="ar-DZ"/>
        </w:rPr>
        <w:t>[DEL7.4]</w:t>
      </w:r>
      <w:r w:rsidRPr="00AA6C13">
        <w:rPr>
          <w:lang w:bidi="ar-DZ"/>
        </w:rPr>
        <w:tab/>
        <w:t xml:space="preserve">FG-AI4H deliverable DEL07.4, </w:t>
      </w:r>
      <w:r w:rsidRPr="00AA6C13">
        <w:rPr>
          <w:i/>
          <w:iCs/>
          <w:lang w:bidi="ar-DZ"/>
        </w:rPr>
        <w:t>Clinical evaluation of AI for health</w:t>
      </w:r>
      <w:r w:rsidRPr="00AA6C13">
        <w:rPr>
          <w:lang w:bidi="ar-DZ"/>
        </w:rPr>
        <w:t>.</w:t>
      </w:r>
    </w:p>
    <w:p w14:paraId="6AD1AE07" w14:textId="74DD6475" w:rsidR="002E2071" w:rsidRPr="00AA6C13" w:rsidRDefault="000F37B9" w:rsidP="0093536E">
      <w:pPr>
        <w:pStyle w:val="Reftext"/>
        <w:tabs>
          <w:tab w:val="clear" w:pos="1191"/>
        </w:tabs>
        <w:ind w:left="1588" w:hanging="1588"/>
        <w:rPr>
          <w:i/>
          <w:iCs/>
          <w:lang w:bidi="ar-DZ"/>
        </w:rPr>
      </w:pPr>
      <w:r w:rsidRPr="00AA6C13">
        <w:rPr>
          <w:lang w:bidi="ar-DZ"/>
        </w:rPr>
        <w:t>[</w:t>
      </w:r>
      <w:hyperlink r:id="rId33" w:history="1">
        <w:r w:rsidRPr="00482733">
          <w:rPr>
            <w:rStyle w:val="Hyperlink"/>
            <w:lang w:bidi="ar-DZ"/>
          </w:rPr>
          <w:t>DEL10</w:t>
        </w:r>
      </w:hyperlink>
      <w:r w:rsidRPr="00AA6C13">
        <w:rPr>
          <w:lang w:bidi="ar-DZ"/>
        </w:rPr>
        <w:t>]</w:t>
      </w:r>
      <w:r w:rsidRPr="00AA6C13">
        <w:rPr>
          <w:lang w:bidi="ar-DZ"/>
        </w:rPr>
        <w:tab/>
        <w:t xml:space="preserve">FG-AI4H deliverable DEL10, </w:t>
      </w:r>
      <w:r w:rsidRPr="00AA6C13">
        <w:rPr>
          <w:i/>
          <w:iCs/>
          <w:lang w:bidi="ar-DZ"/>
        </w:rPr>
        <w:t>AI4H use cases: topic description documents.</w:t>
      </w:r>
    </w:p>
    <w:p w14:paraId="500226D5" w14:textId="32241834" w:rsidR="00B35264" w:rsidRPr="00AA6C13" w:rsidRDefault="00B35264" w:rsidP="0093536E">
      <w:pPr>
        <w:pStyle w:val="Reftext"/>
        <w:tabs>
          <w:tab w:val="clear" w:pos="1191"/>
        </w:tabs>
        <w:ind w:left="1588" w:hanging="1588"/>
        <w:rPr>
          <w:lang w:bidi="ar-DZ"/>
        </w:rPr>
      </w:pPr>
      <w:r w:rsidRPr="00AA6C13">
        <w:rPr>
          <w:lang w:bidi="ar-DZ"/>
        </w:rPr>
        <w:t>[</w:t>
      </w:r>
      <w:hyperlink r:id="rId34" w:history="1">
        <w:r w:rsidRPr="005928DE">
          <w:rPr>
            <w:rStyle w:val="Hyperlink"/>
            <w:lang w:bidi="ar-DZ"/>
          </w:rPr>
          <w:t>DEL10.14</w:t>
        </w:r>
      </w:hyperlink>
      <w:r w:rsidRPr="00AA6C13">
        <w:rPr>
          <w:lang w:bidi="ar-DZ"/>
        </w:rPr>
        <w:t>]</w:t>
      </w:r>
      <w:r w:rsidR="00391E28" w:rsidRPr="00AA6C13">
        <w:rPr>
          <w:lang w:bidi="ar-DZ"/>
        </w:rPr>
        <w:tab/>
        <w:t>FG-AI4H deliverable DEL10.14</w:t>
      </w:r>
      <w:r w:rsidR="007E40D1" w:rsidRPr="00AA6C13">
        <w:rPr>
          <w:lang w:bidi="ar-DZ"/>
        </w:rPr>
        <w:t xml:space="preserve">, </w:t>
      </w:r>
      <w:r w:rsidR="007E40D1" w:rsidRPr="00AA6C13">
        <w:rPr>
          <w:i/>
          <w:iCs/>
          <w:lang w:bidi="ar-DZ"/>
        </w:rPr>
        <w:t>Topic group on Symptom assessment</w:t>
      </w:r>
      <w:r w:rsidR="007E40D1" w:rsidRPr="00AA6C13">
        <w:rPr>
          <w:lang w:bidi="ar-DZ"/>
        </w:rPr>
        <w:t>.</w:t>
      </w:r>
    </w:p>
    <w:p w14:paraId="25F7F9AD" w14:textId="563BF09C" w:rsidR="000F37B9" w:rsidRPr="00AA6C13" w:rsidRDefault="00127728" w:rsidP="00127728">
      <w:pPr>
        <w:pStyle w:val="Note"/>
        <w:rPr>
          <w:lang w:bidi="ar-DZ"/>
        </w:rPr>
      </w:pPr>
      <w:r w:rsidRPr="00AA6C13">
        <w:rPr>
          <w:lang w:bidi="ar-DZ"/>
        </w:rPr>
        <w:t xml:space="preserve">NOTE – </w:t>
      </w:r>
      <w:r w:rsidR="000F37B9" w:rsidRPr="00AA6C13">
        <w:rPr>
          <w:lang w:bidi="ar-DZ"/>
        </w:rPr>
        <w:t xml:space="preserve">The </w:t>
      </w:r>
      <w:r w:rsidR="00B26554" w:rsidRPr="00AA6C13">
        <w:rPr>
          <w:lang w:bidi="ar-DZ"/>
        </w:rPr>
        <w:t>B</w:t>
      </w:r>
      <w:r w:rsidR="000F37B9" w:rsidRPr="00AA6C13">
        <w:rPr>
          <w:lang w:bidi="ar-DZ"/>
        </w:rPr>
        <w:t>ibliography lists additional literature references.</w:t>
      </w:r>
    </w:p>
    <w:p w14:paraId="353237A4" w14:textId="1655DEE7" w:rsidR="000F37B9" w:rsidRPr="00AA6C13" w:rsidRDefault="0093536E" w:rsidP="009F1217">
      <w:pPr>
        <w:pStyle w:val="Heading1"/>
      </w:pPr>
      <w:bookmarkStart w:id="21" w:name="__RefHeading___Toc5093_3617894909"/>
      <w:bookmarkStart w:id="22" w:name="_Toc401158820"/>
      <w:bookmarkStart w:id="23" w:name="_Toc134124072"/>
      <w:bookmarkStart w:id="24" w:name="_Toc142387509"/>
      <w:bookmarkStart w:id="25" w:name="_Toc155950630"/>
      <w:bookmarkStart w:id="26" w:name="_Toc155950796"/>
      <w:bookmarkEnd w:id="21"/>
      <w:r w:rsidRPr="00AA6C13">
        <w:t>3</w:t>
      </w:r>
      <w:r w:rsidRPr="00AA6C13">
        <w:tab/>
        <w:t>D</w:t>
      </w:r>
      <w:r w:rsidR="000F37B9" w:rsidRPr="00AA6C13">
        <w:t>efinitions</w:t>
      </w:r>
      <w:bookmarkEnd w:id="22"/>
      <w:bookmarkEnd w:id="23"/>
      <w:bookmarkEnd w:id="24"/>
      <w:bookmarkEnd w:id="25"/>
      <w:bookmarkEnd w:id="26"/>
    </w:p>
    <w:p w14:paraId="628D6797" w14:textId="5D1CB2EE" w:rsidR="000F37B9" w:rsidRPr="00AA6C13" w:rsidRDefault="0093536E" w:rsidP="00127728">
      <w:pPr>
        <w:pStyle w:val="Heading2"/>
      </w:pPr>
      <w:bookmarkStart w:id="27" w:name="__RefHeading___Toc5095_3617894909"/>
      <w:bookmarkStart w:id="28" w:name="_Toc401158821"/>
      <w:bookmarkStart w:id="29" w:name="_Toc134124073"/>
      <w:bookmarkStart w:id="30" w:name="_Toc142387510"/>
      <w:bookmarkStart w:id="31" w:name="_Toc155950631"/>
      <w:bookmarkStart w:id="32" w:name="_Toc155950797"/>
      <w:bookmarkEnd w:id="27"/>
      <w:r w:rsidRPr="00AA6C13">
        <w:t>3.1</w:t>
      </w:r>
      <w:r w:rsidRPr="00AA6C13">
        <w:tab/>
      </w:r>
      <w:r w:rsidR="000F37B9" w:rsidRPr="00AA6C13">
        <w:t>Terms defined elsewhere</w:t>
      </w:r>
      <w:bookmarkEnd w:id="28"/>
      <w:bookmarkEnd w:id="29"/>
      <w:bookmarkEnd w:id="30"/>
      <w:bookmarkEnd w:id="31"/>
      <w:bookmarkEnd w:id="32"/>
    </w:p>
    <w:p w14:paraId="65CC03F7" w14:textId="1C53CB03" w:rsidR="000F37B9" w:rsidRPr="00AA6C13" w:rsidRDefault="000F37B9" w:rsidP="000F37B9">
      <w:r w:rsidRPr="00AA6C13">
        <w:t xml:space="preserve">This </w:t>
      </w:r>
      <w:r w:rsidR="002916DA" w:rsidRPr="00AA6C13">
        <w:t>Technical Report</w:t>
      </w:r>
      <w:r w:rsidRPr="00AA6C13">
        <w:t xml:space="preserve"> adopts the terms defined in [DEL0.1].</w:t>
      </w:r>
    </w:p>
    <w:p w14:paraId="5EC0FB16" w14:textId="703D0E22" w:rsidR="000F37B9" w:rsidRPr="00AA6C13" w:rsidRDefault="0093536E" w:rsidP="00127728">
      <w:pPr>
        <w:pStyle w:val="Heading2"/>
      </w:pPr>
      <w:bookmarkStart w:id="33" w:name="__RefHeading___Toc5097_3617894909"/>
      <w:bookmarkStart w:id="34" w:name="_Toc38382590"/>
      <w:bookmarkStart w:id="35" w:name="_Toc38383245"/>
      <w:bookmarkStart w:id="36" w:name="_Toc401158822"/>
      <w:bookmarkStart w:id="37" w:name="_Toc134124074"/>
      <w:bookmarkStart w:id="38" w:name="_Toc142387511"/>
      <w:bookmarkStart w:id="39" w:name="_Toc155950632"/>
      <w:bookmarkStart w:id="40" w:name="_Toc155950798"/>
      <w:bookmarkEnd w:id="33"/>
      <w:bookmarkEnd w:id="34"/>
      <w:bookmarkEnd w:id="35"/>
      <w:r w:rsidRPr="00AA6C13">
        <w:t>3.2</w:t>
      </w:r>
      <w:r w:rsidRPr="00AA6C13">
        <w:tab/>
      </w:r>
      <w:r w:rsidR="000F37B9" w:rsidRPr="00AA6C13">
        <w:t xml:space="preserve">Terms defined </w:t>
      </w:r>
      <w:bookmarkEnd w:id="36"/>
      <w:bookmarkEnd w:id="37"/>
      <w:bookmarkEnd w:id="38"/>
      <w:r w:rsidRPr="00AA6C13">
        <w:t>in this Technical Report</w:t>
      </w:r>
      <w:bookmarkEnd w:id="39"/>
      <w:bookmarkEnd w:id="40"/>
    </w:p>
    <w:p w14:paraId="2C6D6B76" w14:textId="2E40599E" w:rsidR="000F37B9" w:rsidRPr="00AA6C13" w:rsidRDefault="003535AC" w:rsidP="000F37B9">
      <w:r w:rsidRPr="00AA6C13">
        <w:t>None</w:t>
      </w:r>
      <w:r w:rsidR="000F37B9" w:rsidRPr="00AA6C13">
        <w:t>.</w:t>
      </w:r>
    </w:p>
    <w:p w14:paraId="7CC059FE" w14:textId="559FF00E" w:rsidR="000F37B9" w:rsidRPr="00AA6C13" w:rsidRDefault="0093536E" w:rsidP="009F1217">
      <w:pPr>
        <w:pStyle w:val="Heading1"/>
      </w:pPr>
      <w:bookmarkStart w:id="41" w:name="__RefHeading___Toc5099_3617894909"/>
      <w:bookmarkStart w:id="42" w:name="_Toc401158823"/>
      <w:bookmarkStart w:id="43" w:name="_Toc134124075"/>
      <w:bookmarkStart w:id="44" w:name="_Toc142387512"/>
      <w:bookmarkStart w:id="45" w:name="_Toc155950633"/>
      <w:bookmarkStart w:id="46" w:name="_Toc155950799"/>
      <w:bookmarkEnd w:id="41"/>
      <w:r w:rsidRPr="00AA6C13">
        <w:t>4</w:t>
      </w:r>
      <w:r w:rsidRPr="00AA6C13">
        <w:tab/>
      </w:r>
      <w:r w:rsidR="000F37B9" w:rsidRPr="00AA6C13">
        <w:t>Abbreviations</w:t>
      </w:r>
      <w:bookmarkEnd w:id="42"/>
      <w:bookmarkEnd w:id="43"/>
      <w:bookmarkEnd w:id="44"/>
      <w:r w:rsidRPr="00AA6C13">
        <w:t xml:space="preserve"> and acronyms</w:t>
      </w:r>
      <w:bookmarkEnd w:id="45"/>
      <w:bookmarkEnd w:id="46"/>
    </w:p>
    <w:p w14:paraId="074CB11C" w14:textId="5E09C597" w:rsidR="0093536E" w:rsidRPr="00AA6C13" w:rsidRDefault="0093536E" w:rsidP="0093536E">
      <w:r w:rsidRPr="00AA6C13">
        <w:t>This Technical Report uses the following abbreviations and acronyms:</w:t>
      </w:r>
    </w:p>
    <w:p w14:paraId="4AC4B5E9" w14:textId="77777777" w:rsidR="0093536E" w:rsidRPr="00AA6C13" w:rsidRDefault="0093536E" w:rsidP="0093536E">
      <w:pPr>
        <w:tabs>
          <w:tab w:val="clear" w:pos="794"/>
        </w:tabs>
      </w:pPr>
      <w:r w:rsidRPr="00AA6C13">
        <w:t>AI</w:t>
      </w:r>
      <w:r w:rsidRPr="00AA6C13">
        <w:tab/>
        <w:t>Artificial Intelligence</w:t>
      </w:r>
    </w:p>
    <w:p w14:paraId="7783948B" w14:textId="77777777" w:rsidR="0093536E" w:rsidRPr="00AA6C13" w:rsidRDefault="0093536E" w:rsidP="0093536E">
      <w:pPr>
        <w:tabs>
          <w:tab w:val="clear" w:pos="794"/>
        </w:tabs>
      </w:pPr>
      <w:r w:rsidRPr="00AA6C13">
        <w:t>AI4H</w:t>
      </w:r>
      <w:r w:rsidRPr="00AA6C13">
        <w:tab/>
        <w:t>Artificial Intelligence for Health</w:t>
      </w:r>
    </w:p>
    <w:p w14:paraId="0DE67DBA" w14:textId="77777777" w:rsidR="0093536E" w:rsidRPr="00AA6C13" w:rsidRDefault="0093536E" w:rsidP="0093536E">
      <w:pPr>
        <w:tabs>
          <w:tab w:val="clear" w:pos="794"/>
        </w:tabs>
      </w:pPr>
      <w:r w:rsidRPr="00AA6C13">
        <w:t>DEL</w:t>
      </w:r>
      <w:r w:rsidRPr="00AA6C13">
        <w:tab/>
        <w:t>Deliverable</w:t>
      </w:r>
    </w:p>
    <w:p w14:paraId="5E720B54" w14:textId="77777777" w:rsidR="0093536E" w:rsidRPr="00AA6C13" w:rsidRDefault="0093536E" w:rsidP="0093536E">
      <w:pPr>
        <w:tabs>
          <w:tab w:val="clear" w:pos="794"/>
        </w:tabs>
      </w:pPr>
      <w:r w:rsidRPr="00AA6C13">
        <w:t>DL</w:t>
      </w:r>
      <w:r w:rsidRPr="00AA6C13">
        <w:tab/>
        <w:t>Deep Learning</w:t>
      </w:r>
    </w:p>
    <w:p w14:paraId="58298FA6" w14:textId="77777777" w:rsidR="0093536E" w:rsidRPr="00AA6C13" w:rsidRDefault="0093536E" w:rsidP="0093536E">
      <w:pPr>
        <w:tabs>
          <w:tab w:val="clear" w:pos="794"/>
        </w:tabs>
      </w:pPr>
      <w:r w:rsidRPr="00AA6C13">
        <w:t>FG-AI4H</w:t>
      </w:r>
      <w:r w:rsidRPr="00AA6C13">
        <w:tab/>
        <w:t>ITU/WHO Focus Group on Artificial Intelligence for Health</w:t>
      </w:r>
    </w:p>
    <w:p w14:paraId="4D78AFFE" w14:textId="436A79D5" w:rsidR="0093536E" w:rsidRPr="00AA6C13" w:rsidRDefault="0093536E" w:rsidP="0093536E">
      <w:pPr>
        <w:tabs>
          <w:tab w:val="clear" w:pos="794"/>
        </w:tabs>
      </w:pPr>
      <w:r w:rsidRPr="00AA6C13">
        <w:lastRenderedPageBreak/>
        <w:t>HCP</w:t>
      </w:r>
      <w:r w:rsidRPr="00AA6C13">
        <w:rPr>
          <w:lang w:bidi="ar-DZ"/>
        </w:rPr>
        <w:t xml:space="preserve"> </w:t>
      </w:r>
      <w:r w:rsidRPr="00AA6C13">
        <w:rPr>
          <w:lang w:bidi="ar-DZ"/>
        </w:rPr>
        <w:tab/>
        <w:t>Healthcare Providers</w:t>
      </w:r>
    </w:p>
    <w:p w14:paraId="077787C6" w14:textId="66D0BCC3" w:rsidR="0093536E" w:rsidRPr="00AA6C13" w:rsidRDefault="0093536E" w:rsidP="0093536E">
      <w:pPr>
        <w:tabs>
          <w:tab w:val="clear" w:pos="794"/>
        </w:tabs>
      </w:pPr>
      <w:r w:rsidRPr="00AA6C13">
        <w:t>ITU</w:t>
      </w:r>
      <w:r w:rsidRPr="00AA6C13">
        <w:tab/>
        <w:t>International Telecommunication Union</w:t>
      </w:r>
    </w:p>
    <w:p w14:paraId="0FA06D08" w14:textId="77777777" w:rsidR="0093536E" w:rsidRPr="00AA6C13" w:rsidRDefault="0093536E" w:rsidP="0093536E">
      <w:pPr>
        <w:tabs>
          <w:tab w:val="clear" w:pos="794"/>
        </w:tabs>
      </w:pPr>
      <w:r w:rsidRPr="00AA6C13">
        <w:t>ML</w:t>
      </w:r>
      <w:r w:rsidRPr="00AA6C13">
        <w:tab/>
        <w:t>Machine learning</w:t>
      </w:r>
    </w:p>
    <w:p w14:paraId="188384EE" w14:textId="77777777" w:rsidR="0093536E" w:rsidRPr="00AA6C13" w:rsidRDefault="0093536E" w:rsidP="0093536E">
      <w:pPr>
        <w:tabs>
          <w:tab w:val="clear" w:pos="794"/>
        </w:tabs>
      </w:pPr>
      <w:r w:rsidRPr="00AA6C13">
        <w:t>WHO</w:t>
      </w:r>
      <w:r w:rsidRPr="00AA6C13">
        <w:tab/>
        <w:t>World Health Organization</w:t>
      </w:r>
    </w:p>
    <w:p w14:paraId="088F5AB5" w14:textId="77777777" w:rsidR="0093536E" w:rsidRPr="00AA6C13" w:rsidRDefault="0093536E" w:rsidP="0093536E">
      <w:pPr>
        <w:tabs>
          <w:tab w:val="clear" w:pos="794"/>
        </w:tabs>
      </w:pPr>
      <w:r w:rsidRPr="00AA6C13">
        <w:t>XAI</w:t>
      </w:r>
      <w:r w:rsidRPr="00AA6C13">
        <w:tab/>
        <w:t>Explainable AI</w:t>
      </w:r>
    </w:p>
    <w:p w14:paraId="24B3B502" w14:textId="3C55D86E" w:rsidR="000F37B9" w:rsidRPr="00AA6C13" w:rsidRDefault="0093536E" w:rsidP="009F1217">
      <w:pPr>
        <w:pStyle w:val="Heading1"/>
      </w:pPr>
      <w:bookmarkStart w:id="47" w:name="_Toc134124076"/>
      <w:bookmarkStart w:id="48" w:name="_Toc142387513"/>
      <w:bookmarkStart w:id="49" w:name="_Toc155950634"/>
      <w:bookmarkStart w:id="50" w:name="_Toc155950800"/>
      <w:r w:rsidRPr="00AA6C13">
        <w:t>5</w:t>
      </w:r>
      <w:r w:rsidRPr="00AA6C13">
        <w:tab/>
      </w:r>
      <w:r w:rsidR="000F37B9" w:rsidRPr="00AA6C13">
        <w:t>Background</w:t>
      </w:r>
      <w:bookmarkEnd w:id="47"/>
      <w:bookmarkEnd w:id="48"/>
      <w:bookmarkEnd w:id="49"/>
      <w:bookmarkEnd w:id="50"/>
    </w:p>
    <w:p w14:paraId="1D33C4F3" w14:textId="75BAC888" w:rsidR="000F37B9" w:rsidRPr="00AA6C13" w:rsidRDefault="000F37B9" w:rsidP="000F37B9">
      <w:r w:rsidRPr="00AA6C13">
        <w:t>Evidence-based trust is essential for any health technology. Obviously, this applies to solutions based on AI and ML too. Therefore, it must be ensured that the AI/ML models are accurate, robust, transparent, fair, free from bias, plausible, and therefore trustworthy. Moreover, they must be usable, effective</w:t>
      </w:r>
      <w:r w:rsidR="006B281F" w:rsidRPr="00AA6C13">
        <w:t>,</w:t>
      </w:r>
      <w:r w:rsidRPr="00AA6C13">
        <w:t xml:space="preserve"> and safe in practice. The present </w:t>
      </w:r>
      <w:r w:rsidR="005A4E0D" w:rsidRPr="00AA6C13">
        <w:t>Technical Report</w:t>
      </w:r>
      <w:r w:rsidRPr="00AA6C13">
        <w:t xml:space="preserve"> collects and discusses best practices and recommendations for creating this evidence with a particular focus on the benchmarking of AI/ML models for health.</w:t>
      </w:r>
    </w:p>
    <w:p w14:paraId="66177318" w14:textId="00AF3EFE" w:rsidR="000F37B9" w:rsidRPr="00AA6C13" w:rsidRDefault="000F37B9" w:rsidP="000F37B9">
      <w:r w:rsidRPr="00AA6C13">
        <w:t>Health AI/ML models and the circumstances where they are applied can be highly complex, and hence it is important to thoroughly assess the merits and limitations of each model (respectively system/method). AI/ML models can analyse various modalities of data, e.g., microscopic or radiology images, electronic health records, laboratory test results, epidemiological maps, or input to mobile phone apps, to list a few examples (</w:t>
      </w:r>
      <w:r w:rsidRPr="00AA6C13">
        <w:rPr>
          <w:i/>
          <w:iCs/>
        </w:rPr>
        <w:t>cf.</w:t>
      </w:r>
      <w:r w:rsidRPr="00AA6C13">
        <w:t xml:space="preserve"> </w:t>
      </w:r>
      <w:r w:rsidR="0057123C" w:rsidRPr="00AA6C13">
        <w:t>Figure 1</w:t>
      </w:r>
      <w:r w:rsidRPr="00AA6C13">
        <w:t xml:space="preserve">). The models </w:t>
      </w:r>
      <w:r w:rsidR="0093536E" w:rsidRPr="00AA6C13">
        <w:t>–</w:t>
      </w:r>
      <w:r w:rsidRPr="00AA6C13">
        <w:t xml:space="preserve"> whether they are data-driven ML models (e.g., artificial neural networks) or knowledge-based AI models (e.g., expert systems) </w:t>
      </w:r>
      <w:r w:rsidR="0093536E" w:rsidRPr="00AA6C13">
        <w:t>–</w:t>
      </w:r>
      <w:r w:rsidRPr="00AA6C13">
        <w:t xml:space="preserve"> can be applied in a range of use cases such as diagnostics, forecasting, triage, image segmentation, and many others. Typically, every model learns to perform one or </w:t>
      </w:r>
      <w:r w:rsidR="00AD5A25" w:rsidRPr="00AA6C13">
        <w:t xml:space="preserve">a </w:t>
      </w:r>
      <w:r w:rsidRPr="00AA6C13">
        <w:t>few specific task(s), such as classification</w:t>
      </w:r>
      <w:r w:rsidR="007B6DFC" w:rsidRPr="00AA6C13">
        <w:t>,</w:t>
      </w:r>
      <w:r w:rsidRPr="00AA6C13">
        <w:t xml:space="preserve"> or regression</w:t>
      </w:r>
      <w:r w:rsidR="007B6DFC" w:rsidRPr="00AA6C13">
        <w:t>,</w:t>
      </w:r>
      <w:r w:rsidRPr="00AA6C13">
        <w:t xml:space="preserve"> or segmentation of specific input data that are mapped to associated output labels. The associated output labels are task specific and can be for example pixel labels in a segmentation solution, </w:t>
      </w:r>
      <w:r w:rsidR="00C44D52" w:rsidRPr="00AA6C13">
        <w:t>i</w:t>
      </w:r>
      <w:r w:rsidRPr="00AA6C13">
        <w:t xml:space="preserve">nternational </w:t>
      </w:r>
      <w:r w:rsidR="00C44D52" w:rsidRPr="00AA6C13">
        <w:t>c</w:t>
      </w:r>
      <w:r w:rsidRPr="00AA6C13">
        <w:t xml:space="preserve">lassification of </w:t>
      </w:r>
      <w:r w:rsidR="00C44D52" w:rsidRPr="00AA6C13">
        <w:t>d</w:t>
      </w:r>
      <w:r w:rsidRPr="00AA6C13">
        <w:t>iseases (ICD) codes in the case of a diagnostics application, or a risk score in a triage or forecasting task.</w:t>
      </w:r>
    </w:p>
    <w:p w14:paraId="29E44BC1" w14:textId="6E673691" w:rsidR="000F37B9" w:rsidRPr="00AA6C13" w:rsidRDefault="003201BA" w:rsidP="00D53643">
      <w:pPr>
        <w:pStyle w:val="Figure"/>
      </w:pPr>
      <w:r w:rsidRPr="00AA6C13">
        <w:rPr>
          <w:noProof/>
        </w:rPr>
        <w:drawing>
          <wp:inline distT="0" distB="0" distL="0" distR="0" wp14:anchorId="1D75536B" wp14:editId="067DBF2A">
            <wp:extent cx="4366895" cy="1331595"/>
            <wp:effectExtent l="0" t="0" r="0" b="1905"/>
            <wp:docPr id="2139555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66895" cy="1331595"/>
                    </a:xfrm>
                    <a:prstGeom prst="rect">
                      <a:avLst/>
                    </a:prstGeom>
                    <a:noFill/>
                    <a:ln>
                      <a:noFill/>
                    </a:ln>
                  </pic:spPr>
                </pic:pic>
              </a:graphicData>
            </a:graphic>
          </wp:inline>
        </w:drawing>
      </w:r>
    </w:p>
    <w:p w14:paraId="363B069A" w14:textId="171A6739" w:rsidR="000F37B9" w:rsidRPr="00AA6C13" w:rsidRDefault="000F37B9" w:rsidP="0093536E">
      <w:pPr>
        <w:pStyle w:val="FigureNoTitle0"/>
        <w:rPr>
          <w:lang w:bidi="ar-DZ"/>
        </w:rPr>
      </w:pPr>
      <w:bookmarkStart w:id="51" w:name="_Ref142386796"/>
      <w:bookmarkStart w:id="52" w:name="_Toc134124107"/>
      <w:bookmarkStart w:id="53" w:name="_Toc142387544"/>
      <w:r w:rsidRPr="00AA6C13">
        <w:rPr>
          <w:lang w:bidi="ar-DZ"/>
        </w:rPr>
        <w:t xml:space="preserve">Figure </w:t>
      </w:r>
      <w:r w:rsidR="0057123C" w:rsidRPr="00AA6C13">
        <w:rPr>
          <w:noProof/>
          <w:lang w:bidi="ar-DZ"/>
        </w:rPr>
        <w:t>1</w:t>
      </w:r>
      <w:bookmarkEnd w:id="51"/>
      <w:r w:rsidR="007D4002" w:rsidRPr="00AA6C13">
        <w:rPr>
          <w:lang w:bidi="ar-DZ"/>
        </w:rPr>
        <w:t xml:space="preserve"> –</w:t>
      </w:r>
      <w:r w:rsidRPr="00AA6C13">
        <w:rPr>
          <w:lang w:bidi="ar-DZ"/>
        </w:rPr>
        <w:t xml:space="preserve"> Illustration of exemplary data sources and tasks/use cases for health AI/ML models</w:t>
      </w:r>
      <w:bookmarkEnd w:id="52"/>
      <w:bookmarkEnd w:id="53"/>
    </w:p>
    <w:p w14:paraId="2BB7E4B5" w14:textId="1102E1F8" w:rsidR="00C80E79" w:rsidRPr="00AA6C13" w:rsidRDefault="0093536E" w:rsidP="00C80E79">
      <w:pPr>
        <w:pStyle w:val="Heading1"/>
      </w:pPr>
      <w:bookmarkStart w:id="54" w:name="__RefHeading___Toc5103_3617894909"/>
      <w:bookmarkStart w:id="55" w:name="__RefHeading___Toc5105_3617894909"/>
      <w:bookmarkStart w:id="56" w:name="__RefHeading___Toc5107_3617894909"/>
      <w:bookmarkStart w:id="57" w:name="__RefHeading___Toc5109_3617894909"/>
      <w:bookmarkStart w:id="58" w:name="__RefHeading___Toc5113_3617894909"/>
      <w:bookmarkStart w:id="59" w:name="_Toc142387514"/>
      <w:bookmarkStart w:id="60" w:name="_Toc155950635"/>
      <w:bookmarkStart w:id="61" w:name="_Toc155950801"/>
      <w:bookmarkStart w:id="62" w:name="_Toc134124077"/>
      <w:bookmarkEnd w:id="54"/>
      <w:bookmarkEnd w:id="55"/>
      <w:bookmarkEnd w:id="56"/>
      <w:bookmarkEnd w:id="57"/>
      <w:bookmarkEnd w:id="58"/>
      <w:r w:rsidRPr="00AA6C13">
        <w:lastRenderedPageBreak/>
        <w:t>6</w:t>
      </w:r>
      <w:r w:rsidRPr="00AA6C13">
        <w:tab/>
      </w:r>
      <w:r w:rsidR="000F37B9" w:rsidRPr="00AA6C13">
        <w:t>Evaluation process</w:t>
      </w:r>
      <w:bookmarkEnd w:id="59"/>
      <w:bookmarkEnd w:id="60"/>
      <w:bookmarkEnd w:id="61"/>
    </w:p>
    <w:bookmarkEnd w:id="62"/>
    <w:p w14:paraId="11791378" w14:textId="42ABC146" w:rsidR="000F37B9" w:rsidRPr="00AA6C13" w:rsidRDefault="0093536E" w:rsidP="00D53643">
      <w:pPr>
        <w:pStyle w:val="Figure"/>
        <w:rPr>
          <w:rFonts w:eastAsia="MS Mincho"/>
        </w:rPr>
      </w:pPr>
      <w:r w:rsidRPr="00AA6C13">
        <w:rPr>
          <w:noProof/>
        </w:rPr>
        <w:drawing>
          <wp:inline distT="0" distB="0" distL="0" distR="0" wp14:anchorId="6192903A" wp14:editId="6EDD663F">
            <wp:extent cx="4257675" cy="3767455"/>
            <wp:effectExtent l="0" t="0" r="9525" b="4445"/>
            <wp:docPr id="961617952" name="Picture 5" descr="A circular arrows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17952" name="Picture 5" descr="A circular arrows pointing to a black background&#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57675" cy="3767455"/>
                    </a:xfrm>
                    <a:prstGeom prst="rect">
                      <a:avLst/>
                    </a:prstGeom>
                    <a:noFill/>
                    <a:ln>
                      <a:noFill/>
                    </a:ln>
                  </pic:spPr>
                </pic:pic>
              </a:graphicData>
            </a:graphic>
          </wp:inline>
        </w:drawing>
      </w:r>
    </w:p>
    <w:p w14:paraId="6CECAE0B" w14:textId="1651C464" w:rsidR="000F37B9" w:rsidRPr="00AA6C13" w:rsidRDefault="000F37B9" w:rsidP="0093536E">
      <w:pPr>
        <w:pStyle w:val="FigureNoTitle0"/>
        <w:rPr>
          <w:lang w:bidi="ar-DZ"/>
        </w:rPr>
      </w:pPr>
      <w:bookmarkStart w:id="63" w:name="_Ref142386824"/>
      <w:bookmarkStart w:id="64" w:name="_Toc134124108"/>
      <w:bookmarkStart w:id="65" w:name="_Toc142387545"/>
      <w:r w:rsidRPr="00AA6C13">
        <w:rPr>
          <w:lang w:bidi="ar-DZ"/>
        </w:rPr>
        <w:t xml:space="preserve">Figure </w:t>
      </w:r>
      <w:r w:rsidR="0057123C" w:rsidRPr="00AA6C13">
        <w:rPr>
          <w:noProof/>
        </w:rPr>
        <w:t>2</w:t>
      </w:r>
      <w:bookmarkEnd w:id="63"/>
      <w:r w:rsidR="007D4002" w:rsidRPr="00AA6C13">
        <w:rPr>
          <w:lang w:bidi="ar-DZ"/>
        </w:rPr>
        <w:t xml:space="preserve"> –</w:t>
      </w:r>
      <w:r w:rsidRPr="00AA6C13">
        <w:rPr>
          <w:lang w:bidi="ar-DZ"/>
        </w:rPr>
        <w:t xml:space="preserve"> Cyclical evaluation process</w:t>
      </w:r>
      <w:bookmarkEnd w:id="64"/>
      <w:bookmarkEnd w:id="65"/>
    </w:p>
    <w:p w14:paraId="4EDDD8D3" w14:textId="33963F6B" w:rsidR="000F37B9" w:rsidRPr="00AA6C13" w:rsidRDefault="000F37B9" w:rsidP="0093536E">
      <w:pPr>
        <w:pStyle w:val="Normalaftertitle"/>
        <w:rPr>
          <w:lang w:bidi="ar-DZ"/>
        </w:rPr>
      </w:pPr>
      <w:r w:rsidRPr="00AA6C13">
        <w:rPr>
          <w:lang w:bidi="ar-DZ"/>
        </w:rPr>
        <w:t xml:space="preserve">The cyclical evaluation process depicted above in </w:t>
      </w:r>
      <w:r w:rsidR="0057123C" w:rsidRPr="00AA6C13">
        <w:t>Figure 2</w:t>
      </w:r>
      <w:r w:rsidRPr="00AA6C13">
        <w:t xml:space="preserve">, with its distinct components, might </w:t>
      </w:r>
      <w:r w:rsidRPr="00AA6C13">
        <w:rPr>
          <w:lang w:bidi="ar-DZ"/>
        </w:rPr>
        <w:t xml:space="preserve">present a robust path to assess the application of AI models in the healthcare context. The process commences with a clear definition of the respective task that the AI/ML models under assessment are expected to perform and of the intended use. Suitable quality criteria with corresponding </w:t>
      </w:r>
      <w:r w:rsidRPr="00AA6C13">
        <w:t>meaningful procedures</w:t>
      </w:r>
      <w:r w:rsidRPr="00AA6C13">
        <w:rPr>
          <w:lang w:bidi="ar-DZ"/>
        </w:rPr>
        <w:t xml:space="preserve"> and metrics are specified for the initial technical test</w:t>
      </w:r>
      <w:r w:rsidR="001D6F50" w:rsidRPr="00AA6C13">
        <w:rPr>
          <w:lang w:bidi="ar-DZ"/>
        </w:rPr>
        <w:t xml:space="preserve"> </w:t>
      </w:r>
      <w:r w:rsidRPr="00AA6C13">
        <w:rPr>
          <w:lang w:bidi="ar-DZ"/>
        </w:rPr>
        <w:t>/</w:t>
      </w:r>
      <w:r w:rsidR="001D6F50" w:rsidRPr="00AA6C13">
        <w:rPr>
          <w:lang w:bidi="ar-DZ"/>
        </w:rPr>
        <w:t xml:space="preserve"> </w:t>
      </w:r>
      <w:r w:rsidRPr="00AA6C13">
        <w:rPr>
          <w:lang w:bidi="ar-DZ"/>
        </w:rPr>
        <w:t>benchmarking steps. The required test data properties are defined. The test data set is collected according to these requirements and assessed for quality, realism, representativeness</w:t>
      </w:r>
      <w:r w:rsidR="00E5002E" w:rsidRPr="00AA6C13">
        <w:rPr>
          <w:lang w:bidi="ar-DZ"/>
        </w:rPr>
        <w:t>,</w:t>
      </w:r>
      <w:r w:rsidRPr="00AA6C13">
        <w:rPr>
          <w:lang w:bidi="ar-DZ"/>
        </w:rPr>
        <w:t xml:space="preserve"> and fidelity to the target population. Then, the AI/ML models are automatically tested and pre-assessed on a benchmarking platform using the previously defined procedures, metrics</w:t>
      </w:r>
      <w:r w:rsidR="00E5002E" w:rsidRPr="00AA6C13">
        <w:rPr>
          <w:lang w:bidi="ar-DZ"/>
        </w:rPr>
        <w:t>,</w:t>
      </w:r>
      <w:r w:rsidRPr="00AA6C13">
        <w:rPr>
          <w:lang w:bidi="ar-DZ"/>
        </w:rPr>
        <w:t xml:space="preserve"> and test data sets. </w:t>
      </w:r>
      <w:r w:rsidRPr="00AA6C13">
        <w:t xml:space="preserve">Ideally, these assessments are conducted in a standardized way on a benchmarking platform operated by a trusted third party. </w:t>
      </w:r>
      <w:r w:rsidRPr="00AA6C13">
        <w:rPr>
          <w:lang w:bidi="ar-DZ"/>
        </w:rPr>
        <w:t xml:space="preserve">If the results of the benchmarking procedure indicate a sufficient level of quality, the next step can be initiated. </w:t>
      </w:r>
      <w:r w:rsidRPr="00AA6C13">
        <w:t>While technical testing and benchmarking are important steps in the evidence-generating procedure, it should be followed up by clinical evaluation (e.g., with randomized controlled trials) or field</w:t>
      </w:r>
      <w:r w:rsidR="004842EE" w:rsidRPr="00AA6C13">
        <w:t xml:space="preserve"> </w:t>
      </w:r>
      <w:r w:rsidRPr="00AA6C13">
        <w:t>/</w:t>
      </w:r>
      <w:r w:rsidR="004842EE" w:rsidRPr="00AA6C13">
        <w:t xml:space="preserve"> </w:t>
      </w:r>
      <w:r w:rsidRPr="00AA6C13">
        <w:t xml:space="preserve">scientific tests and post market surveillance procedures to assess the efficacy, safety, usability, and cost-effectiveness of the technology in practice. </w:t>
      </w:r>
      <w:r w:rsidRPr="00AA6C13">
        <w:rPr>
          <w:lang w:bidi="ar-DZ"/>
        </w:rPr>
        <w:t>Pre- and post-deployment of the model, health governance mechanisms, which monitor for safety, quality, risks, and ethical and privacy issues, need to be put in place to ensure there is no harm to the patients because of the use of the model. This assessment continues throughout the life cycle of the model. Monitoring procedures allow for measuring the impact and for detecting anomalies and reporting them back to both developers and user-institution</w:t>
      </w:r>
      <w:r w:rsidR="00E5002E" w:rsidRPr="00AA6C13">
        <w:rPr>
          <w:lang w:bidi="ar-DZ"/>
        </w:rPr>
        <w:t>s</w:t>
      </w:r>
      <w:r w:rsidRPr="00AA6C13">
        <w:rPr>
          <w:lang w:bidi="ar-DZ"/>
        </w:rPr>
        <w:t xml:space="preserve"> and if necessary relevant authorities. The evaluation process is meant to be connected and cyclical to ensure continuous quality improvement is enshrined.</w:t>
      </w:r>
    </w:p>
    <w:p w14:paraId="2FD4082C" w14:textId="7E30AFAC" w:rsidR="000F37B9" w:rsidRPr="00AA6C13" w:rsidRDefault="0093536E" w:rsidP="0000774C">
      <w:pPr>
        <w:pStyle w:val="Heading2"/>
      </w:pPr>
      <w:bookmarkStart w:id="66" w:name="_Toc134124078"/>
      <w:bookmarkStart w:id="67" w:name="_Toc142387515"/>
      <w:bookmarkStart w:id="68" w:name="_Toc155950636"/>
      <w:bookmarkStart w:id="69" w:name="_Toc155950802"/>
      <w:r w:rsidRPr="00AA6C13">
        <w:t>6.1</w:t>
      </w:r>
      <w:r w:rsidRPr="00AA6C13">
        <w:tab/>
      </w:r>
      <w:r w:rsidR="000F37B9" w:rsidRPr="00AA6C13">
        <w:t>Reference to related deliverables</w:t>
      </w:r>
      <w:bookmarkEnd w:id="66"/>
      <w:bookmarkEnd w:id="67"/>
      <w:bookmarkEnd w:id="68"/>
      <w:bookmarkEnd w:id="69"/>
    </w:p>
    <w:p w14:paraId="744A3A93" w14:textId="6EBAF908" w:rsidR="000F37B9" w:rsidRPr="00AA6C13" w:rsidRDefault="000F37B9" w:rsidP="000F37B9">
      <w:pPr>
        <w:rPr>
          <w:lang w:bidi="ar-DZ"/>
        </w:rPr>
      </w:pPr>
      <w:r w:rsidRPr="00AA6C13">
        <w:rPr>
          <w:lang w:bidi="ar-DZ"/>
        </w:rPr>
        <w:t xml:space="preserve">Best practices and particular requirements for testing the AI models are addressed in detail in the separate deliverable </w:t>
      </w:r>
      <w:r w:rsidR="00D53643" w:rsidRPr="00AA6C13">
        <w:rPr>
          <w:lang w:bidi="ar-DZ"/>
        </w:rPr>
        <w:t>"</w:t>
      </w:r>
      <w:r w:rsidRPr="00AA6C13">
        <w:rPr>
          <w:lang w:bidi="ar-DZ"/>
        </w:rPr>
        <w:t>AI technical test specification</w:t>
      </w:r>
      <w:r w:rsidR="00D53643" w:rsidRPr="00AA6C13">
        <w:rPr>
          <w:lang w:bidi="ar-DZ"/>
        </w:rPr>
        <w:t>"</w:t>
      </w:r>
      <w:r w:rsidRPr="00AA6C13">
        <w:rPr>
          <w:lang w:bidi="ar-DZ"/>
        </w:rPr>
        <w:t xml:space="preserve"> [DEL07.2], which covers insights from software </w:t>
      </w:r>
      <w:r w:rsidRPr="00AA6C13">
        <w:rPr>
          <w:lang w:bidi="ar-DZ"/>
        </w:rPr>
        <w:lastRenderedPageBreak/>
        <w:t xml:space="preserve">verification and validation as well as from model testing in machine learning </w:t>
      </w:r>
      <w:r w:rsidR="00DA7A6A" w:rsidRPr="00AA6C13">
        <w:rPr>
          <w:lang w:bidi="ar-DZ"/>
        </w:rPr>
        <w:t xml:space="preserve">(ML) </w:t>
      </w:r>
      <w:r w:rsidRPr="00AA6C13">
        <w:rPr>
          <w:lang w:bidi="ar-DZ"/>
        </w:rPr>
        <w:t xml:space="preserve">research. The deliverable </w:t>
      </w:r>
      <w:r w:rsidR="00D53643" w:rsidRPr="00AA6C13">
        <w:rPr>
          <w:lang w:bidi="ar-DZ"/>
        </w:rPr>
        <w:t>"</w:t>
      </w:r>
      <w:r w:rsidRPr="00AA6C13">
        <w:rPr>
          <w:lang w:bidi="ar-DZ"/>
        </w:rPr>
        <w:t>Clinical evaluation of AI for health</w:t>
      </w:r>
      <w:r w:rsidR="00D53643" w:rsidRPr="00AA6C13">
        <w:rPr>
          <w:lang w:bidi="ar-DZ"/>
        </w:rPr>
        <w:t>"</w:t>
      </w:r>
      <w:r w:rsidRPr="00AA6C13">
        <w:rPr>
          <w:lang w:bidi="ar-DZ"/>
        </w:rPr>
        <w:t xml:space="preserve"> [DEL07.4] considers how AI models should be evaluated for a safe use in a complex clinical environment. As growing numbers of AI models become available for use researchers, patients, clinicians</w:t>
      </w:r>
      <w:r w:rsidR="00D1367F" w:rsidRPr="00AA6C13">
        <w:rPr>
          <w:lang w:bidi="ar-DZ"/>
        </w:rPr>
        <w:t>,</w:t>
      </w:r>
      <w:r w:rsidRPr="00AA6C13">
        <w:rPr>
          <w:lang w:bidi="ar-DZ"/>
        </w:rPr>
        <w:t xml:space="preserve"> and policy</w:t>
      </w:r>
      <w:r w:rsidR="00A1774F">
        <w:rPr>
          <w:lang w:bidi="ar-DZ"/>
        </w:rPr>
        <w:t xml:space="preserve"> </w:t>
      </w:r>
      <w:r w:rsidRPr="00AA6C13">
        <w:rPr>
          <w:lang w:bidi="ar-DZ"/>
        </w:rPr>
        <w:t xml:space="preserve">makers require a framework to understand whether the models are safe, purpose-fit and cost effective, and to compare model performance with current standards of care, and between each other. [DEL07.4] describes current best practices for clinical evaluation of AI models in health both, pre- and post- deployment. It also identifies gaps in the current evaluation framework for future work and addresses how it can be assured that prior technical validation </w:t>
      </w:r>
      <w:proofErr w:type="gramStart"/>
      <w:r w:rsidRPr="00AA6C13">
        <w:rPr>
          <w:lang w:bidi="ar-DZ"/>
        </w:rPr>
        <w:t>actually considers</w:t>
      </w:r>
      <w:proofErr w:type="gramEnd"/>
      <w:r w:rsidRPr="00AA6C13">
        <w:rPr>
          <w:lang w:bidi="ar-DZ"/>
        </w:rPr>
        <w:t xml:space="preserve"> relevant, correct, meaningful objectives and defines clinically meaningful endpoints. Topic-specific benchmarking procedures are discussed in the topic description documents of [DEL10]. Ethical, regulatory, and data-related aspects must be considered for the evaluation of AI for health as well. These aspects are considered in m</w:t>
      </w:r>
      <w:r w:rsidR="006E2F74" w:rsidRPr="00AA6C13">
        <w:rPr>
          <w:lang w:bidi="ar-DZ"/>
        </w:rPr>
        <w:t>uch</w:t>
      </w:r>
      <w:r w:rsidRPr="00AA6C13">
        <w:rPr>
          <w:lang w:bidi="ar-DZ"/>
        </w:rPr>
        <w:t xml:space="preserve"> detail in the separate deliverables [DEL01], [DEL02], and [DEL05].</w:t>
      </w:r>
    </w:p>
    <w:p w14:paraId="5EB61B40" w14:textId="445283C9" w:rsidR="000F37B9" w:rsidRPr="00AA6C13" w:rsidRDefault="0093536E" w:rsidP="0000774C">
      <w:pPr>
        <w:pStyle w:val="Heading1"/>
      </w:pPr>
      <w:bookmarkStart w:id="70" w:name="_Toc134124079"/>
      <w:bookmarkStart w:id="71" w:name="_Toc142387516"/>
      <w:bookmarkStart w:id="72" w:name="_Toc155950637"/>
      <w:bookmarkStart w:id="73" w:name="_Toc155950803"/>
      <w:r w:rsidRPr="00AA6C13">
        <w:t>7</w:t>
      </w:r>
      <w:r w:rsidRPr="00AA6C13">
        <w:tab/>
      </w:r>
      <w:r w:rsidR="000F37B9" w:rsidRPr="00AA6C13">
        <w:t>Novelty</w:t>
      </w:r>
      <w:bookmarkEnd w:id="70"/>
      <w:bookmarkEnd w:id="71"/>
      <w:bookmarkEnd w:id="72"/>
      <w:bookmarkEnd w:id="73"/>
    </w:p>
    <w:p w14:paraId="6BDD1546" w14:textId="4489730A" w:rsidR="002E2071" w:rsidRPr="00AA6C13" w:rsidRDefault="000F37B9" w:rsidP="000F37B9">
      <w:r w:rsidRPr="00AA6C13">
        <w:t xml:space="preserve">Fortunately, we can build on a large corpus of previous work about the assessment of digital health technologies and interventions and of AI/ML models. We can profit from experience gained from the evaluation and regulation of </w:t>
      </w:r>
      <w:r w:rsidR="00CD2B12" w:rsidRPr="00AA6C13">
        <w:t>s</w:t>
      </w:r>
      <w:r w:rsidRPr="00AA6C13">
        <w:t xml:space="preserve">oftware as a </w:t>
      </w:r>
      <w:r w:rsidR="00CD2B12" w:rsidRPr="00AA6C13">
        <w:t>m</w:t>
      </w:r>
      <w:r w:rsidRPr="00AA6C13">
        <w:t xml:space="preserve">edical </w:t>
      </w:r>
      <w:r w:rsidR="00CD2B12" w:rsidRPr="00AA6C13">
        <w:t>d</w:t>
      </w:r>
      <w:r w:rsidRPr="00AA6C13">
        <w:t xml:space="preserve">evice (SaMD), and </w:t>
      </w:r>
      <w:r w:rsidR="00060E46" w:rsidRPr="00AA6C13">
        <w:t>c</w:t>
      </w:r>
      <w:r w:rsidRPr="00AA6C13">
        <w:t>omputer-</w:t>
      </w:r>
      <w:r w:rsidR="00060E46" w:rsidRPr="00AA6C13">
        <w:t>a</w:t>
      </w:r>
      <w:r w:rsidRPr="00AA6C13">
        <w:t xml:space="preserve">ided </w:t>
      </w:r>
      <w:r w:rsidR="00060E46" w:rsidRPr="00AA6C13">
        <w:t>d</w:t>
      </w:r>
      <w:r w:rsidRPr="00AA6C13">
        <w:t>etection (CAD) in radiology, as well as from experience gained in comparing different AI/ML models systematically in scientific research. A non-comprehensive collection of best practices, recommendations, insights</w:t>
      </w:r>
      <w:r w:rsidR="00283F46" w:rsidRPr="00AA6C13">
        <w:t>,</w:t>
      </w:r>
      <w:r w:rsidRPr="00AA6C13">
        <w:t xml:space="preserve"> and perspectives (from the scientific literature and other documents concerned with the validation and evaluation of health technology and AI/ML models) is presented in </w:t>
      </w:r>
      <w:r w:rsidR="001E4C97" w:rsidRPr="00AA6C13">
        <w:t>clause</w:t>
      </w:r>
      <w:r w:rsidRPr="00AA6C13">
        <w:t xml:space="preserve"> 10.</w:t>
      </w:r>
    </w:p>
    <w:p w14:paraId="3F6B100A" w14:textId="2549E28F" w:rsidR="000F37B9" w:rsidRPr="00AA6C13" w:rsidRDefault="000F37B9" w:rsidP="000F37B9">
      <w:pPr>
        <w:rPr>
          <w:lang w:bidi="ar-DZ"/>
        </w:rPr>
      </w:pPr>
      <w:r w:rsidRPr="00AA6C13">
        <w:t>Considering this prior knowledge, we should think about characteristics of health AI/ML model validation and evaluation that are</w:t>
      </w:r>
      <w:r w:rsidRPr="00AA6C13">
        <w:rPr>
          <w:lang w:bidi="ar-DZ"/>
        </w:rPr>
        <w:t xml:space="preserve"> novel and unique. Which characteristics have not been dealt with before when assessing other digital health technologies? What do well-established standard assessment methods not capture? How can these gaps be addressed best? Below, we discuss several major points.</w:t>
      </w:r>
    </w:p>
    <w:p w14:paraId="095321FC" w14:textId="2AE0BD7C" w:rsidR="000F37B9" w:rsidRPr="00AA6C13" w:rsidRDefault="000F37B9" w:rsidP="0093536E">
      <w:pPr>
        <w:pStyle w:val="TableNoTitle0"/>
        <w:rPr>
          <w:lang w:bidi="ar-DZ"/>
        </w:rPr>
      </w:pPr>
      <w:bookmarkStart w:id="74" w:name="_Toc134124106"/>
      <w:bookmarkStart w:id="75" w:name="_Toc142387543"/>
      <w:r w:rsidRPr="00AA6C13">
        <w:rPr>
          <w:lang w:bidi="ar-DZ"/>
        </w:rPr>
        <w:t xml:space="preserve">Table </w:t>
      </w:r>
      <w:r w:rsidR="0057123C" w:rsidRPr="00AA6C13">
        <w:rPr>
          <w:noProof/>
          <w:lang w:bidi="ar-DZ"/>
        </w:rPr>
        <w:t>1</w:t>
      </w:r>
      <w:r w:rsidR="007D4002" w:rsidRPr="00AA6C13">
        <w:rPr>
          <w:lang w:bidi="ar-DZ"/>
        </w:rPr>
        <w:t xml:space="preserve"> –</w:t>
      </w:r>
      <w:r w:rsidRPr="00AA6C13">
        <w:rPr>
          <w:lang w:bidi="ar-DZ"/>
        </w:rPr>
        <w:t xml:space="preserve"> Novel or unique aspects of health AI model validation and evaluation encountered during different phases of the evaluation cycle</w:t>
      </w:r>
      <w:bookmarkEnd w:id="74"/>
      <w:bookmarkEnd w:id="75"/>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8726"/>
      </w:tblGrid>
      <w:tr w:rsidR="00242F4D" w:rsidRPr="00AA6C13" w14:paraId="4E3A5618" w14:textId="77777777" w:rsidTr="0093536E">
        <w:trPr>
          <w:tblHeader/>
          <w:jc w:val="center"/>
        </w:trPr>
        <w:tc>
          <w:tcPr>
            <w:tcW w:w="883" w:type="dxa"/>
            <w:shd w:val="clear" w:color="auto" w:fill="auto"/>
          </w:tcPr>
          <w:p w14:paraId="082DEBED" w14:textId="77777777" w:rsidR="00242F4D" w:rsidRPr="00AA6C13" w:rsidRDefault="00242F4D" w:rsidP="00242F4D">
            <w:pPr>
              <w:pStyle w:val="Tablehead"/>
            </w:pPr>
            <w:r w:rsidRPr="00AA6C13">
              <w:t>N°</w:t>
            </w:r>
          </w:p>
        </w:tc>
        <w:tc>
          <w:tcPr>
            <w:tcW w:w="8726" w:type="dxa"/>
            <w:shd w:val="clear" w:color="auto" w:fill="auto"/>
          </w:tcPr>
          <w:p w14:paraId="64C0A9AE" w14:textId="77777777" w:rsidR="00242F4D" w:rsidRPr="00AA6C13" w:rsidRDefault="00242F4D" w:rsidP="00242F4D">
            <w:pPr>
              <w:pStyle w:val="Tablehead"/>
              <w:rPr>
                <w:rFonts w:eastAsia="Calibri"/>
              </w:rPr>
            </w:pPr>
            <w:r w:rsidRPr="00AA6C13">
              <w:rPr>
                <w:rFonts w:eastAsia="Calibri"/>
              </w:rPr>
              <w:t>Aspect (key word; full description below)</w:t>
            </w:r>
          </w:p>
        </w:tc>
      </w:tr>
      <w:tr w:rsidR="00242F4D" w:rsidRPr="00AA6C13" w14:paraId="5C3AE8CD" w14:textId="77777777" w:rsidTr="0093536E">
        <w:trPr>
          <w:jc w:val="center"/>
        </w:trPr>
        <w:tc>
          <w:tcPr>
            <w:tcW w:w="883" w:type="dxa"/>
            <w:shd w:val="clear" w:color="auto" w:fill="auto"/>
          </w:tcPr>
          <w:p w14:paraId="2F05C76A" w14:textId="77777777" w:rsidR="00242F4D" w:rsidRPr="00AA6C13" w:rsidRDefault="00242F4D" w:rsidP="00242F4D">
            <w:pPr>
              <w:pStyle w:val="Tabletext"/>
              <w:rPr>
                <w:rFonts w:eastAsia="Calibri"/>
              </w:rPr>
            </w:pPr>
            <w:r w:rsidRPr="00AA6C13">
              <w:rPr>
                <w:rFonts w:eastAsia="Calibri"/>
              </w:rPr>
              <w:t>1</w:t>
            </w:r>
          </w:p>
        </w:tc>
        <w:tc>
          <w:tcPr>
            <w:tcW w:w="8726" w:type="dxa"/>
            <w:shd w:val="clear" w:color="auto" w:fill="auto"/>
          </w:tcPr>
          <w:p w14:paraId="0BBFE82E" w14:textId="77777777" w:rsidR="00242F4D" w:rsidRPr="00AA6C13" w:rsidRDefault="00242F4D" w:rsidP="00242F4D">
            <w:pPr>
              <w:pStyle w:val="Tabletext"/>
              <w:rPr>
                <w:rFonts w:eastAsia="Calibri"/>
              </w:rPr>
            </w:pPr>
            <w:r w:rsidRPr="00AA6C13">
              <w:rPr>
                <w:rFonts w:eastAsia="Calibri"/>
              </w:rPr>
              <w:t>Appropriate</w:t>
            </w:r>
            <w:r w:rsidRPr="00AA6C13">
              <w:t xml:space="preserve"> test data sets</w:t>
            </w:r>
          </w:p>
        </w:tc>
      </w:tr>
      <w:tr w:rsidR="00242F4D" w:rsidRPr="00AA6C13" w14:paraId="255123DC" w14:textId="77777777" w:rsidTr="0093536E">
        <w:trPr>
          <w:jc w:val="center"/>
        </w:trPr>
        <w:tc>
          <w:tcPr>
            <w:tcW w:w="883" w:type="dxa"/>
            <w:shd w:val="clear" w:color="auto" w:fill="auto"/>
          </w:tcPr>
          <w:p w14:paraId="5B01F43C" w14:textId="77777777" w:rsidR="00242F4D" w:rsidRPr="00AA6C13" w:rsidRDefault="00242F4D" w:rsidP="00242F4D">
            <w:pPr>
              <w:pStyle w:val="Tabletext"/>
              <w:rPr>
                <w:rFonts w:eastAsia="Calibri"/>
              </w:rPr>
            </w:pPr>
            <w:r w:rsidRPr="00AA6C13">
              <w:rPr>
                <w:rFonts w:eastAsia="Calibri"/>
              </w:rPr>
              <w:t>2</w:t>
            </w:r>
          </w:p>
        </w:tc>
        <w:tc>
          <w:tcPr>
            <w:tcW w:w="8726" w:type="dxa"/>
            <w:shd w:val="clear" w:color="auto" w:fill="auto"/>
          </w:tcPr>
          <w:p w14:paraId="750393FC" w14:textId="1E855368" w:rsidR="00242F4D" w:rsidRPr="00AA6C13" w:rsidRDefault="00242F4D" w:rsidP="00242F4D">
            <w:pPr>
              <w:pStyle w:val="Tabletext"/>
              <w:rPr>
                <w:rFonts w:eastAsia="Calibri"/>
              </w:rPr>
            </w:pPr>
            <w:r w:rsidRPr="00AA6C13">
              <w:rPr>
                <w:rFonts w:eastAsia="Calibri"/>
              </w:rPr>
              <w:t>Internal v</w:t>
            </w:r>
            <w:r w:rsidR="001C02DB" w:rsidRPr="00AA6C13">
              <w:rPr>
                <w:rFonts w:eastAsia="Calibri"/>
              </w:rPr>
              <w:t>ersus</w:t>
            </w:r>
            <w:r w:rsidRPr="00AA6C13">
              <w:rPr>
                <w:rFonts w:eastAsia="Calibri"/>
              </w:rPr>
              <w:t xml:space="preserve"> external validation</w:t>
            </w:r>
          </w:p>
        </w:tc>
      </w:tr>
      <w:tr w:rsidR="00242F4D" w:rsidRPr="00AA6C13" w14:paraId="7542A895" w14:textId="77777777" w:rsidTr="0093536E">
        <w:trPr>
          <w:jc w:val="center"/>
        </w:trPr>
        <w:tc>
          <w:tcPr>
            <w:tcW w:w="883" w:type="dxa"/>
            <w:shd w:val="clear" w:color="auto" w:fill="auto"/>
          </w:tcPr>
          <w:p w14:paraId="34D96565" w14:textId="77777777" w:rsidR="00242F4D" w:rsidRPr="00AA6C13" w:rsidRDefault="00242F4D" w:rsidP="00242F4D">
            <w:pPr>
              <w:pStyle w:val="Tabletext"/>
              <w:rPr>
                <w:rFonts w:eastAsia="Calibri"/>
              </w:rPr>
            </w:pPr>
            <w:r w:rsidRPr="00AA6C13">
              <w:rPr>
                <w:rFonts w:eastAsia="Calibri"/>
              </w:rPr>
              <w:t>3</w:t>
            </w:r>
          </w:p>
        </w:tc>
        <w:tc>
          <w:tcPr>
            <w:tcW w:w="8726" w:type="dxa"/>
            <w:shd w:val="clear" w:color="auto" w:fill="auto"/>
          </w:tcPr>
          <w:p w14:paraId="1313AF8E" w14:textId="7BDD6CE2" w:rsidR="00242F4D" w:rsidRPr="00AA6C13" w:rsidRDefault="00242F4D" w:rsidP="00242F4D">
            <w:pPr>
              <w:pStyle w:val="Tabletext"/>
              <w:rPr>
                <w:rFonts w:eastAsia="Calibri"/>
              </w:rPr>
            </w:pPr>
            <w:r w:rsidRPr="00AA6C13">
              <w:rPr>
                <w:rFonts w:eastAsia="Calibri"/>
              </w:rPr>
              <w:t>Technical v</w:t>
            </w:r>
            <w:r w:rsidR="00B57233" w:rsidRPr="00AA6C13">
              <w:rPr>
                <w:rFonts w:eastAsia="Calibri"/>
              </w:rPr>
              <w:t>ersus</w:t>
            </w:r>
            <w:r w:rsidRPr="00AA6C13">
              <w:rPr>
                <w:rFonts w:eastAsia="Calibri"/>
              </w:rPr>
              <w:t xml:space="preserve"> clinical criteria</w:t>
            </w:r>
          </w:p>
        </w:tc>
      </w:tr>
      <w:tr w:rsidR="00242F4D" w:rsidRPr="00AA6C13" w14:paraId="062D69B2" w14:textId="77777777" w:rsidTr="0093536E">
        <w:trPr>
          <w:jc w:val="center"/>
        </w:trPr>
        <w:tc>
          <w:tcPr>
            <w:tcW w:w="883" w:type="dxa"/>
            <w:shd w:val="clear" w:color="auto" w:fill="auto"/>
          </w:tcPr>
          <w:p w14:paraId="194A5FB5" w14:textId="77777777" w:rsidR="00242F4D" w:rsidRPr="00AA6C13" w:rsidRDefault="00242F4D" w:rsidP="00242F4D">
            <w:pPr>
              <w:pStyle w:val="Tabletext"/>
              <w:rPr>
                <w:rFonts w:eastAsia="Calibri"/>
              </w:rPr>
            </w:pPr>
            <w:r w:rsidRPr="00AA6C13">
              <w:rPr>
                <w:rFonts w:eastAsia="Calibri"/>
              </w:rPr>
              <w:t>4</w:t>
            </w:r>
          </w:p>
        </w:tc>
        <w:tc>
          <w:tcPr>
            <w:tcW w:w="8726" w:type="dxa"/>
            <w:shd w:val="clear" w:color="auto" w:fill="auto"/>
          </w:tcPr>
          <w:p w14:paraId="554654BB" w14:textId="77777777" w:rsidR="00242F4D" w:rsidRPr="00AA6C13" w:rsidRDefault="00242F4D" w:rsidP="00242F4D">
            <w:pPr>
              <w:pStyle w:val="Tabletext"/>
              <w:rPr>
                <w:rFonts w:eastAsia="Calibri"/>
              </w:rPr>
            </w:pPr>
            <w:r w:rsidRPr="00AA6C13">
              <w:rPr>
                <w:rFonts w:eastAsia="Calibri"/>
              </w:rPr>
              <w:t>Proper benchmarking</w:t>
            </w:r>
          </w:p>
        </w:tc>
      </w:tr>
      <w:tr w:rsidR="00242F4D" w:rsidRPr="00AA6C13" w14:paraId="73C19E7C" w14:textId="77777777" w:rsidTr="0093536E">
        <w:trPr>
          <w:jc w:val="center"/>
        </w:trPr>
        <w:tc>
          <w:tcPr>
            <w:tcW w:w="883" w:type="dxa"/>
            <w:shd w:val="clear" w:color="auto" w:fill="auto"/>
          </w:tcPr>
          <w:p w14:paraId="173C8A63" w14:textId="77777777" w:rsidR="00242F4D" w:rsidRPr="00AA6C13" w:rsidRDefault="00242F4D" w:rsidP="00242F4D">
            <w:pPr>
              <w:pStyle w:val="Tabletext"/>
              <w:rPr>
                <w:rFonts w:eastAsia="Calibri"/>
              </w:rPr>
            </w:pPr>
            <w:r w:rsidRPr="00AA6C13">
              <w:rPr>
                <w:rFonts w:eastAsia="Calibri"/>
              </w:rPr>
              <w:t>5</w:t>
            </w:r>
          </w:p>
        </w:tc>
        <w:tc>
          <w:tcPr>
            <w:tcW w:w="8726" w:type="dxa"/>
            <w:shd w:val="clear" w:color="auto" w:fill="auto"/>
          </w:tcPr>
          <w:p w14:paraId="0895BEB3" w14:textId="2A40FD4D" w:rsidR="00242F4D" w:rsidRPr="00AA6C13" w:rsidRDefault="00242F4D" w:rsidP="00242F4D">
            <w:pPr>
              <w:pStyle w:val="Tabletext"/>
              <w:rPr>
                <w:rFonts w:eastAsia="DengXian"/>
              </w:rPr>
            </w:pPr>
            <w:r w:rsidRPr="00AA6C13">
              <w:rPr>
                <w:rFonts w:eastAsia="DengXian"/>
              </w:rPr>
              <w:t xml:space="preserve">Complex, opaque </w:t>
            </w:r>
            <w:r w:rsidR="00B3696D" w:rsidRPr="00AA6C13">
              <w:rPr>
                <w:rFonts w:eastAsia="DengXian"/>
              </w:rPr>
              <w:t>deliverable (</w:t>
            </w:r>
            <w:r w:rsidRPr="00AA6C13">
              <w:rPr>
                <w:rFonts w:eastAsia="DengXian"/>
              </w:rPr>
              <w:t>DL</w:t>
            </w:r>
            <w:r w:rsidR="00B3696D" w:rsidRPr="00AA6C13">
              <w:rPr>
                <w:rFonts w:eastAsia="DengXian"/>
              </w:rPr>
              <w:t>)</w:t>
            </w:r>
            <w:r w:rsidRPr="00AA6C13">
              <w:rPr>
                <w:rFonts w:eastAsia="DengXian"/>
              </w:rPr>
              <w:t xml:space="preserve"> models and </w:t>
            </w:r>
            <w:r w:rsidR="00B3696D" w:rsidRPr="00AA6C13">
              <w:t>e</w:t>
            </w:r>
            <w:r w:rsidR="003E3441" w:rsidRPr="00AA6C13">
              <w:t>xplainable AI</w:t>
            </w:r>
            <w:r w:rsidR="003E3441" w:rsidRPr="00AA6C13">
              <w:rPr>
                <w:rFonts w:eastAsia="DengXian"/>
              </w:rPr>
              <w:t xml:space="preserve"> (</w:t>
            </w:r>
            <w:r w:rsidRPr="00AA6C13">
              <w:rPr>
                <w:rFonts w:eastAsia="DengXian"/>
              </w:rPr>
              <w:t>XAI</w:t>
            </w:r>
            <w:r w:rsidR="003E3441" w:rsidRPr="00AA6C13">
              <w:rPr>
                <w:rFonts w:eastAsia="DengXian"/>
              </w:rPr>
              <w:t>)</w:t>
            </w:r>
            <w:r w:rsidRPr="00AA6C13">
              <w:rPr>
                <w:rFonts w:eastAsia="DengXian"/>
              </w:rPr>
              <w:t xml:space="preserve"> solutions to make them transparent and interpretable</w:t>
            </w:r>
          </w:p>
        </w:tc>
      </w:tr>
      <w:tr w:rsidR="00242F4D" w:rsidRPr="00AA6C13" w14:paraId="409DB286" w14:textId="77777777" w:rsidTr="0093536E">
        <w:trPr>
          <w:jc w:val="center"/>
        </w:trPr>
        <w:tc>
          <w:tcPr>
            <w:tcW w:w="883" w:type="dxa"/>
            <w:shd w:val="clear" w:color="auto" w:fill="auto"/>
          </w:tcPr>
          <w:p w14:paraId="65E9E37F" w14:textId="77777777" w:rsidR="00242F4D" w:rsidRPr="00AA6C13" w:rsidRDefault="00242F4D" w:rsidP="00242F4D">
            <w:pPr>
              <w:pStyle w:val="Tabletext"/>
              <w:rPr>
                <w:rFonts w:eastAsia="Calibri"/>
              </w:rPr>
            </w:pPr>
            <w:r w:rsidRPr="00AA6C13">
              <w:rPr>
                <w:rFonts w:eastAsia="Calibri"/>
              </w:rPr>
              <w:t>6</w:t>
            </w:r>
          </w:p>
        </w:tc>
        <w:tc>
          <w:tcPr>
            <w:tcW w:w="8726" w:type="dxa"/>
            <w:shd w:val="clear" w:color="auto" w:fill="auto"/>
          </w:tcPr>
          <w:p w14:paraId="58C96111" w14:textId="77777777" w:rsidR="00242F4D" w:rsidRPr="00AA6C13" w:rsidRDefault="00242F4D" w:rsidP="00242F4D">
            <w:pPr>
              <w:pStyle w:val="Tabletext"/>
              <w:rPr>
                <w:rFonts w:eastAsia="Calibri"/>
              </w:rPr>
            </w:pPr>
            <w:r w:rsidRPr="00AA6C13">
              <w:rPr>
                <w:rFonts w:eastAsia="Calibri"/>
              </w:rPr>
              <w:t>Self-learning algorithms</w:t>
            </w:r>
          </w:p>
        </w:tc>
      </w:tr>
      <w:tr w:rsidR="00242F4D" w:rsidRPr="00AA6C13" w14:paraId="779D64A6" w14:textId="77777777" w:rsidTr="0093536E">
        <w:trPr>
          <w:jc w:val="center"/>
        </w:trPr>
        <w:tc>
          <w:tcPr>
            <w:tcW w:w="883" w:type="dxa"/>
            <w:shd w:val="clear" w:color="auto" w:fill="auto"/>
          </w:tcPr>
          <w:p w14:paraId="7CD6A75A" w14:textId="77777777" w:rsidR="00242F4D" w:rsidRPr="00AA6C13" w:rsidRDefault="00242F4D" w:rsidP="00242F4D">
            <w:pPr>
              <w:pStyle w:val="Tabletext"/>
              <w:rPr>
                <w:rFonts w:eastAsia="Calibri"/>
              </w:rPr>
            </w:pPr>
            <w:r w:rsidRPr="00AA6C13">
              <w:rPr>
                <w:rFonts w:eastAsia="Calibri"/>
              </w:rPr>
              <w:t>7</w:t>
            </w:r>
          </w:p>
        </w:tc>
        <w:tc>
          <w:tcPr>
            <w:tcW w:w="8726" w:type="dxa"/>
            <w:shd w:val="clear" w:color="auto" w:fill="auto"/>
          </w:tcPr>
          <w:p w14:paraId="51DF1E62" w14:textId="77777777" w:rsidR="00242F4D" w:rsidRPr="00AA6C13" w:rsidRDefault="00242F4D" w:rsidP="00242F4D">
            <w:pPr>
              <w:pStyle w:val="Tabletext"/>
              <w:rPr>
                <w:rFonts w:eastAsia="Calibri"/>
              </w:rPr>
            </w:pPr>
            <w:r w:rsidRPr="00AA6C13">
              <w:rPr>
                <w:rFonts w:eastAsia="Calibri"/>
              </w:rPr>
              <w:t>Human factors</w:t>
            </w:r>
          </w:p>
        </w:tc>
      </w:tr>
      <w:tr w:rsidR="00242F4D" w:rsidRPr="00AA6C13" w14:paraId="768C536C" w14:textId="77777777" w:rsidTr="0093536E">
        <w:trPr>
          <w:jc w:val="center"/>
        </w:trPr>
        <w:tc>
          <w:tcPr>
            <w:tcW w:w="883" w:type="dxa"/>
            <w:shd w:val="clear" w:color="auto" w:fill="auto"/>
          </w:tcPr>
          <w:p w14:paraId="6C2B2658" w14:textId="77777777" w:rsidR="00242F4D" w:rsidRPr="00AA6C13" w:rsidRDefault="00242F4D" w:rsidP="00242F4D">
            <w:pPr>
              <w:pStyle w:val="Tabletext"/>
              <w:rPr>
                <w:rFonts w:eastAsia="Calibri"/>
              </w:rPr>
            </w:pPr>
            <w:r w:rsidRPr="00AA6C13">
              <w:rPr>
                <w:rFonts w:eastAsia="Calibri"/>
              </w:rPr>
              <w:t>8</w:t>
            </w:r>
          </w:p>
        </w:tc>
        <w:tc>
          <w:tcPr>
            <w:tcW w:w="8726" w:type="dxa"/>
            <w:shd w:val="clear" w:color="auto" w:fill="auto"/>
          </w:tcPr>
          <w:p w14:paraId="4E6AE97E" w14:textId="5488F353" w:rsidR="00242F4D" w:rsidRPr="00AA6C13" w:rsidRDefault="00242F4D" w:rsidP="00242F4D">
            <w:pPr>
              <w:pStyle w:val="Tabletext"/>
              <w:rPr>
                <w:rFonts w:eastAsia="Calibri"/>
              </w:rPr>
            </w:pPr>
            <w:r w:rsidRPr="00AA6C13">
              <w:rPr>
                <w:rFonts w:eastAsia="Calibri"/>
              </w:rPr>
              <w:t xml:space="preserve">Misuse </w:t>
            </w:r>
            <w:r w:rsidR="00F17737" w:rsidRPr="00AA6C13">
              <w:rPr>
                <w:rFonts w:eastAsia="Calibri"/>
              </w:rPr>
              <w:t xml:space="preserve">of </w:t>
            </w:r>
            <w:r w:rsidRPr="00AA6C13">
              <w:rPr>
                <w:rFonts w:eastAsia="Calibri"/>
              </w:rPr>
              <w:t>accurate tools</w:t>
            </w:r>
          </w:p>
        </w:tc>
      </w:tr>
      <w:tr w:rsidR="00242F4D" w:rsidRPr="00AA6C13" w14:paraId="0B5B62BA" w14:textId="77777777" w:rsidTr="0093536E">
        <w:trPr>
          <w:jc w:val="center"/>
        </w:trPr>
        <w:tc>
          <w:tcPr>
            <w:tcW w:w="883" w:type="dxa"/>
            <w:shd w:val="clear" w:color="auto" w:fill="auto"/>
          </w:tcPr>
          <w:p w14:paraId="00694F79" w14:textId="77777777" w:rsidR="00242F4D" w:rsidRPr="00AA6C13" w:rsidRDefault="00242F4D" w:rsidP="00242F4D">
            <w:pPr>
              <w:pStyle w:val="Tabletext"/>
              <w:rPr>
                <w:rFonts w:eastAsia="Calibri"/>
              </w:rPr>
            </w:pPr>
            <w:r w:rsidRPr="00AA6C13">
              <w:rPr>
                <w:rFonts w:eastAsia="Calibri"/>
              </w:rPr>
              <w:t>9</w:t>
            </w:r>
          </w:p>
        </w:tc>
        <w:tc>
          <w:tcPr>
            <w:tcW w:w="8726" w:type="dxa"/>
            <w:shd w:val="clear" w:color="auto" w:fill="auto"/>
          </w:tcPr>
          <w:p w14:paraId="631A8489" w14:textId="77777777" w:rsidR="00242F4D" w:rsidRPr="00AA6C13" w:rsidRDefault="00242F4D" w:rsidP="00242F4D">
            <w:pPr>
              <w:pStyle w:val="Tabletext"/>
              <w:rPr>
                <w:rFonts w:eastAsia="Calibri"/>
              </w:rPr>
            </w:pPr>
            <w:r w:rsidRPr="00AA6C13">
              <w:rPr>
                <w:rFonts w:eastAsia="Calibri"/>
              </w:rPr>
              <w:t>Design of clinical trials with AI</w:t>
            </w:r>
          </w:p>
        </w:tc>
      </w:tr>
      <w:tr w:rsidR="00242F4D" w:rsidRPr="00AA6C13" w14:paraId="3F660624" w14:textId="77777777" w:rsidTr="0093536E">
        <w:trPr>
          <w:jc w:val="center"/>
        </w:trPr>
        <w:tc>
          <w:tcPr>
            <w:tcW w:w="883" w:type="dxa"/>
            <w:shd w:val="clear" w:color="auto" w:fill="auto"/>
          </w:tcPr>
          <w:p w14:paraId="4BE72B19" w14:textId="77777777" w:rsidR="00242F4D" w:rsidRPr="00AA6C13" w:rsidRDefault="00242F4D" w:rsidP="00242F4D">
            <w:pPr>
              <w:pStyle w:val="Tabletext"/>
              <w:rPr>
                <w:rFonts w:eastAsia="DengXian"/>
              </w:rPr>
            </w:pPr>
            <w:r w:rsidRPr="00AA6C13">
              <w:rPr>
                <w:rFonts w:eastAsia="DengXian"/>
              </w:rPr>
              <w:t>10</w:t>
            </w:r>
          </w:p>
        </w:tc>
        <w:tc>
          <w:tcPr>
            <w:tcW w:w="8726" w:type="dxa"/>
            <w:shd w:val="clear" w:color="auto" w:fill="auto"/>
          </w:tcPr>
          <w:p w14:paraId="7E6D3A64" w14:textId="0083C0E8" w:rsidR="00242F4D" w:rsidRPr="00AA6C13" w:rsidRDefault="00242F4D" w:rsidP="00242F4D">
            <w:pPr>
              <w:pStyle w:val="Tabletext"/>
              <w:rPr>
                <w:rFonts w:eastAsia="DengXian"/>
              </w:rPr>
            </w:pPr>
            <w:r w:rsidRPr="00AA6C13">
              <w:rPr>
                <w:rFonts w:eastAsia="DengXian"/>
              </w:rPr>
              <w:t>Agreement on/interoperable encoding of benchmarking cases</w:t>
            </w:r>
          </w:p>
        </w:tc>
      </w:tr>
      <w:tr w:rsidR="00242F4D" w:rsidRPr="00AA6C13" w14:paraId="25811770" w14:textId="77777777" w:rsidTr="0093536E">
        <w:trPr>
          <w:jc w:val="center"/>
        </w:trPr>
        <w:tc>
          <w:tcPr>
            <w:tcW w:w="883" w:type="dxa"/>
            <w:shd w:val="clear" w:color="auto" w:fill="auto"/>
          </w:tcPr>
          <w:p w14:paraId="480657A3" w14:textId="77777777" w:rsidR="00242F4D" w:rsidRPr="00AA6C13" w:rsidRDefault="00242F4D" w:rsidP="00242F4D">
            <w:pPr>
              <w:pStyle w:val="Tabletext"/>
              <w:rPr>
                <w:rFonts w:eastAsia="DengXian"/>
              </w:rPr>
            </w:pPr>
            <w:r w:rsidRPr="00AA6C13">
              <w:rPr>
                <w:rFonts w:eastAsia="DengXian"/>
              </w:rPr>
              <w:t>11</w:t>
            </w:r>
          </w:p>
        </w:tc>
        <w:tc>
          <w:tcPr>
            <w:tcW w:w="8726" w:type="dxa"/>
            <w:shd w:val="clear" w:color="auto" w:fill="auto"/>
          </w:tcPr>
          <w:p w14:paraId="365CE9C6" w14:textId="78A70B77" w:rsidR="00242F4D" w:rsidRPr="00AA6C13" w:rsidRDefault="00242F4D" w:rsidP="00242F4D">
            <w:pPr>
              <w:pStyle w:val="Tabletext"/>
              <w:rPr>
                <w:rFonts w:eastAsia="DengXian"/>
              </w:rPr>
            </w:pPr>
            <w:r w:rsidRPr="00AA6C13">
              <w:rPr>
                <w:rFonts w:eastAsia="DengXian"/>
              </w:rPr>
              <w:t>Testing existing AI products v</w:t>
            </w:r>
            <w:r w:rsidR="00397CC8" w:rsidRPr="00AA6C13">
              <w:rPr>
                <w:rFonts w:eastAsia="DengXian"/>
              </w:rPr>
              <w:t>ersus</w:t>
            </w:r>
            <w:r w:rsidRPr="00AA6C13">
              <w:rPr>
                <w:rFonts w:eastAsia="DengXian"/>
              </w:rPr>
              <w:t xml:space="preserve"> ML-challenges</w:t>
            </w:r>
          </w:p>
        </w:tc>
      </w:tr>
    </w:tbl>
    <w:p w14:paraId="775D7FE3" w14:textId="00EE1D2C" w:rsidR="000F37B9" w:rsidRPr="00AA6C13" w:rsidRDefault="0093536E" w:rsidP="00242F4D">
      <w:pPr>
        <w:pStyle w:val="Heading2"/>
      </w:pPr>
      <w:bookmarkStart w:id="76" w:name="_Toc134124080"/>
      <w:bookmarkStart w:id="77" w:name="_Toc142387517"/>
      <w:bookmarkStart w:id="78" w:name="_Toc155950638"/>
      <w:bookmarkStart w:id="79" w:name="_Toc155950804"/>
      <w:r w:rsidRPr="00AA6C13">
        <w:t>7.1</w:t>
      </w:r>
      <w:r w:rsidRPr="00AA6C13">
        <w:tab/>
      </w:r>
      <w:r w:rsidR="000F37B9" w:rsidRPr="00AA6C13">
        <w:t>Appropriate test data sets</w:t>
      </w:r>
      <w:bookmarkEnd w:id="76"/>
      <w:bookmarkEnd w:id="77"/>
      <w:bookmarkEnd w:id="78"/>
      <w:bookmarkEnd w:id="79"/>
    </w:p>
    <w:p w14:paraId="1FCF5CFE" w14:textId="77777777" w:rsidR="002E2071" w:rsidRPr="00AA6C13" w:rsidRDefault="000F37B9" w:rsidP="000F37B9">
      <w:pPr>
        <w:rPr>
          <w:lang w:bidi="ar-DZ"/>
        </w:rPr>
      </w:pPr>
      <w:r w:rsidRPr="00AA6C13">
        <w:rPr>
          <w:lang w:bidi="ar-DZ"/>
        </w:rPr>
        <w:t>The significance of the technical validation of an AI model depends on appropriate test data sets.</w:t>
      </w:r>
    </w:p>
    <w:p w14:paraId="769A9C60" w14:textId="30611095" w:rsidR="002E2071" w:rsidRPr="00AA6C13" w:rsidRDefault="000F37B9" w:rsidP="0093536E">
      <w:pPr>
        <w:pStyle w:val="enumlev1"/>
        <w:rPr>
          <w:lang w:bidi="ar-DZ"/>
        </w:rPr>
      </w:pPr>
      <w:r w:rsidRPr="00AA6C13">
        <w:rPr>
          <w:lang w:bidi="ar-DZ"/>
        </w:rPr>
        <w:lastRenderedPageBreak/>
        <w:t xml:space="preserve">a) </w:t>
      </w:r>
      <w:r w:rsidR="0093536E" w:rsidRPr="00AA6C13">
        <w:rPr>
          <w:lang w:bidi="ar-DZ"/>
        </w:rPr>
        <w:tab/>
      </w:r>
      <w:r w:rsidRPr="00AA6C13">
        <w:rPr>
          <w:lang w:bidi="ar-DZ"/>
        </w:rPr>
        <w:t>However, separate high-quality standard test data sets from different sources (geographically, measurement devices, patient cohorts of different ages or with comorbidities</w:t>
      </w:r>
      <w:r w:rsidR="00244373" w:rsidRPr="00AA6C13">
        <w:rPr>
          <w:lang w:bidi="ar-DZ"/>
        </w:rPr>
        <w:t>,</w:t>
      </w:r>
      <w:r w:rsidRPr="00AA6C13">
        <w:rPr>
          <w:lang w:bidi="ar-DZ"/>
        </w:rPr>
        <w:t xml:space="preserve"> etc.) are scarce. Usually, only a very small subset of all conceivable test cases can be covered. It is known that algorithms do not generalize well across test sites, presumably due to the domain gap between medical centres and devices. Hence, we need more data sets with data from different locations. Yet, more data sets do not always help. Careful attention must be paid to define a population of interest and systematically collect samples (test cases) which cover this population. It is very much a question of design of experiments and careful choice</w:t>
      </w:r>
      <w:r w:rsidR="00DE1C69" w:rsidRPr="00AA6C13">
        <w:rPr>
          <w:lang w:bidi="ar-DZ"/>
        </w:rPr>
        <w:t>s</w:t>
      </w:r>
      <w:r w:rsidRPr="00AA6C13">
        <w:rPr>
          <w:lang w:bidi="ar-DZ"/>
        </w:rPr>
        <w:t xml:space="preserve"> of test cases. A proper sampling paradigm</w:t>
      </w:r>
      <w:r w:rsidR="00366E60" w:rsidRPr="00AA6C13">
        <w:rPr>
          <w:lang w:bidi="ar-DZ"/>
        </w:rPr>
        <w:t xml:space="preserve"> </w:t>
      </w:r>
      <w:r w:rsidRPr="00AA6C13">
        <w:rPr>
          <w:lang w:bidi="ar-DZ"/>
        </w:rPr>
        <w:t>/</w:t>
      </w:r>
      <w:r w:rsidR="00366E60" w:rsidRPr="00AA6C13">
        <w:rPr>
          <w:lang w:bidi="ar-DZ"/>
        </w:rPr>
        <w:t xml:space="preserve"> </w:t>
      </w:r>
      <w:r w:rsidRPr="00AA6C13">
        <w:rPr>
          <w:lang w:bidi="ar-DZ"/>
        </w:rPr>
        <w:t xml:space="preserve">scheme (that says we need exactly more of, e.g., </w:t>
      </w:r>
      <w:r w:rsidR="00D53643" w:rsidRPr="00AA6C13">
        <w:rPr>
          <w:lang w:bidi="ar-DZ"/>
        </w:rPr>
        <w:t>"</w:t>
      </w:r>
      <w:r w:rsidRPr="00AA6C13">
        <w:rPr>
          <w:lang w:bidi="ar-DZ"/>
        </w:rPr>
        <w:t xml:space="preserve">male; </w:t>
      </w:r>
      <w:proofErr w:type="gramStart"/>
      <w:r w:rsidRPr="00AA6C13">
        <w:rPr>
          <w:lang w:bidi="ar-DZ"/>
        </w:rPr>
        <w:t>10-15 y</w:t>
      </w:r>
      <w:r w:rsidR="004D775A" w:rsidRPr="00AA6C13">
        <w:rPr>
          <w:lang w:bidi="ar-DZ"/>
        </w:rPr>
        <w:t>ear-old</w:t>
      </w:r>
      <w:proofErr w:type="gramEnd"/>
      <w:r w:rsidR="00D53643" w:rsidRPr="00AA6C13">
        <w:rPr>
          <w:lang w:bidi="ar-DZ"/>
        </w:rPr>
        <w:t>"</w:t>
      </w:r>
      <w:r w:rsidRPr="00AA6C13">
        <w:rPr>
          <w:lang w:bidi="ar-DZ"/>
        </w:rPr>
        <w:t xml:space="preserve">, </w:t>
      </w:r>
      <w:r w:rsidR="00D53643" w:rsidRPr="00AA6C13">
        <w:rPr>
          <w:lang w:bidi="ar-DZ"/>
        </w:rPr>
        <w:t>"</w:t>
      </w:r>
      <w:r w:rsidRPr="00AA6C13">
        <w:rPr>
          <w:lang w:bidi="ar-DZ"/>
        </w:rPr>
        <w:t>female; 70-80 y</w:t>
      </w:r>
      <w:r w:rsidR="004D775A" w:rsidRPr="00AA6C13">
        <w:rPr>
          <w:lang w:bidi="ar-DZ"/>
        </w:rPr>
        <w:t>ear-old</w:t>
      </w:r>
      <w:r w:rsidRPr="00AA6C13">
        <w:rPr>
          <w:lang w:bidi="ar-DZ"/>
        </w:rPr>
        <w:t>; smoker</w:t>
      </w:r>
      <w:r w:rsidR="00D53643" w:rsidRPr="00AA6C13">
        <w:rPr>
          <w:lang w:bidi="ar-DZ"/>
        </w:rPr>
        <w:t>"</w:t>
      </w:r>
      <w:r w:rsidRPr="00AA6C13">
        <w:rPr>
          <w:lang w:bidi="ar-DZ"/>
        </w:rPr>
        <w:t xml:space="preserve">) would help do a data-informed and targeted data search. Otherwise, even with more data there is the risk that it is still not the </w:t>
      </w:r>
      <w:r w:rsidR="00EF2020" w:rsidRPr="00AA6C13">
        <w:rPr>
          <w:lang w:bidi="ar-DZ"/>
        </w:rPr>
        <w:t>correct</w:t>
      </w:r>
      <w:r w:rsidRPr="00AA6C13">
        <w:rPr>
          <w:lang w:bidi="ar-DZ"/>
        </w:rPr>
        <w:t xml:space="preserve"> data. Community efforts to gather standardized test data sets from around the world are a possible solution. This test data set collection could either be organized on a central validation platform or in a federated fashion (see </w:t>
      </w:r>
      <w:r w:rsidR="003E636E" w:rsidRPr="00AA6C13">
        <w:rPr>
          <w:lang w:bidi="ar-DZ"/>
        </w:rPr>
        <w:t>clause</w:t>
      </w:r>
      <w:r w:rsidRPr="00AA6C13">
        <w:rPr>
          <w:lang w:bidi="ar-DZ"/>
        </w:rPr>
        <w:t xml:space="preserve"> 8 below).</w:t>
      </w:r>
    </w:p>
    <w:p w14:paraId="39D5E843" w14:textId="424E600E" w:rsidR="000F37B9" w:rsidRPr="00AA6C13" w:rsidRDefault="000F37B9" w:rsidP="0093536E">
      <w:pPr>
        <w:pStyle w:val="enumlev1"/>
        <w:rPr>
          <w:lang w:bidi="ar-DZ"/>
        </w:rPr>
      </w:pPr>
      <w:r w:rsidRPr="00AA6C13">
        <w:rPr>
          <w:lang w:bidi="ar-DZ"/>
        </w:rPr>
        <w:t xml:space="preserve">b) </w:t>
      </w:r>
      <w:r w:rsidR="0093536E" w:rsidRPr="00AA6C13">
        <w:rPr>
          <w:lang w:bidi="ar-DZ"/>
        </w:rPr>
        <w:tab/>
      </w:r>
      <w:r w:rsidRPr="00AA6C13">
        <w:rPr>
          <w:lang w:bidi="ar-DZ"/>
        </w:rPr>
        <w:t xml:space="preserve">It can be perceived that </w:t>
      </w:r>
      <w:r w:rsidR="00D53643" w:rsidRPr="00AA6C13">
        <w:rPr>
          <w:lang w:bidi="ar-DZ"/>
        </w:rPr>
        <w:t>"</w:t>
      </w:r>
      <w:r w:rsidRPr="00AA6C13">
        <w:rPr>
          <w:lang w:bidi="ar-DZ"/>
        </w:rPr>
        <w:t>proper sampling</w:t>
      </w:r>
      <w:r w:rsidR="00D53643" w:rsidRPr="00AA6C13">
        <w:rPr>
          <w:lang w:bidi="ar-DZ"/>
        </w:rPr>
        <w:t>"</w:t>
      </w:r>
      <w:r w:rsidRPr="00AA6C13">
        <w:rPr>
          <w:lang w:bidi="ar-DZ"/>
        </w:rPr>
        <w:t xml:space="preserve"> is the solution to collecting the right test data. However, this implies that we need to know the influencing parameters a priori. At the same time, the risk of </w:t>
      </w:r>
      <w:r w:rsidR="00D53643" w:rsidRPr="00AA6C13">
        <w:rPr>
          <w:lang w:bidi="ar-DZ"/>
        </w:rPr>
        <w:t>"</w:t>
      </w:r>
      <w:r w:rsidRPr="00AA6C13">
        <w:rPr>
          <w:lang w:bidi="ar-DZ"/>
        </w:rPr>
        <w:t>unknown unknowns</w:t>
      </w:r>
      <w:r w:rsidR="00D53643" w:rsidRPr="00AA6C13">
        <w:rPr>
          <w:lang w:bidi="ar-DZ"/>
        </w:rPr>
        <w:t>"</w:t>
      </w:r>
      <w:r w:rsidRPr="00AA6C13">
        <w:rPr>
          <w:lang w:bidi="ar-DZ"/>
        </w:rPr>
        <w:t xml:space="preserve"> exists that cannot be </w:t>
      </w:r>
      <w:proofErr w:type="gramStart"/>
      <w:r w:rsidRPr="00AA6C13">
        <w:rPr>
          <w:lang w:bidi="ar-DZ"/>
        </w:rPr>
        <w:t>taken into account</w:t>
      </w:r>
      <w:proofErr w:type="gramEnd"/>
      <w:r w:rsidRPr="00AA6C13">
        <w:rPr>
          <w:lang w:bidi="ar-DZ"/>
        </w:rPr>
        <w:t xml:space="preserve"> for the sampling strategy. Therefore, we propose a cyclical evaluation </w:t>
      </w:r>
      <w:r w:rsidRPr="00AA6C13">
        <w:t xml:space="preserve">process (see </w:t>
      </w:r>
      <w:r w:rsidR="0057123C" w:rsidRPr="00AA6C13">
        <w:t>Figure 2</w:t>
      </w:r>
      <w:r w:rsidRPr="00AA6C13">
        <w:t xml:space="preserve">) where post-deployment </w:t>
      </w:r>
      <w:r w:rsidRPr="00AA6C13">
        <w:rPr>
          <w:lang w:bidi="ar-DZ"/>
        </w:rPr>
        <w:t>monitoring procedures inform the validation and test data sampling scheme.</w:t>
      </w:r>
    </w:p>
    <w:p w14:paraId="5E3C1433" w14:textId="6F2424BE" w:rsidR="000F37B9" w:rsidRPr="00AA6C13" w:rsidRDefault="0093536E" w:rsidP="00242F4D">
      <w:pPr>
        <w:pStyle w:val="Heading2"/>
      </w:pPr>
      <w:bookmarkStart w:id="80" w:name="_Toc134124081"/>
      <w:bookmarkStart w:id="81" w:name="_Toc142387518"/>
      <w:bookmarkStart w:id="82" w:name="_Toc155950639"/>
      <w:bookmarkStart w:id="83" w:name="_Toc155950805"/>
      <w:r w:rsidRPr="00AA6C13">
        <w:t>7.2</w:t>
      </w:r>
      <w:r w:rsidRPr="00AA6C13">
        <w:tab/>
      </w:r>
      <w:r w:rsidR="000F37B9" w:rsidRPr="00AA6C13">
        <w:t>Internal v</w:t>
      </w:r>
      <w:r w:rsidR="00506E52" w:rsidRPr="00AA6C13">
        <w:t>ersus</w:t>
      </w:r>
      <w:r w:rsidR="000F37B9" w:rsidRPr="00AA6C13">
        <w:t xml:space="preserve"> external validation</w:t>
      </w:r>
      <w:bookmarkEnd w:id="80"/>
      <w:bookmarkEnd w:id="81"/>
      <w:bookmarkEnd w:id="82"/>
      <w:bookmarkEnd w:id="83"/>
    </w:p>
    <w:p w14:paraId="41DFDBC4" w14:textId="14F6D194" w:rsidR="000F37B9" w:rsidRPr="00AA6C13" w:rsidRDefault="000F37B9" w:rsidP="000F37B9">
      <w:pPr>
        <w:rPr>
          <w:lang w:bidi="ar-DZ"/>
        </w:rPr>
      </w:pPr>
      <w:r w:rsidRPr="00AA6C13">
        <w:rPr>
          <w:lang w:bidi="ar-DZ"/>
        </w:rPr>
        <w:t>In-house technical validation procedures are characterized by a lack of transparency and might suffer from a limited test data coverage. Moreover, the validation results of different AI developers might not be comparable, e.g., due to different</w:t>
      </w:r>
      <w:r w:rsidR="002E2071" w:rsidRPr="00AA6C13">
        <w:rPr>
          <w:lang w:bidi="ar-DZ"/>
        </w:rPr>
        <w:t xml:space="preserve"> </w:t>
      </w:r>
      <w:r w:rsidRPr="00AA6C13">
        <w:rPr>
          <w:lang w:bidi="ar-DZ"/>
        </w:rPr>
        <w:t>collection</w:t>
      </w:r>
      <w:r w:rsidR="00C41286" w:rsidRPr="00AA6C13">
        <w:rPr>
          <w:lang w:bidi="ar-DZ"/>
        </w:rPr>
        <w:t xml:space="preserve"> </w:t>
      </w:r>
      <w:r w:rsidRPr="00AA6C13">
        <w:rPr>
          <w:lang w:bidi="ar-DZ"/>
        </w:rPr>
        <w:t>/</w:t>
      </w:r>
      <w:r w:rsidR="00C41286" w:rsidRPr="00AA6C13">
        <w:rPr>
          <w:lang w:bidi="ar-DZ"/>
        </w:rPr>
        <w:t xml:space="preserve"> </w:t>
      </w:r>
      <w:r w:rsidRPr="00AA6C13">
        <w:rPr>
          <w:lang w:bidi="ar-DZ"/>
        </w:rPr>
        <w:t>curation</w:t>
      </w:r>
      <w:r w:rsidR="00C41286" w:rsidRPr="00AA6C13">
        <w:rPr>
          <w:lang w:bidi="ar-DZ"/>
        </w:rPr>
        <w:t xml:space="preserve"> </w:t>
      </w:r>
      <w:r w:rsidRPr="00AA6C13">
        <w:rPr>
          <w:lang w:bidi="ar-DZ"/>
        </w:rPr>
        <w:t>/</w:t>
      </w:r>
      <w:r w:rsidR="00C41286" w:rsidRPr="00AA6C13">
        <w:rPr>
          <w:lang w:bidi="ar-DZ"/>
        </w:rPr>
        <w:t xml:space="preserve"> </w:t>
      </w:r>
      <w:r w:rsidRPr="00AA6C13">
        <w:rPr>
          <w:lang w:bidi="ar-DZ"/>
        </w:rPr>
        <w:t xml:space="preserve">selection of the test data or different implementation of the procedure. </w:t>
      </w:r>
      <w:r w:rsidR="00264429" w:rsidRPr="00AA6C13">
        <w:rPr>
          <w:lang w:bidi="ar-DZ"/>
        </w:rPr>
        <w:t>A p</w:t>
      </w:r>
      <w:r w:rsidRPr="00AA6C13">
        <w:rPr>
          <w:lang w:bidi="ar-DZ"/>
        </w:rPr>
        <w:t>ossible solution</w:t>
      </w:r>
      <w:r w:rsidR="00264429" w:rsidRPr="00AA6C13">
        <w:rPr>
          <w:lang w:bidi="ar-DZ"/>
        </w:rPr>
        <w:t xml:space="preserve"> being an</w:t>
      </w:r>
      <w:r w:rsidRPr="00AA6C13">
        <w:rPr>
          <w:lang w:bidi="ar-DZ"/>
        </w:rPr>
        <w:t xml:space="preserve"> external validation (through independent benchmarking by trusted third parties), using standard technical test procedures designed by a multidisciplinary expert team.</w:t>
      </w:r>
    </w:p>
    <w:p w14:paraId="43FED5FB" w14:textId="6C167527" w:rsidR="000F37B9" w:rsidRPr="00AA6C13" w:rsidRDefault="0093536E" w:rsidP="00242F4D">
      <w:pPr>
        <w:pStyle w:val="Heading2"/>
      </w:pPr>
      <w:bookmarkStart w:id="84" w:name="_Toc134124082"/>
      <w:bookmarkStart w:id="85" w:name="_Toc142387519"/>
      <w:bookmarkStart w:id="86" w:name="_Toc155950640"/>
      <w:bookmarkStart w:id="87" w:name="_Toc155950806"/>
      <w:r w:rsidRPr="00AA6C13">
        <w:t>7.3</w:t>
      </w:r>
      <w:r w:rsidRPr="00AA6C13">
        <w:tab/>
      </w:r>
      <w:r w:rsidR="000F37B9" w:rsidRPr="00AA6C13">
        <w:t>Technical v</w:t>
      </w:r>
      <w:r w:rsidR="00AE78C5" w:rsidRPr="00AA6C13">
        <w:t>ersus</w:t>
      </w:r>
      <w:r w:rsidR="000F37B9" w:rsidRPr="00AA6C13">
        <w:t xml:space="preserve"> clinical criteria</w:t>
      </w:r>
      <w:bookmarkEnd w:id="84"/>
      <w:bookmarkEnd w:id="85"/>
      <w:bookmarkEnd w:id="86"/>
      <w:bookmarkEnd w:id="87"/>
    </w:p>
    <w:p w14:paraId="2263C79E" w14:textId="77777777" w:rsidR="000F37B9" w:rsidRPr="00AA6C13" w:rsidRDefault="000F37B9" w:rsidP="000F37B9">
      <w:pPr>
        <w:rPr>
          <w:lang w:bidi="ar-DZ"/>
        </w:rPr>
      </w:pPr>
      <w:r w:rsidRPr="00AA6C13">
        <w:rPr>
          <w:lang w:bidi="ar-DZ"/>
        </w:rPr>
        <w:t>Technical validation criteria for AI models are potentially clinically irrelevant. Setting clinical objectives for the technical assessments (and involving health domain experts in the test design), and the subsequent evaluation with patient outcomes are possible solutions.</w:t>
      </w:r>
    </w:p>
    <w:p w14:paraId="68EDAC2C" w14:textId="2F136853" w:rsidR="000F37B9" w:rsidRPr="00AA6C13" w:rsidRDefault="0093536E" w:rsidP="00242F4D">
      <w:pPr>
        <w:pStyle w:val="Heading2"/>
      </w:pPr>
      <w:bookmarkStart w:id="88" w:name="_Toc134124083"/>
      <w:bookmarkStart w:id="89" w:name="_Toc142387520"/>
      <w:bookmarkStart w:id="90" w:name="_Toc155950641"/>
      <w:bookmarkStart w:id="91" w:name="_Toc155950807"/>
      <w:r w:rsidRPr="00AA6C13">
        <w:t>7.4</w:t>
      </w:r>
      <w:r w:rsidRPr="00AA6C13">
        <w:tab/>
      </w:r>
      <w:r w:rsidR="000F37B9" w:rsidRPr="00AA6C13">
        <w:t>Proper benchmarking</w:t>
      </w:r>
      <w:bookmarkEnd w:id="88"/>
      <w:bookmarkEnd w:id="89"/>
      <w:bookmarkEnd w:id="90"/>
      <w:bookmarkEnd w:id="91"/>
    </w:p>
    <w:p w14:paraId="513068F5" w14:textId="77777777" w:rsidR="004C57A6" w:rsidRPr="00AA6C13" w:rsidRDefault="000F37B9" w:rsidP="000F37B9">
      <w:pPr>
        <w:rPr>
          <w:lang w:bidi="ar-DZ"/>
        </w:rPr>
      </w:pPr>
      <w:r w:rsidRPr="00AA6C13">
        <w:rPr>
          <w:lang w:bidi="ar-DZ"/>
        </w:rPr>
        <w:t>Aiming at becoming close to a technical equivalent to clinical trials, benchmarking challenges</w:t>
      </w:r>
      <w:r w:rsidR="00267C24" w:rsidRPr="00AA6C13">
        <w:rPr>
          <w:lang w:bidi="ar-DZ"/>
        </w:rPr>
        <w:t xml:space="preserve"> </w:t>
      </w:r>
      <w:r w:rsidRPr="00AA6C13">
        <w:rPr>
          <w:lang w:bidi="ar-DZ"/>
        </w:rPr>
        <w:t>/</w:t>
      </w:r>
      <w:r w:rsidR="00267C24" w:rsidRPr="00AA6C13">
        <w:rPr>
          <w:lang w:bidi="ar-DZ"/>
        </w:rPr>
        <w:t xml:space="preserve"> </w:t>
      </w:r>
      <w:r w:rsidRPr="00AA6C13">
        <w:rPr>
          <w:lang w:bidi="ar-DZ"/>
        </w:rPr>
        <w:t>competitions are applied to assess the technical performance of AI algorithms</w:t>
      </w:r>
      <w:r w:rsidR="004C57A6" w:rsidRPr="00AA6C13">
        <w:rPr>
          <w:lang w:bidi="ar-DZ"/>
        </w:rPr>
        <w:t xml:space="preserve">. </w:t>
      </w:r>
    </w:p>
    <w:p w14:paraId="675EF24F" w14:textId="6871C92B" w:rsidR="004C57A6" w:rsidRPr="00AA6C13" w:rsidRDefault="0093536E" w:rsidP="0093536E">
      <w:pPr>
        <w:pStyle w:val="Note"/>
        <w:rPr>
          <w:lang w:bidi="ar-DZ"/>
        </w:rPr>
      </w:pPr>
      <w:r w:rsidRPr="00AA6C13">
        <w:rPr>
          <w:lang w:bidi="ar-DZ"/>
        </w:rPr>
        <w:t>NOTE</w:t>
      </w:r>
      <w:r w:rsidR="00E469F8" w:rsidRPr="00AA6C13">
        <w:rPr>
          <w:lang w:bidi="ar-DZ"/>
        </w:rPr>
        <w:t xml:space="preserve"> –</w:t>
      </w:r>
      <w:r w:rsidR="000F37B9" w:rsidRPr="00AA6C13">
        <w:rPr>
          <w:lang w:bidi="ar-DZ"/>
        </w:rPr>
        <w:t xml:space="preserve"> Challenges can also be seen as collaborative efforts in which researchers work together on the best solution of a specific problem and not only as competitions. </w:t>
      </w:r>
    </w:p>
    <w:p w14:paraId="00F30189" w14:textId="0607AB7B" w:rsidR="000F37B9" w:rsidRPr="00AA6C13" w:rsidRDefault="000F37B9" w:rsidP="000F37B9">
      <w:pPr>
        <w:rPr>
          <w:lang w:bidi="ar-DZ"/>
        </w:rPr>
      </w:pPr>
      <w:r w:rsidRPr="00AA6C13">
        <w:rPr>
          <w:lang w:bidi="ar-DZ"/>
        </w:rPr>
        <w:t xml:space="preserve">Benchmarking challenges have a very high impact on the research field but there is almost no quality control. On the other hand, clinical trials take time, put test subjects at risk, cost much, and may result in a limited number of sample points. Nevertheless, clinical trials have the advantage of being controlled experiments and are designed such that the study population ideally is representative of the population of interest. This is currently lacking in most benchmarking exercises (where not even a population of interest is properly stated). Accordingly, every effort should be made to properly validate the models </w:t>
      </w:r>
      <w:r w:rsidRPr="00AA6C13">
        <w:rPr>
          <w:i/>
          <w:iCs/>
          <w:lang w:bidi="ar-DZ"/>
        </w:rPr>
        <w:t>in silico</w:t>
      </w:r>
      <w:r w:rsidRPr="00AA6C13">
        <w:rPr>
          <w:lang w:bidi="ar-DZ"/>
        </w:rPr>
        <w:t xml:space="preserve"> first, check them for different quality criteria, and then follow up with clinical trials. Therefore, the benchmarking design should be peer-reviewed and published to ensure transparency and reproducibility. Standardized guidelines should be integrated</w:t>
      </w:r>
      <w:r w:rsidR="00F52046" w:rsidRPr="00AA6C13">
        <w:rPr>
          <w:lang w:bidi="ar-DZ"/>
        </w:rPr>
        <w:t xml:space="preserve"> as well</w:t>
      </w:r>
      <w:r w:rsidRPr="00AA6C13">
        <w:rPr>
          <w:lang w:bidi="ar-DZ"/>
        </w:rPr>
        <w:t>.</w:t>
      </w:r>
    </w:p>
    <w:p w14:paraId="058E8751" w14:textId="15F1636E" w:rsidR="000F37B9" w:rsidRPr="00AA6C13" w:rsidRDefault="0093536E" w:rsidP="00242F4D">
      <w:pPr>
        <w:pStyle w:val="Heading2"/>
      </w:pPr>
      <w:bookmarkStart w:id="92" w:name="_Toc134124084"/>
      <w:bookmarkStart w:id="93" w:name="_Toc142387521"/>
      <w:bookmarkStart w:id="94" w:name="_Toc155950642"/>
      <w:bookmarkStart w:id="95" w:name="_Toc155950808"/>
      <w:r w:rsidRPr="00AA6C13">
        <w:lastRenderedPageBreak/>
        <w:t>7.5</w:t>
      </w:r>
      <w:r w:rsidRPr="00AA6C13">
        <w:tab/>
      </w:r>
      <w:r w:rsidR="000F37B9" w:rsidRPr="00AA6C13">
        <w:t>Complex, opaque DL models and XAI solutions to make them transparent and interpretable</w:t>
      </w:r>
      <w:bookmarkEnd w:id="92"/>
      <w:bookmarkEnd w:id="93"/>
      <w:bookmarkEnd w:id="94"/>
      <w:bookmarkEnd w:id="95"/>
    </w:p>
    <w:p w14:paraId="47E9D7CA" w14:textId="735786C9" w:rsidR="000F37B9" w:rsidRPr="00AA6C13" w:rsidRDefault="000F37B9" w:rsidP="000F37B9">
      <w:pPr>
        <w:rPr>
          <w:lang w:bidi="ar-DZ"/>
        </w:rPr>
      </w:pPr>
      <w:r w:rsidRPr="00AA6C13">
        <w:rPr>
          <w:lang w:bidi="ar-DZ"/>
        </w:rPr>
        <w:t xml:space="preserve">Concerns are raised that the unprecedented model complexity applied in complex settings makes it difficult to assess the AI models. However, first, performance tests (both </w:t>
      </w:r>
      <w:r w:rsidRPr="00AA6C13">
        <w:rPr>
          <w:i/>
          <w:iCs/>
          <w:lang w:bidi="ar-DZ"/>
        </w:rPr>
        <w:t>in</w:t>
      </w:r>
      <w:r w:rsidR="00C822D3" w:rsidRPr="00AA6C13">
        <w:rPr>
          <w:i/>
          <w:iCs/>
          <w:lang w:bidi="ar-DZ"/>
        </w:rPr>
        <w:t xml:space="preserve"> </w:t>
      </w:r>
      <w:r w:rsidRPr="00AA6C13">
        <w:rPr>
          <w:i/>
          <w:iCs/>
          <w:lang w:bidi="ar-DZ"/>
        </w:rPr>
        <w:t>silico</w:t>
      </w:r>
      <w:r w:rsidRPr="00AA6C13">
        <w:rPr>
          <w:lang w:bidi="ar-DZ"/>
        </w:rPr>
        <w:t xml:space="preserve"> tests and clinical trials) can be conducted for highly complex AI models too. Accordingly, a group of multidisciplinary experts should carefully design appropriate testing procedures with meaningful metrics, in a community effort. Second, methods of explainable AI </w:t>
      </w:r>
      <w:r w:rsidR="00334356" w:rsidRPr="00AA6C13">
        <w:rPr>
          <w:lang w:bidi="ar-DZ"/>
        </w:rPr>
        <w:t>(</w:t>
      </w:r>
      <w:r w:rsidR="00334356" w:rsidRPr="00AA6C13">
        <w:t>XAI)</w:t>
      </w:r>
      <w:r w:rsidR="00334356" w:rsidRPr="00AA6C13">
        <w:rPr>
          <w:lang w:bidi="ar-DZ"/>
        </w:rPr>
        <w:t xml:space="preserve"> </w:t>
      </w:r>
      <w:r w:rsidRPr="00AA6C13">
        <w:rPr>
          <w:lang w:bidi="ar-DZ"/>
        </w:rPr>
        <w:t>can shed some light o</w:t>
      </w:r>
      <w:r w:rsidR="005D236D" w:rsidRPr="00AA6C13">
        <w:rPr>
          <w:lang w:bidi="ar-DZ"/>
        </w:rPr>
        <w:t>n</w:t>
      </w:r>
      <w:r w:rsidRPr="00AA6C13">
        <w:rPr>
          <w:lang w:bidi="ar-DZ"/>
        </w:rPr>
        <w:t xml:space="preserve"> the neural network models</w:t>
      </w:r>
      <w:r w:rsidR="00D53643" w:rsidRPr="00AA6C13">
        <w:rPr>
          <w:lang w:bidi="ar-DZ"/>
        </w:rPr>
        <w:t>'</w:t>
      </w:r>
      <w:r w:rsidRPr="00AA6C13">
        <w:rPr>
          <w:lang w:bidi="ar-DZ"/>
        </w:rPr>
        <w:t xml:space="preserve"> decision-making process to some degree and make them interpretable.</w:t>
      </w:r>
    </w:p>
    <w:p w14:paraId="7108298B" w14:textId="772AB96E" w:rsidR="000F37B9" w:rsidRPr="00AA6C13" w:rsidRDefault="0093536E" w:rsidP="00242F4D">
      <w:pPr>
        <w:pStyle w:val="Heading2"/>
      </w:pPr>
      <w:bookmarkStart w:id="96" w:name="_Toc134124085"/>
      <w:bookmarkStart w:id="97" w:name="_Toc142387522"/>
      <w:bookmarkStart w:id="98" w:name="_Toc155950643"/>
      <w:bookmarkStart w:id="99" w:name="_Toc155950809"/>
      <w:r w:rsidRPr="00AA6C13">
        <w:t>7.6</w:t>
      </w:r>
      <w:r w:rsidRPr="00AA6C13">
        <w:tab/>
      </w:r>
      <w:r w:rsidR="000F37B9" w:rsidRPr="00AA6C13">
        <w:t>Self-learning algorithms</w:t>
      </w:r>
      <w:bookmarkEnd w:id="96"/>
      <w:bookmarkEnd w:id="97"/>
      <w:bookmarkEnd w:id="98"/>
      <w:bookmarkEnd w:id="99"/>
    </w:p>
    <w:p w14:paraId="172E9136" w14:textId="77777777" w:rsidR="00A5735E" w:rsidRPr="00AA6C13" w:rsidRDefault="000F37B9" w:rsidP="000F37B9">
      <w:pPr>
        <w:rPr>
          <w:lang w:bidi="ar-DZ"/>
        </w:rPr>
      </w:pPr>
      <w:r w:rsidRPr="00AA6C13">
        <w:rPr>
          <w:lang w:bidi="ar-DZ"/>
        </w:rPr>
        <w:t>Frequent model</w:t>
      </w:r>
      <w:r w:rsidR="00F25E6F" w:rsidRPr="00AA6C13">
        <w:rPr>
          <w:lang w:bidi="ar-DZ"/>
        </w:rPr>
        <w:t xml:space="preserve"> </w:t>
      </w:r>
      <w:r w:rsidRPr="00AA6C13">
        <w:rPr>
          <w:lang w:bidi="ar-DZ"/>
        </w:rPr>
        <w:t>/</w:t>
      </w:r>
      <w:r w:rsidR="00F25E6F" w:rsidRPr="00AA6C13">
        <w:rPr>
          <w:lang w:bidi="ar-DZ"/>
        </w:rPr>
        <w:t xml:space="preserve"> </w:t>
      </w:r>
      <w:r w:rsidRPr="00AA6C13">
        <w:rPr>
          <w:lang w:bidi="ar-DZ"/>
        </w:rPr>
        <w:t xml:space="preserve">software updates require frequent tests. The same applies to so-called </w:t>
      </w:r>
      <w:r w:rsidR="00D53643" w:rsidRPr="00AA6C13">
        <w:rPr>
          <w:lang w:bidi="ar-DZ"/>
        </w:rPr>
        <w:t>"</w:t>
      </w:r>
      <w:r w:rsidRPr="00AA6C13">
        <w:rPr>
          <w:lang w:bidi="ar-DZ"/>
        </w:rPr>
        <w:t>self-learning</w:t>
      </w:r>
      <w:r w:rsidR="00D53643" w:rsidRPr="00AA6C13">
        <w:rPr>
          <w:lang w:bidi="ar-DZ"/>
        </w:rPr>
        <w:t>"</w:t>
      </w:r>
      <w:r w:rsidRPr="00AA6C13">
        <w:rPr>
          <w:lang w:bidi="ar-DZ"/>
        </w:rPr>
        <w:t xml:space="preserve"> or </w:t>
      </w:r>
      <w:r w:rsidR="00D53643" w:rsidRPr="00AA6C13">
        <w:rPr>
          <w:lang w:bidi="ar-DZ"/>
        </w:rPr>
        <w:t>"</w:t>
      </w:r>
      <w:r w:rsidRPr="00AA6C13">
        <w:rPr>
          <w:lang w:bidi="ar-DZ"/>
        </w:rPr>
        <w:t>adaptive</w:t>
      </w:r>
      <w:r w:rsidR="00D53643" w:rsidRPr="00AA6C13">
        <w:rPr>
          <w:lang w:bidi="ar-DZ"/>
        </w:rPr>
        <w:t>"</w:t>
      </w:r>
      <w:r w:rsidRPr="00AA6C13">
        <w:rPr>
          <w:lang w:bidi="ar-DZ"/>
        </w:rPr>
        <w:t xml:space="preserve"> algorithms that are automatically being re-trained based on new incoming data. </w:t>
      </w:r>
    </w:p>
    <w:p w14:paraId="5D7B492F" w14:textId="06DF76D1" w:rsidR="00D24FFD" w:rsidRPr="00AA6C13" w:rsidRDefault="0093536E" w:rsidP="0093536E">
      <w:pPr>
        <w:pStyle w:val="Note"/>
        <w:rPr>
          <w:lang w:bidi="ar-DZ"/>
        </w:rPr>
      </w:pPr>
      <w:r w:rsidRPr="00AA6C13">
        <w:rPr>
          <w:lang w:bidi="ar-DZ"/>
        </w:rPr>
        <w:t>NOTE</w:t>
      </w:r>
      <w:r w:rsidR="00A5735E" w:rsidRPr="00AA6C13">
        <w:rPr>
          <w:lang w:bidi="ar-DZ"/>
        </w:rPr>
        <w:t xml:space="preserve"> –</w:t>
      </w:r>
      <w:r w:rsidR="000F37B9" w:rsidRPr="00AA6C13">
        <w:rPr>
          <w:lang w:bidi="ar-DZ"/>
        </w:rPr>
        <w:t xml:space="preserve"> AI models are often </w:t>
      </w:r>
      <w:r w:rsidR="00D53643" w:rsidRPr="00AA6C13">
        <w:rPr>
          <w:lang w:bidi="ar-DZ"/>
        </w:rPr>
        <w:t>"</w:t>
      </w:r>
      <w:r w:rsidR="000F37B9" w:rsidRPr="00AA6C13">
        <w:rPr>
          <w:lang w:bidi="ar-DZ"/>
        </w:rPr>
        <w:t>locked</w:t>
      </w:r>
      <w:r w:rsidR="00D53643" w:rsidRPr="00AA6C13">
        <w:rPr>
          <w:lang w:bidi="ar-DZ"/>
        </w:rPr>
        <w:t>"</w:t>
      </w:r>
      <w:r w:rsidR="000F37B9" w:rsidRPr="00AA6C13">
        <w:rPr>
          <w:lang w:bidi="ar-DZ"/>
        </w:rPr>
        <w:t xml:space="preserve"> or </w:t>
      </w:r>
      <w:r w:rsidR="00D53643" w:rsidRPr="00AA6C13">
        <w:rPr>
          <w:lang w:bidi="ar-DZ"/>
        </w:rPr>
        <w:t>"</w:t>
      </w:r>
      <w:r w:rsidR="000F37B9" w:rsidRPr="00AA6C13">
        <w:rPr>
          <w:lang w:bidi="ar-DZ"/>
        </w:rPr>
        <w:t>frozen</w:t>
      </w:r>
      <w:r w:rsidR="00D53643" w:rsidRPr="00AA6C13">
        <w:rPr>
          <w:lang w:bidi="ar-DZ"/>
        </w:rPr>
        <w:t>"</w:t>
      </w:r>
      <w:r w:rsidR="000F37B9" w:rsidRPr="00AA6C13">
        <w:rPr>
          <w:lang w:bidi="ar-DZ"/>
        </w:rPr>
        <w:t xml:space="preserve"> and not necessarily </w:t>
      </w:r>
      <w:r w:rsidR="00D53643" w:rsidRPr="00AA6C13">
        <w:rPr>
          <w:lang w:bidi="ar-DZ"/>
        </w:rPr>
        <w:t>"</w:t>
      </w:r>
      <w:r w:rsidR="000F37B9" w:rsidRPr="00AA6C13">
        <w:rPr>
          <w:lang w:bidi="ar-DZ"/>
        </w:rPr>
        <w:t>self-learning</w:t>
      </w:r>
      <w:r w:rsidR="00D53643" w:rsidRPr="00AA6C13">
        <w:rPr>
          <w:lang w:bidi="ar-DZ"/>
        </w:rPr>
        <w:t>"</w:t>
      </w:r>
      <w:r w:rsidR="000F37B9" w:rsidRPr="00AA6C13">
        <w:rPr>
          <w:lang w:bidi="ar-DZ"/>
        </w:rPr>
        <w:t>.</w:t>
      </w:r>
    </w:p>
    <w:p w14:paraId="08CDCCCB" w14:textId="50363FCC" w:rsidR="002E2071" w:rsidRPr="00AA6C13" w:rsidRDefault="00E86BE4" w:rsidP="000F37B9">
      <w:pPr>
        <w:rPr>
          <w:lang w:bidi="ar-DZ"/>
        </w:rPr>
      </w:pPr>
      <w:r w:rsidRPr="00AA6C13">
        <w:rPr>
          <w:lang w:bidi="ar-DZ"/>
        </w:rPr>
        <w:t xml:space="preserve">If </w:t>
      </w:r>
      <w:proofErr w:type="gramStart"/>
      <w:r w:rsidRPr="00AA6C13">
        <w:rPr>
          <w:lang w:bidi="ar-DZ"/>
        </w:rPr>
        <w:t>a</w:t>
      </w:r>
      <w:r w:rsidR="000F37B9" w:rsidRPr="00AA6C13">
        <w:rPr>
          <w:lang w:bidi="ar-DZ"/>
        </w:rPr>
        <w:t>ssuming that</w:t>
      </w:r>
      <w:proofErr w:type="gramEnd"/>
      <w:r w:rsidR="000F37B9" w:rsidRPr="00AA6C13">
        <w:rPr>
          <w:lang w:bidi="ar-DZ"/>
        </w:rPr>
        <w:t xml:space="preserve"> a self-learning model might also perform worse over time, is tested and then loses permission to operate in the clinic (from one day to another). What would happen? Hardly any software provider would take the risk of delivering a model that self-learns. From a business risk perspective, one would prefer frozen models. Then</w:t>
      </w:r>
      <w:r w:rsidR="00A73DE5" w:rsidRPr="00AA6C13">
        <w:rPr>
          <w:lang w:bidi="ar-DZ"/>
        </w:rPr>
        <w:t>,</w:t>
      </w:r>
      <w:r w:rsidR="000F37B9" w:rsidRPr="00AA6C13">
        <w:rPr>
          <w:lang w:bidi="ar-DZ"/>
        </w:rPr>
        <w:t xml:space="preserve"> in turn, we do not realize the potential for increased accuracy of self-learning systems. Therefore, the patient and healthcare system are not leveraging AI to its potential (</w:t>
      </w:r>
      <w:r w:rsidR="000F37B9" w:rsidRPr="00AA6C13">
        <w:rPr>
          <w:i/>
          <w:iCs/>
          <w:lang w:bidi="ar-DZ"/>
        </w:rPr>
        <w:t>cf.</w:t>
      </w:r>
      <w:r w:rsidR="000F37B9" w:rsidRPr="00AA6C13">
        <w:rPr>
          <w:lang w:bidi="ar-DZ"/>
        </w:rPr>
        <w:t xml:space="preserve"> [</w:t>
      </w:r>
      <w:r w:rsidR="00824E8E" w:rsidRPr="00AA6C13">
        <w:rPr>
          <w:lang w:bidi="ar-DZ"/>
        </w:rPr>
        <w:t>b-</w:t>
      </w:r>
      <w:r w:rsidR="000F37B9" w:rsidRPr="00AA6C13">
        <w:rPr>
          <w:lang w:bidi="ar-DZ"/>
        </w:rPr>
        <w:t>Gerke et al, 2020]).</w:t>
      </w:r>
    </w:p>
    <w:p w14:paraId="56B6CF4C" w14:textId="760A39E4" w:rsidR="000F37B9" w:rsidRPr="00AA6C13" w:rsidRDefault="000F37B9" w:rsidP="000F37B9">
      <w:pPr>
        <w:rPr>
          <w:lang w:bidi="ar-DZ"/>
        </w:rPr>
      </w:pPr>
      <w:r w:rsidRPr="00AA6C13">
        <w:rPr>
          <w:lang w:bidi="ar-DZ"/>
        </w:rPr>
        <w:t xml:space="preserve">Automated pre-assessment via a platform could be a solution to this problem. The benchmarking platform can frequently assess the updated model versions and </w:t>
      </w:r>
      <w:r w:rsidR="00A73DE5" w:rsidRPr="00AA6C13">
        <w:rPr>
          <w:lang w:bidi="ar-DZ"/>
        </w:rPr>
        <w:t>en</w:t>
      </w:r>
      <w:r w:rsidRPr="00AA6C13">
        <w:rPr>
          <w:lang w:bidi="ar-DZ"/>
        </w:rPr>
        <w:t>sure that the performance on the test data d</w:t>
      </w:r>
      <w:r w:rsidR="00440F24" w:rsidRPr="00AA6C13">
        <w:rPr>
          <w:lang w:bidi="ar-DZ"/>
        </w:rPr>
        <w:t>oes</w:t>
      </w:r>
      <w:r w:rsidRPr="00AA6C13">
        <w:rPr>
          <w:lang w:bidi="ar-DZ"/>
        </w:rPr>
        <w:t xml:space="preserve"> not deteriorate substantially. This check could support post-market surveillance.</w:t>
      </w:r>
    </w:p>
    <w:p w14:paraId="3E3B6DAD" w14:textId="3C30EBCE" w:rsidR="000F37B9" w:rsidRPr="00AA6C13" w:rsidRDefault="0093536E" w:rsidP="00242F4D">
      <w:pPr>
        <w:pStyle w:val="Heading2"/>
      </w:pPr>
      <w:bookmarkStart w:id="100" w:name="_Toc134124086"/>
      <w:bookmarkStart w:id="101" w:name="_Toc142387523"/>
      <w:bookmarkStart w:id="102" w:name="_Toc155950644"/>
      <w:bookmarkStart w:id="103" w:name="_Toc155950810"/>
      <w:r w:rsidRPr="00AA6C13">
        <w:t>7.7</w:t>
      </w:r>
      <w:r w:rsidRPr="00AA6C13">
        <w:tab/>
      </w:r>
      <w:r w:rsidR="000F37B9" w:rsidRPr="00AA6C13">
        <w:t>Human factors</w:t>
      </w:r>
      <w:bookmarkEnd w:id="100"/>
      <w:bookmarkEnd w:id="101"/>
      <w:bookmarkEnd w:id="102"/>
      <w:bookmarkEnd w:id="103"/>
    </w:p>
    <w:p w14:paraId="08EB623D" w14:textId="2E0924F5" w:rsidR="000F37B9" w:rsidRPr="00AA6C13" w:rsidRDefault="000F37B9" w:rsidP="000F37B9">
      <w:pPr>
        <w:rPr>
          <w:lang w:bidi="ar-DZ"/>
        </w:rPr>
      </w:pPr>
      <w:r w:rsidRPr="00AA6C13">
        <w:rPr>
          <w:lang w:bidi="ar-DZ"/>
        </w:rPr>
        <w:t xml:space="preserve">The human factor, as in </w:t>
      </w:r>
      <w:r w:rsidR="00FA1B7F" w:rsidRPr="00AA6C13">
        <w:rPr>
          <w:lang w:bidi="ar-DZ"/>
        </w:rPr>
        <w:t>h</w:t>
      </w:r>
      <w:r w:rsidRPr="00AA6C13">
        <w:rPr>
          <w:lang w:bidi="ar-DZ"/>
        </w:rPr>
        <w:t xml:space="preserve">uman in the </w:t>
      </w:r>
      <w:r w:rsidR="00FA1B7F" w:rsidRPr="00AA6C13">
        <w:rPr>
          <w:lang w:bidi="ar-DZ"/>
        </w:rPr>
        <w:t>l</w:t>
      </w:r>
      <w:r w:rsidRPr="00AA6C13">
        <w:rPr>
          <w:lang w:bidi="ar-DZ"/>
        </w:rPr>
        <w:t>oop (HIL), needs to be considered in a systemic view (</w:t>
      </w:r>
      <w:r w:rsidRPr="00AA6C13">
        <w:rPr>
          <w:i/>
          <w:iCs/>
          <w:lang w:bidi="ar-DZ"/>
        </w:rPr>
        <w:t>cf.</w:t>
      </w:r>
      <w:r w:rsidRPr="00AA6C13">
        <w:rPr>
          <w:lang w:bidi="ar-DZ"/>
        </w:rPr>
        <w:t xml:space="preserve"> [</w:t>
      </w:r>
      <w:r w:rsidR="000A37D0" w:rsidRPr="00AA6C13">
        <w:rPr>
          <w:lang w:bidi="ar-DZ"/>
        </w:rPr>
        <w:t>b</w:t>
      </w:r>
      <w:r w:rsidR="0093536E" w:rsidRPr="00AA6C13">
        <w:rPr>
          <w:lang w:bidi="ar-DZ"/>
        </w:rPr>
        <w:noBreakHyphen/>
      </w:r>
      <w:r w:rsidRPr="00AA6C13">
        <w:rPr>
          <w:lang w:bidi="ar-DZ"/>
        </w:rPr>
        <w:t>Gerke et al, 2020])</w:t>
      </w:r>
      <w:r w:rsidR="00C37850" w:rsidRPr="00AA6C13">
        <w:rPr>
          <w:lang w:bidi="ar-DZ"/>
        </w:rPr>
        <w:t>.</w:t>
      </w:r>
      <w:r w:rsidRPr="00AA6C13">
        <w:rPr>
          <w:lang w:bidi="ar-DZ"/>
        </w:rPr>
        <w:t xml:space="preserve"> In a clinical setting, the models are not operated autonomously but are embedded in the workflow of professional healthcare providers (HCP). This implies that the mode of AI usage by the HCP is an equally relevant part. Professionals with different grades of seniority will surely use the AI differently (i.e., more experienced, maybe technology-critical radiologists might more often overrule the AI output; that might be correct or wrong). Models tuned for high sensitivity might have too many false positives. Hence, they are ignored by HCPs after a while (considering the models as not trustworthy). Therefore, HIL is an important consideration in the assessment of AI models in clinical care delivery.</w:t>
      </w:r>
    </w:p>
    <w:p w14:paraId="49247036" w14:textId="41457A4A" w:rsidR="000F37B9" w:rsidRPr="00AA6C13" w:rsidRDefault="0093536E" w:rsidP="00242F4D">
      <w:pPr>
        <w:pStyle w:val="Heading2"/>
      </w:pPr>
      <w:bookmarkStart w:id="104" w:name="_Toc134124087"/>
      <w:bookmarkStart w:id="105" w:name="_Toc142387524"/>
      <w:bookmarkStart w:id="106" w:name="_Toc155950645"/>
      <w:bookmarkStart w:id="107" w:name="_Toc155950811"/>
      <w:r w:rsidRPr="00AA6C13">
        <w:t>7.8</w:t>
      </w:r>
      <w:r w:rsidRPr="00AA6C13">
        <w:tab/>
      </w:r>
      <w:r w:rsidR="000F37B9" w:rsidRPr="00AA6C13">
        <w:t>Misuse of accurate tools</w:t>
      </w:r>
      <w:bookmarkEnd w:id="104"/>
      <w:bookmarkEnd w:id="105"/>
      <w:bookmarkEnd w:id="106"/>
      <w:bookmarkEnd w:id="107"/>
    </w:p>
    <w:p w14:paraId="15F1AE59" w14:textId="78D0D1CD" w:rsidR="000F37B9" w:rsidRPr="00AA6C13" w:rsidRDefault="000F37B9" w:rsidP="000F37B9">
      <w:pPr>
        <w:rPr>
          <w:lang w:bidi="ar-DZ"/>
        </w:rPr>
      </w:pPr>
      <w:proofErr w:type="gramStart"/>
      <w:r w:rsidRPr="00AA6C13">
        <w:rPr>
          <w:lang w:bidi="ar-DZ"/>
        </w:rPr>
        <w:t>Similar to</w:t>
      </w:r>
      <w:proofErr w:type="gramEnd"/>
      <w:r w:rsidRPr="00AA6C13">
        <w:rPr>
          <w:lang w:bidi="ar-DZ"/>
        </w:rPr>
        <w:t xml:space="preserve"> </w:t>
      </w:r>
      <w:r w:rsidR="001D055B" w:rsidRPr="00AA6C13">
        <w:rPr>
          <w:lang w:bidi="ar-DZ"/>
        </w:rPr>
        <w:t xml:space="preserve">clause </w:t>
      </w:r>
      <w:r w:rsidRPr="00AA6C13">
        <w:rPr>
          <w:lang w:bidi="ar-DZ"/>
        </w:rPr>
        <w:t xml:space="preserve">7 if the reimbursement or legal frameworks either prefer or discourage the use of AI, the HCPs could subconsciously be biased to use an accurate tool in the wrong way (training </w:t>
      </w:r>
      <w:r w:rsidR="008C320D" w:rsidRPr="00AA6C13">
        <w:rPr>
          <w:lang w:bidi="ar-DZ"/>
        </w:rPr>
        <w:t>might be</w:t>
      </w:r>
      <w:r w:rsidRPr="00AA6C13">
        <w:rPr>
          <w:lang w:bidi="ar-DZ"/>
        </w:rPr>
        <w:t xml:space="preserve"> needed). As an example, from [</w:t>
      </w:r>
      <w:r w:rsidR="004274DA" w:rsidRPr="00AA6C13">
        <w:rPr>
          <w:lang w:bidi="ar-DZ"/>
        </w:rPr>
        <w:t>b-</w:t>
      </w:r>
      <w:r w:rsidRPr="00AA6C13">
        <w:rPr>
          <w:lang w:bidi="ar-DZ"/>
        </w:rPr>
        <w:t xml:space="preserve">Gerke et al, 2020] if payers only reimburse if the recommendation is according to </w:t>
      </w:r>
      <w:r w:rsidR="00283942" w:rsidRPr="00AA6C13">
        <w:rPr>
          <w:lang w:bidi="ar-DZ"/>
        </w:rPr>
        <w:t xml:space="preserve">the </w:t>
      </w:r>
      <w:r w:rsidRPr="00AA6C13">
        <w:rPr>
          <w:lang w:bidi="ar-DZ"/>
        </w:rPr>
        <w:t>AI system, one gets a very strong emphasi</w:t>
      </w:r>
      <w:r w:rsidR="00C42B53" w:rsidRPr="00AA6C13">
        <w:rPr>
          <w:lang w:bidi="ar-DZ"/>
        </w:rPr>
        <w:t>s</w:t>
      </w:r>
      <w:r w:rsidRPr="00AA6C13">
        <w:rPr>
          <w:lang w:bidi="ar-DZ"/>
        </w:rPr>
        <w:t xml:space="preserve"> on the AI although the system was designed as a HIL setup.</w:t>
      </w:r>
    </w:p>
    <w:p w14:paraId="73BA40EE" w14:textId="4AF29BBD" w:rsidR="000F37B9" w:rsidRPr="00AA6C13" w:rsidRDefault="0093536E" w:rsidP="00242F4D">
      <w:pPr>
        <w:pStyle w:val="Heading2"/>
      </w:pPr>
      <w:bookmarkStart w:id="108" w:name="_Toc134124088"/>
      <w:bookmarkStart w:id="109" w:name="_Toc142387525"/>
      <w:bookmarkStart w:id="110" w:name="_Toc155950646"/>
      <w:bookmarkStart w:id="111" w:name="_Toc155950812"/>
      <w:r w:rsidRPr="00AA6C13">
        <w:t>7.9</w:t>
      </w:r>
      <w:r w:rsidRPr="00AA6C13">
        <w:tab/>
      </w:r>
      <w:r w:rsidR="000F37B9" w:rsidRPr="00AA6C13">
        <w:t>Design of clinical trials with AI</w:t>
      </w:r>
      <w:bookmarkEnd w:id="108"/>
      <w:bookmarkEnd w:id="109"/>
      <w:bookmarkEnd w:id="110"/>
      <w:bookmarkEnd w:id="111"/>
    </w:p>
    <w:p w14:paraId="4B59D7EE" w14:textId="29E5162C" w:rsidR="000F37B9" w:rsidRPr="00AA6C13" w:rsidRDefault="000F37B9" w:rsidP="000F37B9">
      <w:pPr>
        <w:rPr>
          <w:lang w:bidi="ar-DZ"/>
        </w:rPr>
      </w:pPr>
      <w:r w:rsidRPr="00AA6C13">
        <w:rPr>
          <w:lang w:bidi="ar-DZ"/>
        </w:rPr>
        <w:t>There are AI systems (sys</w:t>
      </w:r>
      <w:r w:rsidRPr="00AA6C13">
        <w:rPr>
          <w:vertAlign w:val="subscript"/>
          <w:lang w:bidi="ar-DZ"/>
        </w:rPr>
        <w:t>1</w:t>
      </w:r>
      <w:r w:rsidRPr="00AA6C13">
        <w:rPr>
          <w:lang w:bidi="ar-DZ"/>
        </w:rPr>
        <w:t>) that identify patients and design clinical trials. If these trials are meant to assess AI systems (sys</w:t>
      </w:r>
      <w:r w:rsidRPr="00AA6C13">
        <w:rPr>
          <w:vertAlign w:val="subscript"/>
          <w:lang w:bidi="ar-DZ"/>
        </w:rPr>
        <w:t>2</w:t>
      </w:r>
      <w:r w:rsidRPr="00AA6C13">
        <w:rPr>
          <w:lang w:bidi="ar-DZ"/>
        </w:rPr>
        <w:t>), then AI is assessing AI. If sys</w:t>
      </w:r>
      <w:r w:rsidRPr="00AA6C13">
        <w:rPr>
          <w:vertAlign w:val="subscript"/>
          <w:lang w:bidi="ar-DZ"/>
        </w:rPr>
        <w:t>1</w:t>
      </w:r>
      <w:r w:rsidRPr="00AA6C13">
        <w:rPr>
          <w:lang w:bidi="ar-DZ"/>
        </w:rPr>
        <w:t xml:space="preserve"> is built on false data, then sys</w:t>
      </w:r>
      <w:r w:rsidRPr="00AA6C13">
        <w:rPr>
          <w:vertAlign w:val="subscript"/>
          <w:lang w:bidi="ar-DZ"/>
        </w:rPr>
        <w:t>2</w:t>
      </w:r>
      <w:r w:rsidRPr="00AA6C13">
        <w:rPr>
          <w:lang w:bidi="ar-DZ"/>
        </w:rPr>
        <w:t xml:space="preserve"> is also erroneous, is it not? While many </w:t>
      </w:r>
      <w:proofErr w:type="gramStart"/>
      <w:r w:rsidRPr="00AA6C13">
        <w:rPr>
          <w:lang w:bidi="ar-DZ"/>
        </w:rPr>
        <w:t>would</w:t>
      </w:r>
      <w:proofErr w:type="gramEnd"/>
      <w:r w:rsidRPr="00AA6C13">
        <w:rPr>
          <w:lang w:bidi="ar-DZ"/>
        </w:rPr>
        <w:t xml:space="preserve"> feel very uncomfortable if AI assesses AI, it is unclear whether this concern is justified. Theoretically, it could be better than </w:t>
      </w:r>
      <w:r w:rsidR="00D53643" w:rsidRPr="00AA6C13">
        <w:rPr>
          <w:lang w:bidi="ar-DZ"/>
        </w:rPr>
        <w:t>"</w:t>
      </w:r>
      <w:r w:rsidRPr="00AA6C13">
        <w:rPr>
          <w:lang w:bidi="ar-DZ"/>
        </w:rPr>
        <w:t>humans assessing AI</w:t>
      </w:r>
      <w:r w:rsidR="00D53643" w:rsidRPr="00AA6C13">
        <w:rPr>
          <w:lang w:bidi="ar-DZ"/>
        </w:rPr>
        <w:t>"</w:t>
      </w:r>
      <w:r w:rsidRPr="00AA6C13">
        <w:rPr>
          <w:lang w:bidi="ar-DZ"/>
        </w:rPr>
        <w:t>.</w:t>
      </w:r>
    </w:p>
    <w:p w14:paraId="50BDADD6" w14:textId="73418279" w:rsidR="000F37B9" w:rsidRPr="00AA6C13" w:rsidRDefault="0093536E" w:rsidP="00242F4D">
      <w:pPr>
        <w:pStyle w:val="Heading2"/>
      </w:pPr>
      <w:bookmarkStart w:id="112" w:name="_Toc134124089"/>
      <w:bookmarkStart w:id="113" w:name="_Toc142387526"/>
      <w:bookmarkStart w:id="114" w:name="_Toc155950647"/>
      <w:bookmarkStart w:id="115" w:name="_Toc155950813"/>
      <w:r w:rsidRPr="00AA6C13">
        <w:lastRenderedPageBreak/>
        <w:t>7.10</w:t>
      </w:r>
      <w:r w:rsidRPr="00AA6C13">
        <w:tab/>
      </w:r>
      <w:r w:rsidR="000F37B9" w:rsidRPr="00AA6C13">
        <w:t>Agreement on/interoperable encoding of benchmarking cases</w:t>
      </w:r>
      <w:bookmarkEnd w:id="112"/>
      <w:bookmarkEnd w:id="113"/>
      <w:bookmarkEnd w:id="114"/>
      <w:bookmarkEnd w:id="115"/>
    </w:p>
    <w:p w14:paraId="17C2C58F" w14:textId="7E0DA00D" w:rsidR="000F37B9" w:rsidRPr="00AA6C13" w:rsidRDefault="000F37B9" w:rsidP="000F37B9">
      <w:pPr>
        <w:rPr>
          <w:lang w:bidi="ar-DZ"/>
        </w:rPr>
      </w:pPr>
      <w:r w:rsidRPr="00AA6C13">
        <w:rPr>
          <w:lang w:bidi="ar-DZ"/>
        </w:rPr>
        <w:t>The agreement on the benchmarking cases and the interoperable encoding of these benchmarking cases requires careful thought</w:t>
      </w:r>
      <w:proofErr w:type="gramStart"/>
      <w:r w:rsidRPr="00AA6C13">
        <w:rPr>
          <w:lang w:bidi="ar-DZ"/>
        </w:rPr>
        <w:t>, in particular</w:t>
      </w:r>
      <w:r w:rsidR="002A554F" w:rsidRPr="00AA6C13">
        <w:rPr>
          <w:lang w:bidi="ar-DZ"/>
        </w:rPr>
        <w:t>,</w:t>
      </w:r>
      <w:r w:rsidRPr="00AA6C13">
        <w:rPr>
          <w:lang w:bidi="ar-DZ"/>
        </w:rPr>
        <w:t xml:space="preserve"> if</w:t>
      </w:r>
      <w:proofErr w:type="gramEnd"/>
      <w:r w:rsidRPr="00AA6C13">
        <w:rPr>
          <w:lang w:bidi="ar-DZ"/>
        </w:rPr>
        <w:t xml:space="preserve"> we go beyond the typical image analysis AI tasks. For images</w:t>
      </w:r>
      <w:r w:rsidR="00947D8A" w:rsidRPr="00AA6C13">
        <w:rPr>
          <w:lang w:bidi="ar-DZ"/>
        </w:rPr>
        <w:t>,</w:t>
      </w:r>
      <w:r w:rsidRPr="00AA6C13">
        <w:rPr>
          <w:lang w:bidi="ar-DZ"/>
        </w:rPr>
        <w:t xml:space="preserve"> an agreement on the input data format often already exists (e.g., with DICOM), and mapping friction between benchmarking data and the inner working</w:t>
      </w:r>
      <w:r w:rsidR="008654A3" w:rsidRPr="00AA6C13">
        <w:rPr>
          <w:lang w:bidi="ar-DZ"/>
        </w:rPr>
        <w:t>s</w:t>
      </w:r>
      <w:r w:rsidRPr="00AA6C13">
        <w:rPr>
          <w:lang w:bidi="ar-DZ"/>
        </w:rPr>
        <w:t xml:space="preserve"> of the AI model (e.g., ontologies) is usually not to be expected.</w:t>
      </w:r>
    </w:p>
    <w:p w14:paraId="2621B81F" w14:textId="63B67182" w:rsidR="000F37B9" w:rsidRPr="00AA6C13" w:rsidRDefault="0093536E" w:rsidP="00242F4D">
      <w:pPr>
        <w:pStyle w:val="Heading2"/>
      </w:pPr>
      <w:bookmarkStart w:id="116" w:name="_Toc134124090"/>
      <w:bookmarkStart w:id="117" w:name="_Toc142387527"/>
      <w:bookmarkStart w:id="118" w:name="_Toc155950648"/>
      <w:bookmarkStart w:id="119" w:name="_Toc155950814"/>
      <w:r w:rsidRPr="00AA6C13">
        <w:t>7.11</w:t>
      </w:r>
      <w:r w:rsidRPr="00AA6C13">
        <w:tab/>
      </w:r>
      <w:r w:rsidR="000F37B9" w:rsidRPr="00AA6C13">
        <w:t>Testing existing AI products v</w:t>
      </w:r>
      <w:r w:rsidR="00947D8A" w:rsidRPr="00AA6C13">
        <w:t>ersus</w:t>
      </w:r>
      <w:r w:rsidR="000F37B9" w:rsidRPr="00AA6C13">
        <w:t xml:space="preserve"> ML-challenges</w:t>
      </w:r>
      <w:bookmarkEnd w:id="116"/>
      <w:bookmarkEnd w:id="117"/>
      <w:bookmarkEnd w:id="118"/>
      <w:bookmarkEnd w:id="119"/>
    </w:p>
    <w:p w14:paraId="76A14770" w14:textId="7B7EA220" w:rsidR="000F37B9" w:rsidRPr="00AA6C13" w:rsidRDefault="000F37B9" w:rsidP="000F37B9">
      <w:pPr>
        <w:rPr>
          <w:rFonts w:eastAsia="MS Mincho" w:cs="Arial"/>
          <w:b/>
          <w:bCs/>
          <w:kern w:val="32"/>
          <w:szCs w:val="32"/>
        </w:rPr>
      </w:pPr>
      <w:r w:rsidRPr="00AA6C13">
        <w:rPr>
          <w:lang w:bidi="ar-DZ"/>
        </w:rPr>
        <w:t xml:space="preserve">Testing existing commercial AI products differs from the setting of </w:t>
      </w:r>
      <w:r w:rsidR="00D53643" w:rsidRPr="00AA6C13">
        <w:rPr>
          <w:lang w:bidi="ar-DZ"/>
        </w:rPr>
        <w:t>"</w:t>
      </w:r>
      <w:r w:rsidRPr="00AA6C13">
        <w:rPr>
          <w:lang w:bidi="ar-DZ"/>
        </w:rPr>
        <w:t>ML-challenges</w:t>
      </w:r>
      <w:r w:rsidR="00D53643" w:rsidRPr="00AA6C13">
        <w:rPr>
          <w:lang w:bidi="ar-DZ"/>
        </w:rPr>
        <w:t>"</w:t>
      </w:r>
      <w:r w:rsidRPr="00AA6C13">
        <w:rPr>
          <w:lang w:bidi="ar-DZ"/>
        </w:rPr>
        <w:t>, where the AI models are typically purpose-built for the specific task. Moreover, commercial AI products cannot always be submitted for testing, since they can be IP- and capital-intensive and cannot be easily containerized.</w:t>
      </w:r>
      <w:bookmarkStart w:id="120" w:name="__RefHeading___Toc5119_3617894909"/>
      <w:bookmarkEnd w:id="120"/>
    </w:p>
    <w:p w14:paraId="243E8D26" w14:textId="77BDC665" w:rsidR="000F37B9" w:rsidRPr="00AA6C13" w:rsidRDefault="0093536E" w:rsidP="009F1217">
      <w:pPr>
        <w:pStyle w:val="Heading1"/>
      </w:pPr>
      <w:bookmarkStart w:id="121" w:name="_Toc134124091"/>
      <w:bookmarkStart w:id="122" w:name="_Toc142387528"/>
      <w:bookmarkStart w:id="123" w:name="_Toc155950649"/>
      <w:bookmarkStart w:id="124" w:name="_Toc155950815"/>
      <w:r w:rsidRPr="00AA6C13">
        <w:t>8</w:t>
      </w:r>
      <w:r w:rsidRPr="00AA6C13">
        <w:tab/>
      </w:r>
      <w:r w:rsidR="000F37B9" w:rsidRPr="00AA6C13">
        <w:t>Independent standardized model benchmarking</w:t>
      </w:r>
      <w:bookmarkEnd w:id="121"/>
      <w:bookmarkEnd w:id="122"/>
      <w:bookmarkEnd w:id="123"/>
      <w:bookmarkEnd w:id="124"/>
    </w:p>
    <w:p w14:paraId="0EB9AF38" w14:textId="133DD578" w:rsidR="000F37B9" w:rsidRPr="00AA6C13" w:rsidRDefault="000F37B9" w:rsidP="000F37B9">
      <w:r w:rsidRPr="00AA6C13">
        <w:rPr>
          <w:i/>
          <w:iCs/>
        </w:rPr>
        <w:t>Independent benchmarking</w:t>
      </w:r>
      <w:r w:rsidRPr="00AA6C13">
        <w:t xml:space="preserve"> </w:t>
      </w:r>
      <w:r w:rsidRPr="00AA6C13">
        <w:rPr>
          <w:i/>
          <w:iCs/>
        </w:rPr>
        <w:t xml:space="preserve">by a trusted third party using agreed-upon, standardized test procedures and metrics on separate high-quality test data from different sources </w:t>
      </w:r>
      <w:r w:rsidRPr="00AA6C13">
        <w:t xml:space="preserve">is the core idea for the technical validation step, pursued by the ITU/WHO Focus Group on </w:t>
      </w:r>
      <w:r w:rsidR="00D53643" w:rsidRPr="00AA6C13">
        <w:t>"</w:t>
      </w:r>
      <w:r w:rsidRPr="00AA6C13">
        <w:t xml:space="preserve">AI for </w:t>
      </w:r>
      <w:r w:rsidR="00824B88" w:rsidRPr="00AA6C13">
        <w:t>h</w:t>
      </w:r>
      <w:r w:rsidRPr="00AA6C13">
        <w:t>ealth</w:t>
      </w:r>
      <w:r w:rsidR="00D53643" w:rsidRPr="00AA6C13">
        <w:t>"</w:t>
      </w:r>
      <w:r w:rsidRPr="00AA6C13">
        <w:t xml:space="preserve"> (</w:t>
      </w:r>
      <w:r w:rsidRPr="00AA6C13">
        <w:rPr>
          <w:i/>
          <w:iCs/>
        </w:rPr>
        <w:t>cf.</w:t>
      </w:r>
      <w:r w:rsidRPr="00AA6C13">
        <w:t xml:space="preserve"> </w:t>
      </w:r>
      <w:r w:rsidR="0057123C" w:rsidRPr="00AA6C13">
        <w:t>Figure 3</w:t>
      </w:r>
      <w:r w:rsidRPr="00AA6C13">
        <w:t xml:space="preserve">). This approach could be a valuable complement to in-house or local technical tests and subsequent clinical trials. It does not </w:t>
      </w:r>
      <w:proofErr w:type="gramStart"/>
      <w:r w:rsidRPr="00AA6C13">
        <w:t>put</w:t>
      </w:r>
      <w:proofErr w:type="gramEnd"/>
      <w:r w:rsidRPr="00AA6C13">
        <w:t xml:space="preserve"> test subjects at risk, can be repeated in the case of model</w:t>
      </w:r>
      <w:r w:rsidR="00D043FD" w:rsidRPr="00AA6C13">
        <w:t xml:space="preserve"> </w:t>
      </w:r>
      <w:r w:rsidRPr="00AA6C13">
        <w:t>/</w:t>
      </w:r>
      <w:r w:rsidR="00D043FD" w:rsidRPr="00AA6C13">
        <w:t xml:space="preserve"> </w:t>
      </w:r>
      <w:r w:rsidRPr="00AA6C13">
        <w:t>software updates, can be based on large amounts of high-quality test data from different sources and sites, and is fast. Moreover, the approach can lead to comparable and transparent results using standardized testing procedures with meaningful test objectives, test tasks, quality criteria</w:t>
      </w:r>
      <w:r w:rsidR="004540DA" w:rsidRPr="00AA6C13">
        <w:t>,</w:t>
      </w:r>
      <w:r w:rsidRPr="00AA6C13">
        <w:t xml:space="preserve"> and test metrics defined by a community of experts. In addition, releasing a new benchmarking data set drives the </w:t>
      </w:r>
      <w:r w:rsidR="00ED59FA" w:rsidRPr="00AA6C13">
        <w:t>research and development (</w:t>
      </w:r>
      <w:r w:rsidRPr="00AA6C13">
        <w:t>R&amp;D</w:t>
      </w:r>
      <w:r w:rsidR="00ED59FA" w:rsidRPr="00AA6C13">
        <w:t>)</w:t>
      </w:r>
      <w:r w:rsidRPr="00AA6C13">
        <w:t xml:space="preserve"> community and can serve as </w:t>
      </w:r>
      <w:r w:rsidR="00C31D84" w:rsidRPr="00AA6C13">
        <w:t xml:space="preserve">an </w:t>
      </w:r>
      <w:r w:rsidRPr="00AA6C13">
        <w:t xml:space="preserve">incentive to shift R&amp;D resources in </w:t>
      </w:r>
      <w:r w:rsidR="00E37524" w:rsidRPr="00AA6C13">
        <w:t xml:space="preserve">the </w:t>
      </w:r>
      <w:r w:rsidRPr="00AA6C13">
        <w:t>desired directions.</w:t>
      </w:r>
    </w:p>
    <w:p w14:paraId="494E76B2" w14:textId="0CCFC3D7" w:rsidR="000F37B9" w:rsidRPr="00AA6C13" w:rsidRDefault="003201BA" w:rsidP="00D53643">
      <w:pPr>
        <w:pStyle w:val="Figure"/>
      </w:pPr>
      <w:r w:rsidRPr="00AA6C13">
        <w:rPr>
          <w:noProof/>
        </w:rPr>
        <w:drawing>
          <wp:inline distT="0" distB="0" distL="0" distR="0" wp14:anchorId="5C858CE2" wp14:editId="1A749B7D">
            <wp:extent cx="5069205" cy="1836420"/>
            <wp:effectExtent l="0" t="0" r="0" b="0"/>
            <wp:docPr id="14345347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69205" cy="1836420"/>
                    </a:xfrm>
                    <a:prstGeom prst="rect">
                      <a:avLst/>
                    </a:prstGeom>
                    <a:noFill/>
                    <a:ln>
                      <a:noFill/>
                    </a:ln>
                  </pic:spPr>
                </pic:pic>
              </a:graphicData>
            </a:graphic>
          </wp:inline>
        </w:drawing>
      </w:r>
    </w:p>
    <w:p w14:paraId="622C60D4" w14:textId="321E7BA4" w:rsidR="000F37B9" w:rsidRPr="00AA6C13" w:rsidRDefault="000F37B9" w:rsidP="0093536E">
      <w:pPr>
        <w:pStyle w:val="FigureNoTitle0"/>
      </w:pPr>
      <w:bookmarkStart w:id="125" w:name="_Ref103896197"/>
      <w:bookmarkStart w:id="126" w:name="_Toc134124109"/>
      <w:bookmarkStart w:id="127" w:name="_Toc142387546"/>
      <w:r w:rsidRPr="00AA6C13">
        <w:t xml:space="preserve">Figure </w:t>
      </w:r>
      <w:r w:rsidR="0057123C" w:rsidRPr="00AA6C13">
        <w:rPr>
          <w:noProof/>
        </w:rPr>
        <w:t>3</w:t>
      </w:r>
      <w:bookmarkEnd w:id="125"/>
      <w:r w:rsidR="007D4002" w:rsidRPr="00AA6C13">
        <w:t xml:space="preserve"> –</w:t>
      </w:r>
      <w:r w:rsidRPr="00AA6C13">
        <w:t xml:space="preserve"> Independent model validation with standard procedures on separate test data and subsequent clinical evaluation</w:t>
      </w:r>
      <w:bookmarkEnd w:id="126"/>
      <w:bookmarkEnd w:id="127"/>
    </w:p>
    <w:p w14:paraId="16A76E85" w14:textId="2334227B" w:rsidR="000F37B9" w:rsidRPr="00AA6C13" w:rsidRDefault="000F37B9" w:rsidP="0093536E">
      <w:pPr>
        <w:pStyle w:val="Normalaftertitle"/>
        <w:rPr>
          <w:lang w:bidi="ar-DZ"/>
        </w:rPr>
      </w:pPr>
      <w:r w:rsidRPr="00AA6C13">
        <w:t xml:space="preserve">Standard benchmarking tasks with corresponding standard validation metrics and standard test data need to be agreed upon and clearly defined for every health subject area. For this purpose, the ITU/WHO Focus Group on </w:t>
      </w:r>
      <w:r w:rsidR="00D53643" w:rsidRPr="00AA6C13">
        <w:t>"</w:t>
      </w:r>
      <w:r w:rsidRPr="00AA6C13">
        <w:t xml:space="preserve">AI for </w:t>
      </w:r>
      <w:r w:rsidR="00501FC9" w:rsidRPr="00AA6C13">
        <w:t>h</w:t>
      </w:r>
      <w:r w:rsidRPr="00AA6C13">
        <w:t>ealth</w:t>
      </w:r>
      <w:r w:rsidR="00D53643" w:rsidRPr="00AA6C13">
        <w:t>"</w:t>
      </w:r>
      <w:r w:rsidRPr="00AA6C13">
        <w:t xml:space="preserve"> established </w:t>
      </w:r>
      <w:r w:rsidR="00501FC9" w:rsidRPr="00AA6C13">
        <w:rPr>
          <w:i/>
          <w:iCs/>
        </w:rPr>
        <w:t>t</w:t>
      </w:r>
      <w:r w:rsidRPr="00AA6C13">
        <w:rPr>
          <w:i/>
          <w:iCs/>
        </w:rPr>
        <w:t xml:space="preserve">opic </w:t>
      </w:r>
      <w:r w:rsidR="00EC5B1F" w:rsidRPr="00AA6C13">
        <w:rPr>
          <w:i/>
          <w:iCs/>
        </w:rPr>
        <w:t>g</w:t>
      </w:r>
      <w:r w:rsidRPr="00AA6C13">
        <w:rPr>
          <w:i/>
          <w:iCs/>
        </w:rPr>
        <w:t>roups</w:t>
      </w:r>
      <w:r w:rsidRPr="00AA6C13">
        <w:t xml:space="preserve"> that work on </w:t>
      </w:r>
      <w:r w:rsidR="00020A0D" w:rsidRPr="00AA6C13">
        <w:rPr>
          <w:i/>
          <w:iCs/>
          <w:lang w:bidi="ar-DZ"/>
        </w:rPr>
        <w:t>t</w:t>
      </w:r>
      <w:r w:rsidRPr="00AA6C13">
        <w:rPr>
          <w:i/>
          <w:iCs/>
          <w:lang w:bidi="ar-DZ"/>
        </w:rPr>
        <w:t xml:space="preserve">opic </w:t>
      </w:r>
      <w:r w:rsidR="00020A0D" w:rsidRPr="00AA6C13">
        <w:rPr>
          <w:i/>
          <w:iCs/>
          <w:lang w:bidi="ar-DZ"/>
        </w:rPr>
        <w:t>d</w:t>
      </w:r>
      <w:r w:rsidRPr="00AA6C13">
        <w:rPr>
          <w:i/>
          <w:iCs/>
          <w:lang w:bidi="ar-DZ"/>
        </w:rPr>
        <w:t xml:space="preserve">escription </w:t>
      </w:r>
      <w:r w:rsidR="00020A0D" w:rsidRPr="00AA6C13">
        <w:rPr>
          <w:i/>
          <w:iCs/>
          <w:lang w:bidi="ar-DZ"/>
        </w:rPr>
        <w:t>d</w:t>
      </w:r>
      <w:r w:rsidRPr="00AA6C13">
        <w:rPr>
          <w:i/>
          <w:iCs/>
          <w:lang w:bidi="ar-DZ"/>
        </w:rPr>
        <w:t>ocuments</w:t>
      </w:r>
      <w:r w:rsidRPr="00AA6C13">
        <w:rPr>
          <w:lang w:bidi="ar-DZ"/>
        </w:rPr>
        <w:t xml:space="preserve"> </w:t>
      </w:r>
      <w:r w:rsidRPr="00AA6C13">
        <w:t>([DEL10] and applicable sub-documents)</w:t>
      </w:r>
      <w:r w:rsidR="00870536" w:rsidRPr="00AA6C13">
        <w:t>,</w:t>
      </w:r>
      <w:r w:rsidRPr="00AA6C13">
        <w:rPr>
          <w:lang w:bidi="ar-DZ"/>
        </w:rPr>
        <w:t xml:space="preserve"> where these standards are defined for selected AI tasks from a range of health subject areas such as </w:t>
      </w:r>
      <w:r w:rsidR="009D1D4F" w:rsidRPr="00AA6C13">
        <w:rPr>
          <w:lang w:bidi="ar-DZ"/>
        </w:rPr>
        <w:t>m</w:t>
      </w:r>
      <w:r w:rsidRPr="00AA6C13">
        <w:rPr>
          <w:lang w:bidi="ar-DZ"/>
        </w:rPr>
        <w:t xml:space="preserve">alaria detection, symptom checkers, histopathology, ophthalmology, radiology, and many more. The </w:t>
      </w:r>
      <w:r w:rsidR="00FE6DF7" w:rsidRPr="00AA6C13">
        <w:rPr>
          <w:lang w:bidi="ar-DZ"/>
        </w:rPr>
        <w:t>t</w:t>
      </w:r>
      <w:r w:rsidRPr="00AA6C13">
        <w:rPr>
          <w:lang w:bidi="ar-DZ"/>
        </w:rPr>
        <w:t xml:space="preserve">opic </w:t>
      </w:r>
      <w:r w:rsidR="00FE6DF7" w:rsidRPr="00AA6C13">
        <w:rPr>
          <w:lang w:bidi="ar-DZ"/>
        </w:rPr>
        <w:t>g</w:t>
      </w:r>
      <w:r w:rsidRPr="00AA6C13">
        <w:rPr>
          <w:lang w:bidi="ar-DZ"/>
        </w:rPr>
        <w:t xml:space="preserve">roups develop these standards in a dialogue (see </w:t>
      </w:r>
      <w:r w:rsidR="0057123C" w:rsidRPr="00AA6C13">
        <w:t>Figure 4</w:t>
      </w:r>
      <w:r w:rsidRPr="00AA6C13">
        <w:t xml:space="preserve">) with the </w:t>
      </w:r>
      <w:r w:rsidR="00074935" w:rsidRPr="00AA6C13">
        <w:t>w</w:t>
      </w:r>
      <w:r w:rsidRPr="00AA6C13">
        <w:t xml:space="preserve">orking </w:t>
      </w:r>
      <w:r w:rsidR="00074935" w:rsidRPr="00AA6C13">
        <w:t>g</w:t>
      </w:r>
      <w:r w:rsidRPr="00AA6C13">
        <w:t xml:space="preserve">roups (that again are writing down </w:t>
      </w:r>
      <w:r w:rsidRPr="00AA6C13">
        <w:rPr>
          <w:lang w:bidi="ar-DZ"/>
        </w:rPr>
        <w:t>their insights and recommendations in their deliverables).</w:t>
      </w:r>
    </w:p>
    <w:p w14:paraId="46D909EF" w14:textId="375559A5" w:rsidR="000F37B9" w:rsidRPr="00AA6C13" w:rsidRDefault="003201BA" w:rsidP="00D53643">
      <w:pPr>
        <w:pStyle w:val="Figure"/>
      </w:pPr>
      <w:r w:rsidRPr="00AA6C13">
        <w:rPr>
          <w:noProof/>
        </w:rPr>
        <w:lastRenderedPageBreak/>
        <w:drawing>
          <wp:inline distT="0" distB="0" distL="0" distR="0" wp14:anchorId="30003B1B" wp14:editId="00215989">
            <wp:extent cx="4615815" cy="1821180"/>
            <wp:effectExtent l="0" t="0" r="0" b="7620"/>
            <wp:docPr id="423522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15815" cy="1821180"/>
                    </a:xfrm>
                    <a:prstGeom prst="rect">
                      <a:avLst/>
                    </a:prstGeom>
                    <a:noFill/>
                    <a:ln>
                      <a:noFill/>
                    </a:ln>
                  </pic:spPr>
                </pic:pic>
              </a:graphicData>
            </a:graphic>
          </wp:inline>
        </w:drawing>
      </w:r>
    </w:p>
    <w:p w14:paraId="0F5EEE05" w14:textId="1490B5E5" w:rsidR="000F37B9" w:rsidRPr="00AA6C13" w:rsidRDefault="000F37B9" w:rsidP="0093536E">
      <w:pPr>
        <w:pStyle w:val="FigureNoTitle0"/>
        <w:rPr>
          <w:lang w:bidi="ar-DZ"/>
        </w:rPr>
      </w:pPr>
      <w:bookmarkStart w:id="128" w:name="_Ref142386916"/>
      <w:bookmarkStart w:id="129" w:name="_Toc134124110"/>
      <w:bookmarkStart w:id="130" w:name="_Toc142387547"/>
      <w:r w:rsidRPr="00AA6C13">
        <w:rPr>
          <w:lang w:bidi="ar-DZ"/>
        </w:rPr>
        <w:t xml:space="preserve">Figure </w:t>
      </w:r>
      <w:r w:rsidR="0057123C" w:rsidRPr="00AA6C13">
        <w:rPr>
          <w:noProof/>
          <w:lang w:bidi="ar-DZ"/>
        </w:rPr>
        <w:t>4</w:t>
      </w:r>
      <w:bookmarkEnd w:id="128"/>
      <w:r w:rsidR="007D4002" w:rsidRPr="00AA6C13">
        <w:rPr>
          <w:lang w:bidi="ar-DZ"/>
        </w:rPr>
        <w:t xml:space="preserve"> –</w:t>
      </w:r>
      <w:r w:rsidRPr="00AA6C13">
        <w:rPr>
          <w:lang w:bidi="ar-DZ"/>
        </w:rPr>
        <w:t xml:space="preserve"> Structure of the </w:t>
      </w:r>
      <w:r w:rsidR="00942F8E" w:rsidRPr="00AA6C13">
        <w:rPr>
          <w:lang w:bidi="ar-DZ"/>
        </w:rPr>
        <w:t>f</w:t>
      </w:r>
      <w:r w:rsidRPr="00AA6C13">
        <w:rPr>
          <w:lang w:bidi="ar-DZ"/>
        </w:rPr>
        <w:t xml:space="preserve">ocus </w:t>
      </w:r>
      <w:r w:rsidR="00942F8E" w:rsidRPr="00AA6C13">
        <w:rPr>
          <w:lang w:bidi="ar-DZ"/>
        </w:rPr>
        <w:t>g</w:t>
      </w:r>
      <w:r w:rsidRPr="00AA6C13">
        <w:rPr>
          <w:lang w:bidi="ar-DZ"/>
        </w:rPr>
        <w:t xml:space="preserve">roup with </w:t>
      </w:r>
      <w:r w:rsidR="00942F8E" w:rsidRPr="00AA6C13">
        <w:rPr>
          <w:lang w:bidi="ar-DZ"/>
        </w:rPr>
        <w:t>t</w:t>
      </w:r>
      <w:r w:rsidRPr="00AA6C13">
        <w:rPr>
          <w:lang w:bidi="ar-DZ"/>
        </w:rPr>
        <w:t xml:space="preserve">opic </w:t>
      </w:r>
      <w:r w:rsidR="00942F8E" w:rsidRPr="00AA6C13">
        <w:rPr>
          <w:lang w:bidi="ar-DZ"/>
        </w:rPr>
        <w:t>g</w:t>
      </w:r>
      <w:r w:rsidRPr="00AA6C13">
        <w:rPr>
          <w:lang w:bidi="ar-DZ"/>
        </w:rPr>
        <w:t xml:space="preserve">roups and </w:t>
      </w:r>
      <w:r w:rsidR="00942F8E" w:rsidRPr="00AA6C13">
        <w:rPr>
          <w:lang w:bidi="ar-DZ"/>
        </w:rPr>
        <w:t>w</w:t>
      </w:r>
      <w:r w:rsidRPr="00AA6C13">
        <w:rPr>
          <w:lang w:bidi="ar-DZ"/>
        </w:rPr>
        <w:t xml:space="preserve">orking </w:t>
      </w:r>
      <w:r w:rsidR="00942F8E" w:rsidRPr="00AA6C13">
        <w:rPr>
          <w:lang w:bidi="ar-DZ"/>
        </w:rPr>
        <w:t>g</w:t>
      </w:r>
      <w:r w:rsidRPr="00AA6C13">
        <w:rPr>
          <w:lang w:bidi="ar-DZ"/>
        </w:rPr>
        <w:t>roups (WGs)</w:t>
      </w:r>
      <w:bookmarkEnd w:id="129"/>
      <w:bookmarkEnd w:id="130"/>
    </w:p>
    <w:p w14:paraId="261821C2" w14:textId="7A232626" w:rsidR="000F37B9" w:rsidRPr="00AA6C13" w:rsidRDefault="000F37B9" w:rsidP="0093536E">
      <w:pPr>
        <w:pStyle w:val="Normalaftertitle"/>
        <w:rPr>
          <w:lang w:bidi="ar-DZ"/>
        </w:rPr>
      </w:pPr>
      <w:r w:rsidRPr="00AA6C13">
        <w:t xml:space="preserve">The </w:t>
      </w:r>
      <w:r w:rsidR="003557C4" w:rsidRPr="00AA6C13">
        <w:rPr>
          <w:i/>
          <w:iCs/>
          <w:lang w:bidi="ar-DZ"/>
        </w:rPr>
        <w:t>t</w:t>
      </w:r>
      <w:r w:rsidRPr="00AA6C13">
        <w:rPr>
          <w:i/>
          <w:iCs/>
          <w:lang w:bidi="ar-DZ"/>
        </w:rPr>
        <w:t xml:space="preserve">opic </w:t>
      </w:r>
      <w:r w:rsidR="003557C4" w:rsidRPr="00AA6C13">
        <w:rPr>
          <w:i/>
          <w:iCs/>
          <w:lang w:bidi="ar-DZ"/>
        </w:rPr>
        <w:t>d</w:t>
      </w:r>
      <w:r w:rsidRPr="00AA6C13">
        <w:rPr>
          <w:i/>
          <w:iCs/>
          <w:lang w:bidi="ar-DZ"/>
        </w:rPr>
        <w:t xml:space="preserve">escription </w:t>
      </w:r>
      <w:r w:rsidR="003557C4" w:rsidRPr="00AA6C13">
        <w:rPr>
          <w:i/>
          <w:iCs/>
          <w:lang w:bidi="ar-DZ"/>
        </w:rPr>
        <w:t>d</w:t>
      </w:r>
      <w:r w:rsidRPr="00AA6C13">
        <w:rPr>
          <w:i/>
          <w:iCs/>
          <w:lang w:bidi="ar-DZ"/>
        </w:rPr>
        <w:t>ocuments</w:t>
      </w:r>
      <w:r w:rsidRPr="00AA6C13">
        <w:t xml:space="preserve"> [DEL10]</w:t>
      </w:r>
      <w:r w:rsidRPr="00AA6C13">
        <w:rPr>
          <w:lang w:bidi="ar-DZ"/>
        </w:rPr>
        <w:t xml:space="preserve"> also address questions such as</w:t>
      </w:r>
      <w:r w:rsidRPr="00AA6C13">
        <w:t xml:space="preserve">: How is the test data distributed? Are the samples balanced to represent the real world? How many cases will there be per benchmarking task and is this number sufficient to obtain the necessary statistical power? Will there be test data to check </w:t>
      </w:r>
      <w:r w:rsidR="00CE5E39" w:rsidRPr="00AA6C13">
        <w:t xml:space="preserve">the </w:t>
      </w:r>
      <w:r w:rsidRPr="00AA6C13">
        <w:t>generalizability capabilities of submitted algorithms (e.g., data from another procedure</w:t>
      </w:r>
      <w:r w:rsidR="00436A33" w:rsidRPr="00AA6C13">
        <w:t xml:space="preserve"> </w:t>
      </w:r>
      <w:r w:rsidRPr="00AA6C13">
        <w:t>/</w:t>
      </w:r>
      <w:r w:rsidR="00436A33" w:rsidRPr="00AA6C13">
        <w:t xml:space="preserve"> </w:t>
      </w:r>
      <w:r w:rsidRPr="00AA6C13">
        <w:t>organ</w:t>
      </w:r>
      <w:r w:rsidR="00436A33" w:rsidRPr="00AA6C13">
        <w:t xml:space="preserve"> </w:t>
      </w:r>
      <w:r w:rsidRPr="00AA6C13">
        <w:t>/</w:t>
      </w:r>
      <w:r w:rsidR="00436A33" w:rsidRPr="00AA6C13">
        <w:t xml:space="preserve"> </w:t>
      </w:r>
      <w:r w:rsidRPr="00AA6C13">
        <w:t xml:space="preserve">hospital)? The </w:t>
      </w:r>
      <w:r w:rsidR="002A4FEB" w:rsidRPr="00AA6C13">
        <w:t>t</w:t>
      </w:r>
      <w:r w:rsidRPr="00AA6C13">
        <w:t xml:space="preserve">opic </w:t>
      </w:r>
      <w:r w:rsidR="002A4FEB" w:rsidRPr="00AA6C13">
        <w:t>d</w:t>
      </w:r>
      <w:r w:rsidRPr="00AA6C13">
        <w:t xml:space="preserve">escription </w:t>
      </w:r>
      <w:r w:rsidR="002A4FEB" w:rsidRPr="00AA6C13">
        <w:t>d</w:t>
      </w:r>
      <w:r w:rsidRPr="00AA6C13">
        <w:t>ocuments also specify the metrics (accuracy, F1 score, precision, recall, ROC/A</w:t>
      </w:r>
      <w:r w:rsidR="0017281E" w:rsidRPr="00AA6C13">
        <w:t>U</w:t>
      </w:r>
      <w:r w:rsidRPr="00AA6C13">
        <w:t>C, Jaccard index</w:t>
      </w:r>
      <w:r w:rsidR="00B83A94" w:rsidRPr="00AA6C13">
        <w:t>,</w:t>
      </w:r>
      <w:r w:rsidRPr="00AA6C13">
        <w:t xml:space="preserve"> etc.) for every benchmarking task. With these metrics, the predictive performance of a classification or regression model can be assessed. In addition, attribution methods from explainable AI (XAI) can be automatically evaluated </w:t>
      </w:r>
      <w:r w:rsidRPr="00AA6C13">
        <w:rPr>
          <w:i/>
          <w:iCs/>
        </w:rPr>
        <w:t>in silico</w:t>
      </w:r>
      <w:r w:rsidRPr="00AA6C13">
        <w:t xml:space="preserve">, e.g., by comparison of the resulting </w:t>
      </w:r>
      <w:r w:rsidR="00D53643" w:rsidRPr="00AA6C13">
        <w:t>"</w:t>
      </w:r>
      <w:r w:rsidRPr="00AA6C13">
        <w:t>heatmaps</w:t>
      </w:r>
      <w:r w:rsidR="00D53643" w:rsidRPr="00AA6C13">
        <w:t>"</w:t>
      </w:r>
      <w:r w:rsidRPr="00AA6C13">
        <w:t xml:space="preserve"> with ground truth annotations </w:t>
      </w:r>
      <w:r w:rsidR="002602A1" w:rsidRPr="00AA6C13">
        <w:t>(</w:t>
      </w:r>
      <w:r w:rsidRPr="00AA6C13">
        <w:t xml:space="preserve">in the spirit of, e.g., </w:t>
      </w:r>
      <w:r w:rsidR="002602A1" w:rsidRPr="00AA6C13">
        <w:t>[b-</w:t>
      </w:r>
      <w:r w:rsidRPr="00AA6C13">
        <w:t>Arras et al., 2019</w:t>
      </w:r>
      <w:r w:rsidR="00EF56B1" w:rsidRPr="00AA6C13">
        <w:t xml:space="preserve">], [b-Arras et al., </w:t>
      </w:r>
      <w:r w:rsidRPr="00AA6C13">
        <w:t>2022</w:t>
      </w:r>
      <w:r w:rsidR="000F374E" w:rsidRPr="00AA6C13">
        <w:t>],</w:t>
      </w:r>
      <w:r w:rsidRPr="00AA6C13">
        <w:t xml:space="preserve"> </w:t>
      </w:r>
      <w:r w:rsidR="000F374E" w:rsidRPr="00AA6C13">
        <w:t>[b-</w:t>
      </w:r>
      <w:r w:rsidRPr="00AA6C13">
        <w:t>Hedström et al., 2022</w:t>
      </w:r>
      <w:r w:rsidR="00AD4966" w:rsidRPr="00AA6C13">
        <w:t>]</w:t>
      </w:r>
      <w:r w:rsidR="00B7513F" w:rsidRPr="00AA6C13">
        <w:t>,</w:t>
      </w:r>
      <w:r w:rsidRPr="00AA6C13">
        <w:t xml:space="preserve"> </w:t>
      </w:r>
      <w:r w:rsidR="00B7513F" w:rsidRPr="00AA6C13">
        <w:t>[</w:t>
      </w:r>
      <w:r w:rsidR="00DC7168" w:rsidRPr="00AA6C13">
        <w:t>b-</w:t>
      </w:r>
      <w:r w:rsidRPr="00AA6C13">
        <w:t>Saporta et al., 2022</w:t>
      </w:r>
      <w:r w:rsidR="00DC7168" w:rsidRPr="00AA6C13">
        <w:t>]</w:t>
      </w:r>
      <w:r w:rsidR="007B3B74" w:rsidRPr="00AA6C13">
        <w:t xml:space="preserve"> and</w:t>
      </w:r>
      <w:r w:rsidRPr="00AA6C13">
        <w:t xml:space="preserve"> </w:t>
      </w:r>
      <w:r w:rsidR="007B3B74" w:rsidRPr="00AA6C13">
        <w:t>[</w:t>
      </w:r>
      <w:r w:rsidR="005E31B7" w:rsidRPr="00AA6C13">
        <w:t>b-</w:t>
      </w:r>
      <w:r w:rsidRPr="00AA6C13">
        <w:t>Samek et al., 2016]</w:t>
      </w:r>
      <w:r w:rsidR="005D3B17" w:rsidRPr="00AA6C13">
        <w:t>)</w:t>
      </w:r>
      <w:r w:rsidRPr="00AA6C13">
        <w:t>. These automatic assessments of XAI methods can be enhanced with complementary user studies investigating user satisfaction with the given explanations.</w:t>
      </w:r>
    </w:p>
    <w:p w14:paraId="06D3D577" w14:textId="317B7C69" w:rsidR="000F37B9" w:rsidRPr="00AA6C13" w:rsidRDefault="00CE76F9" w:rsidP="000F37B9">
      <w:r w:rsidRPr="00AA6C13">
        <w:t>I</w:t>
      </w:r>
      <w:r w:rsidR="000F37B9" w:rsidRPr="00AA6C13">
        <w:t xml:space="preserve">n the long-term, a clear qualification process is needed for the recruitment of experts that construct the test data and metrics, accompanied by a thorough review process and appropriate checks and balances. Moreover, it must be defined who calls the experts for a given health subject area, considering that there are always conflicting </w:t>
      </w:r>
      <w:r w:rsidR="00D53643" w:rsidRPr="00AA6C13">
        <w:t>"</w:t>
      </w:r>
      <w:r w:rsidR="000F37B9" w:rsidRPr="00AA6C13">
        <w:t>schools of thought</w:t>
      </w:r>
      <w:r w:rsidR="00D53643" w:rsidRPr="00AA6C13">
        <w:t>"</w:t>
      </w:r>
      <w:r w:rsidR="000F37B9" w:rsidRPr="00AA6C13">
        <w:t>.</w:t>
      </w:r>
    </w:p>
    <w:p w14:paraId="07B0DC5F" w14:textId="3CCF649B" w:rsidR="000F37B9" w:rsidRPr="00AA6C13" w:rsidRDefault="0093536E" w:rsidP="00242F4D">
      <w:pPr>
        <w:pStyle w:val="Heading2"/>
      </w:pPr>
      <w:bookmarkStart w:id="131" w:name="__RefHeading___Toc5121_3617894909"/>
      <w:bookmarkStart w:id="132" w:name="_Toc38383253"/>
      <w:bookmarkStart w:id="133" w:name="_Toc38382598"/>
      <w:bookmarkStart w:id="134" w:name="_Toc38383252"/>
      <w:bookmarkStart w:id="135" w:name="_Toc38382597"/>
      <w:bookmarkStart w:id="136" w:name="_Toc134124092"/>
      <w:bookmarkStart w:id="137" w:name="_Ref142386497"/>
      <w:bookmarkStart w:id="138" w:name="_Toc142387529"/>
      <w:bookmarkStart w:id="139" w:name="_Toc155950650"/>
      <w:bookmarkStart w:id="140" w:name="_Toc155950816"/>
      <w:bookmarkEnd w:id="131"/>
      <w:bookmarkEnd w:id="132"/>
      <w:bookmarkEnd w:id="133"/>
      <w:bookmarkEnd w:id="134"/>
      <w:bookmarkEnd w:id="135"/>
      <w:r w:rsidRPr="00AA6C13">
        <w:t>8.1</w:t>
      </w:r>
      <w:r w:rsidRPr="00AA6C13">
        <w:tab/>
      </w:r>
      <w:r w:rsidR="000F37B9" w:rsidRPr="00AA6C13">
        <w:t>Benchmarking platform with validation in a closed environment</w:t>
      </w:r>
      <w:bookmarkEnd w:id="136"/>
      <w:bookmarkEnd w:id="137"/>
      <w:bookmarkEnd w:id="138"/>
      <w:bookmarkEnd w:id="139"/>
      <w:bookmarkEnd w:id="140"/>
    </w:p>
    <w:p w14:paraId="55CD19E3" w14:textId="33136C3B" w:rsidR="002E2071" w:rsidRPr="00AA6C13" w:rsidRDefault="000F37B9" w:rsidP="0093536E">
      <w:r w:rsidRPr="00AA6C13">
        <w:t>A benchmarking platform for health AI models should be able to produce meaningful test results</w:t>
      </w:r>
      <w:r w:rsidR="006952DC" w:rsidRPr="00AA6C13">
        <w:t>:</w:t>
      </w:r>
    </w:p>
    <w:p w14:paraId="169C8BC7" w14:textId="1672640E" w:rsidR="002E2071" w:rsidRPr="00AA6C13" w:rsidRDefault="0093536E" w:rsidP="0093536E">
      <w:pPr>
        <w:pStyle w:val="enumlev1"/>
      </w:pPr>
      <w:r w:rsidRPr="00AA6C13">
        <w:t>–</w:t>
      </w:r>
      <w:r w:rsidRPr="00AA6C13">
        <w:tab/>
      </w:r>
      <w:r w:rsidR="000F37B9" w:rsidRPr="00AA6C13">
        <w:t>by preventing overfitting of the models to the test data set, and</w:t>
      </w:r>
    </w:p>
    <w:p w14:paraId="4BDAF1BC" w14:textId="558DF685" w:rsidR="002E2071" w:rsidRPr="00AA6C13" w:rsidRDefault="0093536E" w:rsidP="0093536E">
      <w:pPr>
        <w:pStyle w:val="enumlev1"/>
      </w:pPr>
      <w:r w:rsidRPr="00AA6C13">
        <w:t>–</w:t>
      </w:r>
      <w:r w:rsidRPr="00AA6C13">
        <w:tab/>
      </w:r>
      <w:r w:rsidR="000F37B9" w:rsidRPr="00AA6C13">
        <w:t>by prohibiting attempts of fraud as good as possible.</w:t>
      </w:r>
    </w:p>
    <w:p w14:paraId="5AD64D2E" w14:textId="77777777" w:rsidR="002E2071" w:rsidRPr="00AA6C13" w:rsidRDefault="000F37B9" w:rsidP="000F37B9">
      <w:r w:rsidRPr="00AA6C13">
        <w:t>Hence, the test data set must be unpublished and be withheld from the AI developer, and the validation should happen in a completely closed environment without connection to the Internet.</w:t>
      </w:r>
    </w:p>
    <w:p w14:paraId="305BBBDD" w14:textId="3B9A8D90" w:rsidR="002E2071" w:rsidRPr="00AA6C13" w:rsidRDefault="000F37B9" w:rsidP="000F37B9">
      <w:pPr>
        <w:rPr>
          <w:lang w:bidi="ar-DZ"/>
        </w:rPr>
      </w:pPr>
      <w:r w:rsidRPr="00AA6C13">
        <w:rPr>
          <w:lang w:bidi="ar-DZ"/>
        </w:rPr>
        <w:t xml:space="preserve">A model that has been over-fitted to the test data, can achieve an excellent test result without </w:t>
      </w:r>
      <w:proofErr w:type="gramStart"/>
      <w:r w:rsidRPr="00AA6C13">
        <w:rPr>
          <w:lang w:bidi="ar-DZ"/>
        </w:rPr>
        <w:t>actually being</w:t>
      </w:r>
      <w:proofErr w:type="gramEnd"/>
      <w:r w:rsidRPr="00AA6C13">
        <w:rPr>
          <w:lang w:bidi="ar-DZ"/>
        </w:rPr>
        <w:t xml:space="preserve"> able to perform well in practice when fresh, unknown data points are coming in and need to be processed. For instance, the model could simply memorize the association between test data points and corresponding labels (if they </w:t>
      </w:r>
      <w:r w:rsidR="0021156F" w:rsidRPr="00AA6C13">
        <w:rPr>
          <w:lang w:bidi="ar-DZ"/>
        </w:rPr>
        <w:t>are</w:t>
      </w:r>
      <w:r w:rsidRPr="00AA6C13">
        <w:rPr>
          <w:lang w:bidi="ar-DZ"/>
        </w:rPr>
        <w:t xml:space="preserve"> known) and then correctly reproduce the labels during the test</w:t>
      </w:r>
      <w:r w:rsidR="001C61A5" w:rsidRPr="00AA6C13">
        <w:rPr>
          <w:lang w:bidi="ar-DZ"/>
        </w:rPr>
        <w:t xml:space="preserve"> </w:t>
      </w:r>
      <w:r w:rsidRPr="00AA6C13">
        <w:rPr>
          <w:lang w:bidi="ar-DZ"/>
        </w:rPr>
        <w:t>/</w:t>
      </w:r>
      <w:r w:rsidR="001C61A5" w:rsidRPr="00AA6C13">
        <w:rPr>
          <w:lang w:bidi="ar-DZ"/>
        </w:rPr>
        <w:t xml:space="preserve"> </w:t>
      </w:r>
      <w:r w:rsidRPr="00AA6C13">
        <w:rPr>
          <w:lang w:bidi="ar-DZ"/>
        </w:rPr>
        <w:t xml:space="preserve">benchmark but be helpless in the real world when the model </w:t>
      </w:r>
      <w:proofErr w:type="gramStart"/>
      <w:r w:rsidRPr="00AA6C13">
        <w:rPr>
          <w:lang w:bidi="ar-DZ"/>
        </w:rPr>
        <w:t>has to</w:t>
      </w:r>
      <w:proofErr w:type="gramEnd"/>
      <w:r w:rsidRPr="00AA6C13">
        <w:rPr>
          <w:lang w:bidi="ar-DZ"/>
        </w:rPr>
        <w:t xml:space="preserve"> infer the label from fresh data points without knowing the label in advance.</w:t>
      </w:r>
    </w:p>
    <w:p w14:paraId="3C984F6E" w14:textId="07821554" w:rsidR="000F37B9" w:rsidRPr="00AA6C13" w:rsidRDefault="000F37B9" w:rsidP="000F37B9">
      <w:r w:rsidRPr="00AA6C13">
        <w:t xml:space="preserve">The benchmarking platform with validation in a closed environment works – in brief </w:t>
      </w:r>
      <w:r w:rsidR="0093536E" w:rsidRPr="00AA6C13">
        <w:t>–</w:t>
      </w:r>
      <w:r w:rsidRPr="00AA6C13">
        <w:t xml:space="preserve"> as follows</w:t>
      </w:r>
      <w:r w:rsidR="00690640" w:rsidRPr="00AA6C13">
        <w:t>.</w:t>
      </w:r>
    </w:p>
    <w:p w14:paraId="68B04DC0" w14:textId="7E2994A1" w:rsidR="002E2071" w:rsidRPr="00AA6C13" w:rsidRDefault="000F37B9" w:rsidP="000F37B9">
      <w:r w:rsidRPr="00AA6C13">
        <w:t xml:space="preserve">The developer submits the to-be tested and already trained AI/ML model to the platform. In a closed environment, the model is provided with the test data points, processes these data, creates the corresponding output which is then compared by functionality of the platform with the </w:t>
      </w:r>
      <w:r w:rsidR="00D53643" w:rsidRPr="00AA6C13">
        <w:t>"</w:t>
      </w:r>
      <w:r w:rsidRPr="00AA6C13">
        <w:t>ground truth</w:t>
      </w:r>
      <w:r w:rsidR="00D53643" w:rsidRPr="00AA6C13">
        <w:t>"</w:t>
      </w:r>
      <w:r w:rsidRPr="00AA6C13">
        <w:t xml:space="preserve">, using standardized quality criteria and metrics (as defined by the </w:t>
      </w:r>
      <w:r w:rsidR="00B454DE" w:rsidRPr="00AA6C13">
        <w:rPr>
          <w:i/>
        </w:rPr>
        <w:t>t</w:t>
      </w:r>
      <w:r w:rsidRPr="00AA6C13">
        <w:rPr>
          <w:i/>
        </w:rPr>
        <w:t xml:space="preserve">opic </w:t>
      </w:r>
      <w:r w:rsidR="00B454DE" w:rsidRPr="00AA6C13">
        <w:rPr>
          <w:i/>
        </w:rPr>
        <w:t>g</w:t>
      </w:r>
      <w:r w:rsidRPr="00AA6C13">
        <w:rPr>
          <w:i/>
        </w:rPr>
        <w:t>roups</w:t>
      </w:r>
      <w:r w:rsidRPr="00AA6C13">
        <w:t xml:space="preserve"> in their </w:t>
      </w:r>
      <w:r w:rsidR="00B454DE" w:rsidRPr="00AA6C13">
        <w:rPr>
          <w:i/>
          <w:lang w:bidi="ar-DZ"/>
        </w:rPr>
        <w:t>t</w:t>
      </w:r>
      <w:r w:rsidRPr="00AA6C13">
        <w:rPr>
          <w:i/>
          <w:lang w:bidi="ar-DZ"/>
        </w:rPr>
        <w:t xml:space="preserve">opic </w:t>
      </w:r>
      <w:r w:rsidR="009C3EA3" w:rsidRPr="00AA6C13">
        <w:rPr>
          <w:i/>
          <w:lang w:bidi="ar-DZ"/>
        </w:rPr>
        <w:t>d</w:t>
      </w:r>
      <w:r w:rsidRPr="00AA6C13">
        <w:rPr>
          <w:i/>
          <w:lang w:bidi="ar-DZ"/>
        </w:rPr>
        <w:t xml:space="preserve">escription </w:t>
      </w:r>
      <w:r w:rsidR="00CE32EE" w:rsidRPr="00AA6C13">
        <w:rPr>
          <w:i/>
          <w:lang w:bidi="ar-DZ"/>
        </w:rPr>
        <w:t>d</w:t>
      </w:r>
      <w:r w:rsidRPr="00AA6C13">
        <w:rPr>
          <w:i/>
          <w:lang w:bidi="ar-DZ"/>
        </w:rPr>
        <w:t>ocuments</w:t>
      </w:r>
      <w:r w:rsidRPr="00AA6C13">
        <w:rPr>
          <w:lang w:bidi="ar-DZ"/>
        </w:rPr>
        <w:t xml:space="preserve"> </w:t>
      </w:r>
      <w:r w:rsidRPr="00AA6C13">
        <w:t>[DEL10] and applicable sub-documents). The validation results are returned to the AI/ML developer and the benchmark organizer.</w:t>
      </w:r>
    </w:p>
    <w:p w14:paraId="37B77118" w14:textId="465FE405" w:rsidR="002E2071" w:rsidRPr="00AA6C13" w:rsidRDefault="002E2071" w:rsidP="000F37B9">
      <w:r w:rsidRPr="00AA6C13">
        <w:lastRenderedPageBreak/>
        <w:t>Clause</w:t>
      </w:r>
      <w:r w:rsidR="000F37B9" w:rsidRPr="00AA6C13">
        <w:rPr>
          <w:bCs/>
        </w:rPr>
        <w:t xml:space="preserve"> 9 explains this concept in detail</w:t>
      </w:r>
      <w:r w:rsidR="000F37B9" w:rsidRPr="00AA6C13">
        <w:t>.</w:t>
      </w:r>
    </w:p>
    <w:p w14:paraId="6967B9DD" w14:textId="625A27D8" w:rsidR="000F37B9" w:rsidRPr="00AA6C13" w:rsidRDefault="000F37B9" w:rsidP="000F37B9">
      <w:r w:rsidRPr="00AA6C13">
        <w:t xml:space="preserve">A benchmarking platform of this type might be considered as a </w:t>
      </w:r>
      <w:r w:rsidR="00D53643" w:rsidRPr="00AA6C13">
        <w:t>"</w:t>
      </w:r>
      <w:r w:rsidRPr="00AA6C13">
        <w:t>data safe haven</w:t>
      </w:r>
      <w:r w:rsidR="00D53643" w:rsidRPr="00AA6C13">
        <w:t>"</w:t>
      </w:r>
      <w:r w:rsidRPr="00AA6C13">
        <w:t xml:space="preserve"> open to developers and expert evaluators, where (a) the model performance can be assessed based on pre-set, standardized criteria, and where (b) models/code and test data are only open to restricted pass holders.</w:t>
      </w:r>
    </w:p>
    <w:p w14:paraId="4B52403B" w14:textId="1C37CDD7" w:rsidR="000F37B9" w:rsidRPr="00AA6C13" w:rsidRDefault="000F37B9" w:rsidP="000F37B9">
      <w:r w:rsidRPr="00AA6C13">
        <w:t xml:space="preserve">The approach can be compared with popular </w:t>
      </w:r>
      <w:r w:rsidR="00D53643" w:rsidRPr="00AA6C13">
        <w:t>"</w:t>
      </w:r>
      <w:r w:rsidRPr="00AA6C13">
        <w:t>challenge</w:t>
      </w:r>
      <w:r w:rsidR="00D53643" w:rsidRPr="00AA6C13">
        <w:t>"</w:t>
      </w:r>
      <w:r w:rsidRPr="00AA6C13">
        <w:t xml:space="preserve"> platforms from the machine learning community to some extent (e.g. </w:t>
      </w:r>
      <w:hyperlink r:id="rId39">
        <w:r w:rsidRPr="00AA6C13">
          <w:rPr>
            <w:color w:val="0000FF"/>
            <w:u w:val="single"/>
          </w:rPr>
          <w:t>aicrowd.com</w:t>
        </w:r>
      </w:hyperlink>
      <w:r w:rsidRPr="00AA6C13">
        <w:t xml:space="preserve">, </w:t>
      </w:r>
      <w:hyperlink r:id="rId40">
        <w:r w:rsidRPr="00AA6C13">
          <w:rPr>
            <w:color w:val="0000FF"/>
            <w:u w:val="single"/>
          </w:rPr>
          <w:t>kaggle.com</w:t>
        </w:r>
      </w:hyperlink>
      <w:r w:rsidRPr="00AA6C13">
        <w:t xml:space="preserve">, </w:t>
      </w:r>
      <w:hyperlink r:id="rId41">
        <w:r w:rsidRPr="00AA6C13">
          <w:rPr>
            <w:color w:val="0000FF"/>
            <w:u w:val="single"/>
          </w:rPr>
          <w:t>https://eval.ai/</w:t>
        </w:r>
      </w:hyperlink>
      <w:r w:rsidRPr="00AA6C13">
        <w:t xml:space="preserve">, </w:t>
      </w:r>
      <w:hyperlink r:id="rId42">
        <w:r w:rsidRPr="00AA6C13">
          <w:rPr>
            <w:color w:val="0000FF"/>
            <w:u w:val="single"/>
          </w:rPr>
          <w:t>grand-challenge.org</w:t>
        </w:r>
      </w:hyperlink>
      <w:r w:rsidRPr="00AA6C13">
        <w:t xml:space="preserve">, </w:t>
      </w:r>
      <w:hyperlink r:id="rId43">
        <w:r w:rsidRPr="00AA6C13">
          <w:rPr>
            <w:color w:val="0000FF"/>
            <w:u w:val="single"/>
          </w:rPr>
          <w:t>ichallenge.baidu.com</w:t>
        </w:r>
      </w:hyperlink>
      <w:r w:rsidRPr="00AA6C13">
        <w:t xml:space="preserve">, </w:t>
      </w:r>
      <w:hyperlink r:id="rId44" w:history="1">
        <w:r w:rsidR="00A46A52" w:rsidRPr="00AA6C13">
          <w:rPr>
            <w:rStyle w:val="Hyperlink"/>
          </w:rPr>
          <w:t>https://www.compression.cc/</w:t>
        </w:r>
      </w:hyperlink>
      <w:r w:rsidRPr="00AA6C13">
        <w:t xml:space="preserve">, </w:t>
      </w:r>
      <w:hyperlink r:id="rId45">
        <w:r w:rsidRPr="00AA6C13">
          <w:rPr>
            <w:color w:val="0000FF"/>
            <w:u w:val="single"/>
          </w:rPr>
          <w:t>codalab.org</w:t>
        </w:r>
      </w:hyperlink>
      <w:r w:rsidRPr="00AA6C13">
        <w:t xml:space="preserve">, </w:t>
      </w:r>
      <w:hyperlink r:id="rId46" w:history="1">
        <w:r w:rsidR="00D31EA2" w:rsidRPr="00AA6C13">
          <w:rPr>
            <w:rStyle w:val="Hyperlink"/>
          </w:rPr>
          <w:t>https://ramp.studio/</w:t>
        </w:r>
      </w:hyperlink>
      <w:r w:rsidRPr="00AA6C13">
        <w:t xml:space="preserve">, </w:t>
      </w:r>
      <w:hyperlink r:id="rId47">
        <w:r w:rsidRPr="00AA6C13">
          <w:rPr>
            <w:color w:val="0000FF"/>
            <w:u w:val="single"/>
          </w:rPr>
          <w:t>carpl.ai/</w:t>
        </w:r>
      </w:hyperlink>
      <w:r w:rsidRPr="00AA6C13">
        <w:t xml:space="preserve">). Learnings from conducting the </w:t>
      </w:r>
      <w:proofErr w:type="gramStart"/>
      <w:r w:rsidRPr="00AA6C13">
        <w:t>aforementioned ML</w:t>
      </w:r>
      <w:proofErr w:type="gramEnd"/>
      <w:r w:rsidRPr="00AA6C13">
        <w:t xml:space="preserve"> challenges are of paramount importance for the conceived health AI benchmarking platform, </w:t>
      </w:r>
      <w:r w:rsidR="006C230C" w:rsidRPr="00AA6C13">
        <w:t>in order</w:t>
      </w:r>
      <w:r w:rsidRPr="00AA6C13">
        <w:t xml:space="preserve"> to guarantee meaningful test results and fair procedures. Therefore, we should be aware of leader board probing, about how </w:t>
      </w:r>
      <w:r w:rsidR="00D53643" w:rsidRPr="00AA6C13">
        <w:t>"</w:t>
      </w:r>
      <w:r w:rsidRPr="00AA6C13">
        <w:t>weaknesses in biomedical challenge design and organization</w:t>
      </w:r>
      <w:r w:rsidR="00D53643" w:rsidRPr="00AA6C13">
        <w:t>"</w:t>
      </w:r>
      <w:r w:rsidRPr="00AA6C13">
        <w:t xml:space="preserve"> can be exploited [</w:t>
      </w:r>
      <w:r w:rsidR="000262F9" w:rsidRPr="00AA6C13">
        <w:t>b-</w:t>
      </w:r>
      <w:r w:rsidRPr="00AA6C13">
        <w:t xml:space="preserve">Reinke et al., 2018], and </w:t>
      </w:r>
      <w:r w:rsidR="00D53643" w:rsidRPr="00AA6C13">
        <w:t>"</w:t>
      </w:r>
      <w:r w:rsidRPr="00AA6C13">
        <w:t>why rankings of biomedical image analysis competitions should be interpreted with care</w:t>
      </w:r>
      <w:r w:rsidR="00D53643" w:rsidRPr="00AA6C13">
        <w:t>"</w:t>
      </w:r>
      <w:r w:rsidRPr="00AA6C13">
        <w:t xml:space="preserve"> [</w:t>
      </w:r>
      <w:r w:rsidR="008E7831" w:rsidRPr="00AA6C13">
        <w:t>b-</w:t>
      </w:r>
      <w:r w:rsidRPr="00AA6C13">
        <w:t>Maier-Hein et al., 2018].</w:t>
      </w:r>
    </w:p>
    <w:p w14:paraId="2D76F552" w14:textId="2478DC62" w:rsidR="000F37B9" w:rsidRPr="00AA6C13" w:rsidRDefault="000F37B9" w:rsidP="000F37B9">
      <w:r w:rsidRPr="00AA6C13">
        <w:t xml:space="preserve">Two modifications of this centralized approach are presented in </w:t>
      </w:r>
      <w:r w:rsidR="002E2071" w:rsidRPr="00AA6C13">
        <w:t>clause</w:t>
      </w:r>
      <w:r w:rsidRPr="00AA6C13">
        <w:t xml:space="preserve">s </w:t>
      </w:r>
      <w:r w:rsidR="0057123C" w:rsidRPr="00AA6C13">
        <w:rPr>
          <w:cs/>
        </w:rPr>
        <w:t>‎</w:t>
      </w:r>
      <w:r w:rsidR="0057123C" w:rsidRPr="00AA6C13">
        <w:t>8.2</w:t>
      </w:r>
      <w:r w:rsidR="00CF1CA4" w:rsidRPr="00AA6C13">
        <w:t xml:space="preserve"> and </w:t>
      </w:r>
      <w:r w:rsidR="0057123C" w:rsidRPr="00AA6C13">
        <w:rPr>
          <w:cs/>
        </w:rPr>
        <w:t>‎</w:t>
      </w:r>
      <w:r w:rsidR="0057123C" w:rsidRPr="00AA6C13">
        <w:t>8.3</w:t>
      </w:r>
      <w:r w:rsidRPr="00AA6C13">
        <w:t>.</w:t>
      </w:r>
    </w:p>
    <w:p w14:paraId="47AE151E" w14:textId="2FD44D1D" w:rsidR="000F37B9" w:rsidRPr="00AA6C13" w:rsidRDefault="0093536E" w:rsidP="00242F4D">
      <w:pPr>
        <w:pStyle w:val="Heading2"/>
      </w:pPr>
      <w:bookmarkStart w:id="141" w:name="__RefHeading___Toc5123_3617894909"/>
      <w:bookmarkStart w:id="142" w:name="_Toc38016116"/>
      <w:bookmarkStart w:id="143" w:name="_Toc38016117"/>
      <w:bookmarkStart w:id="144" w:name="_Toc38016118"/>
      <w:bookmarkStart w:id="145" w:name="_Toc134124093"/>
      <w:bookmarkStart w:id="146" w:name="_Ref142386447"/>
      <w:bookmarkStart w:id="147" w:name="_Ref142386515"/>
      <w:bookmarkStart w:id="148" w:name="_Toc142387530"/>
      <w:bookmarkStart w:id="149" w:name="_Toc155950651"/>
      <w:bookmarkStart w:id="150" w:name="_Toc155950817"/>
      <w:bookmarkEnd w:id="141"/>
      <w:bookmarkEnd w:id="142"/>
      <w:bookmarkEnd w:id="143"/>
      <w:bookmarkEnd w:id="144"/>
      <w:r w:rsidRPr="00AA6C13">
        <w:t>8.2</w:t>
      </w:r>
      <w:r w:rsidRPr="00AA6C13">
        <w:tab/>
      </w:r>
      <w:r w:rsidR="000F37B9" w:rsidRPr="00AA6C13">
        <w:t>Benchmarking platform with validation via interface</w:t>
      </w:r>
      <w:bookmarkEnd w:id="145"/>
      <w:bookmarkEnd w:id="146"/>
      <w:bookmarkEnd w:id="147"/>
      <w:bookmarkEnd w:id="148"/>
      <w:bookmarkEnd w:id="149"/>
      <w:bookmarkEnd w:id="150"/>
    </w:p>
    <w:p w14:paraId="22FBF717" w14:textId="77777777" w:rsidR="002E2071" w:rsidRPr="00AA6C13" w:rsidRDefault="000F37B9" w:rsidP="000F37B9">
      <w:pPr>
        <w:rPr>
          <w:lang w:bidi="ar-DZ"/>
        </w:rPr>
      </w:pPr>
      <w:r w:rsidRPr="00AA6C13">
        <w:rPr>
          <w:lang w:bidi="ar-DZ"/>
        </w:rPr>
        <w:t xml:space="preserve">The concept for a benchmarking platform with validation </w:t>
      </w:r>
      <w:r w:rsidRPr="00AA6C13">
        <w:rPr>
          <w:i/>
          <w:lang w:bidi="ar-DZ"/>
        </w:rPr>
        <w:t>via interface</w:t>
      </w:r>
      <w:r w:rsidRPr="00AA6C13">
        <w:rPr>
          <w:lang w:bidi="ar-DZ"/>
        </w:rPr>
        <w:t xml:space="preserve"> is an alternative to the concept described above where the assessment happens in a </w:t>
      </w:r>
      <w:r w:rsidRPr="00AA6C13">
        <w:rPr>
          <w:i/>
          <w:lang w:bidi="ar-DZ"/>
        </w:rPr>
        <w:t>closed environment</w:t>
      </w:r>
      <w:r w:rsidRPr="00AA6C13">
        <w:rPr>
          <w:lang w:bidi="ar-DZ"/>
        </w:rPr>
        <w:t>.</w:t>
      </w:r>
    </w:p>
    <w:p w14:paraId="7CC98CEA" w14:textId="23E07392" w:rsidR="000F37B9" w:rsidRPr="00AA6C13" w:rsidRDefault="000F37B9" w:rsidP="000F37B9">
      <w:pPr>
        <w:rPr>
          <w:lang w:bidi="ar-DZ"/>
        </w:rPr>
      </w:pPr>
      <w:r w:rsidRPr="00AA6C13">
        <w:rPr>
          <w:lang w:bidi="ar-DZ"/>
        </w:rPr>
        <w:t xml:space="preserve">The to-be-tested (and already trained) AI model is in this case not uploaded to the benchmarking platform but remains on the computer of the AI developer. The model connects to the benchmarking platform via an interface, i.e., over the </w:t>
      </w:r>
      <w:r w:rsidR="00583995" w:rsidRPr="00AA6C13">
        <w:rPr>
          <w:lang w:bidi="ar-DZ"/>
        </w:rPr>
        <w:t>I</w:t>
      </w:r>
      <w:r w:rsidRPr="00AA6C13">
        <w:rPr>
          <w:lang w:bidi="ar-DZ"/>
        </w:rPr>
        <w:t>nternet. The platform sends test data points to the AI model, which processes the data, computes the corresponding output (labels)</w:t>
      </w:r>
      <w:r w:rsidR="003A4F81" w:rsidRPr="00AA6C13">
        <w:rPr>
          <w:lang w:bidi="ar-DZ"/>
        </w:rPr>
        <w:t>,</w:t>
      </w:r>
      <w:r w:rsidRPr="00AA6C13">
        <w:rPr>
          <w:lang w:bidi="ar-DZ"/>
        </w:rPr>
        <w:t xml:space="preserve"> and returns this output to the benchmarking platform. The platform again compares the received output with the ground truth and computes the benchmarking result.</w:t>
      </w:r>
    </w:p>
    <w:p w14:paraId="5B2FE0EC" w14:textId="5CC2589E" w:rsidR="000F37B9" w:rsidRPr="00AA6C13" w:rsidRDefault="000F37B9" w:rsidP="000F37B9">
      <w:pPr>
        <w:rPr>
          <w:lang w:bidi="ar-DZ"/>
        </w:rPr>
      </w:pPr>
      <w:r w:rsidRPr="00AA6C13">
        <w:rPr>
          <w:lang w:bidi="ar-DZ"/>
        </w:rPr>
        <w:t xml:space="preserve">The </w:t>
      </w:r>
      <w:r w:rsidR="0096017D" w:rsidRPr="00AA6C13">
        <w:rPr>
          <w:i/>
          <w:iCs/>
          <w:lang w:bidi="ar-DZ"/>
        </w:rPr>
        <w:t>t</w:t>
      </w:r>
      <w:r w:rsidRPr="00AA6C13">
        <w:rPr>
          <w:i/>
          <w:iCs/>
          <w:lang w:bidi="ar-DZ"/>
        </w:rPr>
        <w:t xml:space="preserve">opic </w:t>
      </w:r>
      <w:r w:rsidR="0096017D" w:rsidRPr="00AA6C13">
        <w:rPr>
          <w:i/>
          <w:iCs/>
          <w:lang w:bidi="ar-DZ"/>
        </w:rPr>
        <w:t>g</w:t>
      </w:r>
      <w:r w:rsidRPr="00AA6C13">
        <w:rPr>
          <w:i/>
          <w:iCs/>
          <w:lang w:bidi="ar-DZ"/>
        </w:rPr>
        <w:t xml:space="preserve">roup on </w:t>
      </w:r>
      <w:r w:rsidR="0096017D" w:rsidRPr="00AA6C13">
        <w:rPr>
          <w:i/>
          <w:iCs/>
          <w:lang w:bidi="ar-DZ"/>
        </w:rPr>
        <w:t>s</w:t>
      </w:r>
      <w:r w:rsidRPr="00AA6C13">
        <w:rPr>
          <w:i/>
          <w:iCs/>
          <w:lang w:bidi="ar-DZ"/>
        </w:rPr>
        <w:t xml:space="preserve">ymptom </w:t>
      </w:r>
      <w:r w:rsidR="0096017D" w:rsidRPr="00AA6C13">
        <w:rPr>
          <w:i/>
          <w:iCs/>
          <w:lang w:bidi="ar-DZ"/>
        </w:rPr>
        <w:t>a</w:t>
      </w:r>
      <w:r w:rsidRPr="00AA6C13">
        <w:rPr>
          <w:i/>
          <w:iCs/>
          <w:lang w:bidi="ar-DZ"/>
        </w:rPr>
        <w:t>ssessment</w:t>
      </w:r>
      <w:r w:rsidRPr="00AA6C13">
        <w:rPr>
          <w:lang w:bidi="ar-DZ"/>
        </w:rPr>
        <w:t xml:space="preserve"> follows this concept and describes it in more detail in their </w:t>
      </w:r>
      <w:r w:rsidR="00393142" w:rsidRPr="00AA6C13">
        <w:rPr>
          <w:lang w:bidi="ar-DZ"/>
        </w:rPr>
        <w:t>t</w:t>
      </w:r>
      <w:r w:rsidRPr="00AA6C13">
        <w:rPr>
          <w:lang w:bidi="ar-DZ"/>
        </w:rPr>
        <w:t xml:space="preserve">opic </w:t>
      </w:r>
      <w:r w:rsidR="00393142" w:rsidRPr="00AA6C13">
        <w:rPr>
          <w:lang w:bidi="ar-DZ"/>
        </w:rPr>
        <w:t>d</w:t>
      </w:r>
      <w:r w:rsidRPr="00AA6C13">
        <w:rPr>
          <w:lang w:bidi="ar-DZ"/>
        </w:rPr>
        <w:t xml:space="preserve">escription </w:t>
      </w:r>
      <w:r w:rsidR="00393142" w:rsidRPr="00AA6C13">
        <w:rPr>
          <w:lang w:bidi="ar-DZ"/>
        </w:rPr>
        <w:t>d</w:t>
      </w:r>
      <w:r w:rsidRPr="00AA6C13">
        <w:rPr>
          <w:lang w:bidi="ar-DZ"/>
        </w:rPr>
        <w:t>ocument [</w:t>
      </w:r>
      <w:r w:rsidRPr="00AA6C13">
        <w:rPr>
          <w:bCs/>
          <w:lang w:bidi="ar-DZ"/>
        </w:rPr>
        <w:t>DEL10.14]</w:t>
      </w:r>
      <w:r w:rsidRPr="00AA6C13">
        <w:rPr>
          <w:lang w:bidi="ar-DZ"/>
        </w:rPr>
        <w:t>.</w:t>
      </w:r>
    </w:p>
    <w:p w14:paraId="56D49793" w14:textId="77777777" w:rsidR="000F37B9" w:rsidRPr="00AA6C13" w:rsidRDefault="000F37B9" w:rsidP="000F37B9">
      <w:pPr>
        <w:rPr>
          <w:lang w:bidi="ar-DZ"/>
        </w:rPr>
      </w:pPr>
      <w:r w:rsidRPr="00AA6C13">
        <w:rPr>
          <w:lang w:bidi="ar-DZ"/>
        </w:rPr>
        <w:t>Advantage of this concept is that it meets concerns of developers who are hesitant to provide their AI models with business relevant trade secrets to the closed environment of the trusted third party described above.</w:t>
      </w:r>
    </w:p>
    <w:p w14:paraId="4E670BE8" w14:textId="5C5B68AA" w:rsidR="002E2071" w:rsidRPr="00AA6C13" w:rsidRDefault="000F37B9" w:rsidP="000F37B9">
      <w:pPr>
        <w:rPr>
          <w:lang w:bidi="ar-DZ"/>
        </w:rPr>
      </w:pPr>
      <w:r w:rsidRPr="00AA6C13">
        <w:rPr>
          <w:lang w:bidi="ar-DZ"/>
        </w:rPr>
        <w:t xml:space="preserve">However, this concept requires that new test data are created every time a benchmark is conducted, </w:t>
      </w:r>
      <w:proofErr w:type="gramStart"/>
      <w:r w:rsidRPr="00AA6C13">
        <w:rPr>
          <w:lang w:bidi="ar-DZ"/>
        </w:rPr>
        <w:t>in order to</w:t>
      </w:r>
      <w:proofErr w:type="gramEnd"/>
      <w:r w:rsidRPr="00AA6C13">
        <w:rPr>
          <w:lang w:bidi="ar-DZ"/>
        </w:rPr>
        <w:t xml:space="preserve"> obtain meaningful results in a fair validation procedure, where cheating is prohibited. Otherwise, the test data could be stored and included in the model which would greatly improve the chances for better results at the next benchmarking run. This inclusion in the model could happen, for instance, by letting humans label the data by hand and then re-training (i.e.</w:t>
      </w:r>
      <w:r w:rsidR="008C2713" w:rsidRPr="00AA6C13">
        <w:rPr>
          <w:lang w:bidi="ar-DZ"/>
        </w:rPr>
        <w:t>,</w:t>
      </w:r>
      <w:r w:rsidRPr="00AA6C13">
        <w:rPr>
          <w:lang w:bidi="ar-DZ"/>
        </w:rPr>
        <w:t xml:space="preserve"> overfitting) the model on these </w:t>
      </w:r>
      <w:r w:rsidR="00D53643" w:rsidRPr="00AA6C13">
        <w:rPr>
          <w:lang w:bidi="ar-DZ"/>
        </w:rPr>
        <w:t>"</w:t>
      </w:r>
      <w:r w:rsidRPr="00AA6C13">
        <w:rPr>
          <w:lang w:bidi="ar-DZ"/>
        </w:rPr>
        <w:t>test</w:t>
      </w:r>
      <w:r w:rsidR="00D53643" w:rsidRPr="00AA6C13">
        <w:rPr>
          <w:lang w:bidi="ar-DZ"/>
        </w:rPr>
        <w:t>"</w:t>
      </w:r>
      <w:r w:rsidRPr="00AA6C13">
        <w:rPr>
          <w:lang w:bidi="ar-DZ"/>
        </w:rPr>
        <w:t xml:space="preserve"> data. Unsupervised approaches (without label information) are conceivable too since information about the distribution of the test data is already valuable.</w:t>
      </w:r>
    </w:p>
    <w:p w14:paraId="6C54164A" w14:textId="4C836AEF" w:rsidR="000F37B9" w:rsidRPr="00AA6C13" w:rsidRDefault="000F37B9" w:rsidP="000F37B9">
      <w:pPr>
        <w:rPr>
          <w:lang w:bidi="ar-DZ"/>
        </w:rPr>
      </w:pPr>
      <w:r w:rsidRPr="00AA6C13">
        <w:rPr>
          <w:lang w:bidi="ar-DZ"/>
        </w:rPr>
        <w:t xml:space="preserve">Obviously, creating new test data requires much effort, which is a disadvantage in comparison to the concept of the closed environment described earlier. (A possible solution: Generative adversarial networks or other synthesiser algorithms might be able to create new </w:t>
      </w:r>
      <w:r w:rsidR="005C0191" w:rsidRPr="00AA6C13">
        <w:rPr>
          <w:lang w:bidi="ar-DZ"/>
        </w:rPr>
        <w:t>–</w:t>
      </w:r>
      <w:r w:rsidRPr="00AA6C13">
        <w:rPr>
          <w:lang w:bidi="ar-DZ"/>
        </w:rPr>
        <w:t xml:space="preserve"> but hopefully still realistic </w:t>
      </w:r>
      <w:r w:rsidR="005C0191" w:rsidRPr="00AA6C13">
        <w:rPr>
          <w:lang w:bidi="ar-DZ"/>
        </w:rPr>
        <w:t>–</w:t>
      </w:r>
      <w:r w:rsidRPr="00AA6C13">
        <w:rPr>
          <w:lang w:bidi="ar-DZ"/>
        </w:rPr>
        <w:t xml:space="preserve"> data points in some cases.)</w:t>
      </w:r>
    </w:p>
    <w:p w14:paraId="3BB7ACF8" w14:textId="39CB311A" w:rsidR="002E2071" w:rsidRPr="00AA6C13" w:rsidRDefault="000F37B9" w:rsidP="000F37B9">
      <w:pPr>
        <w:rPr>
          <w:lang w:bidi="ar-DZ"/>
        </w:rPr>
      </w:pPr>
      <w:r w:rsidRPr="00AA6C13">
        <w:rPr>
          <w:lang w:bidi="ar-DZ"/>
        </w:rPr>
        <w:t xml:space="preserve">Moreover, all (potentially competing) AI models must be benchmarked at the very same moment, in the case of validation via interface. Otherwise, test data received by </w:t>
      </w:r>
      <w:r w:rsidR="00D53643" w:rsidRPr="00AA6C13">
        <w:rPr>
          <w:lang w:bidi="ar-DZ"/>
        </w:rPr>
        <w:t>"</w:t>
      </w:r>
      <w:r w:rsidRPr="00AA6C13">
        <w:rPr>
          <w:lang w:bidi="ar-DZ"/>
        </w:rPr>
        <w:t>model A</w:t>
      </w:r>
      <w:r w:rsidR="00D53643" w:rsidRPr="00AA6C13">
        <w:rPr>
          <w:lang w:bidi="ar-DZ"/>
        </w:rPr>
        <w:t>"</w:t>
      </w:r>
      <w:r w:rsidRPr="00AA6C13">
        <w:rPr>
          <w:lang w:bidi="ar-DZ"/>
        </w:rPr>
        <w:t xml:space="preserve"> could be stored and included in a separate </w:t>
      </w:r>
      <w:r w:rsidR="00D53643" w:rsidRPr="00AA6C13">
        <w:rPr>
          <w:lang w:bidi="ar-DZ"/>
        </w:rPr>
        <w:t>"</w:t>
      </w:r>
      <w:r w:rsidRPr="00AA6C13">
        <w:rPr>
          <w:lang w:bidi="ar-DZ"/>
        </w:rPr>
        <w:t>model B</w:t>
      </w:r>
      <w:r w:rsidR="00D53643" w:rsidRPr="00AA6C13">
        <w:rPr>
          <w:lang w:bidi="ar-DZ"/>
        </w:rPr>
        <w:t>"</w:t>
      </w:r>
      <w:r w:rsidRPr="00AA6C13">
        <w:rPr>
          <w:lang w:bidi="ar-DZ"/>
        </w:rPr>
        <w:t xml:space="preserve"> by the same developer, which could take part in the benchmark </w:t>
      </w:r>
      <w:proofErr w:type="gramStart"/>
      <w:r w:rsidRPr="00AA6C13">
        <w:rPr>
          <w:lang w:bidi="ar-DZ"/>
        </w:rPr>
        <w:t>at a later time</w:t>
      </w:r>
      <w:proofErr w:type="gramEnd"/>
      <w:r w:rsidRPr="00AA6C13">
        <w:rPr>
          <w:lang w:bidi="ar-DZ"/>
        </w:rPr>
        <w:t xml:space="preserve"> point. Model B would have greater chances for better but meaningless test results.</w:t>
      </w:r>
    </w:p>
    <w:p w14:paraId="10C032B6" w14:textId="43278923" w:rsidR="000F37B9" w:rsidRPr="00AA6C13" w:rsidRDefault="000F37B9" w:rsidP="000F37B9">
      <w:pPr>
        <w:rPr>
          <w:lang w:bidi="ar-DZ"/>
        </w:rPr>
      </w:pPr>
      <w:r w:rsidRPr="00AA6C13">
        <w:rPr>
          <w:lang w:bidi="ar-DZ"/>
        </w:rPr>
        <w:t xml:space="preserve">(If the benchmarking procedure is sequential and data point after data point is sent to the model in random order, it must be guaranteed that each competitor takes part in the benchmark with only one model at the same time for the same reason. Otherwise, information obtained from one model could be </w:t>
      </w:r>
      <w:r w:rsidR="00D53643" w:rsidRPr="00AA6C13">
        <w:rPr>
          <w:lang w:bidi="ar-DZ"/>
        </w:rPr>
        <w:t>"</w:t>
      </w:r>
      <w:r w:rsidRPr="00AA6C13">
        <w:rPr>
          <w:lang w:bidi="ar-DZ"/>
        </w:rPr>
        <w:t>cross-fed</w:t>
      </w:r>
      <w:r w:rsidR="00D53643" w:rsidRPr="00AA6C13">
        <w:rPr>
          <w:lang w:bidi="ar-DZ"/>
        </w:rPr>
        <w:t>"</w:t>
      </w:r>
      <w:r w:rsidRPr="00AA6C13">
        <w:rPr>
          <w:lang w:bidi="ar-DZ"/>
        </w:rPr>
        <w:t xml:space="preserve"> from model A to a different model B, </w:t>
      </w:r>
      <w:proofErr w:type="gramStart"/>
      <w:r w:rsidRPr="00AA6C13">
        <w:rPr>
          <w:lang w:bidi="ar-DZ"/>
        </w:rPr>
        <w:t>similar to</w:t>
      </w:r>
      <w:proofErr w:type="gramEnd"/>
      <w:r w:rsidRPr="00AA6C13">
        <w:rPr>
          <w:lang w:bidi="ar-DZ"/>
        </w:rPr>
        <w:t xml:space="preserve"> the description above.)</w:t>
      </w:r>
    </w:p>
    <w:p w14:paraId="38663C2C" w14:textId="049339AA" w:rsidR="000F37B9" w:rsidRPr="00AA6C13" w:rsidRDefault="005C0191" w:rsidP="00242F4D">
      <w:pPr>
        <w:pStyle w:val="Heading2"/>
      </w:pPr>
      <w:bookmarkStart w:id="151" w:name="__RefHeading___Toc5125_3617894909"/>
      <w:bookmarkStart w:id="152" w:name="_Toc134124094"/>
      <w:bookmarkStart w:id="153" w:name="_Ref142386449"/>
      <w:bookmarkStart w:id="154" w:name="_Toc142387531"/>
      <w:bookmarkStart w:id="155" w:name="_Toc155950652"/>
      <w:bookmarkStart w:id="156" w:name="_Toc155950818"/>
      <w:bookmarkEnd w:id="151"/>
      <w:r w:rsidRPr="00AA6C13">
        <w:lastRenderedPageBreak/>
        <w:t>8.3</w:t>
      </w:r>
      <w:r w:rsidRPr="00AA6C13">
        <w:tab/>
      </w:r>
      <w:r w:rsidR="000F37B9" w:rsidRPr="00AA6C13">
        <w:t>Federated benchmarking platform</w:t>
      </w:r>
      <w:bookmarkStart w:id="157" w:name="_Hlk38034948"/>
      <w:bookmarkEnd w:id="152"/>
      <w:bookmarkEnd w:id="153"/>
      <w:bookmarkEnd w:id="154"/>
      <w:bookmarkEnd w:id="155"/>
      <w:bookmarkEnd w:id="156"/>
      <w:bookmarkEnd w:id="157"/>
    </w:p>
    <w:p w14:paraId="055CB402" w14:textId="3BFB672A" w:rsidR="002E2071" w:rsidRPr="00AA6C13" w:rsidRDefault="000F37B9" w:rsidP="000F37B9">
      <w:r w:rsidRPr="00AA6C13">
        <w:t xml:space="preserve">Benchmarking in a </w:t>
      </w:r>
      <w:r w:rsidRPr="00AA6C13">
        <w:rPr>
          <w:i/>
          <w:iCs/>
        </w:rPr>
        <w:t>closed environment</w:t>
      </w:r>
      <w:r w:rsidRPr="00AA6C13">
        <w:t xml:space="preserve"> can potentially also be conducted in a federated fashion (unlike the centralized concept described in </w:t>
      </w:r>
      <w:r w:rsidR="00CF1CA4" w:rsidRPr="00AA6C13">
        <w:t>clause</w:t>
      </w:r>
      <w:r w:rsidRPr="00AA6C13">
        <w:t xml:space="preserve"> </w:t>
      </w:r>
      <w:r w:rsidR="0057123C" w:rsidRPr="00AA6C13">
        <w:rPr>
          <w:cs/>
        </w:rPr>
        <w:t>‎</w:t>
      </w:r>
      <w:r w:rsidR="0057123C" w:rsidRPr="00AA6C13">
        <w:t>8.1</w:t>
      </w:r>
      <w:r w:rsidRPr="00AA6C13">
        <w:t xml:space="preserve"> and without transferring samples </w:t>
      </w:r>
      <w:r w:rsidR="00FE62DD" w:rsidRPr="00AA6C13">
        <w:t>such as</w:t>
      </w:r>
      <w:r w:rsidRPr="00AA6C13">
        <w:t xml:space="preserve"> in </w:t>
      </w:r>
      <w:r w:rsidR="00335570" w:rsidRPr="00AA6C13">
        <w:t>clause</w:t>
      </w:r>
      <w:r w:rsidRPr="00AA6C13">
        <w:t xml:space="preserve"> </w:t>
      </w:r>
      <w:r w:rsidR="0057123C" w:rsidRPr="00AA6C13">
        <w:rPr>
          <w:cs/>
        </w:rPr>
        <w:t>‎</w:t>
      </w:r>
      <w:r w:rsidR="0057123C" w:rsidRPr="00AA6C13">
        <w:t>8.2</w:t>
      </w:r>
      <w:r w:rsidRPr="00AA6C13">
        <w:t>).</w:t>
      </w:r>
    </w:p>
    <w:p w14:paraId="1B49AD01" w14:textId="77777777" w:rsidR="002E2071" w:rsidRPr="00AA6C13" w:rsidRDefault="000F37B9" w:rsidP="000F37B9">
      <w:r w:rsidRPr="00AA6C13">
        <w:t>In the federated approach to benchmarking, the test data sets remain where they had been acquired, for instance, in different hospitals. The to-be-tested (and already trained) AI/ML model is sent to the locations where the data are stored (to the hospitals in this example). Here, the model is benchmarked against the local test data with standardized test procedures and metrics. The results are returned to the party that is organizing the benchmark.</w:t>
      </w:r>
    </w:p>
    <w:p w14:paraId="6C097013" w14:textId="08ED8666" w:rsidR="000F37B9" w:rsidRPr="00AA6C13" w:rsidRDefault="000F37B9" w:rsidP="000F37B9">
      <w:r w:rsidRPr="00AA6C13">
        <w:t xml:space="preserve">While retaining the advantages of closed environment benchmarking, the federated benchmarking platform approach improves on the validation </w:t>
      </w:r>
      <w:r w:rsidRPr="00AA6C13">
        <w:rPr>
          <w:i/>
        </w:rPr>
        <w:t>via interface</w:t>
      </w:r>
      <w:r w:rsidRPr="00AA6C13">
        <w:t xml:space="preserve"> by:</w:t>
      </w:r>
    </w:p>
    <w:p w14:paraId="411D76D3" w14:textId="65064283" w:rsidR="000F37B9" w:rsidRPr="00AA6C13" w:rsidRDefault="00C8176D" w:rsidP="00C8176D">
      <w:pPr>
        <w:pStyle w:val="enumlev1"/>
        <w:rPr>
          <w:rFonts w:eastAsia="Times New Roman"/>
          <w:i/>
          <w:iCs/>
        </w:rPr>
      </w:pPr>
      <w:r w:rsidRPr="00AA6C13">
        <w:rPr>
          <w:lang w:bidi="ar-DZ"/>
        </w:rPr>
        <w:t>–</w:t>
      </w:r>
      <w:r w:rsidRPr="00AA6C13">
        <w:rPr>
          <w:lang w:bidi="ar-DZ"/>
        </w:rPr>
        <w:tab/>
      </w:r>
      <w:r w:rsidR="000F37B9" w:rsidRPr="00AA6C13">
        <w:t>Lowering security risks related to data transfer, in that sensitive data remains where the acquisition took place</w:t>
      </w:r>
    </w:p>
    <w:p w14:paraId="2264421D" w14:textId="58AD3FFB" w:rsidR="000F37B9" w:rsidRPr="00AA6C13" w:rsidRDefault="00C8176D" w:rsidP="00C8176D">
      <w:pPr>
        <w:pStyle w:val="enumlev1"/>
        <w:rPr>
          <w:rFonts w:eastAsia="Times New Roman"/>
          <w:i/>
          <w:iCs/>
        </w:rPr>
      </w:pPr>
      <w:r w:rsidRPr="00AA6C13">
        <w:rPr>
          <w:lang w:bidi="ar-DZ"/>
        </w:rPr>
        <w:t>–</w:t>
      </w:r>
      <w:r w:rsidRPr="00AA6C13">
        <w:rPr>
          <w:lang w:bidi="ar-DZ"/>
        </w:rPr>
        <w:tab/>
      </w:r>
      <w:r w:rsidR="000F37B9" w:rsidRPr="00AA6C13">
        <w:t>Lowering overhead related to curation for transfer, in that the test data is not transferred</w:t>
      </w:r>
    </w:p>
    <w:p w14:paraId="7B49149E" w14:textId="635C6042" w:rsidR="000F37B9" w:rsidRPr="00AA6C13" w:rsidRDefault="00C8176D" w:rsidP="00C8176D">
      <w:pPr>
        <w:pStyle w:val="enumlev1"/>
        <w:rPr>
          <w:rFonts w:eastAsia="Times New Roman"/>
          <w:i/>
          <w:iCs/>
        </w:rPr>
      </w:pPr>
      <w:r w:rsidRPr="00AA6C13">
        <w:rPr>
          <w:lang w:bidi="ar-DZ"/>
        </w:rPr>
        <w:t>–</w:t>
      </w:r>
      <w:r w:rsidRPr="00AA6C13">
        <w:rPr>
          <w:lang w:bidi="ar-DZ"/>
        </w:rPr>
        <w:tab/>
      </w:r>
      <w:r w:rsidR="000F37B9" w:rsidRPr="00AA6C13">
        <w:t>Lowering communication load, in that less data is transferred overall</w:t>
      </w:r>
      <w:r w:rsidR="00672901" w:rsidRPr="00AA6C13">
        <w:t>.</w:t>
      </w:r>
    </w:p>
    <w:p w14:paraId="3DA8F98B" w14:textId="77777777" w:rsidR="000F37B9" w:rsidRPr="00AA6C13" w:rsidRDefault="000F37B9" w:rsidP="000F37B9">
      <w:r w:rsidRPr="00AA6C13">
        <w:t>Nevertheless, appropriate security measures must be put in place to assure that the test data cannot be leaked.</w:t>
      </w:r>
    </w:p>
    <w:p w14:paraId="167A24FD" w14:textId="425D37C8" w:rsidR="000F37B9" w:rsidRPr="00AA6C13" w:rsidRDefault="000F37B9" w:rsidP="000F37B9">
      <w:r w:rsidRPr="00AA6C13">
        <w:t>The to-be tested AI/ML model must also be protected from undesired access aimed for example at getting hold of the source code itself (intellectual property) or of the training data via the model (e.g., through model inversion or adversarial attacks). Access to the models would also make it possible for data-providers to unnoticeably manipulate the test data (to make it harder for competitors to achieve good results</w:t>
      </w:r>
      <w:r w:rsidR="00672901" w:rsidRPr="00AA6C13">
        <w:t>,</w:t>
      </w:r>
      <w:r w:rsidRPr="00AA6C13">
        <w:t xml:space="preserve"> e.g., by adding adversarial noise).</w:t>
      </w:r>
    </w:p>
    <w:p w14:paraId="3AD6C2A6" w14:textId="77777777" w:rsidR="002E2071" w:rsidRPr="00AA6C13" w:rsidRDefault="000F37B9" w:rsidP="000F37B9">
      <w:r w:rsidRPr="00AA6C13">
        <w:t>Finally, from the benchmarking perspective, it must also be assured that neither model-provider nor data-provider can manipulate or interfere with the validation procedure.</w:t>
      </w:r>
    </w:p>
    <w:p w14:paraId="2D07E2FE" w14:textId="4C4BDFCC" w:rsidR="000F37B9" w:rsidRPr="00AA6C13" w:rsidRDefault="000F37B9" w:rsidP="000F37B9">
      <w:r w:rsidRPr="00AA6C13">
        <w:t xml:space="preserve">Both these last points could be addressed by preventing access to the original source, for example via encapsulation into containerization software (e.g., </w:t>
      </w:r>
      <w:r w:rsidR="00672901" w:rsidRPr="00AA6C13">
        <w:t>d</w:t>
      </w:r>
      <w:r w:rsidRPr="00AA6C13">
        <w:t xml:space="preserve">ocker or </w:t>
      </w:r>
      <w:proofErr w:type="spellStart"/>
      <w:r w:rsidR="00672901" w:rsidRPr="00AA6C13">
        <w:t>apache</w:t>
      </w:r>
      <w:proofErr w:type="spellEnd"/>
      <w:r w:rsidR="00672901" w:rsidRPr="00AA6C13">
        <w:t xml:space="preserve"> </w:t>
      </w:r>
      <w:proofErr w:type="spellStart"/>
      <w:r w:rsidR="00672901" w:rsidRPr="00AA6C13">
        <w:t>m</w:t>
      </w:r>
      <w:r w:rsidRPr="00AA6C13">
        <w:t>esos</w:t>
      </w:r>
      <w:proofErr w:type="spellEnd"/>
      <w:r w:rsidRPr="00AA6C13">
        <w:t>) or pre-compilation.</w:t>
      </w:r>
    </w:p>
    <w:p w14:paraId="229C00BE" w14:textId="393084E3" w:rsidR="000F37B9" w:rsidRPr="00AA6C13" w:rsidRDefault="000F37B9" w:rsidP="000F37B9">
      <w:r w:rsidRPr="00AA6C13">
        <w:t xml:space="preserve">Still, security mechanisms need to be put in place that keep track of when/how often the to-be-tested containerized model had been </w:t>
      </w:r>
      <w:r w:rsidR="00D53643" w:rsidRPr="00AA6C13">
        <w:t>"</w:t>
      </w:r>
      <w:r w:rsidRPr="00AA6C13">
        <w:t>touched</w:t>
      </w:r>
      <w:r w:rsidR="00D53643" w:rsidRPr="00AA6C13">
        <w:t>"</w:t>
      </w:r>
      <w:r w:rsidRPr="00AA6C13">
        <w:t xml:space="preserve"> to avoid copying or reverse engineering, e.g., by creating a substitute model through feeding many data points in while observing the output </w:t>
      </w:r>
      <w:r w:rsidR="00777E60" w:rsidRPr="00AA6C13">
        <w:t>(</w:t>
      </w:r>
      <w:r w:rsidRPr="00AA6C13">
        <w:rPr>
          <w:i/>
          <w:iCs/>
        </w:rPr>
        <w:t>cf.</w:t>
      </w:r>
      <w:r w:rsidRPr="00AA6C13">
        <w:t xml:space="preserve"> </w:t>
      </w:r>
      <w:r w:rsidR="00777E60" w:rsidRPr="00AA6C13">
        <w:t>[</w:t>
      </w:r>
      <w:r w:rsidR="00E01F02" w:rsidRPr="00AA6C13">
        <w:t>b</w:t>
      </w:r>
      <w:r w:rsidR="00B2491A" w:rsidRPr="00AA6C13">
        <w:t>-</w:t>
      </w:r>
      <w:r w:rsidRPr="00AA6C13">
        <w:t>Juuti et al</w:t>
      </w:r>
      <w:r w:rsidR="005873AC" w:rsidRPr="00AA6C13">
        <w:t>,</w:t>
      </w:r>
      <w:r w:rsidRPr="00AA6C13">
        <w:t xml:space="preserve"> 2019]</w:t>
      </w:r>
      <w:r w:rsidR="00CF6CE2" w:rsidRPr="00AA6C13">
        <w:t>)</w:t>
      </w:r>
      <w:r w:rsidRPr="00AA6C13">
        <w:t>. Moreover, the security mechanisms need to assure that all models have processed the very same data. Only then, the results are comparable</w:t>
      </w:r>
      <w:r w:rsidR="00573B4B" w:rsidRPr="00AA6C13">
        <w:t>,</w:t>
      </w:r>
      <w:r w:rsidRPr="00AA6C13">
        <w:t xml:space="preserve"> and the procedure is trustworthy. Of course, federation does not solve all potential privacy and security issues and will always carry some risks </w:t>
      </w:r>
      <w:r w:rsidR="00931FB6" w:rsidRPr="00AA6C13">
        <w:t xml:space="preserve">that are </w:t>
      </w:r>
      <w:proofErr w:type="gramStart"/>
      <w:r w:rsidRPr="00AA6C13">
        <w:t>similar to</w:t>
      </w:r>
      <w:proofErr w:type="gramEnd"/>
      <w:r w:rsidRPr="00AA6C13">
        <w:t xml:space="preserve"> the other benchmarking approaches. As for minimising these, several strategies can be adopted, some of which are not specific to AI or federated benchmarking. Encapsulation helps by offering by default a series of tools such as:</w:t>
      </w:r>
    </w:p>
    <w:p w14:paraId="55D54407" w14:textId="197E059A" w:rsidR="000F37B9" w:rsidRPr="00AA6C13" w:rsidRDefault="00C8176D" w:rsidP="00C8176D">
      <w:pPr>
        <w:pStyle w:val="enumlev1"/>
        <w:rPr>
          <w:rFonts w:eastAsia="Times New Roman"/>
          <w:i/>
          <w:iCs/>
        </w:rPr>
      </w:pPr>
      <w:r w:rsidRPr="00AA6C13">
        <w:rPr>
          <w:lang w:bidi="ar-DZ"/>
        </w:rPr>
        <w:t>–</w:t>
      </w:r>
      <w:r w:rsidRPr="00AA6C13">
        <w:tab/>
      </w:r>
      <w:r w:rsidR="000F37B9" w:rsidRPr="00AA6C13">
        <w:t>efficiently creating and managing controlled containers. For example, containers offering only a small set of tools for loading the model</w:t>
      </w:r>
      <w:r w:rsidR="003E6CE9" w:rsidRPr="00AA6C13">
        <w:t xml:space="preserve"> </w:t>
      </w:r>
      <w:r w:rsidR="000F37B9" w:rsidRPr="00AA6C13">
        <w:t>/</w:t>
      </w:r>
      <w:r w:rsidR="003E6CE9" w:rsidRPr="00AA6C13">
        <w:t xml:space="preserve"> </w:t>
      </w:r>
      <w:r w:rsidR="000F37B9" w:rsidRPr="00AA6C13">
        <w:t>running the analysis and with all ports for communication blocked</w:t>
      </w:r>
      <w:r w:rsidR="0016120B" w:rsidRPr="00AA6C13">
        <w:t>,</w:t>
      </w:r>
      <w:r w:rsidR="000F37B9" w:rsidRPr="00AA6C13">
        <w:t xml:space="preserve"> sandbox environments for testing against adversarial attacks</w:t>
      </w:r>
      <w:r w:rsidR="00820293" w:rsidRPr="00AA6C13">
        <w:t>,</w:t>
      </w:r>
      <w:r w:rsidR="000F37B9" w:rsidRPr="00AA6C13">
        <w:t xml:space="preserve"> buffer environments, etc.</w:t>
      </w:r>
    </w:p>
    <w:p w14:paraId="719F9390" w14:textId="66244B8E" w:rsidR="000F37B9" w:rsidRPr="00AA6C13" w:rsidRDefault="00C8176D" w:rsidP="00C8176D">
      <w:pPr>
        <w:pStyle w:val="enumlev1"/>
        <w:rPr>
          <w:rFonts w:eastAsia="Times New Roman"/>
          <w:i/>
          <w:iCs/>
        </w:rPr>
      </w:pPr>
      <w:r w:rsidRPr="00AA6C13">
        <w:rPr>
          <w:lang w:bidi="ar-DZ"/>
        </w:rPr>
        <w:t>–</w:t>
      </w:r>
      <w:r w:rsidRPr="00AA6C13">
        <w:tab/>
      </w:r>
      <w:r w:rsidR="000F37B9" w:rsidRPr="00AA6C13">
        <w:t>implementing tracking and versioning of the containers, so that only containers from a safe registry and from a certain version (ID, hash, etc.) can be run.</w:t>
      </w:r>
    </w:p>
    <w:p w14:paraId="354FE919" w14:textId="0623B479" w:rsidR="002E2071" w:rsidRPr="00AA6C13" w:rsidRDefault="00C8176D" w:rsidP="009F1217">
      <w:pPr>
        <w:pStyle w:val="Heading1"/>
      </w:pPr>
      <w:bookmarkStart w:id="158" w:name="__RefHeading___Toc5127_3617894909"/>
      <w:bookmarkStart w:id="159" w:name="_Toc134124095"/>
      <w:bookmarkStart w:id="160" w:name="_Toc142387532"/>
      <w:bookmarkStart w:id="161" w:name="_Toc155950653"/>
      <w:bookmarkStart w:id="162" w:name="_Toc155950819"/>
      <w:bookmarkEnd w:id="158"/>
      <w:r w:rsidRPr="00AA6C13">
        <w:t>9</w:t>
      </w:r>
      <w:r w:rsidRPr="00AA6C13">
        <w:tab/>
      </w:r>
      <w:r w:rsidR="000F37B9" w:rsidRPr="00AA6C13">
        <w:t>Requirements of a benchmarking platform with validation in a closed environment</w:t>
      </w:r>
      <w:bookmarkEnd w:id="159"/>
      <w:bookmarkEnd w:id="160"/>
      <w:bookmarkEnd w:id="161"/>
      <w:bookmarkEnd w:id="162"/>
    </w:p>
    <w:p w14:paraId="473579D8" w14:textId="57C6E8AA" w:rsidR="000F37B9" w:rsidRPr="00AA6C13" w:rsidRDefault="00C8176D" w:rsidP="00242F4D">
      <w:pPr>
        <w:pStyle w:val="Heading2"/>
      </w:pPr>
      <w:bookmarkStart w:id="163" w:name="__RefHeading___Toc5129_3617894909"/>
      <w:bookmarkStart w:id="164" w:name="_Toc134124096"/>
      <w:bookmarkStart w:id="165" w:name="_Toc142387533"/>
      <w:bookmarkStart w:id="166" w:name="_Toc155950654"/>
      <w:bookmarkStart w:id="167" w:name="_Toc155950820"/>
      <w:bookmarkEnd w:id="163"/>
      <w:r w:rsidRPr="00AA6C13">
        <w:t>9.1</w:t>
      </w:r>
      <w:r w:rsidRPr="00AA6C13">
        <w:tab/>
      </w:r>
      <w:r w:rsidR="000F37B9" w:rsidRPr="00AA6C13">
        <w:t>System overview</w:t>
      </w:r>
      <w:bookmarkEnd w:id="164"/>
      <w:bookmarkEnd w:id="165"/>
      <w:bookmarkEnd w:id="166"/>
      <w:bookmarkEnd w:id="167"/>
    </w:p>
    <w:p w14:paraId="69902CEE" w14:textId="77777777" w:rsidR="000F37B9" w:rsidRPr="00AA6C13" w:rsidRDefault="000F37B9" w:rsidP="000F37B9">
      <w:proofErr w:type="gramStart"/>
      <w:r w:rsidRPr="00AA6C13">
        <w:t>In order to</w:t>
      </w:r>
      <w:proofErr w:type="gramEnd"/>
      <w:r w:rsidRPr="00AA6C13">
        <w:t xml:space="preserve"> be able to assess the quality of different AI-based solutions to a variety of medical problems, a software system is required, which makes it easy to manage and discover benchmarking </w:t>
      </w:r>
      <w:r w:rsidRPr="00AA6C13">
        <w:lastRenderedPageBreak/>
        <w:t>tasks, submit solutions, automatically validate them, and provide results in an aggregated human-readable format. Such a system should allow presenting medical benchmarking tasks to AI developers. It should provide all the details needed to prepare an AI-based solution for submission to the benchmarking procedure. AI developers may sign up for benchmarking tasks and submit their software solutions and auxiliary documentation. The software solutions must be submitted in a standardized form, so that they can be tested automatically by the system. The results of these tests and the auxiliary documentation should be made available to the administrators to simplify the validation.</w:t>
      </w:r>
    </w:p>
    <w:p w14:paraId="5B18A204" w14:textId="537951B2" w:rsidR="000F37B9" w:rsidRPr="00AA6C13" w:rsidRDefault="000F37B9" w:rsidP="000F37B9">
      <w:r w:rsidRPr="00AA6C13">
        <w:t xml:space="preserve">The functional concept of the envisioned benchmarking platform is explained in the following. This system overview will broadly lay out the needed components and the most important requirements </w:t>
      </w:r>
      <w:r w:rsidR="0025079F" w:rsidRPr="00AA6C13">
        <w:t xml:space="preserve">that </w:t>
      </w:r>
      <w:r w:rsidRPr="00AA6C13">
        <w:t xml:space="preserve">these components </w:t>
      </w:r>
      <w:proofErr w:type="gramStart"/>
      <w:r w:rsidRPr="00AA6C13">
        <w:t>have to</w:t>
      </w:r>
      <w:proofErr w:type="gramEnd"/>
      <w:r w:rsidRPr="00AA6C13">
        <w:t xml:space="preserve"> meet. The proposed system consists of three major components: an </w:t>
      </w:r>
      <w:r w:rsidRPr="00AA6C13">
        <w:rPr>
          <w:i/>
          <w:iCs/>
        </w:rPr>
        <w:t>administrative backend</w:t>
      </w:r>
      <w:r w:rsidRPr="00AA6C13">
        <w:t xml:space="preserve">, a </w:t>
      </w:r>
      <w:r w:rsidRPr="00AA6C13">
        <w:rPr>
          <w:i/>
          <w:iCs/>
        </w:rPr>
        <w:t>public frontend</w:t>
      </w:r>
      <w:r w:rsidRPr="00AA6C13">
        <w:t xml:space="preserve">, and an </w:t>
      </w:r>
      <w:r w:rsidRPr="00AA6C13">
        <w:rPr>
          <w:i/>
          <w:iCs/>
        </w:rPr>
        <w:t>execution environment</w:t>
      </w:r>
      <w:r w:rsidRPr="00AA6C13">
        <w:t xml:space="preserve"> (</w:t>
      </w:r>
      <w:r w:rsidRPr="00AA6C13">
        <w:rPr>
          <w:i/>
          <w:iCs/>
        </w:rPr>
        <w:t>cf</w:t>
      </w:r>
      <w:r w:rsidRPr="00AA6C13">
        <w:t>.</w:t>
      </w:r>
      <w:r w:rsidR="00752C4E" w:rsidRPr="00AA6C13">
        <w:t xml:space="preserve"> </w:t>
      </w:r>
      <w:r w:rsidR="0057123C" w:rsidRPr="00AA6C13">
        <w:rPr>
          <w:lang w:bidi="ar-DZ"/>
        </w:rPr>
        <w:t xml:space="preserve">Figure </w:t>
      </w:r>
      <w:r w:rsidR="0057123C" w:rsidRPr="00AA6C13">
        <w:rPr>
          <w:noProof/>
          <w:lang w:bidi="ar-DZ"/>
        </w:rPr>
        <w:t>5</w:t>
      </w:r>
      <w:r w:rsidRPr="00AA6C13">
        <w:t xml:space="preserve">). The </w:t>
      </w:r>
      <w:r w:rsidRPr="00AA6C13">
        <w:rPr>
          <w:i/>
          <w:iCs/>
        </w:rPr>
        <w:t>administrative backend</w:t>
      </w:r>
      <w:r w:rsidRPr="00AA6C13">
        <w:t xml:space="preserve"> comprises a web application where administrators </w:t>
      </w:r>
      <w:proofErr w:type="gramStart"/>
      <w:r w:rsidRPr="00AA6C13">
        <w:t>are able to</w:t>
      </w:r>
      <w:proofErr w:type="gramEnd"/>
      <w:r w:rsidRPr="00AA6C13">
        <w:t xml:space="preserve"> develop and publish benchmarking tasks and can inspect the benchmarking results. The </w:t>
      </w:r>
      <w:r w:rsidRPr="00AA6C13">
        <w:rPr>
          <w:i/>
          <w:iCs/>
        </w:rPr>
        <w:t>public frontend</w:t>
      </w:r>
      <w:r w:rsidRPr="00AA6C13">
        <w:t xml:space="preserve"> constitutes the public interface to the proposed benchmarking tasks. AI developers and other interested parties can discover current benchmarking tasks and sign up for them. Participants are provided with all the necessary details about the benchmarking task, including but not limited to descriptions, public data sets, documentation, and examples. They can upload their AI solution for the benchmarking task to the platform in a standardized packaging format. The software projects contained in these solutions must adhere to a standardized interface for benchmarking. Once a solution has been handed in, it will be queued for benchmarking, which will be performed automatically by the </w:t>
      </w:r>
      <w:r w:rsidRPr="00AA6C13">
        <w:rPr>
          <w:i/>
          <w:iCs/>
        </w:rPr>
        <w:t>execution environment</w:t>
      </w:r>
      <w:r w:rsidRPr="00AA6C13">
        <w:t xml:space="preserve">. Together with the </w:t>
      </w:r>
      <w:proofErr w:type="gramStart"/>
      <w:r w:rsidRPr="00AA6C13">
        <w:t>aforementioned documentation</w:t>
      </w:r>
      <w:proofErr w:type="gramEnd"/>
      <w:r w:rsidRPr="00AA6C13">
        <w:t>, the participants should be provided a minimal example simulating the execution environment, with the exact syntax that is later used in the validation but using exemplary input data only (and not the actual test data). In this way, the AI developers can check themselves whether their implementation works because it adheres to the standardized interface, which would greatly ease any kind of troubleshooting.</w:t>
      </w:r>
    </w:p>
    <w:p w14:paraId="5B0C6172" w14:textId="687202BE" w:rsidR="000F37B9" w:rsidRPr="00AA6C13" w:rsidRDefault="000F37B9" w:rsidP="000F37B9">
      <w:pPr>
        <w:rPr>
          <w:i/>
          <w:iCs/>
        </w:rPr>
      </w:pPr>
      <w:r w:rsidRPr="00AA6C13">
        <w:t xml:space="preserve">The </w:t>
      </w:r>
      <w:r w:rsidRPr="00AA6C13">
        <w:rPr>
          <w:i/>
          <w:iCs/>
        </w:rPr>
        <w:t>execution environment</w:t>
      </w:r>
      <w:r w:rsidRPr="00AA6C13">
        <w:t xml:space="preserve"> will report back the results to the </w:t>
      </w:r>
      <w:r w:rsidRPr="00AA6C13">
        <w:rPr>
          <w:i/>
          <w:iCs/>
        </w:rPr>
        <w:t>administrative backend</w:t>
      </w:r>
      <w:r w:rsidRPr="00AA6C13">
        <w:t xml:space="preserve">, where they will be aggregated into a central overview (customizable tables, visualisations and/or rankings with potentially multiple ranking schemes). Further, all </w:t>
      </w:r>
      <w:proofErr w:type="gramStart"/>
      <w:r w:rsidRPr="00AA6C13">
        <w:t>access</w:t>
      </w:r>
      <w:proofErr w:type="gramEnd"/>
      <w:r w:rsidRPr="00AA6C13">
        <w:t xml:space="preserve"> and user rights of </w:t>
      </w:r>
      <w:r w:rsidR="0040719C" w:rsidRPr="00AA6C13">
        <w:t xml:space="preserve">the </w:t>
      </w:r>
      <w:r w:rsidRPr="00AA6C13">
        <w:t xml:space="preserve">aforementioned usage scenarios require authentication and authorization via an overarching policy management system. This guarantees traceability of the process and informs administrators of the platform, </w:t>
      </w:r>
      <w:r w:rsidR="00117787" w:rsidRPr="00AA6C13">
        <w:t xml:space="preserve">where </w:t>
      </w:r>
      <w:r w:rsidRPr="00AA6C13">
        <w:t xml:space="preserve">which AI developer has requested benchmarking with a certain frequency. The following </w:t>
      </w:r>
      <w:r w:rsidR="00AC544A" w:rsidRPr="00AA6C13">
        <w:t>subclause</w:t>
      </w:r>
      <w:r w:rsidRPr="00AA6C13">
        <w:t>s provide detailed information about each of these components.</w:t>
      </w:r>
    </w:p>
    <w:p w14:paraId="05034522" w14:textId="2C9CCF33" w:rsidR="000F37B9" w:rsidRPr="00AA6C13" w:rsidRDefault="00C8176D" w:rsidP="00FB4FDD">
      <w:pPr>
        <w:pStyle w:val="Heading3"/>
      </w:pPr>
      <w:bookmarkStart w:id="168" w:name="__RefHeading___Toc5131_3617894909"/>
      <w:bookmarkStart w:id="169" w:name="_Toc134124097"/>
      <w:bookmarkStart w:id="170" w:name="_Toc142387534"/>
      <w:bookmarkEnd w:id="168"/>
      <w:r w:rsidRPr="00AA6C13">
        <w:t>9.1.1</w:t>
      </w:r>
      <w:r w:rsidRPr="00AA6C13">
        <w:tab/>
      </w:r>
      <w:r w:rsidR="000F37B9" w:rsidRPr="00AA6C13">
        <w:t>Administrative backend</w:t>
      </w:r>
      <w:bookmarkEnd w:id="169"/>
      <w:bookmarkEnd w:id="170"/>
    </w:p>
    <w:p w14:paraId="697FE059" w14:textId="77777777" w:rsidR="000F37B9" w:rsidRPr="00AA6C13" w:rsidRDefault="000F37B9" w:rsidP="000F37B9">
      <w:r w:rsidRPr="00AA6C13">
        <w:t xml:space="preserve">The </w:t>
      </w:r>
      <w:r w:rsidRPr="00AA6C13">
        <w:rPr>
          <w:i/>
          <w:iCs/>
        </w:rPr>
        <w:t>administrative backend</w:t>
      </w:r>
      <w:r w:rsidRPr="00AA6C13">
        <w:t xml:space="preserve"> of the platform serves as the management interface for the administrative staff. It is here where new AI health benchmarking tasks will be developed and published. It also provides the data storage for the system: a </w:t>
      </w:r>
      <w:r w:rsidRPr="00AA6C13">
        <w:rPr>
          <w:i/>
          <w:iCs/>
        </w:rPr>
        <w:t>database</w:t>
      </w:r>
      <w:r w:rsidRPr="00AA6C13">
        <w:t xml:space="preserve">, which contains the benchmarking tasks, and a </w:t>
      </w:r>
      <w:r w:rsidRPr="00AA6C13">
        <w:rPr>
          <w:i/>
          <w:iCs/>
        </w:rPr>
        <w:t>data set store</w:t>
      </w:r>
      <w:r w:rsidRPr="00AA6C13">
        <w:t xml:space="preserve"> for managing data sets. Furthermore, it provides an </w:t>
      </w:r>
      <w:r w:rsidRPr="00AA6C13">
        <w:rPr>
          <w:i/>
          <w:iCs/>
        </w:rPr>
        <w:t>internal interface</w:t>
      </w:r>
      <w:r w:rsidRPr="00AA6C13">
        <w:t>, e.g., in the form of a REST API, for the other components. The overall architecture follows a best-practise modular paradigm (rather than monolithic, hard-coded solution). This allows more efficient error handling, easier maintenance and expandability for future, novel benchmark scenarios.</w:t>
      </w:r>
    </w:p>
    <w:p w14:paraId="215D2C34" w14:textId="6EDE73F6" w:rsidR="00752C4E" w:rsidRPr="00AA6C13" w:rsidRDefault="003201BA" w:rsidP="00752C4E">
      <w:pPr>
        <w:pStyle w:val="Figure"/>
      </w:pPr>
      <w:r w:rsidRPr="00AA6C13">
        <w:rPr>
          <w:noProof/>
        </w:rPr>
        <w:lastRenderedPageBreak/>
        <w:drawing>
          <wp:inline distT="0" distB="0" distL="0" distR="0" wp14:anchorId="143218FC" wp14:editId="7CAFD23D">
            <wp:extent cx="6120765" cy="6156960"/>
            <wp:effectExtent l="0" t="0" r="0" b="0"/>
            <wp:docPr id="4276289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20765" cy="6156960"/>
                    </a:xfrm>
                    <a:prstGeom prst="rect">
                      <a:avLst/>
                    </a:prstGeom>
                    <a:noFill/>
                    <a:ln>
                      <a:noFill/>
                    </a:ln>
                  </pic:spPr>
                </pic:pic>
              </a:graphicData>
            </a:graphic>
          </wp:inline>
        </w:drawing>
      </w:r>
    </w:p>
    <w:p w14:paraId="0E7581A3" w14:textId="60C68986" w:rsidR="00752C4E" w:rsidRPr="00AA6C13" w:rsidRDefault="00752C4E" w:rsidP="00C8176D">
      <w:pPr>
        <w:pStyle w:val="FigureNoTitle0"/>
        <w:rPr>
          <w:lang w:bidi="ar-DZ"/>
        </w:rPr>
      </w:pPr>
      <w:bookmarkStart w:id="171" w:name="_Ref103896318"/>
      <w:bookmarkStart w:id="172" w:name="_Toc134124111"/>
      <w:bookmarkStart w:id="173" w:name="_Toc142387548"/>
      <w:r w:rsidRPr="00AA6C13">
        <w:rPr>
          <w:lang w:bidi="ar-DZ"/>
        </w:rPr>
        <w:t xml:space="preserve">Figure </w:t>
      </w:r>
      <w:r w:rsidR="0057123C" w:rsidRPr="00AA6C13">
        <w:rPr>
          <w:noProof/>
          <w:lang w:bidi="ar-DZ"/>
        </w:rPr>
        <w:t>5</w:t>
      </w:r>
      <w:bookmarkEnd w:id="171"/>
      <w:r w:rsidRPr="00AA6C13">
        <w:rPr>
          <w:lang w:bidi="ar-DZ"/>
        </w:rPr>
        <w:t xml:space="preserve"> – Overview of the architecture of the system</w:t>
      </w:r>
      <w:bookmarkEnd w:id="172"/>
      <w:bookmarkEnd w:id="173"/>
    </w:p>
    <w:p w14:paraId="4869C187" w14:textId="77777777" w:rsidR="002E2071" w:rsidRPr="00AA6C13" w:rsidRDefault="000F37B9" w:rsidP="00C8176D">
      <w:pPr>
        <w:pStyle w:val="Normalaftertitle"/>
      </w:pPr>
      <w:r w:rsidRPr="00AA6C13">
        <w:t xml:space="preserve">A new benchmarking task must at least consist of a name, a description, a private test data set, and a deadline. Furthermore, administrators may add further documentation, examples, a public data set and other auxiliary information. The private test data set will remain undisclosed and will be used to validate the submitted solutions. It represents the </w:t>
      </w:r>
      <w:r w:rsidR="00D53643" w:rsidRPr="00AA6C13">
        <w:t>"</w:t>
      </w:r>
      <w:r w:rsidRPr="00AA6C13">
        <w:t>gold standard</w:t>
      </w:r>
      <w:r w:rsidR="00D53643" w:rsidRPr="00AA6C13">
        <w:t>"</w:t>
      </w:r>
      <w:r w:rsidRPr="00AA6C13">
        <w:t xml:space="preserve"> with the included true labels or annotations as </w:t>
      </w:r>
      <w:r w:rsidR="00D53643" w:rsidRPr="00AA6C13">
        <w:t>"</w:t>
      </w:r>
      <w:r w:rsidRPr="00AA6C13">
        <w:t>ground truth</w:t>
      </w:r>
      <w:r w:rsidR="00D53643" w:rsidRPr="00AA6C13">
        <w:t>"</w:t>
      </w:r>
      <w:r w:rsidRPr="00AA6C13">
        <w:t>. In contrast, public data (if applicable) will be made available to all participants.</w:t>
      </w:r>
    </w:p>
    <w:p w14:paraId="17CA70D1" w14:textId="77777777" w:rsidR="002E2071" w:rsidRPr="00AA6C13" w:rsidRDefault="000F37B9" w:rsidP="000F37B9">
      <w:r w:rsidRPr="00AA6C13">
        <w:t>In addition, it must be possible to specify how often the AI developers can submit their models to a benchmarking task. Even if the test data is hidden, it is possible to overfit the model to the test data by analysing the achieved metric values, checking which adjustments make them increase if multiple submissions are possible.</w:t>
      </w:r>
    </w:p>
    <w:p w14:paraId="57F0E545" w14:textId="3518E9B4" w:rsidR="000F37B9" w:rsidRPr="00AA6C13" w:rsidRDefault="000F37B9" w:rsidP="000F37B9">
      <w:r w:rsidRPr="00AA6C13">
        <w:t xml:space="preserve">As soon as a benchmarking task has been developed, it can be published to the </w:t>
      </w:r>
      <w:r w:rsidRPr="00AA6C13">
        <w:rPr>
          <w:i/>
          <w:iCs/>
        </w:rPr>
        <w:t xml:space="preserve">public frontend </w:t>
      </w:r>
      <w:r w:rsidRPr="00AA6C13">
        <w:t>(viewing can be with or without authorization).</w:t>
      </w:r>
    </w:p>
    <w:p w14:paraId="4F986E1E" w14:textId="77777777" w:rsidR="000F37B9" w:rsidRPr="00AA6C13" w:rsidRDefault="000F37B9" w:rsidP="000F37B9">
      <w:r w:rsidRPr="00AA6C13">
        <w:t xml:space="preserve">The </w:t>
      </w:r>
      <w:r w:rsidRPr="00AA6C13">
        <w:rPr>
          <w:i/>
        </w:rPr>
        <w:t>administrative backend</w:t>
      </w:r>
      <w:r w:rsidRPr="00AA6C13">
        <w:t xml:space="preserve"> may consist of the following sub-components:</w:t>
      </w:r>
    </w:p>
    <w:p w14:paraId="25C55DE0" w14:textId="67E80341" w:rsidR="000F37B9" w:rsidRPr="00AA6C13" w:rsidRDefault="000F37B9" w:rsidP="000F37B9">
      <w:r w:rsidRPr="00AA6C13">
        <w:rPr>
          <w:b/>
          <w:bCs/>
        </w:rPr>
        <w:lastRenderedPageBreak/>
        <w:t>Internal interface</w:t>
      </w:r>
      <w:r w:rsidR="00AC544A" w:rsidRPr="00AA6C13">
        <w:rPr>
          <w:b/>
          <w:bCs/>
        </w:rPr>
        <w:t xml:space="preserve"> </w:t>
      </w:r>
      <w:r w:rsidRPr="00AA6C13">
        <w:t>–</w:t>
      </w:r>
      <w:r w:rsidR="00AC544A" w:rsidRPr="00AA6C13">
        <w:t xml:space="preserve"> </w:t>
      </w:r>
      <w:r w:rsidRPr="00AA6C13">
        <w:t xml:space="preserve">The </w:t>
      </w:r>
      <w:r w:rsidRPr="00AA6C13">
        <w:rPr>
          <w:i/>
          <w:iCs/>
        </w:rPr>
        <w:t>internal interface</w:t>
      </w:r>
      <w:r w:rsidRPr="00AA6C13">
        <w:t xml:space="preserve"> is a web application, which manages all benchmarking procedures and provides other components access to them. Separating the internal data management from other components makes it easy to share this functionality across multiple components: the </w:t>
      </w:r>
      <w:r w:rsidRPr="00AA6C13">
        <w:rPr>
          <w:i/>
          <w:iCs/>
        </w:rPr>
        <w:t>administration web client</w:t>
      </w:r>
      <w:r w:rsidRPr="00AA6C13">
        <w:t xml:space="preserve">, the </w:t>
      </w:r>
      <w:r w:rsidRPr="00AA6C13">
        <w:rPr>
          <w:i/>
          <w:iCs/>
        </w:rPr>
        <w:t>front-facing web client</w:t>
      </w:r>
      <w:r w:rsidRPr="00AA6C13">
        <w:t xml:space="preserve">, and the </w:t>
      </w:r>
      <w:r w:rsidRPr="00AA6C13">
        <w:rPr>
          <w:i/>
          <w:iCs/>
        </w:rPr>
        <w:t>execution manager</w:t>
      </w:r>
      <w:r w:rsidRPr="00AA6C13">
        <w:t xml:space="preserve"> will all depend on the </w:t>
      </w:r>
      <w:r w:rsidRPr="00AA6C13">
        <w:rPr>
          <w:i/>
          <w:iCs/>
        </w:rPr>
        <w:t>internal interface</w:t>
      </w:r>
      <w:r w:rsidRPr="00AA6C13">
        <w:t xml:space="preserve">. The </w:t>
      </w:r>
      <w:r w:rsidRPr="00AA6C13">
        <w:rPr>
          <w:i/>
          <w:iCs/>
        </w:rPr>
        <w:t>internal interface</w:t>
      </w:r>
      <w:r w:rsidRPr="00AA6C13">
        <w:t xml:space="preserve"> may, for example, be implemented as a REST API and should provide the following functionality:</w:t>
      </w:r>
    </w:p>
    <w:p w14:paraId="1FAF2036" w14:textId="17D26579" w:rsidR="000F37B9" w:rsidRPr="00AA6C13" w:rsidRDefault="00C8176D" w:rsidP="00C8176D">
      <w:pPr>
        <w:pStyle w:val="enumlev1"/>
      </w:pPr>
      <w:r w:rsidRPr="00AA6C13">
        <w:rPr>
          <w:lang w:bidi="ar-DZ"/>
        </w:rPr>
        <w:t>–</w:t>
      </w:r>
      <w:r w:rsidRPr="00AA6C13">
        <w:rPr>
          <w:lang w:bidi="ar-DZ"/>
        </w:rPr>
        <w:tab/>
      </w:r>
      <w:r w:rsidR="000F37B9" w:rsidRPr="00AA6C13">
        <w:t xml:space="preserve">User management, i.e., identity management, identification, authorization, and access control through state-of-the art technologies. The user management will manage both the administrative accounts for the </w:t>
      </w:r>
      <w:r w:rsidR="000F37B9" w:rsidRPr="00AA6C13">
        <w:rPr>
          <w:i/>
          <w:iCs/>
        </w:rPr>
        <w:t>administration web client</w:t>
      </w:r>
      <w:r w:rsidR="000F37B9" w:rsidRPr="00AA6C13">
        <w:t xml:space="preserve">, as well as the user accounts of the benchmarking participants in the </w:t>
      </w:r>
      <w:r w:rsidR="000F37B9" w:rsidRPr="00AA6C13">
        <w:rPr>
          <w:i/>
          <w:iCs/>
        </w:rPr>
        <w:t>front-facing web client</w:t>
      </w:r>
      <w:r w:rsidR="000F37B9" w:rsidRPr="00AA6C13">
        <w:t xml:space="preserve">. Applicable data protection laws must be considered (e.g., in a privacy policy, stating what happens with the user's personal data; </w:t>
      </w:r>
      <w:r w:rsidR="00D53643" w:rsidRPr="00AA6C13">
        <w:t>"</w:t>
      </w:r>
      <w:r w:rsidR="003E78CD" w:rsidRPr="00AA6C13">
        <w:t>r</w:t>
      </w:r>
      <w:r w:rsidR="000F37B9" w:rsidRPr="00AA6C13">
        <w:t xml:space="preserve">ight to be </w:t>
      </w:r>
      <w:r w:rsidR="003E78CD" w:rsidRPr="00AA6C13">
        <w:t>f</w:t>
      </w:r>
      <w:r w:rsidR="000F37B9" w:rsidRPr="00AA6C13">
        <w:t>orgotten</w:t>
      </w:r>
      <w:r w:rsidR="00D53643" w:rsidRPr="00AA6C13">
        <w:t>"</w:t>
      </w:r>
      <w:r w:rsidR="000F37B9" w:rsidRPr="00AA6C13">
        <w:t xml:space="preserve"> etc.).</w:t>
      </w:r>
    </w:p>
    <w:p w14:paraId="0221928A" w14:textId="4C10E331" w:rsidR="000F37B9" w:rsidRPr="00AA6C13" w:rsidRDefault="00C8176D" w:rsidP="00C8176D">
      <w:pPr>
        <w:pStyle w:val="enumlev1"/>
      </w:pPr>
      <w:r w:rsidRPr="00AA6C13">
        <w:rPr>
          <w:lang w:bidi="ar-DZ"/>
        </w:rPr>
        <w:t>–</w:t>
      </w:r>
      <w:r w:rsidRPr="00AA6C13">
        <w:rPr>
          <w:lang w:bidi="ar-DZ"/>
        </w:rPr>
        <w:tab/>
      </w:r>
      <w:r w:rsidR="000F37B9" w:rsidRPr="00AA6C13">
        <w:t xml:space="preserve">API security, e.g., through client IDs and client secrets for backend services or through host verification for frontend websites. This is needed, so that the </w:t>
      </w:r>
      <w:r w:rsidR="000F37B9" w:rsidRPr="00AA6C13">
        <w:rPr>
          <w:i/>
          <w:iCs/>
        </w:rPr>
        <w:t>administration web client</w:t>
      </w:r>
      <w:r w:rsidR="000F37B9" w:rsidRPr="00AA6C13">
        <w:t xml:space="preserve">, the </w:t>
      </w:r>
      <w:r w:rsidR="000F37B9" w:rsidRPr="00AA6C13">
        <w:rPr>
          <w:i/>
          <w:iCs/>
        </w:rPr>
        <w:t>front-facing web client</w:t>
      </w:r>
      <w:r w:rsidR="000F37B9" w:rsidRPr="00AA6C13">
        <w:t xml:space="preserve">, and the </w:t>
      </w:r>
      <w:r w:rsidR="000F37B9" w:rsidRPr="00AA6C13">
        <w:rPr>
          <w:i/>
          <w:iCs/>
        </w:rPr>
        <w:t>execution manager</w:t>
      </w:r>
      <w:r w:rsidR="000F37B9" w:rsidRPr="00AA6C13">
        <w:t xml:space="preserve"> </w:t>
      </w:r>
      <w:proofErr w:type="gramStart"/>
      <w:r w:rsidR="000F37B9" w:rsidRPr="00AA6C13">
        <w:t>are able to</w:t>
      </w:r>
      <w:proofErr w:type="gramEnd"/>
      <w:r w:rsidR="000F37B9" w:rsidRPr="00AA6C13">
        <w:t xml:space="preserve"> authorize against the </w:t>
      </w:r>
      <w:r w:rsidR="000F37B9" w:rsidRPr="00AA6C13">
        <w:rPr>
          <w:i/>
          <w:iCs/>
        </w:rPr>
        <w:t>internal interface</w:t>
      </w:r>
      <w:r w:rsidR="000F37B9" w:rsidRPr="00AA6C13">
        <w:t xml:space="preserve"> and to block all other systems from accessing the internal data.</w:t>
      </w:r>
    </w:p>
    <w:p w14:paraId="5CFF7114" w14:textId="31FCE696" w:rsidR="000F37B9" w:rsidRPr="00AA6C13" w:rsidRDefault="00C8176D" w:rsidP="00C8176D">
      <w:pPr>
        <w:pStyle w:val="enumlev1"/>
      </w:pPr>
      <w:r w:rsidRPr="00AA6C13">
        <w:rPr>
          <w:lang w:bidi="ar-DZ"/>
        </w:rPr>
        <w:t>–</w:t>
      </w:r>
      <w:r w:rsidRPr="00AA6C13">
        <w:rPr>
          <w:lang w:bidi="ar-DZ"/>
        </w:rPr>
        <w:tab/>
      </w:r>
      <w:r w:rsidR="000F37B9" w:rsidRPr="00AA6C13">
        <w:t>Add, update, and delete benchmarking tasks.</w:t>
      </w:r>
    </w:p>
    <w:p w14:paraId="4EA1E7E8" w14:textId="16211DE6" w:rsidR="000F37B9" w:rsidRPr="00AA6C13" w:rsidRDefault="00C8176D" w:rsidP="00C8176D">
      <w:pPr>
        <w:pStyle w:val="enumlev1"/>
      </w:pPr>
      <w:r w:rsidRPr="00AA6C13">
        <w:rPr>
          <w:lang w:bidi="ar-DZ"/>
        </w:rPr>
        <w:t>–</w:t>
      </w:r>
      <w:r w:rsidRPr="00AA6C13">
        <w:rPr>
          <w:lang w:bidi="ar-DZ"/>
        </w:rPr>
        <w:tab/>
      </w:r>
      <w:r w:rsidR="000F37B9" w:rsidRPr="00AA6C13">
        <w:t>Upload, update, and remove data sets.</w:t>
      </w:r>
    </w:p>
    <w:p w14:paraId="344A7F61" w14:textId="092085D8" w:rsidR="000F37B9" w:rsidRPr="00AA6C13" w:rsidRDefault="00C8176D" w:rsidP="00C8176D">
      <w:pPr>
        <w:pStyle w:val="enumlev1"/>
      </w:pPr>
      <w:r w:rsidRPr="00AA6C13">
        <w:rPr>
          <w:lang w:bidi="ar-DZ"/>
        </w:rPr>
        <w:t>–</w:t>
      </w:r>
      <w:r w:rsidRPr="00AA6C13">
        <w:rPr>
          <w:lang w:bidi="ar-DZ"/>
        </w:rPr>
        <w:tab/>
      </w:r>
      <w:r w:rsidR="000F37B9" w:rsidRPr="00AA6C13">
        <w:t>Manage benchmarking participants and registrations for benchmarking tasks.</w:t>
      </w:r>
    </w:p>
    <w:p w14:paraId="29058CBF" w14:textId="48A131EA" w:rsidR="000F37B9" w:rsidRPr="00AA6C13" w:rsidRDefault="00C8176D" w:rsidP="00C8176D">
      <w:pPr>
        <w:pStyle w:val="enumlev1"/>
      </w:pPr>
      <w:r w:rsidRPr="00AA6C13">
        <w:rPr>
          <w:lang w:bidi="ar-DZ"/>
        </w:rPr>
        <w:t>–</w:t>
      </w:r>
      <w:r w:rsidRPr="00AA6C13">
        <w:rPr>
          <w:lang w:bidi="ar-DZ"/>
        </w:rPr>
        <w:tab/>
      </w:r>
      <w:r w:rsidR="000F37B9" w:rsidRPr="00AA6C13">
        <w:t>Maintain benchmarking results, and aggregate them to customizable tables, visualisations and/or rankings (with potentially multiple ranking schemes).</w:t>
      </w:r>
    </w:p>
    <w:p w14:paraId="54F5536D" w14:textId="65FA9DCC" w:rsidR="000F37B9" w:rsidRPr="00AA6C13" w:rsidRDefault="00C8176D" w:rsidP="00C8176D">
      <w:pPr>
        <w:pStyle w:val="enumlev1"/>
      </w:pPr>
      <w:r w:rsidRPr="00AA6C13">
        <w:rPr>
          <w:lang w:bidi="ar-DZ"/>
        </w:rPr>
        <w:t>–</w:t>
      </w:r>
      <w:r w:rsidRPr="00AA6C13">
        <w:rPr>
          <w:lang w:bidi="ar-DZ"/>
        </w:rPr>
        <w:tab/>
      </w:r>
      <w:r w:rsidR="000F37B9" w:rsidRPr="00AA6C13">
        <w:t xml:space="preserve">A search engine, which will be used by the </w:t>
      </w:r>
      <w:r w:rsidR="000F37B9" w:rsidRPr="00AA6C13">
        <w:rPr>
          <w:i/>
          <w:iCs/>
        </w:rPr>
        <w:t>front-facing web client</w:t>
      </w:r>
      <w:r w:rsidR="000F37B9" w:rsidRPr="00AA6C13">
        <w:t xml:space="preserve"> to retrieve and display benchmarking tasks.</w:t>
      </w:r>
    </w:p>
    <w:p w14:paraId="628E66D8" w14:textId="5DA42B2F" w:rsidR="000F37B9" w:rsidRPr="00AA6C13" w:rsidRDefault="000F37B9" w:rsidP="000F37B9">
      <w:r w:rsidRPr="00AA6C13">
        <w:rPr>
          <w:b/>
          <w:bCs/>
        </w:rPr>
        <w:t xml:space="preserve">Database </w:t>
      </w:r>
      <w:r w:rsidRPr="00AA6C13">
        <w:t xml:space="preserve">– A </w:t>
      </w:r>
      <w:r w:rsidRPr="00AA6C13">
        <w:rPr>
          <w:i/>
          <w:iCs/>
        </w:rPr>
        <w:t>database</w:t>
      </w:r>
      <w:r w:rsidRPr="00AA6C13">
        <w:t xml:space="preserve">, which will store all structured information about users (administrators and participants), benchmarking tasks, benchmarking task registrations, submitted solutions, and benchmarking results. The </w:t>
      </w:r>
      <w:r w:rsidRPr="00AA6C13">
        <w:rPr>
          <w:i/>
          <w:iCs/>
        </w:rPr>
        <w:t>database</w:t>
      </w:r>
      <w:r w:rsidRPr="00AA6C13">
        <w:t xml:space="preserve"> serves as a data catalogue for the </w:t>
      </w:r>
      <w:r w:rsidRPr="00AA6C13">
        <w:rPr>
          <w:i/>
          <w:iCs/>
        </w:rPr>
        <w:t>internal interface</w:t>
      </w:r>
      <w:r w:rsidRPr="00AA6C13">
        <w:t xml:space="preserve"> and must only be accessed by it. The </w:t>
      </w:r>
      <w:r w:rsidRPr="00AA6C13">
        <w:rPr>
          <w:i/>
          <w:iCs/>
        </w:rPr>
        <w:t>database</w:t>
      </w:r>
      <w:r w:rsidRPr="00AA6C13">
        <w:t xml:space="preserve"> may for example be implemented as a relational database. The transactional nature of most relational database systems ensures that, even in the event of </w:t>
      </w:r>
      <w:r w:rsidR="00A840F4" w:rsidRPr="00AA6C13">
        <w:t xml:space="preserve">a </w:t>
      </w:r>
      <w:r w:rsidRPr="00AA6C13">
        <w:t xml:space="preserve">failure, the </w:t>
      </w:r>
      <w:r w:rsidRPr="00AA6C13">
        <w:rPr>
          <w:i/>
          <w:iCs/>
        </w:rPr>
        <w:t>database</w:t>
      </w:r>
      <w:r w:rsidRPr="00AA6C13">
        <w:t xml:space="preserve"> remains in a consistent state and lost data may be recovered. Consistence is vital to the </w:t>
      </w:r>
      <w:r w:rsidRPr="00AA6C13">
        <w:rPr>
          <w:i/>
          <w:iCs/>
        </w:rPr>
        <w:t>database</w:t>
      </w:r>
      <w:r w:rsidRPr="00AA6C13">
        <w:t xml:space="preserve"> as it stores highly sensitive information. Data need</w:t>
      </w:r>
      <w:r w:rsidR="00551181" w:rsidRPr="00AA6C13">
        <w:t>s</w:t>
      </w:r>
      <w:r w:rsidRPr="00AA6C13">
        <w:t xml:space="preserve"> to be stored </w:t>
      </w:r>
      <w:r w:rsidR="00EB0464" w:rsidRPr="00AA6C13">
        <w:t xml:space="preserve">and </w:t>
      </w:r>
      <w:r w:rsidRPr="00AA6C13">
        <w:t>encrypted.</w:t>
      </w:r>
    </w:p>
    <w:p w14:paraId="1FACEA56" w14:textId="292B4921" w:rsidR="002E2071" w:rsidRPr="00AA6C13" w:rsidRDefault="000F37B9" w:rsidP="000F37B9">
      <w:r w:rsidRPr="00AA6C13">
        <w:rPr>
          <w:b/>
          <w:bCs/>
        </w:rPr>
        <w:t xml:space="preserve">Data set store </w:t>
      </w:r>
      <w:r w:rsidRPr="00AA6C13">
        <w:t xml:space="preserve">– The </w:t>
      </w:r>
      <w:r w:rsidRPr="00AA6C13">
        <w:rPr>
          <w:i/>
          <w:iCs/>
        </w:rPr>
        <w:t>data set store</w:t>
      </w:r>
      <w:r w:rsidRPr="00AA6C13">
        <w:t xml:space="preserve"> should be able to efficiently manage large amounts of unstructured data, e.g., by employing a binary large object (BLOB) store. The </w:t>
      </w:r>
      <w:r w:rsidRPr="00AA6C13">
        <w:rPr>
          <w:i/>
          <w:iCs/>
        </w:rPr>
        <w:t>internal interface</w:t>
      </w:r>
      <w:r w:rsidRPr="00AA6C13">
        <w:t xml:space="preserve"> will store uploaded data sets here. Encryption of the data and version control are mandatory. Ideally, the public data sets and the private test data sets should be </w:t>
      </w:r>
      <w:r w:rsidR="00D53643" w:rsidRPr="00AA6C13">
        <w:t>"</w:t>
      </w:r>
      <w:r w:rsidRPr="00AA6C13">
        <w:t>physically</w:t>
      </w:r>
      <w:r w:rsidR="00D53643" w:rsidRPr="00AA6C13">
        <w:t>"</w:t>
      </w:r>
      <w:r w:rsidRPr="00AA6C13">
        <w:t xml:space="preserve"> separated from each other. While the public data sets should be downloadable by participants, the private test data sets </w:t>
      </w:r>
      <w:r w:rsidRPr="00AA6C13">
        <w:rPr>
          <w:u w:val="single"/>
        </w:rPr>
        <w:t>must never be disclosed</w:t>
      </w:r>
      <w:r w:rsidRPr="00AA6C13">
        <w:t xml:space="preserve"> to the participants. This is particularly important because the private test data serve for testing the generalization capabilities of the AI-based solutions in a fair manner. Crucially, and in contrast to some </w:t>
      </w:r>
      <w:r w:rsidR="00D53643" w:rsidRPr="00AA6C13">
        <w:t>"</w:t>
      </w:r>
      <w:r w:rsidRPr="00AA6C13">
        <w:t>data science challenges</w:t>
      </w:r>
      <w:r w:rsidR="00D53643" w:rsidRPr="00AA6C13">
        <w:t>"</w:t>
      </w:r>
      <w:r w:rsidRPr="00AA6C13">
        <w:t xml:space="preserve">, not only the true labels or annotations of the test data, but the entire test data sets including the </w:t>
      </w:r>
      <w:r w:rsidR="00D53643" w:rsidRPr="00AA6C13">
        <w:t>"</w:t>
      </w:r>
      <w:r w:rsidRPr="00AA6C13">
        <w:t>features</w:t>
      </w:r>
      <w:r w:rsidR="00D53643" w:rsidRPr="00AA6C13">
        <w:t>"</w:t>
      </w:r>
      <w:r w:rsidR="00F023FD" w:rsidRPr="00AA6C13">
        <w:t>,</w:t>
      </w:r>
      <w:r w:rsidRPr="00AA6C13">
        <w:t xml:space="preserve"> or </w:t>
      </w:r>
      <w:r w:rsidR="00D53643" w:rsidRPr="00AA6C13">
        <w:t>"</w:t>
      </w:r>
      <w:r w:rsidRPr="00AA6C13">
        <w:t>raw data</w:t>
      </w:r>
      <w:r w:rsidR="00D53643" w:rsidRPr="00AA6C13">
        <w:t>"</w:t>
      </w:r>
      <w:r w:rsidRPr="00AA6C13">
        <w:t xml:space="preserve"> </w:t>
      </w:r>
      <w:r w:rsidR="00F023FD" w:rsidRPr="00AA6C13">
        <w:t>must</w:t>
      </w:r>
      <w:r w:rsidRPr="00AA6C13">
        <w:t xml:space="preserve"> remain undisclosed. This has the following reason: Access to the private test data might tempt some participants to take unfair advantage by (asking human experts to label the test data and then) tuning their AI solution to produce good results on these test data (</w:t>
      </w:r>
      <w:r w:rsidR="00D53643" w:rsidRPr="00AA6C13">
        <w:t>"</w:t>
      </w:r>
      <w:r w:rsidRPr="00AA6C13">
        <w:t>overfitting</w:t>
      </w:r>
      <w:r w:rsidR="00D53643" w:rsidRPr="00AA6C13">
        <w:t>"</w:t>
      </w:r>
      <w:r w:rsidRPr="00AA6C13">
        <w:t>). Yet, this overfitting does not ensure that the solutions can generalize to other, previously unseen data, which is the core idea of the benchmarking framework. Besides, the private test data set may contain sensitive medical data which must not be accessible to the public.</w:t>
      </w:r>
    </w:p>
    <w:p w14:paraId="5133B0DE" w14:textId="112DA8AF" w:rsidR="000F37B9" w:rsidRPr="00AA6C13" w:rsidRDefault="000F37B9" w:rsidP="000F37B9">
      <w:r w:rsidRPr="00AA6C13">
        <w:rPr>
          <w:b/>
          <w:bCs/>
        </w:rPr>
        <w:t xml:space="preserve">Administration web client </w:t>
      </w:r>
      <w:r w:rsidRPr="00AA6C13">
        <w:t xml:space="preserve">– The </w:t>
      </w:r>
      <w:r w:rsidRPr="00AA6C13">
        <w:rPr>
          <w:i/>
          <w:iCs/>
        </w:rPr>
        <w:t>administration web client</w:t>
      </w:r>
      <w:r w:rsidRPr="00AA6C13">
        <w:t xml:space="preserve"> is a website only available to administrators. It provides a management frontend for benchmarking tasks, data sets, submitted solutions, and benchmarking results. The </w:t>
      </w:r>
      <w:r w:rsidRPr="00AA6C13">
        <w:rPr>
          <w:i/>
          <w:iCs/>
        </w:rPr>
        <w:t>administration web client</w:t>
      </w:r>
      <w:r w:rsidRPr="00AA6C13">
        <w:t xml:space="preserve"> interfaces with the </w:t>
      </w:r>
      <w:r w:rsidRPr="00AA6C13">
        <w:rPr>
          <w:i/>
          <w:iCs/>
        </w:rPr>
        <w:t>internal interface</w:t>
      </w:r>
      <w:r w:rsidRPr="00AA6C13">
        <w:t xml:space="preserve"> for the management tasks.</w:t>
      </w:r>
    </w:p>
    <w:p w14:paraId="47150832" w14:textId="78C2B860" w:rsidR="000F37B9" w:rsidRPr="00AA6C13" w:rsidRDefault="00C8176D" w:rsidP="00FB4FDD">
      <w:pPr>
        <w:pStyle w:val="Heading3"/>
      </w:pPr>
      <w:bookmarkStart w:id="174" w:name="__RefHeading___Toc5133_3617894909"/>
      <w:bookmarkStart w:id="175" w:name="_Toc134124098"/>
      <w:bookmarkStart w:id="176" w:name="_Toc142387535"/>
      <w:bookmarkEnd w:id="174"/>
      <w:r w:rsidRPr="00AA6C13">
        <w:lastRenderedPageBreak/>
        <w:t>9.1.2</w:t>
      </w:r>
      <w:r w:rsidRPr="00AA6C13">
        <w:tab/>
      </w:r>
      <w:r w:rsidR="000F37B9" w:rsidRPr="00AA6C13">
        <w:t>Public frontend</w:t>
      </w:r>
      <w:bookmarkEnd w:id="175"/>
      <w:bookmarkEnd w:id="176"/>
    </w:p>
    <w:p w14:paraId="3F684B8C" w14:textId="7CA13387" w:rsidR="002E2071" w:rsidRPr="00AA6C13" w:rsidRDefault="000F37B9" w:rsidP="000F37B9">
      <w:r w:rsidRPr="00AA6C13">
        <w:t xml:space="preserve">The </w:t>
      </w:r>
      <w:r w:rsidRPr="00AA6C13">
        <w:rPr>
          <w:i/>
          <w:iCs/>
        </w:rPr>
        <w:t>public frontend</w:t>
      </w:r>
      <w:r w:rsidRPr="00AA6C13">
        <w:t xml:space="preserve"> is comprised of a </w:t>
      </w:r>
      <w:r w:rsidRPr="00AA6C13">
        <w:rPr>
          <w:i/>
          <w:iCs/>
        </w:rPr>
        <w:t>public-facing web client</w:t>
      </w:r>
      <w:r w:rsidRPr="00AA6C13">
        <w:t xml:space="preserve">, which is a website that is the portal to all proposed benchmarking tasks. The </w:t>
      </w:r>
      <w:r w:rsidRPr="00AA6C13">
        <w:rPr>
          <w:i/>
          <w:iCs/>
        </w:rPr>
        <w:t>public-facing web client</w:t>
      </w:r>
      <w:r w:rsidRPr="00AA6C13">
        <w:t xml:space="preserve"> interfaces with the </w:t>
      </w:r>
      <w:r w:rsidRPr="00AA6C13">
        <w:rPr>
          <w:i/>
          <w:iCs/>
        </w:rPr>
        <w:t>internal interface</w:t>
      </w:r>
      <w:r w:rsidRPr="00AA6C13">
        <w:t xml:space="preserve"> to provide AI developers and other interested parties access to the published benchmarking tasks. Users </w:t>
      </w:r>
      <w:proofErr w:type="gramStart"/>
      <w:r w:rsidRPr="00AA6C13">
        <w:t>are able to</w:t>
      </w:r>
      <w:proofErr w:type="gramEnd"/>
      <w:r w:rsidRPr="00AA6C13">
        <w:t xml:space="preserve"> create a user account. Unauthenticated users and authenticated users, which are not signed up for a benchmarking task, will be presented a list of current benchmarking tasks and are able to search for benchmarking tasks by keywords. For each benchmarking task, a details page exists which contains the description of the benchmarking task and a deadline for submissions. Authenticated users will be able to sign up for a benchmarking task on the details page. Participants who have signed up for a benchmarking task will be able to access further documentation and examples, as well as the public (training or example) data set of the benchmarking task (if available). Furthermore, the website should provide participants with detailed information about the submission process.</w:t>
      </w:r>
    </w:p>
    <w:p w14:paraId="42377734" w14:textId="52165FDC" w:rsidR="000F37B9" w:rsidRPr="00AA6C13" w:rsidRDefault="000F37B9" w:rsidP="000F37B9">
      <w:r w:rsidRPr="00AA6C13">
        <w:t xml:space="preserve">A submission will consist of two parts: the software solution and the documentation. The software solution must be packaged in a standardized format, which contains everything needed to execute the solution. The documentation should be contained in a single document (e.g., PDF or text file). The details page of a benchmarking task provides the means to upload solutions and documentations. The upload must be performed via an encrypted communication channel (e.g., </w:t>
      </w:r>
      <w:r w:rsidRPr="00AA6C13">
        <w:rPr>
          <w:i/>
          <w:iCs/>
        </w:rPr>
        <w:t>HTTPS</w:t>
      </w:r>
      <w:r w:rsidRPr="00AA6C13">
        <w:t>), because the solutions may contain secret intellectual property/trade secrets of the participant. After validation of the submissions, it should be possible to display the results in customizable tables and visualisations to the participants, to benchmark organizers, and to selected expert evaluators. Results might be aggregated in optional and possibly anonymous rankings, with potentially multiple ranking schemes.</w:t>
      </w:r>
    </w:p>
    <w:p w14:paraId="64E4DB02" w14:textId="692F5935" w:rsidR="000F37B9" w:rsidRPr="00AA6C13" w:rsidRDefault="00C8176D" w:rsidP="00FB4FDD">
      <w:pPr>
        <w:pStyle w:val="Heading3"/>
      </w:pPr>
      <w:bookmarkStart w:id="177" w:name="__RefHeading___Toc5135_3617894909"/>
      <w:bookmarkStart w:id="178" w:name="_Toc134124099"/>
      <w:bookmarkStart w:id="179" w:name="_Toc142387536"/>
      <w:bookmarkEnd w:id="177"/>
      <w:r w:rsidRPr="00AA6C13">
        <w:t>9.1.3</w:t>
      </w:r>
      <w:r w:rsidRPr="00AA6C13">
        <w:tab/>
      </w:r>
      <w:r w:rsidR="000F37B9" w:rsidRPr="00AA6C13">
        <w:t>Execution environment</w:t>
      </w:r>
      <w:bookmarkEnd w:id="178"/>
      <w:bookmarkEnd w:id="179"/>
    </w:p>
    <w:p w14:paraId="3AB2C2C1" w14:textId="77777777" w:rsidR="000F37B9" w:rsidRPr="00AA6C13" w:rsidRDefault="000F37B9" w:rsidP="000F37B9">
      <w:r w:rsidRPr="00AA6C13">
        <w:t xml:space="preserve">The </w:t>
      </w:r>
      <w:r w:rsidRPr="00AA6C13">
        <w:rPr>
          <w:i/>
          <w:iCs/>
        </w:rPr>
        <w:t>execution environment</w:t>
      </w:r>
      <w:r w:rsidRPr="00AA6C13">
        <w:t xml:space="preserve"> consists of the </w:t>
      </w:r>
      <w:r w:rsidRPr="00AA6C13">
        <w:rPr>
          <w:i/>
          <w:iCs/>
        </w:rPr>
        <w:t>execution manager service</w:t>
      </w:r>
      <w:r w:rsidRPr="00AA6C13">
        <w:t xml:space="preserve"> and an </w:t>
      </w:r>
      <w:r w:rsidRPr="00AA6C13">
        <w:rPr>
          <w:i/>
          <w:iCs/>
        </w:rPr>
        <w:t>execution server pool</w:t>
      </w:r>
      <w:r w:rsidRPr="00AA6C13">
        <w:t xml:space="preserve"> on which </w:t>
      </w:r>
      <w:r w:rsidRPr="00AA6C13">
        <w:rPr>
          <w:i/>
          <w:iCs/>
        </w:rPr>
        <w:t>execution clients</w:t>
      </w:r>
      <w:r w:rsidRPr="00AA6C13">
        <w:t xml:space="preserve"> can be run. The </w:t>
      </w:r>
      <w:r w:rsidRPr="00AA6C13">
        <w:rPr>
          <w:i/>
          <w:iCs/>
        </w:rPr>
        <w:t>execution manager service</w:t>
      </w:r>
      <w:r w:rsidRPr="00AA6C13">
        <w:t xml:space="preserve"> orchestrates the benchmarking of the submitted software solutions and interfaces with the </w:t>
      </w:r>
      <w:r w:rsidRPr="00AA6C13">
        <w:rPr>
          <w:i/>
          <w:iCs/>
        </w:rPr>
        <w:t>internal interface</w:t>
      </w:r>
      <w:r w:rsidRPr="00AA6C13">
        <w:t xml:space="preserve"> to retrieve queued submissions as well as the private test data sets. The </w:t>
      </w:r>
      <w:r w:rsidRPr="00AA6C13">
        <w:rPr>
          <w:i/>
          <w:iCs/>
        </w:rPr>
        <w:t>execution server pool</w:t>
      </w:r>
      <w:r w:rsidRPr="00AA6C13">
        <w:t xml:space="preserve"> is a set of servers on which the actual execution of the software solutions is performed. Once a solution has been submitted by a participant, the software solution package is queued for benchmarking by the </w:t>
      </w:r>
      <w:r w:rsidRPr="00AA6C13">
        <w:rPr>
          <w:i/>
          <w:iCs/>
        </w:rPr>
        <w:t>administrative backend</w:t>
      </w:r>
      <w:r w:rsidRPr="00AA6C13">
        <w:t xml:space="preserve">. The </w:t>
      </w:r>
      <w:r w:rsidRPr="00AA6C13">
        <w:rPr>
          <w:i/>
          <w:iCs/>
        </w:rPr>
        <w:t>execution manager service</w:t>
      </w:r>
      <w:r w:rsidRPr="00AA6C13">
        <w:t xml:space="preserve"> will go through the queued submissions and schedule them to run on an </w:t>
      </w:r>
      <w:r w:rsidRPr="00AA6C13">
        <w:rPr>
          <w:i/>
          <w:iCs/>
        </w:rPr>
        <w:t>execution client</w:t>
      </w:r>
      <w:r w:rsidRPr="00AA6C13">
        <w:t xml:space="preserve"> in the </w:t>
      </w:r>
      <w:r w:rsidRPr="00AA6C13">
        <w:rPr>
          <w:i/>
          <w:iCs/>
        </w:rPr>
        <w:t>execution server pool</w:t>
      </w:r>
      <w:r w:rsidRPr="00AA6C13">
        <w:t xml:space="preserve">. When the </w:t>
      </w:r>
      <w:r w:rsidRPr="00AA6C13">
        <w:rPr>
          <w:i/>
          <w:iCs/>
        </w:rPr>
        <w:t xml:space="preserve">execution client </w:t>
      </w:r>
      <w:r w:rsidRPr="00AA6C13">
        <w:t xml:space="preserve">has completed the computations of the submitted software solution on the private test data as well as the calculation of the benchmarking metrics, it will report the results back to the </w:t>
      </w:r>
      <w:r w:rsidRPr="00AA6C13">
        <w:rPr>
          <w:i/>
          <w:iCs/>
        </w:rPr>
        <w:t>execution manager service</w:t>
      </w:r>
      <w:r w:rsidRPr="00AA6C13">
        <w:t xml:space="preserve">, which will in turn communicate them back to the </w:t>
      </w:r>
      <w:r w:rsidRPr="00AA6C13">
        <w:rPr>
          <w:i/>
          <w:iCs/>
        </w:rPr>
        <w:t>administrative backend</w:t>
      </w:r>
      <w:r w:rsidRPr="00AA6C13">
        <w:t>.</w:t>
      </w:r>
    </w:p>
    <w:p w14:paraId="76E63695" w14:textId="51A9D054" w:rsidR="000F37B9" w:rsidRPr="00AA6C13" w:rsidRDefault="000F37B9" w:rsidP="000F37B9">
      <w:r w:rsidRPr="00AA6C13">
        <w:t xml:space="preserve">Participants submit software solutions in the form of a standardized package. The packaging format could, for example, be a compressed file (ZIP, TAR GZIP etc.), which contains all files necessary to execute the solution. The package should contain a top-level executable (an EXE file or a </w:t>
      </w:r>
      <w:r w:rsidR="00AD4E9E" w:rsidRPr="00AA6C13">
        <w:t>b</w:t>
      </w:r>
      <w:r w:rsidRPr="00AA6C13">
        <w:t xml:space="preserve">atch file for a Windows environment, or a Linux executable or a Bash script file for a </w:t>
      </w:r>
      <w:proofErr w:type="spellStart"/>
      <w:r w:rsidR="00E57C68" w:rsidRPr="00AA6C13">
        <w:t>l</w:t>
      </w:r>
      <w:r w:rsidRPr="00AA6C13">
        <w:t>inux</w:t>
      </w:r>
      <w:proofErr w:type="spellEnd"/>
      <w:r w:rsidRPr="00AA6C13">
        <w:t xml:space="preserve"> environment), which is run by the </w:t>
      </w:r>
      <w:r w:rsidRPr="00AA6C13">
        <w:rPr>
          <w:i/>
          <w:iCs/>
        </w:rPr>
        <w:t>execution client</w:t>
      </w:r>
      <w:r w:rsidRPr="00AA6C13">
        <w:t xml:space="preserve">. It is important, that the software must adhere to a standardized interface, so that it can be automatically executed. This interface must be defined and documented, and may be implemented, for instance, through inter-process communication (IPC). The </w:t>
      </w:r>
      <w:r w:rsidRPr="00AA6C13">
        <w:rPr>
          <w:i/>
          <w:iCs/>
        </w:rPr>
        <w:t>execution client</w:t>
      </w:r>
      <w:r w:rsidRPr="00AA6C13">
        <w:t xml:space="preserve"> runs the executable from the solution package and passes it</w:t>
      </w:r>
      <w:r w:rsidR="001B16DB" w:rsidRPr="00AA6C13">
        <w:t>,</w:t>
      </w:r>
      <w:r w:rsidRPr="00AA6C13">
        <w:t xml:space="preserve"> all </w:t>
      </w:r>
      <w:r w:rsidR="001B16DB" w:rsidRPr="00AA6C13">
        <w:t xml:space="preserve">the </w:t>
      </w:r>
      <w:r w:rsidRPr="00AA6C13">
        <w:t xml:space="preserve">necessary information to use the IPC interface. The executable can then establish a connection to a process running on the </w:t>
      </w:r>
      <w:r w:rsidRPr="00AA6C13">
        <w:rPr>
          <w:i/>
          <w:iCs/>
        </w:rPr>
        <w:t>execution client</w:t>
      </w:r>
      <w:r w:rsidRPr="00AA6C13">
        <w:t xml:space="preserve">, from which it will receive the samples from the test data set and report back the inference result. This IPC interface could be implemented, e.g., as a local REST web service, which is only available via the local loopback address. This would ensure that the IPC protocol is cross-platform and could be used on Windows and </w:t>
      </w:r>
      <w:proofErr w:type="spellStart"/>
      <w:r w:rsidR="00DF2ACE" w:rsidRPr="00AA6C13">
        <w:t>l</w:t>
      </w:r>
      <w:r w:rsidRPr="00AA6C13">
        <w:t>inux</w:t>
      </w:r>
      <w:proofErr w:type="spellEnd"/>
      <w:r w:rsidRPr="00AA6C13">
        <w:t xml:space="preserve"> </w:t>
      </w:r>
      <w:r w:rsidRPr="00AA6C13">
        <w:rPr>
          <w:i/>
          <w:iCs/>
        </w:rPr>
        <w:t>execution clients</w:t>
      </w:r>
      <w:r w:rsidRPr="00AA6C13">
        <w:t xml:space="preserve"> alike.</w:t>
      </w:r>
    </w:p>
    <w:p w14:paraId="71347C82" w14:textId="5C9260C5" w:rsidR="002E2071" w:rsidRPr="00AA6C13" w:rsidRDefault="000F37B9" w:rsidP="000F37B9">
      <w:r w:rsidRPr="00AA6C13">
        <w:t xml:space="preserve">Since different AI developers may write software solutions in an array of different programming languages on different operating systems using a wide variety of AI software packages, the </w:t>
      </w:r>
      <w:r w:rsidRPr="00AA6C13">
        <w:rPr>
          <w:i/>
          <w:iCs/>
        </w:rPr>
        <w:t>execution environment</w:t>
      </w:r>
      <w:r w:rsidRPr="00AA6C13">
        <w:t xml:space="preserve"> must be very flexible </w:t>
      </w:r>
      <w:proofErr w:type="gramStart"/>
      <w:r w:rsidRPr="00AA6C13">
        <w:t>in order to</w:t>
      </w:r>
      <w:proofErr w:type="gramEnd"/>
      <w:r w:rsidRPr="00AA6C13">
        <w:t xml:space="preserve"> be able to cater to these unique specifications. This can </w:t>
      </w:r>
      <w:r w:rsidRPr="00AA6C13">
        <w:lastRenderedPageBreak/>
        <w:t>be best implemented by using some sort of containerization software (Docker, Mesos, Singularity/</w:t>
      </w:r>
      <w:proofErr w:type="spellStart"/>
      <w:r w:rsidRPr="00AA6C13">
        <w:t>Apptainer</w:t>
      </w:r>
      <w:proofErr w:type="spellEnd"/>
      <w:r w:rsidRPr="00AA6C13">
        <w:t xml:space="preserve"> etc.) or through virtualization (VMWare, Virtual Box, </w:t>
      </w:r>
      <w:proofErr w:type="spellStart"/>
      <w:r w:rsidRPr="00AA6C13">
        <w:t>HyperV</w:t>
      </w:r>
      <w:proofErr w:type="spellEnd"/>
      <w:r w:rsidR="00617C0D" w:rsidRPr="00AA6C13">
        <w:t>,</w:t>
      </w:r>
      <w:r w:rsidRPr="00AA6C13">
        <w:t xml:space="preserve"> etc.). Each solution package must contain – besides the actual software – information about the desired execution environment (e.g., in the form of an XML or JSON document), which consists of a specific operating system and version (e.g., Windows 10, </w:t>
      </w:r>
      <w:r w:rsidR="00347EA6" w:rsidRPr="00AA6C13">
        <w:t>u</w:t>
      </w:r>
      <w:r w:rsidRPr="00AA6C13">
        <w:t>buntu 20.04</w:t>
      </w:r>
      <w:r w:rsidR="00B92461" w:rsidRPr="00AA6C13">
        <w:t>.6</w:t>
      </w:r>
      <w:r w:rsidRPr="00AA6C13">
        <w:t xml:space="preserve"> LTS, </w:t>
      </w:r>
      <w:proofErr w:type="spellStart"/>
      <w:r w:rsidR="00A35B3F" w:rsidRPr="00AA6C13">
        <w:t>d</w:t>
      </w:r>
      <w:r w:rsidRPr="00AA6C13">
        <w:t>ebian</w:t>
      </w:r>
      <w:proofErr w:type="spellEnd"/>
      <w:r w:rsidRPr="00AA6C13">
        <w:t xml:space="preserve"> </w:t>
      </w:r>
      <w:r w:rsidR="000A75B9" w:rsidRPr="00AA6C13">
        <w:t>"s</w:t>
      </w:r>
      <w:r w:rsidRPr="00AA6C13">
        <w:t>tretch</w:t>
      </w:r>
      <w:r w:rsidR="000A75B9" w:rsidRPr="00AA6C13">
        <w:t>"</w:t>
      </w:r>
      <w:r w:rsidRPr="00AA6C13">
        <w:t xml:space="preserve">, etc.), a runtime (e.g., .NET, Python, Java, etc.), and a list of dependencies that have to be installed (e.g., .NET NuGet packages, Python </w:t>
      </w:r>
      <w:proofErr w:type="spellStart"/>
      <w:r w:rsidRPr="00AA6C13">
        <w:t>PyPI</w:t>
      </w:r>
      <w:proofErr w:type="spellEnd"/>
      <w:r w:rsidRPr="00AA6C13">
        <w:t xml:space="preserve"> packages, Debian APT packages, </w:t>
      </w:r>
      <w:r w:rsidR="00F3399E" w:rsidRPr="00AA6C13">
        <w:t>c</w:t>
      </w:r>
      <w:r w:rsidRPr="00AA6C13">
        <w:t>hocolatey packages</w:t>
      </w:r>
      <w:r w:rsidR="00053F61" w:rsidRPr="00AA6C13">
        <w:t>,</w:t>
      </w:r>
      <w:r w:rsidRPr="00AA6C13">
        <w:t xml:space="preserve"> etc.). This is needed by the </w:t>
      </w:r>
      <w:r w:rsidRPr="00AA6C13">
        <w:rPr>
          <w:i/>
          <w:iCs/>
        </w:rPr>
        <w:t>execution manager service</w:t>
      </w:r>
      <w:r w:rsidRPr="00AA6C13">
        <w:t xml:space="preserve"> to set up an </w:t>
      </w:r>
      <w:r w:rsidRPr="00AA6C13">
        <w:rPr>
          <w:i/>
          <w:iCs/>
        </w:rPr>
        <w:t>execution client</w:t>
      </w:r>
      <w:r w:rsidRPr="00AA6C13">
        <w:t xml:space="preserve"> for the benchmarking. For this purpose, the </w:t>
      </w:r>
      <w:r w:rsidRPr="00AA6C13">
        <w:rPr>
          <w:i/>
          <w:iCs/>
        </w:rPr>
        <w:t>execution manager service</w:t>
      </w:r>
      <w:r w:rsidRPr="00AA6C13">
        <w:t xml:space="preserve"> should maintain a set of </w:t>
      </w:r>
      <w:r w:rsidR="00D53643" w:rsidRPr="00AA6C13">
        <w:t>"</w:t>
      </w:r>
      <w:r w:rsidRPr="00AA6C13">
        <w:t>base images</w:t>
      </w:r>
      <w:r w:rsidR="00D53643" w:rsidRPr="00AA6C13">
        <w:t>"</w:t>
      </w:r>
      <w:r w:rsidRPr="00AA6C13">
        <w:t xml:space="preserve"> for all supported operating systems. These base images should contain a stripped-down version of the operating system as well as a service, which is started once the container/virtual machine is launched. This service can receive and execute commands from the </w:t>
      </w:r>
      <w:r w:rsidRPr="00AA6C13">
        <w:rPr>
          <w:i/>
          <w:iCs/>
        </w:rPr>
        <w:t>execution manager service</w:t>
      </w:r>
      <w:r w:rsidRPr="00AA6C13">
        <w:t>.</w:t>
      </w:r>
    </w:p>
    <w:p w14:paraId="507E3331" w14:textId="6D84375D" w:rsidR="000F37B9" w:rsidRPr="00AA6C13" w:rsidRDefault="000F37B9" w:rsidP="000F37B9">
      <w:r w:rsidRPr="00AA6C13">
        <w:t xml:space="preserve">When scheduling a submission for benchmarking, the </w:t>
      </w:r>
      <w:r w:rsidRPr="00AA6C13">
        <w:rPr>
          <w:i/>
          <w:iCs/>
        </w:rPr>
        <w:t>execution manager service</w:t>
      </w:r>
      <w:r w:rsidRPr="00AA6C13">
        <w:t xml:space="preserve"> finds the next server in the </w:t>
      </w:r>
      <w:r w:rsidRPr="00AA6C13">
        <w:rPr>
          <w:i/>
          <w:iCs/>
        </w:rPr>
        <w:t>execution server pool</w:t>
      </w:r>
      <w:r w:rsidRPr="00AA6C13">
        <w:t xml:space="preserve">, which has sufficient available resources to run an execution client (e.g., using a scheduling algorithm like round robin). Then, the </w:t>
      </w:r>
      <w:r w:rsidRPr="00AA6C13">
        <w:rPr>
          <w:i/>
          <w:iCs/>
        </w:rPr>
        <w:t>execution manager service</w:t>
      </w:r>
      <w:r w:rsidRPr="00AA6C13">
        <w:t xml:space="preserve"> reads the environment specification from the package and chooses the correct base image, based on the operating system specified in the environment specification. It creates a new </w:t>
      </w:r>
      <w:r w:rsidRPr="00AA6C13">
        <w:rPr>
          <w:i/>
          <w:iCs/>
        </w:rPr>
        <w:t>execution client</w:t>
      </w:r>
      <w:r w:rsidRPr="00AA6C13">
        <w:t xml:space="preserve"> by starting a new container</w:t>
      </w:r>
      <w:r w:rsidR="00096CF6" w:rsidRPr="00AA6C13">
        <w:t xml:space="preserve"> </w:t>
      </w:r>
      <w:r w:rsidRPr="00AA6C13">
        <w:t>/</w:t>
      </w:r>
      <w:r w:rsidR="00096CF6" w:rsidRPr="00AA6C13">
        <w:t xml:space="preserve"> </w:t>
      </w:r>
      <w:r w:rsidRPr="00AA6C13">
        <w:t>virtual machine using the selected base image. Then, it connects to the service running inside the container</w:t>
      </w:r>
      <w:r w:rsidR="0060114E" w:rsidRPr="00AA6C13">
        <w:t xml:space="preserve"> </w:t>
      </w:r>
      <w:r w:rsidRPr="00AA6C13">
        <w:t>/</w:t>
      </w:r>
      <w:r w:rsidR="0060114E" w:rsidRPr="00AA6C13">
        <w:t xml:space="preserve"> </w:t>
      </w:r>
      <w:r w:rsidRPr="00AA6C13">
        <w:t>virtual machine and issues commands to install the specified runtime (e.g., .NET, Python, Java</w:t>
      </w:r>
      <w:r w:rsidR="00E65875" w:rsidRPr="00AA6C13">
        <w:t>,</w:t>
      </w:r>
      <w:r w:rsidRPr="00AA6C13">
        <w:t xml:space="preserve"> etc.) and the specified dependencies. When the </w:t>
      </w:r>
      <w:r w:rsidRPr="00AA6C13">
        <w:rPr>
          <w:i/>
          <w:iCs/>
        </w:rPr>
        <w:t>execution client</w:t>
      </w:r>
      <w:r w:rsidRPr="00AA6C13">
        <w:t xml:space="preserve"> is ready, the private test data are retrieved from the </w:t>
      </w:r>
      <w:r w:rsidRPr="00AA6C13">
        <w:rPr>
          <w:i/>
          <w:iCs/>
        </w:rPr>
        <w:t xml:space="preserve">administrative backend. </w:t>
      </w:r>
      <w:r w:rsidRPr="00AA6C13">
        <w:t xml:space="preserve">The true labels or annotations of the test data must be strictly withheld from the AI model that must have access only to the </w:t>
      </w:r>
      <w:r w:rsidRPr="00AA6C13">
        <w:rPr>
          <w:u w:val="single"/>
        </w:rPr>
        <w:t>unlabelled</w:t>
      </w:r>
      <w:r w:rsidR="003D0A58" w:rsidRPr="00AA6C13">
        <w:t xml:space="preserve"> </w:t>
      </w:r>
      <w:r w:rsidRPr="00AA6C13">
        <w:t xml:space="preserve">/ </w:t>
      </w:r>
      <w:r w:rsidRPr="00AA6C13">
        <w:rPr>
          <w:u w:val="single"/>
        </w:rPr>
        <w:t>unannotated</w:t>
      </w:r>
      <w:r w:rsidRPr="00AA6C13">
        <w:t xml:space="preserve"> data points (i.e., </w:t>
      </w:r>
      <w:r w:rsidR="00D53643" w:rsidRPr="00AA6C13">
        <w:t>"</w:t>
      </w:r>
      <w:r w:rsidRPr="00AA6C13">
        <w:t>features</w:t>
      </w:r>
      <w:r w:rsidR="00D53643" w:rsidRPr="00AA6C13">
        <w:t>"</w:t>
      </w:r>
      <w:r w:rsidRPr="00AA6C13">
        <w:t xml:space="preserve">). Subsequently, the software solution is uploaded to the </w:t>
      </w:r>
      <w:r w:rsidRPr="00AA6C13">
        <w:rPr>
          <w:i/>
          <w:iCs/>
        </w:rPr>
        <w:t>execution client</w:t>
      </w:r>
      <w:r w:rsidRPr="00AA6C13">
        <w:t>, unpacked, and run. Now, the solution generates output variables y = f(x) from the test data x.</w:t>
      </w:r>
      <w:r w:rsidR="002E2071" w:rsidRPr="00AA6C13">
        <w:t xml:space="preserve"> </w:t>
      </w:r>
      <w:r w:rsidRPr="00AA6C13">
        <w:t>A strictly separate functionality, that the to-be-tested AI model cannot interfere with (!), then calculates the benchmarking metrics by comparing the reported results with the true labels or annotations using the respective statistical metrics. These metrics need to be specified for each benchmarking task (accuracy, F1 score, precision, recall, ROC/</w:t>
      </w:r>
      <w:proofErr w:type="spellStart"/>
      <w:r w:rsidRPr="00AA6C13">
        <w:t>AuC</w:t>
      </w:r>
      <w:proofErr w:type="spellEnd"/>
      <w:r w:rsidRPr="00AA6C13">
        <w:t>, Jaccard index</w:t>
      </w:r>
      <w:r w:rsidR="00F023EF" w:rsidRPr="00AA6C13">
        <w:t>,</w:t>
      </w:r>
      <w:r w:rsidRPr="00AA6C13">
        <w:t xml:space="preserve"> etc.). These results are reported back to the </w:t>
      </w:r>
      <w:r w:rsidRPr="00AA6C13">
        <w:rPr>
          <w:i/>
          <w:iCs/>
        </w:rPr>
        <w:t>execution manager service.</w:t>
      </w:r>
    </w:p>
    <w:p w14:paraId="7AF74EFA" w14:textId="79FC7273" w:rsidR="002E2071" w:rsidRPr="00AA6C13" w:rsidRDefault="000F37B9" w:rsidP="000F37B9">
      <w:r w:rsidRPr="00AA6C13">
        <w:t xml:space="preserve">The </w:t>
      </w:r>
      <w:r w:rsidRPr="00AA6C13">
        <w:rPr>
          <w:i/>
          <w:iCs/>
        </w:rPr>
        <w:t>execution clients</w:t>
      </w:r>
      <w:r w:rsidRPr="00AA6C13">
        <w:t xml:space="preserve"> must not be able to connect to any public network </w:t>
      </w:r>
      <w:proofErr w:type="gramStart"/>
      <w:r w:rsidRPr="00AA6C13">
        <w:t>in order to</w:t>
      </w:r>
      <w:proofErr w:type="gramEnd"/>
      <w:r w:rsidRPr="00AA6C13">
        <w:t xml:space="preserve"> keep the test data secret. This is of paramount importance for a fair validation and for protecting sensitive, personal, medical data. In addition, </w:t>
      </w:r>
      <w:r w:rsidRPr="00AA6C13">
        <w:rPr>
          <w:i/>
          <w:iCs/>
        </w:rPr>
        <w:t>execution clients</w:t>
      </w:r>
      <w:r w:rsidRPr="00AA6C13">
        <w:t xml:space="preserve"> must not be able to connect to other </w:t>
      </w:r>
      <w:r w:rsidRPr="00AA6C13">
        <w:rPr>
          <w:i/>
          <w:iCs/>
        </w:rPr>
        <w:t>execution clients</w:t>
      </w:r>
      <w:r w:rsidRPr="00AA6C13">
        <w:t xml:space="preserve">, </w:t>
      </w:r>
      <w:proofErr w:type="gramStart"/>
      <w:r w:rsidRPr="00AA6C13">
        <w:t>in order to</w:t>
      </w:r>
      <w:proofErr w:type="gramEnd"/>
      <w:r w:rsidRPr="00AA6C13">
        <w:t xml:space="preserve"> protect intellectual property</w:t>
      </w:r>
      <w:r w:rsidR="006A3046" w:rsidRPr="00AA6C13">
        <w:t xml:space="preserve"> </w:t>
      </w:r>
      <w:r w:rsidRPr="00AA6C13">
        <w:t>/</w:t>
      </w:r>
      <w:r w:rsidR="006A3046" w:rsidRPr="00AA6C13">
        <w:t xml:space="preserve"> </w:t>
      </w:r>
      <w:r w:rsidRPr="00AA6C13">
        <w:t xml:space="preserve">trade secrets by keeping every software solution secret. Therefore, the </w:t>
      </w:r>
      <w:r w:rsidRPr="00AA6C13">
        <w:rPr>
          <w:i/>
          <w:iCs/>
        </w:rPr>
        <w:t>execution manager service</w:t>
      </w:r>
      <w:r w:rsidRPr="00AA6C13">
        <w:t xml:space="preserve"> must establish a private network for each </w:t>
      </w:r>
      <w:r w:rsidRPr="00AA6C13">
        <w:rPr>
          <w:i/>
          <w:iCs/>
        </w:rPr>
        <w:t>execution client</w:t>
      </w:r>
      <w:r w:rsidRPr="00AA6C13">
        <w:t>. Error handling and monitoring must be addressed appropriately, without leaking any information about the test data to the participants (or about the solutions of other participants). Submitted solutions are expected to require graphics processing unit (GPU) access in the execution environment - for model execution, not for the typically more resource intensive model training.</w:t>
      </w:r>
    </w:p>
    <w:p w14:paraId="6049D189" w14:textId="60FA40A1" w:rsidR="000F37B9" w:rsidRPr="00AA6C13" w:rsidRDefault="00C8176D" w:rsidP="00242F4D">
      <w:pPr>
        <w:pStyle w:val="Heading2"/>
      </w:pPr>
      <w:bookmarkStart w:id="180" w:name="__RefHeading___Toc5137_3617894909"/>
      <w:bookmarkStart w:id="181" w:name="_Toc134124100"/>
      <w:bookmarkStart w:id="182" w:name="_Toc142387537"/>
      <w:bookmarkStart w:id="183" w:name="_Toc155950655"/>
      <w:bookmarkStart w:id="184" w:name="_Toc155950821"/>
      <w:bookmarkEnd w:id="180"/>
      <w:r w:rsidRPr="00AA6C13">
        <w:t>9.2</w:t>
      </w:r>
      <w:r w:rsidRPr="00AA6C13">
        <w:tab/>
      </w:r>
      <w:r w:rsidR="000F37B9" w:rsidRPr="00AA6C13">
        <w:t>General considerations</w:t>
      </w:r>
      <w:bookmarkEnd w:id="181"/>
      <w:bookmarkEnd w:id="182"/>
      <w:bookmarkEnd w:id="183"/>
      <w:bookmarkEnd w:id="184"/>
    </w:p>
    <w:p w14:paraId="7B047EBA" w14:textId="77777777" w:rsidR="002E2071" w:rsidRPr="00AA6C13" w:rsidRDefault="000F37B9" w:rsidP="000F37B9">
      <w:r w:rsidRPr="00AA6C13">
        <w:t>Besides the specific requirements for each of the described components, there are general considerations, which apply to the entire system and to every component. These considerations subdivide into security, hosting, computing resources, and availability.</w:t>
      </w:r>
    </w:p>
    <w:p w14:paraId="76D4DB56" w14:textId="4A7ADC14" w:rsidR="000F37B9" w:rsidRPr="00AA6C13" w:rsidRDefault="00C8176D" w:rsidP="00FB4FDD">
      <w:pPr>
        <w:pStyle w:val="Heading3"/>
      </w:pPr>
      <w:bookmarkStart w:id="185" w:name="__RefHeading___Toc5139_3617894909"/>
      <w:bookmarkStart w:id="186" w:name="_Toc134124101"/>
      <w:bookmarkStart w:id="187" w:name="_Toc142387538"/>
      <w:bookmarkEnd w:id="185"/>
      <w:r w:rsidRPr="00AA6C13">
        <w:t>9.2.1</w:t>
      </w:r>
      <w:r w:rsidRPr="00AA6C13">
        <w:tab/>
      </w:r>
      <w:r w:rsidR="000F37B9" w:rsidRPr="00AA6C13">
        <w:t>Security</w:t>
      </w:r>
      <w:bookmarkEnd w:id="186"/>
      <w:bookmarkEnd w:id="187"/>
    </w:p>
    <w:p w14:paraId="38768A59" w14:textId="77777777" w:rsidR="002E2071" w:rsidRPr="00AA6C13" w:rsidRDefault="000F37B9" w:rsidP="000F37B9">
      <w:r w:rsidRPr="00AA6C13">
        <w:t xml:space="preserve">Test data and submitted AI solutions to-be-validated must be protected with the highest possible security standards and </w:t>
      </w:r>
      <w:proofErr w:type="gramStart"/>
      <w:r w:rsidRPr="00AA6C13">
        <w:t>have to</w:t>
      </w:r>
      <w:proofErr w:type="gramEnd"/>
      <w:r w:rsidRPr="00AA6C13">
        <w:t xml:space="preserve"> remain undisclosed. Thus, the assessment framework and all of its software components must adhere to the state of the art in computer security and the current universally valid standards in this field, and all involved server infrastructure must be kept </w:t>
      </w:r>
      <w:proofErr w:type="gramStart"/>
      <w:r w:rsidRPr="00AA6C13">
        <w:t>up-to-date</w:t>
      </w:r>
      <w:proofErr w:type="gramEnd"/>
      <w:r w:rsidRPr="00AA6C13">
        <w:t xml:space="preserve">. Communication between the components as well as all external communication should be done using </w:t>
      </w:r>
      <w:r w:rsidRPr="00AA6C13">
        <w:lastRenderedPageBreak/>
        <w:t xml:space="preserve">secure protocols (i.e., </w:t>
      </w:r>
      <w:r w:rsidRPr="00AA6C13">
        <w:rPr>
          <w:i/>
          <w:iCs/>
        </w:rPr>
        <w:t>HTTPS</w:t>
      </w:r>
      <w:r w:rsidRPr="00AA6C13">
        <w:t>). The safety of the software system as well as the server infrastructure should be automatically tested for vulnerabilities on a regular basis.</w:t>
      </w:r>
    </w:p>
    <w:p w14:paraId="20C1AB49" w14:textId="06DA9EF9" w:rsidR="000F37B9" w:rsidRPr="00AA6C13" w:rsidRDefault="00C8176D" w:rsidP="00FB4FDD">
      <w:pPr>
        <w:pStyle w:val="Heading3"/>
      </w:pPr>
      <w:bookmarkStart w:id="188" w:name="__RefHeading___Toc5141_3617894909"/>
      <w:bookmarkStart w:id="189" w:name="_Toc134124102"/>
      <w:bookmarkStart w:id="190" w:name="_Toc142387539"/>
      <w:bookmarkEnd w:id="188"/>
      <w:r w:rsidRPr="00AA6C13">
        <w:t>9.2.2</w:t>
      </w:r>
      <w:r w:rsidRPr="00AA6C13">
        <w:tab/>
      </w:r>
      <w:r w:rsidR="000F37B9" w:rsidRPr="00AA6C13">
        <w:t>Hosting</w:t>
      </w:r>
      <w:bookmarkEnd w:id="189"/>
      <w:bookmarkEnd w:id="190"/>
    </w:p>
    <w:p w14:paraId="40D4E457" w14:textId="23570B3B" w:rsidR="000F37B9" w:rsidRPr="00AA6C13" w:rsidRDefault="000F37B9" w:rsidP="000F37B9">
      <w:r w:rsidRPr="00AA6C13">
        <w:t>Another consideration for the assessment system is the question of hosting. The whole system should be run by a trusted third party in a private data centre, which appears to be the most secure option in terms of data protection. Sensitive medical data and intellectual property will remain in the hands of the trusted third party only. This hosting option seems to be the favoured solution because it provides a maximum of security and trust for the contributors of data and the submitters of the health AI solutions to-be-benchmarked. Nevertheless, managing a custom data centre takes a lot of effort. The alternative is to run the system in the public cloud, for instance Microsoft Azure or Amazon AWS. These services already offer professional solutions to many problems stated in this document: professionally managed computing, highly available and secure databases, BLOB storage</w:t>
      </w:r>
      <w:r w:rsidR="00ED2B60" w:rsidRPr="00AA6C13">
        <w:t>,</w:t>
      </w:r>
      <w:r w:rsidRPr="00AA6C13">
        <w:t xml:space="preserve"> etc. Furthermore, public clouds operate on a pay-as-you-go basis, which makes them highly cost effective. For example, the load on the </w:t>
      </w:r>
      <w:r w:rsidRPr="00AA6C13">
        <w:rPr>
          <w:i/>
          <w:iCs/>
        </w:rPr>
        <w:t>execution server pool</w:t>
      </w:r>
      <w:r w:rsidRPr="00AA6C13">
        <w:t xml:space="preserve"> is not constant but highly temporally limited to the period immediately after the deadline of a benchmarking task and low in the meantime. This poses a dilemma: on the one hand, there should be enough resources for times of peak workload, but on the other hand, the machines should not be idle in times of low load. When hosting the system in a private data centre, an adequate number of servers must be </w:t>
      </w:r>
      <w:proofErr w:type="gramStart"/>
      <w:r w:rsidRPr="00AA6C13">
        <w:t>managed and kept available at all times</w:t>
      </w:r>
      <w:proofErr w:type="gramEnd"/>
      <w:r w:rsidRPr="00AA6C13">
        <w:t xml:space="preserve"> while from a cloud service, virtual machines may be rented by the minute.</w:t>
      </w:r>
    </w:p>
    <w:p w14:paraId="4248A8C2" w14:textId="07A4F49A" w:rsidR="000F37B9" w:rsidRPr="00AA6C13" w:rsidRDefault="00C8176D" w:rsidP="00FB4FDD">
      <w:pPr>
        <w:pStyle w:val="Heading3"/>
      </w:pPr>
      <w:bookmarkStart w:id="191" w:name="__RefHeading___Toc5143_3617894909"/>
      <w:bookmarkStart w:id="192" w:name="_Toc134124103"/>
      <w:bookmarkStart w:id="193" w:name="_Toc142387540"/>
      <w:bookmarkEnd w:id="191"/>
      <w:r w:rsidRPr="00AA6C13">
        <w:t>9.2.3</w:t>
      </w:r>
      <w:r w:rsidRPr="00AA6C13">
        <w:tab/>
      </w:r>
      <w:r w:rsidR="000F37B9" w:rsidRPr="00AA6C13">
        <w:t>Computing resources</w:t>
      </w:r>
      <w:bookmarkEnd w:id="192"/>
      <w:bookmarkEnd w:id="193"/>
    </w:p>
    <w:p w14:paraId="787EFB6E" w14:textId="77777777" w:rsidR="000F37B9" w:rsidRPr="00AA6C13" w:rsidRDefault="000F37B9" w:rsidP="00C8176D">
      <w:r w:rsidRPr="00AA6C13">
        <w:t>The computing resources required for the benchmarking platform depend on the number and the difficulty of the offered benchmarking tasks and on the quantity and properties of the future AI submissions and test data. The submitted AI solutions to-be-benchmarked will vary in terms of the required computing resources. Some solutions may need graphics processing unit (GPU) access, others not. Memory requirements will differ between submitted AI solutions. Storage space for test data in the data set store will depend on the benchmarking tasks.</w:t>
      </w:r>
    </w:p>
    <w:p w14:paraId="3A80ACD0" w14:textId="1ABCF582" w:rsidR="000F37B9" w:rsidRPr="00AA6C13" w:rsidRDefault="00C8176D" w:rsidP="00FB4FDD">
      <w:pPr>
        <w:pStyle w:val="Heading3"/>
      </w:pPr>
      <w:bookmarkStart w:id="194" w:name="__RefHeading___Toc5145_3617894909"/>
      <w:bookmarkStart w:id="195" w:name="_Toc134124104"/>
      <w:bookmarkStart w:id="196" w:name="_Toc142387541"/>
      <w:bookmarkEnd w:id="194"/>
      <w:r w:rsidRPr="00AA6C13">
        <w:t>9.2.4</w:t>
      </w:r>
      <w:r w:rsidRPr="00AA6C13">
        <w:tab/>
      </w:r>
      <w:r w:rsidR="000F37B9" w:rsidRPr="00AA6C13">
        <w:t>Availability</w:t>
      </w:r>
      <w:bookmarkEnd w:id="195"/>
      <w:bookmarkEnd w:id="196"/>
    </w:p>
    <w:p w14:paraId="3CB9FA2B" w14:textId="77777777" w:rsidR="002E2071" w:rsidRPr="00AA6C13" w:rsidRDefault="000F37B9" w:rsidP="00C8176D">
      <w:r w:rsidRPr="00AA6C13">
        <w:t xml:space="preserve">It is to be expected that AI developers and other interested parties from all over the world will participate in the offered benchmarking tasks. Therefore, the </w:t>
      </w:r>
      <w:r w:rsidRPr="00AA6C13">
        <w:rPr>
          <w:i/>
          <w:iCs/>
        </w:rPr>
        <w:t>frontend web client</w:t>
      </w:r>
      <w:r w:rsidRPr="00AA6C13">
        <w:t xml:space="preserve"> should work reliably worldwide, even under high workload. Finally, server infrastructure may fail due to several reasons, including software or hardware failures. Furthermore, single servers need to be taken down regularly for software updates. </w:t>
      </w:r>
      <w:proofErr w:type="gramStart"/>
      <w:r w:rsidRPr="00AA6C13">
        <w:t>In order to</w:t>
      </w:r>
      <w:proofErr w:type="gramEnd"/>
      <w:r w:rsidRPr="00AA6C13">
        <w:t xml:space="preserve"> be able to continue operation even in the event of failure, the whole system should be implemented with fault tolerance in mind, and regular backups need to be considered.</w:t>
      </w:r>
    </w:p>
    <w:p w14:paraId="0D3F63E9" w14:textId="1E4A50A9" w:rsidR="002E2071" w:rsidRPr="00AA6C13" w:rsidRDefault="00C8176D" w:rsidP="009F1217">
      <w:pPr>
        <w:pStyle w:val="Heading1"/>
      </w:pPr>
      <w:bookmarkStart w:id="197" w:name="__RefHeading___Toc5147_3617894909"/>
      <w:bookmarkStart w:id="198" w:name="_Toc60893167"/>
      <w:bookmarkStart w:id="199" w:name="_Toc134124105"/>
      <w:bookmarkStart w:id="200" w:name="_Toc142387542"/>
      <w:bookmarkStart w:id="201" w:name="_Toc155950656"/>
      <w:bookmarkStart w:id="202" w:name="_Toc155950822"/>
      <w:bookmarkEnd w:id="197"/>
      <w:r w:rsidRPr="00AA6C13">
        <w:t>10</w:t>
      </w:r>
      <w:r w:rsidRPr="00AA6C13">
        <w:tab/>
      </w:r>
      <w:r w:rsidR="000F37B9" w:rsidRPr="00AA6C13">
        <w:t xml:space="preserve">Best practices for the testing, </w:t>
      </w:r>
      <w:r w:rsidR="000F37B9" w:rsidRPr="00AA6C13">
        <w:rPr>
          <w:lang w:bidi="ar-DZ"/>
        </w:rPr>
        <w:t xml:space="preserve">validation, benchmarking and evaluation of health AI/ML models </w:t>
      </w:r>
      <w:r w:rsidR="000F37B9" w:rsidRPr="00AA6C13">
        <w:t>from the scientific literature and other documents</w:t>
      </w:r>
      <w:bookmarkEnd w:id="198"/>
      <w:bookmarkEnd w:id="199"/>
      <w:bookmarkEnd w:id="200"/>
      <w:bookmarkEnd w:id="201"/>
      <w:bookmarkEnd w:id="202"/>
    </w:p>
    <w:p w14:paraId="0E3CE613" w14:textId="77777777" w:rsidR="002E2071" w:rsidRPr="00AA6C13" w:rsidRDefault="000F37B9" w:rsidP="00C8176D">
      <w:pPr>
        <w:rPr>
          <w:lang w:bidi="ar-DZ"/>
        </w:rPr>
      </w:pPr>
      <w:r w:rsidRPr="00AA6C13">
        <w:rPr>
          <w:lang w:bidi="ar-DZ"/>
        </w:rPr>
        <w:t>A non-comprehensive collection of recommendations, best practices, insights and perspectives from the scientific literature and other documents concerned with the testing, validation and evaluation of AI/ML models and health technology is presented here.</w:t>
      </w:r>
    </w:p>
    <w:p w14:paraId="71B79BCA" w14:textId="5D56A22F" w:rsidR="002E2071" w:rsidRPr="00AA6C13" w:rsidRDefault="000F37B9" w:rsidP="00C8176D">
      <w:pPr>
        <w:rPr>
          <w:rFonts w:eastAsia="Times New Roman"/>
          <w:lang w:eastAsia="de-DE"/>
        </w:rPr>
      </w:pPr>
      <w:r w:rsidRPr="00AA6C13">
        <w:rPr>
          <w:lang w:bidi="ar-DZ"/>
        </w:rPr>
        <w:t xml:space="preserve">Boldface type highlights text passages that were considered as particularly relevant for the evaluation of AI for health (boldface in this </w:t>
      </w:r>
      <w:r w:rsidR="00E030E9" w:rsidRPr="00AA6C13">
        <w:rPr>
          <w:lang w:bidi="ar-DZ"/>
        </w:rPr>
        <w:t>Technical Report</w:t>
      </w:r>
      <w:r w:rsidRPr="00AA6C13">
        <w:rPr>
          <w:lang w:bidi="ar-DZ"/>
        </w:rPr>
        <w:t>; not in the original source).</w:t>
      </w:r>
    </w:p>
    <w:p w14:paraId="4423DA33" w14:textId="3928EA77" w:rsidR="000F37B9" w:rsidRPr="00AA6C13" w:rsidRDefault="000F37B9" w:rsidP="000F37B9">
      <w:pPr>
        <w:spacing w:before="0"/>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18BDCA51" w14:textId="77777777" w:rsidTr="00C8176D">
        <w:trPr>
          <w:jc w:val="center"/>
        </w:trPr>
        <w:tc>
          <w:tcPr>
            <w:tcW w:w="9629" w:type="dxa"/>
            <w:shd w:val="clear" w:color="auto" w:fill="E7E6E6" w:themeFill="background2"/>
          </w:tcPr>
          <w:p w14:paraId="2E76A5A7" w14:textId="7CC27A72" w:rsidR="000F37B9" w:rsidRPr="00AA6C13" w:rsidRDefault="000F37B9" w:rsidP="00482D83">
            <w:pPr>
              <w:rPr>
                <w:b/>
                <w:bCs/>
                <w:lang w:bidi="ar-DZ"/>
              </w:rPr>
            </w:pPr>
            <w:r w:rsidRPr="00AA6C13">
              <w:rPr>
                <w:b/>
                <w:bCs/>
                <w:lang w:bidi="ar-DZ"/>
              </w:rPr>
              <w:t>Digital health: a path to validation</w:t>
            </w:r>
            <w:r w:rsidR="00BA14F0" w:rsidRPr="00AA6C13">
              <w:rPr>
                <w:b/>
                <w:bCs/>
                <w:lang w:bidi="ar-DZ"/>
              </w:rPr>
              <w:t>.</w:t>
            </w:r>
          </w:p>
        </w:tc>
      </w:tr>
      <w:tr w:rsidR="000F37B9" w:rsidRPr="00AA6C13" w14:paraId="66215070" w14:textId="77777777" w:rsidTr="00C8176D">
        <w:trPr>
          <w:jc w:val="center"/>
        </w:trPr>
        <w:tc>
          <w:tcPr>
            <w:tcW w:w="9629" w:type="dxa"/>
          </w:tcPr>
          <w:p w14:paraId="44074650" w14:textId="083C76DA" w:rsidR="000F37B9" w:rsidRPr="00AA6C13" w:rsidRDefault="000F37B9" w:rsidP="00482D83">
            <w:pPr>
              <w:rPr>
                <w:lang w:bidi="ar-DZ"/>
              </w:rPr>
            </w:pPr>
            <w:r w:rsidRPr="00AA6C13">
              <w:rPr>
                <w:lang w:bidi="ar-DZ"/>
              </w:rPr>
              <w:t xml:space="preserve">Mathews, S. C., McShea, M. J., Hanley, C. L., Ravitz, A., </w:t>
            </w:r>
            <w:proofErr w:type="spellStart"/>
            <w:r w:rsidRPr="00AA6C13">
              <w:rPr>
                <w:lang w:bidi="ar-DZ"/>
              </w:rPr>
              <w:t>Labrique</w:t>
            </w:r>
            <w:proofErr w:type="spellEnd"/>
            <w:r w:rsidRPr="00AA6C13">
              <w:rPr>
                <w:lang w:bidi="ar-DZ"/>
              </w:rPr>
              <w:t xml:space="preserve">, A. B., &amp; Cohen, A. B. (2019). Digital health: a path to validation. </w:t>
            </w:r>
            <w:proofErr w:type="spellStart"/>
            <w:r w:rsidR="001F23AD" w:rsidRPr="00AA6C13">
              <w:rPr>
                <w:i/>
                <w:lang w:bidi="ar-DZ"/>
              </w:rPr>
              <w:t>npj</w:t>
            </w:r>
            <w:proofErr w:type="spellEnd"/>
            <w:r w:rsidRPr="00AA6C13">
              <w:rPr>
                <w:i/>
                <w:lang w:bidi="ar-DZ"/>
              </w:rPr>
              <w:t xml:space="preserve"> Digital Medicine</w:t>
            </w:r>
            <w:r w:rsidRPr="00AA6C13">
              <w:rPr>
                <w:lang w:bidi="ar-DZ"/>
              </w:rPr>
              <w:t xml:space="preserve">. </w:t>
            </w:r>
            <w:r w:rsidR="00F70372" w:rsidRPr="00AA6C13">
              <w:rPr>
                <w:lang w:bidi="ar-DZ"/>
              </w:rPr>
              <w:t>[</w:t>
            </w:r>
            <w:r w:rsidR="00F70372" w:rsidRPr="00AA6C13">
              <w:t>b-Mathews et al, 2019]</w:t>
            </w:r>
            <w:r w:rsidR="00276925" w:rsidRPr="00AA6C13">
              <w:t>.</w:t>
            </w:r>
            <w:r w:rsidR="00F70372" w:rsidRPr="00AA6C13">
              <w:t xml:space="preserve"> </w:t>
            </w:r>
            <w:hyperlink r:id="rId49" w:history="1">
              <w:r w:rsidR="00C56017" w:rsidRPr="00AA6C13">
                <w:rPr>
                  <w:rStyle w:val="Hyperlink"/>
                  <w:lang w:bidi="ar-DZ"/>
                </w:rPr>
                <w:t>https://doi.org/10.1038/s41746-019-0111-3</w:t>
              </w:r>
            </w:hyperlink>
            <w:r w:rsidRPr="00AA6C13">
              <w:rPr>
                <w:lang w:bidi="ar-DZ"/>
              </w:rPr>
              <w:t xml:space="preserve"> </w:t>
            </w:r>
          </w:p>
        </w:tc>
      </w:tr>
      <w:tr w:rsidR="000F37B9" w:rsidRPr="00AA6C13" w14:paraId="5786E468" w14:textId="77777777" w:rsidTr="00C8176D">
        <w:trPr>
          <w:jc w:val="center"/>
        </w:trPr>
        <w:tc>
          <w:tcPr>
            <w:tcW w:w="9629" w:type="dxa"/>
          </w:tcPr>
          <w:p w14:paraId="2717CFAD" w14:textId="231D7749" w:rsidR="000F37B9" w:rsidRPr="00AA6C13" w:rsidRDefault="00D53643" w:rsidP="00482D83">
            <w:pPr>
              <w:rPr>
                <w:i/>
                <w:lang w:bidi="ar-DZ"/>
              </w:rPr>
            </w:pPr>
            <w:r w:rsidRPr="00AA6C13">
              <w:rPr>
                <w:i/>
                <w:lang w:bidi="ar-DZ"/>
              </w:rPr>
              <w:lastRenderedPageBreak/>
              <w:t>"</w:t>
            </w:r>
            <w:r w:rsidR="000F37B9" w:rsidRPr="00AA6C13">
              <w:rPr>
                <w:i/>
                <w:lang w:bidi="ar-DZ"/>
              </w:rPr>
              <w:t xml:space="preserve">All healthcare stakeholders would benefit from a more standardized, objective, rigorous, and transparent process for validation. Specifically, the </w:t>
            </w:r>
            <w:r w:rsidR="000F37B9" w:rsidRPr="00AA6C13">
              <w:rPr>
                <w:b/>
                <w:i/>
                <w:lang w:bidi="ar-DZ"/>
              </w:rPr>
              <w:t>validation domains</w:t>
            </w:r>
            <w:r w:rsidR="000F37B9" w:rsidRPr="00AA6C13">
              <w:rPr>
                <w:i/>
                <w:lang w:bidi="ar-DZ"/>
              </w:rPr>
              <w:t xml:space="preserve"> would be </w:t>
            </w:r>
            <w:r w:rsidR="000F37B9" w:rsidRPr="00AA6C13">
              <w:rPr>
                <w:b/>
                <w:i/>
                <w:lang w:bidi="ar-DZ"/>
              </w:rPr>
              <w:t xml:space="preserve">technical </w:t>
            </w:r>
            <w:r w:rsidR="000F37B9" w:rsidRPr="00AA6C13">
              <w:rPr>
                <w:i/>
                <w:lang w:bidi="ar-DZ"/>
              </w:rPr>
              <w:t xml:space="preserve">validation (e.g., how accurately does the solution measure what it claims?), </w:t>
            </w:r>
            <w:r w:rsidR="000F37B9" w:rsidRPr="00AA6C13">
              <w:rPr>
                <w:b/>
                <w:i/>
                <w:lang w:bidi="ar-DZ"/>
              </w:rPr>
              <w:t xml:space="preserve">clinical </w:t>
            </w:r>
            <w:r w:rsidR="000F37B9" w:rsidRPr="00AA6C13">
              <w:rPr>
                <w:i/>
                <w:lang w:bidi="ar-DZ"/>
              </w:rPr>
              <w:t xml:space="preserve">validation (e.g., does the solution have any support for improving condition-specific outcomes?), and </w:t>
            </w:r>
            <w:r w:rsidR="000F37B9" w:rsidRPr="00AA6C13">
              <w:rPr>
                <w:b/>
                <w:i/>
                <w:lang w:bidi="ar-DZ"/>
              </w:rPr>
              <w:t>system</w:t>
            </w:r>
            <w:r w:rsidR="000F37B9" w:rsidRPr="00AA6C13">
              <w:rPr>
                <w:i/>
                <w:lang w:bidi="ar-DZ"/>
              </w:rPr>
              <w:t xml:space="preserve"> validation (e.g., does the solution integrate into patients' lives, provider workflows, and healthcare systems).</w:t>
            </w:r>
            <w:r w:rsidRPr="00AA6C13">
              <w:rPr>
                <w:i/>
                <w:lang w:bidi="ar-DZ"/>
              </w:rPr>
              <w:t>"</w:t>
            </w:r>
          </w:p>
        </w:tc>
      </w:tr>
      <w:tr w:rsidR="000F37B9" w:rsidRPr="00AA6C13" w14:paraId="178FEA77" w14:textId="77777777" w:rsidTr="00C8176D">
        <w:trPr>
          <w:jc w:val="center"/>
        </w:trPr>
        <w:tc>
          <w:tcPr>
            <w:tcW w:w="9629" w:type="dxa"/>
          </w:tcPr>
          <w:p w14:paraId="3CE80361" w14:textId="77777777" w:rsidR="002E2071" w:rsidRPr="00AA6C13" w:rsidRDefault="000F37B9" w:rsidP="00752C4E">
            <w:pPr>
              <w:pStyle w:val="Headingb"/>
              <w:rPr>
                <w:lang w:bidi="ar-DZ"/>
              </w:rPr>
            </w:pPr>
            <w:r w:rsidRPr="00AA6C13">
              <w:rPr>
                <w:lang w:bidi="ar-DZ"/>
              </w:rPr>
              <w:t>Comments:</w:t>
            </w:r>
          </w:p>
          <w:p w14:paraId="19580F1E" w14:textId="28AF31EE" w:rsidR="000F37B9" w:rsidRPr="00AA6C13" w:rsidRDefault="00C8176D" w:rsidP="00C8176D">
            <w:pPr>
              <w:pStyle w:val="enumlev1"/>
              <w:rPr>
                <w:i/>
                <w:iCs/>
                <w:lang w:bidi="ar-DZ"/>
              </w:rPr>
            </w:pPr>
            <w:r w:rsidRPr="00AA6C13">
              <w:rPr>
                <w:lang w:bidi="ar-DZ"/>
              </w:rPr>
              <w:t>–</w:t>
            </w:r>
            <w:r w:rsidRPr="00AA6C13">
              <w:rPr>
                <w:lang w:bidi="ar-DZ"/>
              </w:rPr>
              <w:tab/>
            </w:r>
            <w:r w:rsidR="000F37B9" w:rsidRPr="00AA6C13">
              <w:rPr>
                <w:lang w:bidi="ar-DZ"/>
              </w:rPr>
              <w:t>Especially interesting is Fig</w:t>
            </w:r>
            <w:r w:rsidR="00756CB2" w:rsidRPr="00AA6C13">
              <w:rPr>
                <w:lang w:bidi="ar-DZ"/>
              </w:rPr>
              <w:t>ure</w:t>
            </w:r>
            <w:r w:rsidR="000F37B9" w:rsidRPr="00AA6C13">
              <w:rPr>
                <w:lang w:bidi="ar-DZ"/>
              </w:rPr>
              <w:t xml:space="preserve"> 2 where the proposed </w:t>
            </w:r>
            <w:r w:rsidR="00D53643" w:rsidRPr="00AA6C13">
              <w:rPr>
                <w:lang w:bidi="ar-DZ"/>
              </w:rPr>
              <w:t>"</w:t>
            </w:r>
            <w:r w:rsidR="00442797" w:rsidRPr="00AA6C13">
              <w:rPr>
                <w:lang w:bidi="ar-DZ"/>
              </w:rPr>
              <w:t>i</w:t>
            </w:r>
            <w:r w:rsidR="000F37B9" w:rsidRPr="00AA6C13">
              <w:rPr>
                <w:lang w:bidi="ar-DZ"/>
              </w:rPr>
              <w:t xml:space="preserve">ndependent </w:t>
            </w:r>
            <w:r w:rsidR="006071F2" w:rsidRPr="00AA6C13">
              <w:rPr>
                <w:lang w:bidi="ar-DZ"/>
              </w:rPr>
              <w:t>e</w:t>
            </w:r>
            <w:r w:rsidR="000F37B9" w:rsidRPr="00AA6C13">
              <w:rPr>
                <w:lang w:bidi="ar-DZ"/>
              </w:rPr>
              <w:t>valuator</w:t>
            </w:r>
            <w:r w:rsidR="00D53643" w:rsidRPr="00AA6C13">
              <w:rPr>
                <w:lang w:bidi="ar-DZ"/>
              </w:rPr>
              <w:t>"</w:t>
            </w:r>
            <w:r w:rsidR="000F37B9" w:rsidRPr="00AA6C13">
              <w:rPr>
                <w:lang w:bidi="ar-DZ"/>
              </w:rPr>
              <w:t xml:space="preserve"> matches well with the independent benchmarking proposed in the present </w:t>
            </w:r>
            <w:r w:rsidR="00C56017" w:rsidRPr="00AA6C13">
              <w:rPr>
                <w:lang w:bidi="ar-DZ"/>
              </w:rPr>
              <w:t xml:space="preserve">report </w:t>
            </w:r>
            <w:r w:rsidR="000F37B9" w:rsidRPr="00AA6C13">
              <w:rPr>
                <w:lang w:bidi="ar-DZ"/>
              </w:rPr>
              <w:t>[DEL07].</w:t>
            </w:r>
          </w:p>
          <w:p w14:paraId="6248A286" w14:textId="362A9E2D" w:rsidR="000F37B9" w:rsidRPr="00AA6C13" w:rsidRDefault="00C8176D" w:rsidP="00C8176D">
            <w:pPr>
              <w:pStyle w:val="enumlev1"/>
              <w:rPr>
                <w:i/>
                <w:iCs/>
                <w:lang w:bidi="ar-DZ"/>
              </w:rPr>
            </w:pPr>
            <w:r w:rsidRPr="00AA6C13">
              <w:rPr>
                <w:lang w:bidi="ar-DZ"/>
              </w:rPr>
              <w:t>–</w:t>
            </w:r>
            <w:r w:rsidRPr="00AA6C13">
              <w:rPr>
                <w:lang w:bidi="ar-DZ"/>
              </w:rPr>
              <w:tab/>
            </w:r>
            <w:r w:rsidR="000F37B9" w:rsidRPr="00AA6C13">
              <w:rPr>
                <w:lang w:bidi="ar-DZ"/>
              </w:rPr>
              <w:t xml:space="preserve">This article addresses digital health in general and points out important issues. Now, the aspects of AI that are unique and novel in comparison to other digital health solutions need to be carved out - see </w:t>
            </w:r>
            <w:r w:rsidR="00C0523B" w:rsidRPr="00AA6C13">
              <w:rPr>
                <w:lang w:bidi="ar-DZ"/>
              </w:rPr>
              <w:t>clause</w:t>
            </w:r>
            <w:r w:rsidR="000F37B9" w:rsidRPr="00AA6C13">
              <w:rPr>
                <w:lang w:bidi="ar-DZ"/>
              </w:rPr>
              <w:t xml:space="preserve"> 7 in the present </w:t>
            </w:r>
            <w:r w:rsidR="00497EEF" w:rsidRPr="00AA6C13">
              <w:rPr>
                <w:lang w:bidi="ar-DZ"/>
              </w:rPr>
              <w:t>report</w:t>
            </w:r>
            <w:r w:rsidR="000F37B9" w:rsidRPr="00AA6C13">
              <w:rPr>
                <w:lang w:bidi="ar-DZ"/>
              </w:rPr>
              <w:t xml:space="preserve"> [DEL07].</w:t>
            </w:r>
          </w:p>
        </w:tc>
      </w:tr>
    </w:tbl>
    <w:p w14:paraId="07228D68" w14:textId="77777777" w:rsidR="000F37B9" w:rsidRPr="00AA6C13" w:rsidRDefault="000F37B9" w:rsidP="000F37B9">
      <w:pPr>
        <w:spacing w:before="0"/>
        <w:rPr>
          <w:rFonts w:eastAsia="Times New Roman"/>
          <w:lang w:eastAsia="de-DE"/>
        </w:rPr>
      </w:pPr>
    </w:p>
    <w:tbl>
      <w:tblPr>
        <w:tblStyle w:val="TableGrid"/>
        <w:tblW w:w="9629" w:type="dxa"/>
        <w:jc w:val="center"/>
        <w:tblLook w:val="04A0" w:firstRow="1" w:lastRow="0" w:firstColumn="1" w:lastColumn="0" w:noHBand="0" w:noVBand="1"/>
      </w:tblPr>
      <w:tblGrid>
        <w:gridCol w:w="9629"/>
      </w:tblGrid>
      <w:tr w:rsidR="000F37B9" w:rsidRPr="00AA6C13" w14:paraId="784CFA0C" w14:textId="77777777" w:rsidTr="00C8176D">
        <w:trPr>
          <w:jc w:val="center"/>
        </w:trPr>
        <w:tc>
          <w:tcPr>
            <w:tcW w:w="9629" w:type="dxa"/>
            <w:shd w:val="clear" w:color="auto" w:fill="E7E6E6" w:themeFill="background2"/>
          </w:tcPr>
          <w:p w14:paraId="53978EC5" w14:textId="58618C43" w:rsidR="000F37B9" w:rsidRPr="00AA6C13" w:rsidRDefault="000F37B9" w:rsidP="00482D83">
            <w:pPr>
              <w:spacing w:before="0"/>
              <w:rPr>
                <w:b/>
                <w:bCs/>
                <w:lang w:bidi="ar-DZ"/>
              </w:rPr>
            </w:pPr>
            <w:r w:rsidRPr="00AA6C13">
              <w:rPr>
                <w:b/>
                <w:bCs/>
                <w:lang w:bidi="ar-DZ"/>
              </w:rPr>
              <w:t xml:space="preserve">Consort-AI </w:t>
            </w:r>
            <w:r w:rsidR="00647C5E" w:rsidRPr="00AA6C13">
              <w:rPr>
                <w:b/>
                <w:bCs/>
                <w:lang w:bidi="ar-DZ"/>
              </w:rPr>
              <w:t>and</w:t>
            </w:r>
            <w:r w:rsidRPr="00AA6C13">
              <w:rPr>
                <w:b/>
                <w:bCs/>
                <w:lang w:bidi="ar-DZ"/>
              </w:rPr>
              <w:t xml:space="preserve"> Spirit-AI</w:t>
            </w:r>
            <w:r w:rsidR="003B0228" w:rsidRPr="00AA6C13">
              <w:rPr>
                <w:b/>
                <w:bCs/>
                <w:lang w:bidi="ar-DZ"/>
              </w:rPr>
              <w:t xml:space="preserve"> </w:t>
            </w:r>
            <w:r w:rsidR="003651AF" w:rsidRPr="00AA6C13">
              <w:rPr>
                <w:b/>
                <w:bCs/>
                <w:lang w:bidi="ar-DZ"/>
              </w:rPr>
              <w:t>s</w:t>
            </w:r>
            <w:r w:rsidR="003B0228" w:rsidRPr="00AA6C13">
              <w:rPr>
                <w:b/>
                <w:bCs/>
                <w:lang w:bidi="ar-DZ"/>
              </w:rPr>
              <w:t xml:space="preserve">teering </w:t>
            </w:r>
            <w:r w:rsidR="003651AF" w:rsidRPr="00AA6C13">
              <w:rPr>
                <w:b/>
                <w:bCs/>
                <w:lang w:bidi="ar-DZ"/>
              </w:rPr>
              <w:t>g</w:t>
            </w:r>
            <w:r w:rsidR="003B0228" w:rsidRPr="00AA6C13">
              <w:rPr>
                <w:b/>
                <w:bCs/>
                <w:lang w:bidi="ar-DZ"/>
              </w:rPr>
              <w:t>roup</w:t>
            </w:r>
            <w:r w:rsidRPr="00AA6C13">
              <w:rPr>
                <w:b/>
                <w:bCs/>
                <w:lang w:bidi="ar-DZ"/>
              </w:rPr>
              <w:t xml:space="preserve">: </w:t>
            </w:r>
            <w:r w:rsidRPr="00AA6C13">
              <w:rPr>
                <w:rFonts w:eastAsia="Times New Roman"/>
                <w:b/>
                <w:bCs/>
                <w:lang w:eastAsia="de-DE"/>
              </w:rPr>
              <w:t>Reporting guidelines for clinical trials evaluating artificial intelligence interventions are needed</w:t>
            </w:r>
            <w:r w:rsidR="00556B3F" w:rsidRPr="00AA6C13">
              <w:rPr>
                <w:rFonts w:eastAsia="Times New Roman"/>
                <w:b/>
                <w:bCs/>
                <w:lang w:eastAsia="de-DE"/>
              </w:rPr>
              <w:t>.</w:t>
            </w:r>
          </w:p>
        </w:tc>
      </w:tr>
      <w:tr w:rsidR="000F37B9" w:rsidRPr="00AA6C13" w14:paraId="409AB334" w14:textId="77777777" w:rsidTr="00C8176D">
        <w:trPr>
          <w:jc w:val="center"/>
        </w:trPr>
        <w:tc>
          <w:tcPr>
            <w:tcW w:w="9629" w:type="dxa"/>
          </w:tcPr>
          <w:p w14:paraId="3C21A06F" w14:textId="453A3168" w:rsidR="000F37B9" w:rsidRPr="00AA6C13" w:rsidRDefault="000F37B9" w:rsidP="00482D83">
            <w:pPr>
              <w:spacing w:before="0"/>
              <w:rPr>
                <w:rFonts w:eastAsia="Times New Roman"/>
                <w:lang w:eastAsia="de-DE"/>
              </w:rPr>
            </w:pPr>
            <w:r w:rsidRPr="00AA6C13">
              <w:rPr>
                <w:rFonts w:eastAsia="Times New Roman"/>
                <w:lang w:eastAsia="de-DE"/>
              </w:rPr>
              <w:t>Liu, X., Rivera, S.</w:t>
            </w:r>
            <w:r w:rsidR="004A0106" w:rsidRPr="00AA6C13">
              <w:rPr>
                <w:rFonts w:eastAsia="Times New Roman"/>
                <w:lang w:eastAsia="de-DE"/>
              </w:rPr>
              <w:t xml:space="preserve"> </w:t>
            </w:r>
            <w:r w:rsidRPr="00AA6C13">
              <w:rPr>
                <w:rFonts w:eastAsia="Times New Roman"/>
                <w:lang w:eastAsia="de-DE"/>
              </w:rPr>
              <w:t xml:space="preserve">C., </w:t>
            </w:r>
            <w:proofErr w:type="spellStart"/>
            <w:r w:rsidRPr="00AA6C13">
              <w:rPr>
                <w:rFonts w:eastAsia="Times New Roman"/>
                <w:lang w:eastAsia="de-DE"/>
              </w:rPr>
              <w:t>Faes</w:t>
            </w:r>
            <w:proofErr w:type="spellEnd"/>
            <w:r w:rsidRPr="00AA6C13">
              <w:rPr>
                <w:rFonts w:eastAsia="Times New Roman"/>
                <w:lang w:eastAsia="de-DE"/>
              </w:rPr>
              <w:t>, L.</w:t>
            </w:r>
            <w:r w:rsidR="0085346B" w:rsidRPr="00AA6C13">
              <w:rPr>
                <w:rFonts w:eastAsia="Times New Roman"/>
                <w:lang w:eastAsia="de-DE"/>
              </w:rPr>
              <w:t xml:space="preserve">, </w:t>
            </w:r>
            <w:r w:rsidR="0061519E" w:rsidRPr="00AA6C13">
              <w:rPr>
                <w:rFonts w:eastAsia="Times New Roman"/>
                <w:lang w:eastAsia="de-DE"/>
              </w:rPr>
              <w:t xml:space="preserve">di </w:t>
            </w:r>
            <w:proofErr w:type="spellStart"/>
            <w:r w:rsidR="0061519E" w:rsidRPr="00AA6C13">
              <w:rPr>
                <w:rFonts w:eastAsia="Times New Roman"/>
                <w:lang w:eastAsia="de-DE"/>
              </w:rPr>
              <w:t>Ruffano</w:t>
            </w:r>
            <w:proofErr w:type="spellEnd"/>
            <w:r w:rsidR="0061519E" w:rsidRPr="00AA6C13">
              <w:rPr>
                <w:rFonts w:eastAsia="Times New Roman"/>
                <w:lang w:eastAsia="de-DE"/>
              </w:rPr>
              <w:t xml:space="preserve">, L. F., Yao, C., Keane, P. A., </w:t>
            </w:r>
            <w:proofErr w:type="spellStart"/>
            <w:r w:rsidR="0061519E" w:rsidRPr="00AA6C13">
              <w:rPr>
                <w:rFonts w:eastAsia="Times New Roman"/>
                <w:lang w:eastAsia="de-DE"/>
              </w:rPr>
              <w:t>Ashrafian</w:t>
            </w:r>
            <w:proofErr w:type="spellEnd"/>
            <w:r w:rsidR="0061519E" w:rsidRPr="00AA6C13">
              <w:rPr>
                <w:rFonts w:eastAsia="Times New Roman"/>
                <w:lang w:eastAsia="de-DE"/>
              </w:rPr>
              <w:t>, H., Darzi, A., Vollmer, S. J., Deeks, J., Bachmann, L., Holmes, C., Chan, A. W., Moher, D., Calvert, M. J., and Denniston, A, K</w:t>
            </w:r>
            <w:r w:rsidRPr="00AA6C13">
              <w:rPr>
                <w:rFonts w:eastAsia="Times New Roman"/>
                <w:lang w:eastAsia="de-DE"/>
              </w:rPr>
              <w:t xml:space="preserve">. </w:t>
            </w:r>
            <w:r w:rsidR="00225BBC" w:rsidRPr="00AA6C13">
              <w:rPr>
                <w:rFonts w:eastAsia="Times New Roman"/>
                <w:lang w:eastAsia="de-DE"/>
              </w:rPr>
              <w:t xml:space="preserve">(2019), </w:t>
            </w:r>
            <w:r w:rsidRPr="00AA6C13">
              <w:rPr>
                <w:rFonts w:eastAsia="Times New Roman"/>
                <w:lang w:eastAsia="de-DE"/>
              </w:rPr>
              <w:t xml:space="preserve">Reporting guidelines for clinical trials evaluating artificial intelligence interventions are needed. </w:t>
            </w:r>
            <w:r w:rsidRPr="00AA6C13">
              <w:rPr>
                <w:rFonts w:eastAsia="Times New Roman"/>
                <w:i/>
                <w:lang w:eastAsia="de-DE"/>
              </w:rPr>
              <w:t>Nat</w:t>
            </w:r>
            <w:r w:rsidR="00DF17B1" w:rsidRPr="00AA6C13">
              <w:rPr>
                <w:rFonts w:eastAsia="Times New Roman"/>
                <w:i/>
                <w:lang w:eastAsia="de-DE"/>
              </w:rPr>
              <w:t>ure</w:t>
            </w:r>
            <w:r w:rsidRPr="00AA6C13">
              <w:rPr>
                <w:rFonts w:eastAsia="Times New Roman"/>
                <w:i/>
                <w:lang w:eastAsia="de-DE"/>
              </w:rPr>
              <w:t xml:space="preserve"> </w:t>
            </w:r>
            <w:r w:rsidR="007A420A" w:rsidRPr="00AA6C13">
              <w:rPr>
                <w:rFonts w:eastAsia="Times New Roman"/>
                <w:i/>
                <w:lang w:eastAsia="de-DE"/>
              </w:rPr>
              <w:t>m</w:t>
            </w:r>
            <w:r w:rsidRPr="00AA6C13">
              <w:rPr>
                <w:rFonts w:eastAsia="Times New Roman"/>
                <w:i/>
                <w:lang w:eastAsia="de-DE"/>
              </w:rPr>
              <w:t>ed</w:t>
            </w:r>
            <w:r w:rsidR="00DF17B1" w:rsidRPr="00AA6C13">
              <w:rPr>
                <w:rFonts w:eastAsia="Times New Roman"/>
                <w:i/>
                <w:lang w:eastAsia="de-DE"/>
              </w:rPr>
              <w:t>icine</w:t>
            </w:r>
            <w:r w:rsidRPr="00AA6C13">
              <w:rPr>
                <w:rFonts w:eastAsia="Times New Roman"/>
                <w:i/>
                <w:lang w:eastAsia="de-DE"/>
              </w:rPr>
              <w:t xml:space="preserve"> 25</w:t>
            </w:r>
            <w:r w:rsidRPr="00AA6C13">
              <w:rPr>
                <w:rFonts w:eastAsia="Times New Roman"/>
                <w:lang w:eastAsia="de-DE"/>
              </w:rPr>
              <w:t>, 1467–1468.</w:t>
            </w:r>
            <w:r w:rsidR="00582FED" w:rsidRPr="00AA6C13">
              <w:rPr>
                <w:rFonts w:eastAsia="Times New Roman"/>
                <w:lang w:eastAsia="de-DE"/>
              </w:rPr>
              <w:t xml:space="preserve"> [b-Liu et al., 2019]</w:t>
            </w:r>
            <w:r w:rsidR="0008776A" w:rsidRPr="00AA6C13">
              <w:rPr>
                <w:rFonts w:eastAsia="Times New Roman"/>
                <w:lang w:eastAsia="de-DE"/>
              </w:rPr>
              <w:t>.</w:t>
            </w:r>
            <w:r w:rsidRPr="00AA6C13">
              <w:rPr>
                <w:rFonts w:eastAsia="Times New Roman"/>
                <w:lang w:eastAsia="de-DE"/>
              </w:rPr>
              <w:t xml:space="preserve"> </w:t>
            </w:r>
            <w:hyperlink r:id="rId50">
              <w:r w:rsidRPr="00AA6C13">
                <w:rPr>
                  <w:rFonts w:eastAsia="Times New Roman"/>
                  <w:color w:val="0000FF"/>
                  <w:u w:val="single"/>
                  <w:lang w:eastAsia="de-DE"/>
                </w:rPr>
                <w:t>https://doi.org/10.1038/s41591-019-0603-3</w:t>
              </w:r>
            </w:hyperlink>
          </w:p>
          <w:p w14:paraId="7114A8C0" w14:textId="0CB6929A" w:rsidR="000F37B9" w:rsidRPr="00AA6C13" w:rsidRDefault="000F37B9" w:rsidP="00482D83">
            <w:pPr>
              <w:rPr>
                <w:lang w:eastAsia="en-US"/>
              </w:rPr>
            </w:pPr>
            <w:r w:rsidRPr="00AA6C13">
              <w:rPr>
                <w:lang w:eastAsia="en-US"/>
              </w:rPr>
              <w:t xml:space="preserve">(Additional publication: Liu, X., </w:t>
            </w:r>
            <w:proofErr w:type="spellStart"/>
            <w:r w:rsidRPr="00AA6C13">
              <w:rPr>
                <w:lang w:eastAsia="en-US"/>
              </w:rPr>
              <w:t>Faes</w:t>
            </w:r>
            <w:proofErr w:type="spellEnd"/>
            <w:r w:rsidRPr="00AA6C13">
              <w:rPr>
                <w:lang w:eastAsia="en-US"/>
              </w:rPr>
              <w:t xml:space="preserve">, L., Calvert, M. J., </w:t>
            </w:r>
            <w:r w:rsidR="00715310" w:rsidRPr="00AA6C13">
              <w:rPr>
                <w:lang w:eastAsia="en-US"/>
              </w:rPr>
              <w:t>and</w:t>
            </w:r>
            <w:r w:rsidRPr="00AA6C13">
              <w:rPr>
                <w:lang w:eastAsia="en-US"/>
              </w:rPr>
              <w:t xml:space="preserve"> Denniston, A. K. (2019). Extension of the CONSORT and SPIRIT statements. </w:t>
            </w:r>
            <w:r w:rsidRPr="00AA6C13">
              <w:rPr>
                <w:i/>
                <w:iCs/>
                <w:lang w:eastAsia="en-US"/>
              </w:rPr>
              <w:t xml:space="preserve">The </w:t>
            </w:r>
            <w:r w:rsidR="00FC5BDA" w:rsidRPr="00AA6C13">
              <w:rPr>
                <w:i/>
                <w:iCs/>
                <w:lang w:eastAsia="en-US"/>
              </w:rPr>
              <w:t>l</w:t>
            </w:r>
            <w:r w:rsidRPr="00AA6C13">
              <w:rPr>
                <w:i/>
                <w:iCs/>
                <w:lang w:eastAsia="en-US"/>
              </w:rPr>
              <w:t>ancet</w:t>
            </w:r>
            <w:r w:rsidRPr="00AA6C13">
              <w:rPr>
                <w:lang w:eastAsia="en-US"/>
              </w:rPr>
              <w:t xml:space="preserve">, </w:t>
            </w:r>
            <w:r w:rsidRPr="00AA6C13">
              <w:rPr>
                <w:i/>
                <w:iCs/>
                <w:lang w:eastAsia="en-US"/>
              </w:rPr>
              <w:t>394</w:t>
            </w:r>
            <w:r w:rsidRPr="00AA6C13">
              <w:rPr>
                <w:lang w:eastAsia="en-US"/>
              </w:rPr>
              <w:t xml:space="preserve">(10205), 1225. </w:t>
            </w:r>
            <w:r w:rsidR="00A962E1" w:rsidRPr="00AA6C13">
              <w:rPr>
                <w:lang w:eastAsia="en-US"/>
              </w:rPr>
              <w:t>[b-Liu X</w:t>
            </w:r>
            <w:r w:rsidR="00244B1F" w:rsidRPr="00AA6C13">
              <w:rPr>
                <w:lang w:eastAsia="en-US"/>
              </w:rPr>
              <w:t>.</w:t>
            </w:r>
            <w:r w:rsidR="00A962E1" w:rsidRPr="00AA6C13">
              <w:rPr>
                <w:lang w:eastAsia="en-US"/>
              </w:rPr>
              <w:t xml:space="preserve"> et al, 2019]. </w:t>
            </w:r>
            <w:hyperlink r:id="rId51" w:history="1">
              <w:r w:rsidR="00C41408" w:rsidRPr="00AA6C13">
                <w:rPr>
                  <w:rStyle w:val="Hyperlink"/>
                  <w:rFonts w:eastAsia="Times New Roman"/>
                  <w:lang w:eastAsia="en-US"/>
                </w:rPr>
                <w:t>https://doi.org/10.1016/S0140-6736(19)31819-7</w:t>
              </w:r>
            </w:hyperlink>
            <w:r w:rsidRPr="00AA6C13">
              <w:rPr>
                <w:lang w:eastAsia="en-US"/>
              </w:rPr>
              <w:t xml:space="preserve"> )</w:t>
            </w:r>
            <w:r w:rsidR="00222BDC" w:rsidRPr="00AA6C13">
              <w:rPr>
                <w:lang w:eastAsia="en-US"/>
              </w:rPr>
              <w:t xml:space="preserve"> </w:t>
            </w:r>
          </w:p>
        </w:tc>
      </w:tr>
      <w:tr w:rsidR="000F37B9" w:rsidRPr="00AA6C13" w14:paraId="626D10FA" w14:textId="77777777" w:rsidTr="00C8176D">
        <w:trPr>
          <w:jc w:val="center"/>
        </w:trPr>
        <w:tc>
          <w:tcPr>
            <w:tcW w:w="9629" w:type="dxa"/>
          </w:tcPr>
          <w:p w14:paraId="09D9A9A3" w14:textId="4264FDFE" w:rsidR="000F37B9" w:rsidRPr="00AA6C13" w:rsidRDefault="00D53643" w:rsidP="00482D83">
            <w:pPr>
              <w:spacing w:before="0"/>
              <w:rPr>
                <w:i/>
                <w:lang w:bidi="ar-DZ"/>
              </w:rPr>
            </w:pPr>
            <w:r w:rsidRPr="00AA6C13">
              <w:rPr>
                <w:i/>
                <w:lang w:bidi="ar-DZ"/>
              </w:rPr>
              <w:t>"</w:t>
            </w:r>
            <w:r w:rsidR="000F37B9" w:rsidRPr="00AA6C13">
              <w:rPr>
                <w:i/>
                <w:lang w:bidi="ar-DZ"/>
              </w:rPr>
              <w:t>As artificial intelligence moves into the realm of clinical trials, consideration is needed on whether the current CONSORT and SPIRIT reporting statements are sufficient to ensure transparency. [...]</w:t>
            </w:r>
          </w:p>
          <w:p w14:paraId="7E4D7A39" w14:textId="6E280BAA" w:rsidR="000F37B9" w:rsidRPr="00AA6C13" w:rsidRDefault="000F37B9" w:rsidP="00482D83">
            <w:pPr>
              <w:spacing w:before="0"/>
              <w:rPr>
                <w:i/>
                <w:lang w:bidi="ar-DZ"/>
              </w:rPr>
            </w:pPr>
            <w:r w:rsidRPr="00AA6C13">
              <w:rPr>
                <w:i/>
                <w:lang w:bidi="ar-DZ"/>
              </w:rPr>
              <w:t xml:space="preserve">Most AI interventions thus far, particularly diagnostic algorithms, have been evaluated only in the context of diagnostic accuracy. Although this initial validation stage is important, a demonstration of good diagnostic accuracy does not necessarily translate to improved patient outcomes. Yet if the </w:t>
            </w:r>
            <w:proofErr w:type="gramStart"/>
            <w:r w:rsidRPr="00AA6C13">
              <w:rPr>
                <w:i/>
                <w:lang w:bidi="ar-DZ"/>
              </w:rPr>
              <w:t>ultimate goal</w:t>
            </w:r>
            <w:proofErr w:type="gramEnd"/>
            <w:r w:rsidRPr="00AA6C13">
              <w:rPr>
                <w:i/>
                <w:lang w:bidi="ar-DZ"/>
              </w:rPr>
              <w:t xml:space="preserve"> of introducing AI into healthcare is to bring about patient benefit, then demonstration of improved patient outcome</w:t>
            </w:r>
            <w:r w:rsidR="0053509D" w:rsidRPr="00AA6C13">
              <w:rPr>
                <w:i/>
                <w:lang w:bidi="ar-DZ"/>
              </w:rPr>
              <w:t>s</w:t>
            </w:r>
            <w:r w:rsidRPr="00AA6C13">
              <w:rPr>
                <w:i/>
                <w:lang w:bidi="ar-DZ"/>
              </w:rPr>
              <w:t xml:space="preserve"> is needed. This should be done in a prospective clinical trial, in which the AI intervention is placed within its intended clinical pathway, with patient outcomes as the primary endpoint, and with an evaluation of demonstrable downstream effects in the broader management strategy. [...]</w:t>
            </w:r>
          </w:p>
          <w:p w14:paraId="7D56DCC2" w14:textId="77777777" w:rsidR="000F37B9" w:rsidRPr="00AA6C13" w:rsidRDefault="000F37B9" w:rsidP="00482D83">
            <w:pPr>
              <w:spacing w:before="0"/>
              <w:rPr>
                <w:i/>
                <w:lang w:bidi="ar-DZ"/>
              </w:rPr>
            </w:pPr>
            <w:r w:rsidRPr="00AA6C13">
              <w:rPr>
                <w:i/>
                <w:lang w:bidi="ar-DZ"/>
              </w:rPr>
              <w:t xml:space="preserve">Although this guidance has substantially improved the completeness of clinical trials reporting, there are </w:t>
            </w:r>
            <w:r w:rsidRPr="00AA6C13">
              <w:rPr>
                <w:b/>
                <w:i/>
                <w:lang w:bidi="ar-DZ"/>
              </w:rPr>
              <w:t>challenges in trials involving AI interventions that are not addressed by the current guidance</w:t>
            </w:r>
            <w:r w:rsidRPr="00AA6C13">
              <w:rPr>
                <w:i/>
                <w:lang w:bidi="ar-DZ"/>
              </w:rPr>
              <w:t xml:space="preserve">. For example, elements that require detailed and specific reporting include the </w:t>
            </w:r>
            <w:r w:rsidRPr="00AA6C13">
              <w:rPr>
                <w:b/>
                <w:i/>
                <w:lang w:bidi="ar-DZ"/>
              </w:rPr>
              <w:t>study setting and its ability to administer a machine learning intervention in real time, the criteria for inclusion at the input-data level as well as at the participant level, the interactions between the human and the algorithm and its potential knock-on effects downstream, and the effects of adaptive machine learning technologies (which have the potential to continuously improve in performance)</w:t>
            </w:r>
            <w:r w:rsidRPr="00AA6C13">
              <w:rPr>
                <w:i/>
                <w:lang w:bidi="ar-DZ"/>
              </w:rPr>
              <w:t>. Without complete and transparent reporting, readers cannot assess the validity and generalizability of the findings, which can result in widespread misconception of overstated efficacy and utility. The risk is that an AI intervention that might not be effective or feasible in the real world could be commissioned and implemented. [...]</w:t>
            </w:r>
          </w:p>
          <w:p w14:paraId="085FE8A7" w14:textId="6034F129" w:rsidR="000F37B9" w:rsidRPr="00AA6C13" w:rsidRDefault="000F37B9" w:rsidP="00482D83">
            <w:pPr>
              <w:spacing w:before="0"/>
              <w:rPr>
                <w:lang w:bidi="ar-DZ"/>
              </w:rPr>
            </w:pPr>
            <w:r w:rsidRPr="00AA6C13">
              <w:rPr>
                <w:i/>
                <w:iCs/>
                <w:lang w:bidi="ar-DZ"/>
              </w:rPr>
              <w:t xml:space="preserve">To address these challenges, the </w:t>
            </w:r>
            <w:r w:rsidRPr="00AA6C13">
              <w:rPr>
                <w:b/>
                <w:bCs/>
                <w:i/>
                <w:iCs/>
                <w:lang w:bidi="ar-DZ"/>
              </w:rPr>
              <w:t xml:space="preserve">CONSORT-AI and SPIRIT-AI </w:t>
            </w:r>
            <w:r w:rsidR="00F13C8F" w:rsidRPr="00AA6C13">
              <w:rPr>
                <w:b/>
                <w:bCs/>
                <w:i/>
                <w:iCs/>
                <w:lang w:bidi="ar-DZ"/>
              </w:rPr>
              <w:t>s</w:t>
            </w:r>
            <w:r w:rsidRPr="00AA6C13">
              <w:rPr>
                <w:b/>
                <w:bCs/>
                <w:i/>
                <w:iCs/>
                <w:lang w:bidi="ar-DZ"/>
              </w:rPr>
              <w:t xml:space="preserve">teering </w:t>
            </w:r>
            <w:r w:rsidR="00F13C8F" w:rsidRPr="00AA6C13">
              <w:rPr>
                <w:b/>
                <w:bCs/>
                <w:i/>
                <w:iCs/>
                <w:lang w:bidi="ar-DZ"/>
              </w:rPr>
              <w:t>g</w:t>
            </w:r>
            <w:r w:rsidRPr="00AA6C13">
              <w:rPr>
                <w:b/>
                <w:bCs/>
                <w:i/>
                <w:iCs/>
                <w:lang w:bidi="ar-DZ"/>
              </w:rPr>
              <w:t>roup is preparing international, consensus-based, AI-specific extensions to the CONSORT and SPIRIT statements that will focus specifically on clinical trials in which the intervention includes a machine learning or other AI component</w:t>
            </w:r>
            <w:r w:rsidRPr="00AA6C13">
              <w:rPr>
                <w:i/>
                <w:iCs/>
                <w:lang w:bidi="ar-DZ"/>
              </w:rPr>
              <w:t xml:space="preserve">, using the EQUATOR (Enhancing </w:t>
            </w:r>
            <w:r w:rsidR="00586BCE" w:rsidRPr="00AA6C13">
              <w:rPr>
                <w:i/>
                <w:iCs/>
                <w:lang w:bidi="ar-DZ"/>
              </w:rPr>
              <w:t>q</w:t>
            </w:r>
            <w:r w:rsidRPr="00AA6C13">
              <w:rPr>
                <w:i/>
                <w:iCs/>
                <w:lang w:bidi="ar-DZ"/>
              </w:rPr>
              <w:t xml:space="preserve">uality and </w:t>
            </w:r>
            <w:r w:rsidR="00586BCE" w:rsidRPr="00AA6C13">
              <w:rPr>
                <w:i/>
                <w:iCs/>
                <w:lang w:bidi="ar-DZ"/>
              </w:rPr>
              <w:t>t</w:t>
            </w:r>
            <w:r w:rsidRPr="00AA6C13">
              <w:rPr>
                <w:i/>
                <w:iCs/>
                <w:lang w:bidi="ar-DZ"/>
              </w:rPr>
              <w:t xml:space="preserve">ransparency of </w:t>
            </w:r>
            <w:r w:rsidR="00586BCE" w:rsidRPr="00AA6C13">
              <w:rPr>
                <w:i/>
                <w:iCs/>
                <w:lang w:bidi="ar-DZ"/>
              </w:rPr>
              <w:t>h</w:t>
            </w:r>
            <w:r w:rsidRPr="00AA6C13">
              <w:rPr>
                <w:i/>
                <w:iCs/>
                <w:lang w:bidi="ar-DZ"/>
              </w:rPr>
              <w:t xml:space="preserve">ealth </w:t>
            </w:r>
            <w:r w:rsidR="00586BCE" w:rsidRPr="00AA6C13">
              <w:rPr>
                <w:i/>
                <w:iCs/>
                <w:lang w:bidi="ar-DZ"/>
              </w:rPr>
              <w:t>r</w:t>
            </w:r>
            <w:r w:rsidRPr="00AA6C13">
              <w:rPr>
                <w:i/>
                <w:iCs/>
                <w:lang w:bidi="ar-DZ"/>
              </w:rPr>
              <w:t xml:space="preserve">esearch) Network methodological framework for guideline development. This </w:t>
            </w:r>
            <w:r w:rsidRPr="00AA6C13">
              <w:rPr>
                <w:b/>
                <w:bCs/>
                <w:i/>
                <w:iCs/>
                <w:lang w:bidi="ar-DZ"/>
              </w:rPr>
              <w:t>initiative will be complementary to</w:t>
            </w:r>
            <w:r w:rsidRPr="00AA6C13">
              <w:rPr>
                <w:i/>
                <w:iCs/>
                <w:lang w:bidi="ar-DZ"/>
              </w:rPr>
              <w:t xml:space="preserve"> the efforts of others working on reporting standards such as the </w:t>
            </w:r>
            <w:r w:rsidRPr="00AA6C13">
              <w:rPr>
                <w:b/>
                <w:bCs/>
                <w:i/>
                <w:iCs/>
                <w:lang w:bidi="ar-DZ"/>
              </w:rPr>
              <w:t>TRIPOD-</w:t>
            </w:r>
            <w:r w:rsidRPr="00AA6C13">
              <w:rPr>
                <w:b/>
                <w:bCs/>
                <w:i/>
                <w:iCs/>
                <w:lang w:bidi="ar-DZ"/>
              </w:rPr>
              <w:lastRenderedPageBreak/>
              <w:t>ML</w:t>
            </w:r>
            <w:r w:rsidRPr="00AA6C13">
              <w:rPr>
                <w:i/>
                <w:iCs/>
                <w:lang w:bidi="ar-DZ"/>
              </w:rPr>
              <w:t xml:space="preserve"> (TRIPOD, </w:t>
            </w:r>
            <w:r w:rsidR="00D375FC" w:rsidRPr="00AA6C13">
              <w:rPr>
                <w:i/>
                <w:iCs/>
                <w:lang w:bidi="ar-DZ"/>
              </w:rPr>
              <w:t>t</w:t>
            </w:r>
            <w:r w:rsidRPr="00AA6C13">
              <w:rPr>
                <w:i/>
                <w:iCs/>
                <w:lang w:bidi="ar-DZ"/>
              </w:rPr>
              <w:t xml:space="preserve">ransparent </w:t>
            </w:r>
            <w:r w:rsidR="00D375FC" w:rsidRPr="00AA6C13">
              <w:rPr>
                <w:i/>
                <w:iCs/>
                <w:lang w:bidi="ar-DZ"/>
              </w:rPr>
              <w:t>r</w:t>
            </w:r>
            <w:r w:rsidRPr="00AA6C13">
              <w:rPr>
                <w:i/>
                <w:iCs/>
                <w:lang w:bidi="ar-DZ"/>
              </w:rPr>
              <w:t xml:space="preserve">eporting of a </w:t>
            </w:r>
            <w:r w:rsidR="00D375FC" w:rsidRPr="00AA6C13">
              <w:rPr>
                <w:i/>
                <w:iCs/>
                <w:lang w:bidi="ar-DZ"/>
              </w:rPr>
              <w:t>m</w:t>
            </w:r>
            <w:r w:rsidRPr="00AA6C13">
              <w:rPr>
                <w:i/>
                <w:iCs/>
                <w:lang w:bidi="ar-DZ"/>
              </w:rPr>
              <w:t xml:space="preserve">ultivariable </w:t>
            </w:r>
            <w:r w:rsidR="00D375FC" w:rsidRPr="00AA6C13">
              <w:rPr>
                <w:i/>
                <w:iCs/>
                <w:lang w:bidi="ar-DZ"/>
              </w:rPr>
              <w:t>p</w:t>
            </w:r>
            <w:r w:rsidRPr="00AA6C13">
              <w:rPr>
                <w:i/>
                <w:iCs/>
                <w:lang w:bidi="ar-DZ"/>
              </w:rPr>
              <w:t xml:space="preserve">rediction </w:t>
            </w:r>
            <w:r w:rsidR="00F60113" w:rsidRPr="00AA6C13">
              <w:rPr>
                <w:i/>
                <w:iCs/>
                <w:lang w:bidi="ar-DZ"/>
              </w:rPr>
              <w:t>m</w:t>
            </w:r>
            <w:r w:rsidRPr="00AA6C13">
              <w:rPr>
                <w:i/>
                <w:iCs/>
                <w:lang w:bidi="ar-DZ"/>
              </w:rPr>
              <w:t xml:space="preserve">odel for </w:t>
            </w:r>
            <w:r w:rsidR="000B6CDF" w:rsidRPr="00AA6C13">
              <w:rPr>
                <w:i/>
                <w:iCs/>
                <w:lang w:bidi="ar-DZ"/>
              </w:rPr>
              <w:t>i</w:t>
            </w:r>
            <w:r w:rsidRPr="00AA6C13">
              <w:rPr>
                <w:i/>
                <w:iCs/>
                <w:lang w:bidi="ar-DZ"/>
              </w:rPr>
              <w:t xml:space="preserve">ndividual </w:t>
            </w:r>
            <w:r w:rsidR="000B6CDF" w:rsidRPr="00AA6C13">
              <w:rPr>
                <w:i/>
                <w:iCs/>
                <w:lang w:bidi="ar-DZ"/>
              </w:rPr>
              <w:t>p</w:t>
            </w:r>
            <w:r w:rsidRPr="00AA6C13">
              <w:rPr>
                <w:i/>
                <w:iCs/>
                <w:lang w:bidi="ar-DZ"/>
              </w:rPr>
              <w:t xml:space="preserve">rognosis or </w:t>
            </w:r>
            <w:r w:rsidR="004709BC" w:rsidRPr="00AA6C13">
              <w:rPr>
                <w:i/>
                <w:iCs/>
                <w:lang w:bidi="ar-DZ"/>
              </w:rPr>
              <w:t>d</w:t>
            </w:r>
            <w:r w:rsidRPr="00AA6C13">
              <w:rPr>
                <w:i/>
                <w:iCs/>
                <w:lang w:bidi="ar-DZ"/>
              </w:rPr>
              <w:t>iagnosis) initiative of Collins and Moons, which seeks to improve the reporting of machine-learning-driven predictive model development and validation.</w:t>
            </w:r>
            <w:r w:rsidR="00D53643" w:rsidRPr="00AA6C13">
              <w:rPr>
                <w:i/>
                <w:iCs/>
                <w:lang w:bidi="ar-DZ"/>
              </w:rPr>
              <w:t>"</w:t>
            </w:r>
          </w:p>
        </w:tc>
      </w:tr>
      <w:tr w:rsidR="000F37B9" w:rsidRPr="00AA6C13" w14:paraId="79803678" w14:textId="77777777" w:rsidTr="00C8176D">
        <w:trPr>
          <w:jc w:val="center"/>
        </w:trPr>
        <w:tc>
          <w:tcPr>
            <w:tcW w:w="9629" w:type="dxa"/>
          </w:tcPr>
          <w:p w14:paraId="0D313D83" w14:textId="77777777" w:rsidR="000F37B9" w:rsidRPr="00AA6C13" w:rsidRDefault="000F37B9" w:rsidP="00752C4E">
            <w:pPr>
              <w:pStyle w:val="Headingb"/>
              <w:rPr>
                <w:bCs/>
                <w:lang w:bidi="ar-DZ"/>
              </w:rPr>
            </w:pPr>
            <w:r w:rsidRPr="00AA6C13">
              <w:lastRenderedPageBreak/>
              <w:t>Comment</w:t>
            </w:r>
            <w:r w:rsidRPr="00AA6C13">
              <w:rPr>
                <w:bCs/>
                <w:lang w:bidi="ar-DZ"/>
              </w:rPr>
              <w:t>:</w:t>
            </w:r>
          </w:p>
          <w:p w14:paraId="35117347" w14:textId="0C5351FA" w:rsidR="000F37B9" w:rsidRPr="00AA6C13" w:rsidRDefault="00C8176D" w:rsidP="00C8176D">
            <w:pPr>
              <w:pStyle w:val="enumlev1"/>
              <w:rPr>
                <w:i/>
                <w:iCs/>
                <w:lang w:bidi="ar-DZ"/>
              </w:rPr>
            </w:pPr>
            <w:r w:rsidRPr="00AA6C13">
              <w:rPr>
                <w:lang w:bidi="ar-DZ"/>
              </w:rPr>
              <w:t>–</w:t>
            </w:r>
            <w:r w:rsidRPr="00AA6C13">
              <w:rPr>
                <w:lang w:bidi="ar-DZ"/>
              </w:rPr>
              <w:tab/>
            </w:r>
            <w:r w:rsidR="000F37B9" w:rsidRPr="00AA6C13">
              <w:rPr>
                <w:lang w:bidi="ar-DZ"/>
              </w:rPr>
              <w:t xml:space="preserve">The independent benchmarking proposed in the present </w:t>
            </w:r>
            <w:r w:rsidR="00D050B6" w:rsidRPr="00AA6C13">
              <w:rPr>
                <w:lang w:bidi="ar-DZ"/>
              </w:rPr>
              <w:t>report</w:t>
            </w:r>
            <w:r w:rsidR="000F37B9" w:rsidRPr="00AA6C13">
              <w:rPr>
                <w:lang w:bidi="ar-DZ"/>
              </w:rPr>
              <w:t xml:space="preserve"> [DEL07] is complementary to CONSORT-AI, SPIRIT-AI and TRIPOD-ML and provides chances f</w:t>
            </w:r>
            <w:r w:rsidR="00794853" w:rsidRPr="00AA6C13">
              <w:rPr>
                <w:lang w:bidi="ar-DZ"/>
              </w:rPr>
              <w:t>or</w:t>
            </w:r>
            <w:r w:rsidR="000F37B9" w:rsidRPr="00AA6C13">
              <w:rPr>
                <w:lang w:bidi="ar-DZ"/>
              </w:rPr>
              <w:t xml:space="preserve"> thorough technical tests prior to clinical trials.</w:t>
            </w:r>
          </w:p>
        </w:tc>
      </w:tr>
    </w:tbl>
    <w:p w14:paraId="46B684F7"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257ECC50" w14:textId="77777777" w:rsidTr="00C8176D">
        <w:trPr>
          <w:jc w:val="center"/>
        </w:trPr>
        <w:tc>
          <w:tcPr>
            <w:tcW w:w="9629" w:type="dxa"/>
            <w:shd w:val="clear" w:color="auto" w:fill="E7E6E6" w:themeFill="background2"/>
          </w:tcPr>
          <w:p w14:paraId="6317DCCF" w14:textId="05141284" w:rsidR="000F37B9" w:rsidRPr="00AA6C13" w:rsidRDefault="000F37B9" w:rsidP="00482D83">
            <w:pPr>
              <w:spacing w:before="0"/>
              <w:rPr>
                <w:rFonts w:eastAsia="Times New Roman"/>
                <w:lang w:eastAsia="de-DE"/>
              </w:rPr>
            </w:pPr>
            <w:r w:rsidRPr="00AA6C13">
              <w:rPr>
                <w:rFonts w:eastAsia="Times New Roman"/>
                <w:b/>
                <w:bCs/>
                <w:lang w:eastAsia="de-DE"/>
              </w:rPr>
              <w:t>Reporting guidelines for clinical trial reports for interventions involving artificial intelligence: the CONSORT-AI extension.</w:t>
            </w:r>
          </w:p>
        </w:tc>
      </w:tr>
      <w:tr w:rsidR="000F37B9" w:rsidRPr="007E3BD1" w14:paraId="2996563F" w14:textId="77777777" w:rsidTr="00C8176D">
        <w:trPr>
          <w:jc w:val="center"/>
        </w:trPr>
        <w:tc>
          <w:tcPr>
            <w:tcW w:w="9629" w:type="dxa"/>
          </w:tcPr>
          <w:p w14:paraId="636B61DD" w14:textId="6E170BF2" w:rsidR="000F37B9" w:rsidRPr="004D4B8A" w:rsidRDefault="000F37B9" w:rsidP="00482D83">
            <w:pPr>
              <w:spacing w:before="0"/>
              <w:rPr>
                <w:rFonts w:eastAsia="Times New Roman"/>
                <w:lang w:val="fr-CH"/>
              </w:rPr>
            </w:pPr>
            <w:r w:rsidRPr="00AA6C13">
              <w:rPr>
                <w:rFonts w:eastAsia="Times New Roman"/>
              </w:rPr>
              <w:t>Liu, X., Cruz Rivera, S., Moher, D.</w:t>
            </w:r>
            <w:r w:rsidR="00717594" w:rsidRPr="00AA6C13">
              <w:rPr>
                <w:rFonts w:eastAsia="Times New Roman"/>
              </w:rPr>
              <w:t xml:space="preserve">, </w:t>
            </w:r>
            <w:r w:rsidR="00D11557" w:rsidRPr="00AA6C13">
              <w:rPr>
                <w:rFonts w:eastAsia="Times New Roman"/>
              </w:rPr>
              <w:t xml:space="preserve">Calvert, M. J., Denniston, A. K., and </w:t>
            </w:r>
            <w:proofErr w:type="gramStart"/>
            <w:r w:rsidR="00D11557" w:rsidRPr="00AA6C13">
              <w:rPr>
                <w:rFonts w:eastAsia="Times New Roman"/>
              </w:rPr>
              <w:t>The</w:t>
            </w:r>
            <w:proofErr w:type="gramEnd"/>
            <w:r w:rsidR="00D11557" w:rsidRPr="00AA6C13">
              <w:rPr>
                <w:rFonts w:eastAsia="Times New Roman"/>
              </w:rPr>
              <w:t xml:space="preserve"> SPIRIT-AI and CONSORT-AI Working Group</w:t>
            </w:r>
            <w:r w:rsidRPr="00AA6C13">
              <w:rPr>
                <w:rFonts w:eastAsia="Times New Roman"/>
                <w:i/>
                <w:iCs/>
              </w:rPr>
              <w:t>.</w:t>
            </w:r>
            <w:r w:rsidRPr="00AA6C13">
              <w:rPr>
                <w:rFonts w:eastAsia="Times New Roman"/>
              </w:rPr>
              <w:t xml:space="preserve"> (2020)</w:t>
            </w:r>
            <w:r w:rsidR="001A102D" w:rsidRPr="00AA6C13">
              <w:rPr>
                <w:rFonts w:eastAsia="Times New Roman"/>
              </w:rPr>
              <w:t>,</w:t>
            </w:r>
            <w:r w:rsidRPr="00AA6C13">
              <w:rPr>
                <w:rFonts w:eastAsia="Times New Roman"/>
              </w:rPr>
              <w:t xml:space="preserve"> Reporting guidelines for clinical trial reports for interventions involving artificial intelligence: the CONSORT-AI extension. </w:t>
            </w:r>
            <w:r w:rsidRPr="004D4B8A">
              <w:rPr>
                <w:rFonts w:eastAsia="Times New Roman"/>
                <w:i/>
                <w:iCs/>
                <w:lang w:val="fr-CH"/>
              </w:rPr>
              <w:t>Nat Med</w:t>
            </w:r>
            <w:r w:rsidRPr="004D4B8A">
              <w:rPr>
                <w:rFonts w:eastAsia="Times New Roman"/>
                <w:lang w:val="fr-CH"/>
              </w:rPr>
              <w:t xml:space="preserve"> </w:t>
            </w:r>
            <w:r w:rsidRPr="004D4B8A">
              <w:rPr>
                <w:rFonts w:eastAsia="Times New Roman"/>
                <w:b/>
                <w:bCs/>
                <w:lang w:val="fr-CH"/>
              </w:rPr>
              <w:t xml:space="preserve">26, </w:t>
            </w:r>
            <w:r w:rsidRPr="004D4B8A">
              <w:rPr>
                <w:rFonts w:eastAsia="Times New Roman"/>
                <w:lang w:val="fr-CH"/>
              </w:rPr>
              <w:t>1364–1374.</w:t>
            </w:r>
            <w:r w:rsidR="00107D3E" w:rsidRPr="004D4B8A">
              <w:rPr>
                <w:rFonts w:eastAsia="Times New Roman"/>
                <w:lang w:val="fr-CH"/>
              </w:rPr>
              <w:t xml:space="preserve"> [</w:t>
            </w:r>
            <w:proofErr w:type="gramStart"/>
            <w:r w:rsidR="00107D3E" w:rsidRPr="004D4B8A">
              <w:rPr>
                <w:rFonts w:eastAsia="Times New Roman"/>
                <w:lang w:val="fr-CH"/>
              </w:rPr>
              <w:t>b</w:t>
            </w:r>
            <w:proofErr w:type="gramEnd"/>
            <w:r w:rsidR="00107D3E" w:rsidRPr="004D4B8A">
              <w:rPr>
                <w:rFonts w:eastAsia="Times New Roman"/>
                <w:lang w:val="fr-CH"/>
              </w:rPr>
              <w:t>-Liu et al., 2020]</w:t>
            </w:r>
            <w:r w:rsidR="00D71094" w:rsidRPr="004D4B8A">
              <w:rPr>
                <w:rFonts w:eastAsia="Times New Roman"/>
                <w:lang w:val="fr-CH"/>
              </w:rPr>
              <w:t>.</w:t>
            </w:r>
            <w:r w:rsidRPr="004D4B8A">
              <w:rPr>
                <w:rFonts w:eastAsia="Times New Roman"/>
                <w:lang w:val="fr-CH"/>
              </w:rPr>
              <w:t xml:space="preserve"> </w:t>
            </w:r>
            <w:hyperlink r:id="rId52">
              <w:r w:rsidRPr="004D4B8A">
                <w:rPr>
                  <w:rFonts w:eastAsia="Times New Roman"/>
                  <w:color w:val="0000FF"/>
                  <w:u w:val="single"/>
                  <w:lang w:val="fr-CH"/>
                </w:rPr>
                <w:t>https://doi.org/10.1038/s41591-020-1034-x</w:t>
              </w:r>
            </w:hyperlink>
          </w:p>
        </w:tc>
      </w:tr>
      <w:tr w:rsidR="000F37B9" w:rsidRPr="00AA6C13" w14:paraId="0A6FB6AD" w14:textId="77777777" w:rsidTr="00C8176D">
        <w:trPr>
          <w:jc w:val="center"/>
        </w:trPr>
        <w:tc>
          <w:tcPr>
            <w:tcW w:w="9629" w:type="dxa"/>
          </w:tcPr>
          <w:p w14:paraId="07776523" w14:textId="2651E1D8" w:rsidR="000F37B9" w:rsidRPr="00AA6C13" w:rsidRDefault="00D53643" w:rsidP="00482D83">
            <w:pPr>
              <w:spacing w:before="0"/>
              <w:rPr>
                <w:i/>
                <w:iCs/>
                <w:lang w:bidi="ar-DZ"/>
              </w:rPr>
            </w:pPr>
            <w:r w:rsidRPr="00AA6C13">
              <w:rPr>
                <w:i/>
                <w:lang w:bidi="ar-DZ"/>
              </w:rPr>
              <w:t>"</w:t>
            </w:r>
            <w:r w:rsidR="000F37B9" w:rsidRPr="00AA6C13">
              <w:rPr>
                <w:i/>
                <w:lang w:bidi="ar-DZ"/>
              </w:rPr>
              <w:t xml:space="preserve">The CONSORT-AI (Consolidated </w:t>
            </w:r>
            <w:r w:rsidR="00F82017" w:rsidRPr="00AA6C13">
              <w:rPr>
                <w:i/>
                <w:lang w:bidi="ar-DZ"/>
              </w:rPr>
              <w:t>s</w:t>
            </w:r>
            <w:r w:rsidR="000F37B9" w:rsidRPr="00AA6C13">
              <w:rPr>
                <w:i/>
                <w:lang w:bidi="ar-DZ"/>
              </w:rPr>
              <w:t xml:space="preserve">tandards of </w:t>
            </w:r>
            <w:r w:rsidR="00F82017" w:rsidRPr="00AA6C13">
              <w:rPr>
                <w:i/>
                <w:lang w:bidi="ar-DZ"/>
              </w:rPr>
              <w:t>r</w:t>
            </w:r>
            <w:r w:rsidR="000F37B9" w:rsidRPr="00AA6C13">
              <w:rPr>
                <w:i/>
                <w:lang w:bidi="ar-DZ"/>
              </w:rPr>
              <w:t xml:space="preserve">eporting </w:t>
            </w:r>
            <w:r w:rsidR="00F82017" w:rsidRPr="00AA6C13">
              <w:rPr>
                <w:i/>
                <w:lang w:bidi="ar-DZ"/>
              </w:rPr>
              <w:t>t</w:t>
            </w:r>
            <w:r w:rsidR="000F37B9" w:rsidRPr="00AA6C13">
              <w:rPr>
                <w:i/>
                <w:lang w:bidi="ar-DZ"/>
              </w:rPr>
              <w:t>rials–</w:t>
            </w:r>
            <w:r w:rsidR="00F405F5" w:rsidRPr="00AA6C13">
              <w:rPr>
                <w:i/>
                <w:lang w:bidi="ar-DZ"/>
              </w:rPr>
              <w:t>a</w:t>
            </w:r>
            <w:r w:rsidR="000F37B9" w:rsidRPr="00AA6C13">
              <w:rPr>
                <w:i/>
                <w:lang w:bidi="ar-DZ"/>
              </w:rPr>
              <w:t xml:space="preserve">rtificial </w:t>
            </w:r>
            <w:r w:rsidR="00F405F5" w:rsidRPr="00AA6C13">
              <w:rPr>
                <w:i/>
                <w:lang w:bidi="ar-DZ"/>
              </w:rPr>
              <w:t>i</w:t>
            </w:r>
            <w:r w:rsidR="000F37B9" w:rsidRPr="00AA6C13">
              <w:rPr>
                <w:i/>
                <w:lang w:bidi="ar-DZ"/>
              </w:rPr>
              <w:t>ntelligence) extension is a new reporting guideline for clinical trials evaluating interventions with an AI component. It was developed in parallel with its companion statement for clinical trial protocols: SPIRIT-AI (</w:t>
            </w:r>
            <w:r w:rsidR="00EF473F" w:rsidRPr="00AA6C13">
              <w:rPr>
                <w:i/>
                <w:lang w:bidi="ar-DZ"/>
              </w:rPr>
              <w:t>s</w:t>
            </w:r>
            <w:r w:rsidR="000F37B9" w:rsidRPr="00AA6C13">
              <w:rPr>
                <w:i/>
                <w:lang w:bidi="ar-DZ"/>
              </w:rPr>
              <w:t xml:space="preserve">tandard </w:t>
            </w:r>
            <w:r w:rsidR="00A870AE" w:rsidRPr="00AA6C13">
              <w:rPr>
                <w:i/>
                <w:lang w:bidi="ar-DZ"/>
              </w:rPr>
              <w:t>p</w:t>
            </w:r>
            <w:r w:rsidR="000F37B9" w:rsidRPr="00AA6C13">
              <w:rPr>
                <w:i/>
                <w:lang w:bidi="ar-DZ"/>
              </w:rPr>
              <w:t xml:space="preserve">rotocol </w:t>
            </w:r>
            <w:r w:rsidR="00A870AE" w:rsidRPr="00AA6C13">
              <w:rPr>
                <w:i/>
                <w:lang w:bidi="ar-DZ"/>
              </w:rPr>
              <w:t>i</w:t>
            </w:r>
            <w:r w:rsidR="000F37B9" w:rsidRPr="00AA6C13">
              <w:rPr>
                <w:i/>
                <w:lang w:bidi="ar-DZ"/>
              </w:rPr>
              <w:t xml:space="preserve">tems: Recommendations for </w:t>
            </w:r>
            <w:r w:rsidR="00DE2A54" w:rsidRPr="00AA6C13">
              <w:rPr>
                <w:i/>
                <w:lang w:bidi="ar-DZ"/>
              </w:rPr>
              <w:t>i</w:t>
            </w:r>
            <w:r w:rsidR="000F37B9" w:rsidRPr="00AA6C13">
              <w:rPr>
                <w:i/>
                <w:lang w:bidi="ar-DZ"/>
              </w:rPr>
              <w:t xml:space="preserve">nterventional </w:t>
            </w:r>
            <w:r w:rsidR="00DE2A54" w:rsidRPr="00AA6C13">
              <w:rPr>
                <w:i/>
                <w:lang w:bidi="ar-DZ"/>
              </w:rPr>
              <w:t>t</w:t>
            </w:r>
            <w:r w:rsidR="000F37B9" w:rsidRPr="00AA6C13">
              <w:rPr>
                <w:i/>
                <w:lang w:bidi="ar-DZ"/>
              </w:rPr>
              <w:t>rials–</w:t>
            </w:r>
            <w:r w:rsidR="001D1E9E" w:rsidRPr="00AA6C13">
              <w:rPr>
                <w:i/>
                <w:lang w:bidi="ar-DZ"/>
              </w:rPr>
              <w:t>a</w:t>
            </w:r>
            <w:r w:rsidR="000F37B9" w:rsidRPr="00AA6C13">
              <w:rPr>
                <w:i/>
                <w:lang w:bidi="ar-DZ"/>
              </w:rPr>
              <w:t xml:space="preserve">rtificial </w:t>
            </w:r>
            <w:r w:rsidR="001D1E9E" w:rsidRPr="00AA6C13">
              <w:rPr>
                <w:i/>
                <w:lang w:bidi="ar-DZ"/>
              </w:rPr>
              <w:t>i</w:t>
            </w:r>
            <w:r w:rsidR="000F37B9" w:rsidRPr="00AA6C13">
              <w:rPr>
                <w:i/>
                <w:lang w:bidi="ar-DZ"/>
              </w:rPr>
              <w:t>ntelligence). [...] The CONSORT-AI extension includes 14 new items that were considered sufficiently important for AI interventions that they should be routinely reported in addition to the core CONSORT 2010 items. CONSORT-AI recommends that investigators provide clear descriptions of the AI intervention, including instructions and skills required for use, the setting in which the AI intervention is integrated, the handling of inputs and outputs of the AI intervention, the human–AI interaction and provision of an analysis of error cases. [...] Randomized controlled trials (RCTs) are considered the gold-standard experimental design for providing evidence of the safety and efficacy of an intervention. Trial results, if adequately reported, have the potential to inform regulatory decisions, clinical guidelines and health policy. It is therefore crucial that RCTs are reported with transparency and completeness so that readers can critically appraise the trial methods and findings and assess the presence of bias in the results. [...] However, in the most recent cases, published evidence has consisted of in silico, early-phase validation.</w:t>
            </w:r>
            <w:r w:rsidRPr="00AA6C13">
              <w:rPr>
                <w:i/>
                <w:lang w:bidi="ar-DZ"/>
              </w:rPr>
              <w:t>"</w:t>
            </w:r>
          </w:p>
        </w:tc>
      </w:tr>
      <w:tr w:rsidR="000F37B9" w:rsidRPr="00AA6C13" w14:paraId="68BE2859" w14:textId="77777777" w:rsidTr="00C8176D">
        <w:trPr>
          <w:jc w:val="center"/>
        </w:trPr>
        <w:tc>
          <w:tcPr>
            <w:tcW w:w="9629" w:type="dxa"/>
          </w:tcPr>
          <w:p w14:paraId="7ABFBED8" w14:textId="77777777" w:rsidR="000F37B9" w:rsidRPr="00AA6C13" w:rsidRDefault="000F37B9" w:rsidP="00752C4E">
            <w:pPr>
              <w:pStyle w:val="Headingb"/>
              <w:rPr>
                <w:lang w:bidi="ar-DZ"/>
              </w:rPr>
            </w:pPr>
            <w:r w:rsidRPr="00AA6C13">
              <w:rPr>
                <w:lang w:bidi="ar-DZ"/>
              </w:rPr>
              <w:t>Comment</w:t>
            </w:r>
          </w:p>
          <w:p w14:paraId="290966EC" w14:textId="05323363" w:rsidR="000F37B9" w:rsidRPr="00AA6C13" w:rsidRDefault="00C8176D" w:rsidP="00C8176D">
            <w:pPr>
              <w:pStyle w:val="enumlev1"/>
              <w:rPr>
                <w:lang w:bidi="ar-DZ"/>
              </w:rPr>
            </w:pPr>
            <w:r w:rsidRPr="00AA6C13">
              <w:rPr>
                <w:lang w:bidi="ar-DZ"/>
              </w:rPr>
              <w:t>–</w:t>
            </w:r>
            <w:r w:rsidRPr="00AA6C13">
              <w:rPr>
                <w:lang w:bidi="ar-DZ"/>
              </w:rPr>
              <w:tab/>
            </w:r>
            <w:r w:rsidR="000F37B9" w:rsidRPr="00AA6C13">
              <w:rPr>
                <w:lang w:bidi="ar-DZ"/>
              </w:rPr>
              <w:t xml:space="preserve">See Consort-AI </w:t>
            </w:r>
            <w:r w:rsidR="00454F60" w:rsidRPr="00AA6C13">
              <w:rPr>
                <w:lang w:bidi="ar-DZ"/>
              </w:rPr>
              <w:t>and</w:t>
            </w:r>
            <w:r w:rsidR="000F37B9" w:rsidRPr="00AA6C13">
              <w:rPr>
                <w:lang w:bidi="ar-DZ"/>
              </w:rPr>
              <w:t xml:space="preserve"> Spirit-AI (2019) above.</w:t>
            </w:r>
          </w:p>
        </w:tc>
      </w:tr>
    </w:tbl>
    <w:p w14:paraId="621EDC82"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3E264065" w14:textId="77777777" w:rsidTr="00C8176D">
        <w:trPr>
          <w:jc w:val="center"/>
        </w:trPr>
        <w:tc>
          <w:tcPr>
            <w:tcW w:w="9629" w:type="dxa"/>
            <w:shd w:val="clear" w:color="auto" w:fill="E7E6E6" w:themeFill="background2"/>
          </w:tcPr>
          <w:p w14:paraId="54FE62EF" w14:textId="77777777" w:rsidR="000F37B9" w:rsidRPr="00AA6C13" w:rsidRDefault="000F37B9" w:rsidP="00482D83">
            <w:pPr>
              <w:spacing w:before="0"/>
              <w:rPr>
                <w:rFonts w:eastAsia="Times New Roman"/>
                <w:lang w:eastAsia="de-DE"/>
              </w:rPr>
            </w:pPr>
            <w:r w:rsidRPr="00AA6C13">
              <w:rPr>
                <w:rFonts w:eastAsia="Times New Roman"/>
                <w:b/>
                <w:bCs/>
                <w:lang w:eastAsia="de-DE"/>
              </w:rPr>
              <w:t>Guidelines for clinical trial protocols for interventions involving artificial intelligence: the SPIRIT-AI extension.</w:t>
            </w:r>
          </w:p>
        </w:tc>
      </w:tr>
      <w:tr w:rsidR="000F37B9" w:rsidRPr="007E3BD1" w14:paraId="46B1875D" w14:textId="77777777" w:rsidTr="00C8176D">
        <w:trPr>
          <w:jc w:val="center"/>
        </w:trPr>
        <w:tc>
          <w:tcPr>
            <w:tcW w:w="9629" w:type="dxa"/>
          </w:tcPr>
          <w:p w14:paraId="61BA6495" w14:textId="14466C62" w:rsidR="000F37B9" w:rsidRPr="004D4B8A" w:rsidRDefault="000F37B9" w:rsidP="00482D83">
            <w:pPr>
              <w:spacing w:before="0"/>
              <w:rPr>
                <w:rFonts w:eastAsia="Times New Roman"/>
                <w:lang w:val="it-IT"/>
              </w:rPr>
            </w:pPr>
            <w:r w:rsidRPr="00AA6C13">
              <w:rPr>
                <w:rFonts w:eastAsia="Times New Roman"/>
                <w:lang w:eastAsia="de-DE"/>
              </w:rPr>
              <w:t>Rivera, S. C., Liu, X., Chan, A. W., Denniston, A. K., Calvert, M. J.</w:t>
            </w:r>
            <w:r w:rsidR="00F025F6" w:rsidRPr="00AA6C13">
              <w:rPr>
                <w:rFonts w:eastAsia="Times New Roman"/>
                <w:lang w:eastAsia="de-DE"/>
              </w:rPr>
              <w:t>, The SPIRIT-AI</w:t>
            </w:r>
            <w:r w:rsidR="00460D97" w:rsidRPr="00AA6C13">
              <w:rPr>
                <w:rFonts w:eastAsia="Times New Roman"/>
                <w:lang w:eastAsia="de-DE"/>
              </w:rPr>
              <w:t xml:space="preserve"> and CONSORT-AI Working Group, SPIRIT-AI and CONSORT-AI Steering Group and SPIRIT-AI and CONSORT-AI Consensus Group.</w:t>
            </w:r>
            <w:r w:rsidRPr="00AA6C13">
              <w:rPr>
                <w:rFonts w:eastAsia="Times New Roman"/>
                <w:lang w:eastAsia="de-DE"/>
              </w:rPr>
              <w:t xml:space="preserve"> (2020). Guidelines for clinical trial protocols for interventions involving artificial intelligence: the SPIRIT-AI extension.</w:t>
            </w:r>
            <w:r w:rsidRPr="00AA6C13">
              <w:rPr>
                <w:rFonts w:eastAsia="Times New Roman"/>
              </w:rPr>
              <w:t xml:space="preserve"> </w:t>
            </w:r>
            <w:r w:rsidRPr="004D4B8A">
              <w:rPr>
                <w:rFonts w:eastAsia="Times New Roman"/>
                <w:lang w:val="it-IT"/>
              </w:rPr>
              <w:t>Nat</w:t>
            </w:r>
            <w:r w:rsidR="008B1C88" w:rsidRPr="004D4B8A">
              <w:rPr>
                <w:rFonts w:eastAsia="Times New Roman"/>
                <w:lang w:val="it-IT"/>
              </w:rPr>
              <w:t>ure</w:t>
            </w:r>
            <w:r w:rsidRPr="004D4B8A">
              <w:rPr>
                <w:rFonts w:eastAsia="Times New Roman"/>
                <w:lang w:val="it-IT"/>
              </w:rPr>
              <w:t xml:space="preserve"> </w:t>
            </w:r>
            <w:r w:rsidR="008B1C88" w:rsidRPr="004D4B8A">
              <w:rPr>
                <w:rFonts w:eastAsia="Times New Roman"/>
                <w:lang w:val="it-IT"/>
              </w:rPr>
              <w:t>m</w:t>
            </w:r>
            <w:r w:rsidRPr="004D4B8A">
              <w:rPr>
                <w:rFonts w:eastAsia="Times New Roman"/>
                <w:lang w:val="it-IT"/>
              </w:rPr>
              <w:t>ed</w:t>
            </w:r>
            <w:r w:rsidR="008B1C88" w:rsidRPr="004D4B8A">
              <w:rPr>
                <w:rFonts w:eastAsia="Times New Roman"/>
                <w:lang w:val="it-IT"/>
              </w:rPr>
              <w:t>icine</w:t>
            </w:r>
            <w:r w:rsidRPr="004D4B8A">
              <w:rPr>
                <w:rFonts w:eastAsia="Times New Roman"/>
                <w:lang w:val="it-IT"/>
              </w:rPr>
              <w:t xml:space="preserve"> </w:t>
            </w:r>
            <w:r w:rsidRPr="004D4B8A">
              <w:rPr>
                <w:rFonts w:eastAsia="Times New Roman"/>
                <w:b/>
                <w:bCs/>
                <w:lang w:val="it-IT"/>
              </w:rPr>
              <w:t xml:space="preserve">26, </w:t>
            </w:r>
            <w:r w:rsidRPr="004D4B8A">
              <w:rPr>
                <w:rFonts w:eastAsia="Times New Roman"/>
                <w:lang w:val="it-IT"/>
              </w:rPr>
              <w:t>1351–1363 (2020).</w:t>
            </w:r>
            <w:r w:rsidR="00B43F66" w:rsidRPr="004D4B8A">
              <w:rPr>
                <w:rFonts w:eastAsia="Times New Roman"/>
                <w:lang w:val="it-IT"/>
              </w:rPr>
              <w:t xml:space="preserve"> [b-</w:t>
            </w:r>
            <w:r w:rsidR="00397663" w:rsidRPr="004D4B8A">
              <w:rPr>
                <w:rFonts w:eastAsia="Times New Roman"/>
                <w:lang w:val="it-IT"/>
              </w:rPr>
              <w:t>Rivera et al., 2020]</w:t>
            </w:r>
            <w:r w:rsidR="00DF0D32" w:rsidRPr="004D4B8A">
              <w:rPr>
                <w:rFonts w:eastAsia="Times New Roman"/>
                <w:lang w:val="it-IT"/>
              </w:rPr>
              <w:t>.</w:t>
            </w:r>
            <w:r w:rsidRPr="004D4B8A">
              <w:rPr>
                <w:rFonts w:eastAsia="Times New Roman"/>
                <w:lang w:val="it-IT"/>
              </w:rPr>
              <w:t xml:space="preserve"> </w:t>
            </w:r>
            <w:hyperlink r:id="rId53">
              <w:r w:rsidRPr="004D4B8A">
                <w:rPr>
                  <w:rFonts w:eastAsia="Times New Roman"/>
                  <w:color w:val="0000FF"/>
                  <w:u w:val="single"/>
                  <w:lang w:val="it-IT"/>
                </w:rPr>
                <w:t>https://doi.org/10.1038/s41591-020-1037-7</w:t>
              </w:r>
            </w:hyperlink>
          </w:p>
        </w:tc>
      </w:tr>
      <w:tr w:rsidR="000F37B9" w:rsidRPr="00AA6C13" w14:paraId="37FD78B9" w14:textId="77777777" w:rsidTr="00C8176D">
        <w:trPr>
          <w:jc w:val="center"/>
        </w:trPr>
        <w:tc>
          <w:tcPr>
            <w:tcW w:w="9629" w:type="dxa"/>
          </w:tcPr>
          <w:p w14:paraId="23A2CF75" w14:textId="5655632E" w:rsidR="000F37B9" w:rsidRPr="00AA6C13" w:rsidRDefault="00D53643" w:rsidP="00482D83">
            <w:pPr>
              <w:spacing w:before="0"/>
              <w:rPr>
                <w:rFonts w:eastAsia="Times New Roman"/>
                <w:i/>
              </w:rPr>
            </w:pPr>
            <w:r w:rsidRPr="00AA6C13">
              <w:rPr>
                <w:i/>
                <w:iCs/>
                <w:lang w:bidi="ar-DZ"/>
              </w:rPr>
              <w:t>"</w:t>
            </w:r>
            <w:r w:rsidR="000F37B9" w:rsidRPr="00AA6C13">
              <w:rPr>
                <w:rFonts w:eastAsia="Times New Roman"/>
                <w:i/>
              </w:rPr>
              <w:t>The SPIRIT-AI extension includes 15 new items that were considered sufficiently important for clinical trial protocols of AI interventions. These new items should be routinely reported in addition to the core SPIRIT 2013 items. SPIRIT-AI recommends that investigators provide clear descriptions of the AI intervention, including instructions and skills required for use, the setting in which the AI intervention will be integrated, considerations for the handling of input and output data, the human–AI interaction and analysis of error cases.</w:t>
            </w:r>
            <w:r w:rsidRPr="00AA6C13">
              <w:rPr>
                <w:rFonts w:eastAsia="Times New Roman"/>
                <w:i/>
              </w:rPr>
              <w:t>"</w:t>
            </w:r>
          </w:p>
        </w:tc>
      </w:tr>
    </w:tbl>
    <w:p w14:paraId="567638DC" w14:textId="77777777" w:rsidR="000F37B9" w:rsidRPr="00AA6C13" w:rsidRDefault="000F37B9" w:rsidP="000F37B9">
      <w:pPr>
        <w:spacing w:before="0"/>
        <w:rPr>
          <w:rFonts w:eastAsia="Times New Roman"/>
          <w:lang w:eastAsia="de-DE"/>
        </w:rPr>
      </w:pPr>
    </w:p>
    <w:p w14:paraId="10704497" w14:textId="77777777" w:rsidR="000F37B9" w:rsidRPr="00AA6C13" w:rsidRDefault="000F37B9" w:rsidP="002F38C9">
      <w:pPr>
        <w:keepNext/>
        <w:keepLines/>
        <w:spacing w:before="0"/>
      </w:pPr>
    </w:p>
    <w:tbl>
      <w:tblPr>
        <w:tblStyle w:val="TableGrid"/>
        <w:tblW w:w="9629" w:type="dxa"/>
        <w:jc w:val="center"/>
        <w:tblLook w:val="04A0" w:firstRow="1" w:lastRow="0" w:firstColumn="1" w:lastColumn="0" w:noHBand="0" w:noVBand="1"/>
      </w:tblPr>
      <w:tblGrid>
        <w:gridCol w:w="9629"/>
      </w:tblGrid>
      <w:tr w:rsidR="000F37B9" w:rsidRPr="00AA6C13" w14:paraId="3AAF62D6" w14:textId="77777777" w:rsidTr="002F38C9">
        <w:trPr>
          <w:jc w:val="center"/>
        </w:trPr>
        <w:tc>
          <w:tcPr>
            <w:tcW w:w="9629" w:type="dxa"/>
            <w:shd w:val="clear" w:color="auto" w:fill="E7E6E6" w:themeFill="background2"/>
          </w:tcPr>
          <w:p w14:paraId="3E040137" w14:textId="77777777" w:rsidR="000F37B9" w:rsidRPr="00AA6C13" w:rsidRDefault="000F37B9" w:rsidP="002F38C9">
            <w:pPr>
              <w:keepNext/>
              <w:keepLines/>
              <w:spacing w:before="0"/>
              <w:rPr>
                <w:b/>
                <w:bCs/>
                <w:lang w:bidi="ar-DZ"/>
              </w:rPr>
            </w:pPr>
            <w:r w:rsidRPr="00AA6C13">
              <w:rPr>
                <w:b/>
                <w:bCs/>
                <w:lang w:bidi="ar-DZ"/>
              </w:rPr>
              <w:t xml:space="preserve">TRIPOD-ML: </w:t>
            </w:r>
            <w:r w:rsidRPr="00AA6C13">
              <w:rPr>
                <w:b/>
                <w:bCs/>
              </w:rPr>
              <w:t>Reporting of artificial intelligence prediction models.</w:t>
            </w:r>
          </w:p>
        </w:tc>
      </w:tr>
      <w:tr w:rsidR="000F37B9" w:rsidRPr="00AA6C13" w14:paraId="538109FF" w14:textId="77777777" w:rsidTr="002F38C9">
        <w:trPr>
          <w:jc w:val="center"/>
        </w:trPr>
        <w:tc>
          <w:tcPr>
            <w:tcW w:w="9629" w:type="dxa"/>
          </w:tcPr>
          <w:p w14:paraId="756F8CFF" w14:textId="060169EE" w:rsidR="000F37B9" w:rsidRPr="00AA6C13" w:rsidRDefault="000F37B9" w:rsidP="002F38C9">
            <w:pPr>
              <w:keepNext/>
              <w:keepLines/>
              <w:spacing w:before="0"/>
              <w:rPr>
                <w:highlight w:val="yellow"/>
                <w:lang w:bidi="ar-DZ"/>
              </w:rPr>
            </w:pPr>
            <w:r w:rsidRPr="00AA6C13">
              <w:t xml:space="preserve">Collins, G. S., </w:t>
            </w:r>
            <w:r w:rsidR="0092754F" w:rsidRPr="00AA6C13">
              <w:t>and</w:t>
            </w:r>
            <w:r w:rsidRPr="00AA6C13">
              <w:t xml:space="preserve"> Moons, K. G.</w:t>
            </w:r>
            <w:r w:rsidR="00E617A9" w:rsidRPr="00AA6C13">
              <w:t xml:space="preserve"> M.</w:t>
            </w:r>
            <w:r w:rsidRPr="00AA6C13">
              <w:t xml:space="preserve"> (2019). Reporting of artificial intelligence prediction models. </w:t>
            </w:r>
            <w:r w:rsidRPr="00AA6C13">
              <w:rPr>
                <w:i/>
                <w:iCs/>
              </w:rPr>
              <w:t xml:space="preserve">The </w:t>
            </w:r>
            <w:r w:rsidR="00D654ED" w:rsidRPr="00AA6C13">
              <w:rPr>
                <w:i/>
                <w:iCs/>
              </w:rPr>
              <w:t>l</w:t>
            </w:r>
            <w:r w:rsidRPr="00AA6C13">
              <w:rPr>
                <w:i/>
                <w:iCs/>
              </w:rPr>
              <w:t>ancet</w:t>
            </w:r>
            <w:r w:rsidRPr="00AA6C13">
              <w:t xml:space="preserve">, </w:t>
            </w:r>
            <w:r w:rsidR="00A663CC" w:rsidRPr="00AA6C13">
              <w:t xml:space="preserve">Volume </w:t>
            </w:r>
            <w:r w:rsidRPr="00AA6C13">
              <w:rPr>
                <w:i/>
                <w:iCs/>
              </w:rPr>
              <w:t>393</w:t>
            </w:r>
            <w:r w:rsidR="00953FF2" w:rsidRPr="00AA6C13">
              <w:t xml:space="preserve">, Issue </w:t>
            </w:r>
            <w:r w:rsidRPr="00AA6C13">
              <w:t xml:space="preserve">10181, </w:t>
            </w:r>
            <w:r w:rsidR="00A70796" w:rsidRPr="00AA6C13">
              <w:t>pp</w:t>
            </w:r>
            <w:r w:rsidRPr="00AA6C13">
              <w:t>1577-1579.</w:t>
            </w:r>
            <w:r w:rsidR="00C414CC" w:rsidRPr="00AA6C13">
              <w:t xml:space="preserve"> [b-</w:t>
            </w:r>
            <w:r w:rsidR="005220B2" w:rsidRPr="00AA6C13">
              <w:t>Collins et al., 2019]</w:t>
            </w:r>
            <w:r w:rsidR="0062748A" w:rsidRPr="00AA6C13">
              <w:t>.</w:t>
            </w:r>
            <w:r w:rsidRPr="00AA6C13">
              <w:t xml:space="preserve"> </w:t>
            </w:r>
            <w:hyperlink r:id="rId54">
              <w:r w:rsidRPr="00AA6C13">
                <w:rPr>
                  <w:color w:val="0000FF"/>
                  <w:u w:val="single"/>
                </w:rPr>
                <w:t>https://doi.org/10.1016/S0140-6736(19)30037-6</w:t>
              </w:r>
            </w:hyperlink>
            <w:r w:rsidRPr="00AA6C13">
              <w:t xml:space="preserve"> </w:t>
            </w:r>
          </w:p>
        </w:tc>
      </w:tr>
      <w:tr w:rsidR="000F37B9" w:rsidRPr="00AA6C13" w14:paraId="02504A76" w14:textId="77777777" w:rsidTr="002F38C9">
        <w:trPr>
          <w:jc w:val="center"/>
        </w:trPr>
        <w:tc>
          <w:tcPr>
            <w:tcW w:w="9629" w:type="dxa"/>
          </w:tcPr>
          <w:p w14:paraId="52B903C3" w14:textId="77777777" w:rsidR="000F37B9" w:rsidRPr="00AA6C13" w:rsidRDefault="000F37B9" w:rsidP="00752C4E">
            <w:pPr>
              <w:pStyle w:val="Headingb"/>
              <w:rPr>
                <w:rFonts w:eastAsia="DengXian"/>
                <w:bCs/>
              </w:rPr>
            </w:pPr>
            <w:r w:rsidRPr="00AA6C13">
              <w:t>Comment</w:t>
            </w:r>
            <w:r w:rsidRPr="00AA6C13">
              <w:rPr>
                <w:rFonts w:eastAsia="DengXian"/>
                <w:bCs/>
              </w:rPr>
              <w:t>:</w:t>
            </w:r>
          </w:p>
          <w:p w14:paraId="1ED23BE4" w14:textId="15EDE750" w:rsidR="000F37B9" w:rsidRPr="00AA6C13" w:rsidRDefault="002F38C9" w:rsidP="002F38C9">
            <w:pPr>
              <w:pStyle w:val="enumlev1"/>
              <w:rPr>
                <w:rFonts w:eastAsia="Times New Roman"/>
              </w:rPr>
            </w:pPr>
            <w:r w:rsidRPr="00AA6C13">
              <w:rPr>
                <w:lang w:bidi="ar-DZ"/>
              </w:rPr>
              <w:t>–</w:t>
            </w:r>
            <w:r w:rsidRPr="00AA6C13">
              <w:rPr>
                <w:lang w:bidi="ar-DZ"/>
              </w:rPr>
              <w:tab/>
            </w:r>
            <w:r w:rsidR="000F37B9" w:rsidRPr="00AA6C13">
              <w:t>This is a comment about the reporting mechanisms for AI prediction models</w:t>
            </w:r>
            <w:r w:rsidR="00950A6D" w:rsidRPr="00AA6C13">
              <w:t>.</w:t>
            </w:r>
          </w:p>
        </w:tc>
      </w:tr>
    </w:tbl>
    <w:p w14:paraId="5D453FEC" w14:textId="77777777" w:rsidR="000F37B9" w:rsidRPr="00AA6C13" w:rsidRDefault="000F37B9" w:rsidP="000F37B9">
      <w:pPr>
        <w:spacing w:before="0"/>
        <w:rPr>
          <w:rFonts w:eastAsia="Times New Roman"/>
          <w:lang w:eastAsia="de-DE"/>
        </w:rPr>
      </w:pPr>
    </w:p>
    <w:tbl>
      <w:tblPr>
        <w:tblStyle w:val="TableGrid"/>
        <w:tblW w:w="9629" w:type="dxa"/>
        <w:jc w:val="center"/>
        <w:tblLook w:val="04A0" w:firstRow="1" w:lastRow="0" w:firstColumn="1" w:lastColumn="0" w:noHBand="0" w:noVBand="1"/>
      </w:tblPr>
      <w:tblGrid>
        <w:gridCol w:w="9629"/>
      </w:tblGrid>
      <w:tr w:rsidR="000F37B9" w:rsidRPr="00AA6C13" w14:paraId="7B504DA6" w14:textId="77777777" w:rsidTr="00DF6BD1">
        <w:trPr>
          <w:jc w:val="center"/>
        </w:trPr>
        <w:tc>
          <w:tcPr>
            <w:tcW w:w="9629" w:type="dxa"/>
            <w:shd w:val="clear" w:color="auto" w:fill="E7E6E6" w:themeFill="background2"/>
          </w:tcPr>
          <w:p w14:paraId="0019DD6D" w14:textId="684809B4" w:rsidR="000F37B9" w:rsidRPr="00AA6C13" w:rsidRDefault="000F37B9" w:rsidP="00482D83">
            <w:pPr>
              <w:spacing w:before="0"/>
              <w:rPr>
                <w:b/>
                <w:bCs/>
                <w:lang w:bidi="ar-DZ"/>
              </w:rPr>
            </w:pPr>
            <w:r w:rsidRPr="00AA6C13">
              <w:rPr>
                <w:b/>
                <w:bCs/>
              </w:rPr>
              <w:t>Transparent reporting of a multivariable prediction model for individual prognosis or diagnosis (TRIPOD)</w:t>
            </w:r>
            <w:r w:rsidR="00C41408" w:rsidRPr="00AA6C13">
              <w:rPr>
                <w:b/>
                <w:bCs/>
              </w:rPr>
              <w:t>: the TRIPOD statement.</w:t>
            </w:r>
            <w:r w:rsidRPr="00AA6C13">
              <w:rPr>
                <w:b/>
                <w:bCs/>
                <w:lang w:bidi="ar-DZ"/>
              </w:rPr>
              <w:t xml:space="preserve"> </w:t>
            </w:r>
          </w:p>
        </w:tc>
      </w:tr>
      <w:tr w:rsidR="000F37B9" w:rsidRPr="00AA6C13" w14:paraId="256FAAF5" w14:textId="77777777" w:rsidTr="00DF6BD1">
        <w:trPr>
          <w:jc w:val="center"/>
        </w:trPr>
        <w:tc>
          <w:tcPr>
            <w:tcW w:w="9629" w:type="dxa"/>
          </w:tcPr>
          <w:p w14:paraId="52BFDC34" w14:textId="428CFEB9" w:rsidR="000F37B9" w:rsidRPr="00AA6C13" w:rsidRDefault="000F37B9" w:rsidP="00482D83">
            <w:pPr>
              <w:spacing w:before="0"/>
              <w:rPr>
                <w:highlight w:val="yellow"/>
                <w:lang w:bidi="ar-DZ"/>
              </w:rPr>
            </w:pPr>
            <w:r w:rsidRPr="00AA6C13">
              <w:t>Collins</w:t>
            </w:r>
            <w:r w:rsidR="00BF5E18" w:rsidRPr="00AA6C13">
              <w:t>,</w:t>
            </w:r>
            <w:r w:rsidRPr="00AA6C13">
              <w:t xml:space="preserve"> G</w:t>
            </w:r>
            <w:r w:rsidR="00BF5E18" w:rsidRPr="00AA6C13">
              <w:t xml:space="preserve">. </w:t>
            </w:r>
            <w:r w:rsidRPr="00AA6C13">
              <w:t>S</w:t>
            </w:r>
            <w:r w:rsidR="00BF5E18" w:rsidRPr="00AA6C13">
              <w:t>.</w:t>
            </w:r>
            <w:r w:rsidRPr="00AA6C13">
              <w:t>, Reitsma</w:t>
            </w:r>
            <w:r w:rsidR="00BF5E18" w:rsidRPr="00AA6C13">
              <w:t>,</w:t>
            </w:r>
            <w:r w:rsidRPr="00AA6C13">
              <w:t xml:space="preserve"> J</w:t>
            </w:r>
            <w:r w:rsidR="00DA639F" w:rsidRPr="00AA6C13">
              <w:t xml:space="preserve">. </w:t>
            </w:r>
            <w:r w:rsidRPr="00AA6C13">
              <w:t>B</w:t>
            </w:r>
            <w:r w:rsidR="00DA639F" w:rsidRPr="00AA6C13">
              <w:t>.</w:t>
            </w:r>
            <w:r w:rsidRPr="00AA6C13">
              <w:t>, Altman</w:t>
            </w:r>
            <w:r w:rsidR="003E6846" w:rsidRPr="00AA6C13">
              <w:t>,</w:t>
            </w:r>
            <w:r w:rsidRPr="00AA6C13">
              <w:t xml:space="preserve"> D</w:t>
            </w:r>
            <w:r w:rsidR="00011B9B" w:rsidRPr="00AA6C13">
              <w:t xml:space="preserve">. </w:t>
            </w:r>
            <w:r w:rsidRPr="00AA6C13">
              <w:t>G</w:t>
            </w:r>
            <w:r w:rsidR="00011B9B" w:rsidRPr="00AA6C13">
              <w:t>.</w:t>
            </w:r>
            <w:r w:rsidRPr="00AA6C13">
              <w:t>, Moons</w:t>
            </w:r>
            <w:r w:rsidR="007173E1" w:rsidRPr="00AA6C13">
              <w:t>,</w:t>
            </w:r>
            <w:r w:rsidRPr="00AA6C13">
              <w:t xml:space="preserve"> K</w:t>
            </w:r>
            <w:r w:rsidR="007173E1" w:rsidRPr="00AA6C13">
              <w:t>.</w:t>
            </w:r>
            <w:r w:rsidR="00873F43" w:rsidRPr="00AA6C13">
              <w:t xml:space="preserve"> </w:t>
            </w:r>
            <w:r w:rsidRPr="00AA6C13">
              <w:t>G.</w:t>
            </w:r>
            <w:r w:rsidR="00873F43" w:rsidRPr="00AA6C13">
              <w:t xml:space="preserve"> M.</w:t>
            </w:r>
            <w:r w:rsidRPr="00AA6C13">
              <w:t xml:space="preserve"> Transparent reporting of a multivariable prediction model for individual prognosis or diagnosis (TRIPOD): </w:t>
            </w:r>
            <w:r w:rsidR="004C4C8F" w:rsidRPr="00AA6C13">
              <w:t>t</w:t>
            </w:r>
            <w:r w:rsidRPr="00AA6C13">
              <w:t xml:space="preserve">he TRIPOD statement. BMJ. </w:t>
            </w:r>
            <w:r w:rsidR="00BF5E18" w:rsidRPr="00AA6C13">
              <w:t xml:space="preserve">[b-Collins </w:t>
            </w:r>
            <w:r w:rsidR="000A4F14" w:rsidRPr="00AA6C13">
              <w:t xml:space="preserve">G. S. </w:t>
            </w:r>
            <w:r w:rsidR="00BF5E18" w:rsidRPr="00AA6C13">
              <w:t xml:space="preserve">et al., </w:t>
            </w:r>
            <w:r w:rsidR="000A4F14" w:rsidRPr="00AA6C13">
              <w:t xml:space="preserve">2015]. </w:t>
            </w:r>
            <w:r w:rsidRPr="00AA6C13">
              <w:t xml:space="preserve">PMID: </w:t>
            </w:r>
            <w:hyperlink r:id="rId55" w:tgtFrame="_blank">
              <w:r w:rsidRPr="00AA6C13">
                <w:rPr>
                  <w:color w:val="0000FF"/>
                  <w:u w:val="single"/>
                </w:rPr>
                <w:t>25569120</w:t>
              </w:r>
            </w:hyperlink>
            <w:r w:rsidRPr="00AA6C13">
              <w:t xml:space="preserve"> </w:t>
            </w:r>
          </w:p>
        </w:tc>
      </w:tr>
      <w:tr w:rsidR="000F37B9" w:rsidRPr="007E3BD1" w14:paraId="7F11046D" w14:textId="77777777" w:rsidTr="00DF6BD1">
        <w:trPr>
          <w:jc w:val="center"/>
        </w:trPr>
        <w:tc>
          <w:tcPr>
            <w:tcW w:w="9629" w:type="dxa"/>
          </w:tcPr>
          <w:p w14:paraId="47FE3A57" w14:textId="3614C7F7" w:rsidR="000F37B9" w:rsidRPr="004D4B8A" w:rsidRDefault="000F37B9" w:rsidP="00482D83">
            <w:pPr>
              <w:spacing w:before="0"/>
              <w:rPr>
                <w:highlight w:val="yellow"/>
                <w:lang w:val="fr-CH" w:bidi="ar-DZ"/>
              </w:rPr>
            </w:pPr>
            <w:r w:rsidRPr="00AA6C13">
              <w:rPr>
                <w:i/>
                <w:lang w:bidi="ar-DZ"/>
              </w:rPr>
              <w:t>"</w:t>
            </w:r>
            <w:r w:rsidRPr="00AA6C13">
              <w:rPr>
                <w:i/>
              </w:rPr>
              <w:t xml:space="preserve">Reporting of studies developing, </w:t>
            </w:r>
            <w:r w:rsidRPr="00AA6C13">
              <w:rPr>
                <w:b/>
                <w:i/>
              </w:rPr>
              <w:t>validating</w:t>
            </w:r>
            <w:r w:rsidRPr="00AA6C13">
              <w:rPr>
                <w:i/>
              </w:rPr>
              <w:t xml:space="preserve">, or updating a </w:t>
            </w:r>
            <w:r w:rsidRPr="00AA6C13">
              <w:rPr>
                <w:b/>
                <w:i/>
              </w:rPr>
              <w:t>prediction model</w:t>
            </w:r>
            <w:r w:rsidRPr="00AA6C13">
              <w:rPr>
                <w:i/>
              </w:rPr>
              <w:t>, whether for diagnostic or prognostic purposes."</w:t>
            </w:r>
            <w:r w:rsidRPr="00AA6C13">
              <w:t xml:space="preserve"> </w:t>
            </w:r>
            <w:r w:rsidR="00766345" w:rsidRPr="004D4B8A">
              <w:rPr>
                <w:lang w:val="fr-CH"/>
              </w:rPr>
              <w:t>[</w:t>
            </w:r>
            <w:proofErr w:type="gramStart"/>
            <w:r w:rsidR="00766345" w:rsidRPr="004D4B8A">
              <w:rPr>
                <w:lang w:val="fr-CH"/>
              </w:rPr>
              <w:t>b</w:t>
            </w:r>
            <w:proofErr w:type="gramEnd"/>
            <w:r w:rsidR="00766345" w:rsidRPr="004D4B8A">
              <w:rPr>
                <w:lang w:val="fr-CH"/>
              </w:rPr>
              <w:t>-Collins G. S. et al., 2015]</w:t>
            </w:r>
            <w:r w:rsidR="00E80D2C" w:rsidRPr="004D4B8A">
              <w:rPr>
                <w:lang w:val="fr-CH"/>
              </w:rPr>
              <w:t>.</w:t>
            </w:r>
            <w:r w:rsidR="00766345" w:rsidRPr="004D4B8A">
              <w:rPr>
                <w:lang w:val="fr-CH"/>
              </w:rPr>
              <w:t xml:space="preserve"> </w:t>
            </w:r>
            <w:r w:rsidRPr="004D4B8A">
              <w:rPr>
                <w:lang w:val="fr-CH"/>
              </w:rPr>
              <w:t>(</w:t>
            </w:r>
            <w:proofErr w:type="spellStart"/>
            <w:r w:rsidRPr="004D4B8A">
              <w:rPr>
                <w:lang w:val="fr-CH"/>
              </w:rPr>
              <w:t>Quote</w:t>
            </w:r>
            <w:proofErr w:type="spellEnd"/>
            <w:r w:rsidRPr="004D4B8A">
              <w:rPr>
                <w:lang w:val="fr-CH"/>
              </w:rPr>
              <w:t xml:space="preserve"> </w:t>
            </w:r>
            <w:proofErr w:type="spellStart"/>
            <w:r w:rsidRPr="004D4B8A">
              <w:rPr>
                <w:lang w:val="fr-CH"/>
              </w:rPr>
              <w:t>from</w:t>
            </w:r>
            <w:proofErr w:type="spellEnd"/>
            <w:r w:rsidRPr="004D4B8A">
              <w:rPr>
                <w:lang w:val="fr-CH"/>
              </w:rPr>
              <w:t xml:space="preserve"> </w:t>
            </w:r>
            <w:hyperlink r:id="rId56">
              <w:r w:rsidRPr="004D4B8A">
                <w:rPr>
                  <w:color w:val="0000FF"/>
                  <w:u w:val="single"/>
                  <w:lang w:val="fr-CH" w:bidi="ar-DZ"/>
                </w:rPr>
                <w:t>https://www.equator-network.org/reporting-guidelines/tripod-statement/</w:t>
              </w:r>
            </w:hyperlink>
            <w:r w:rsidRPr="004D4B8A">
              <w:rPr>
                <w:lang w:val="fr-CH" w:bidi="ar-DZ"/>
              </w:rPr>
              <w:t>)</w:t>
            </w:r>
            <w:r w:rsidR="00766345" w:rsidRPr="004D4B8A">
              <w:rPr>
                <w:lang w:val="fr-CH" w:bidi="ar-DZ"/>
              </w:rPr>
              <w:t xml:space="preserve"> </w:t>
            </w:r>
          </w:p>
        </w:tc>
      </w:tr>
      <w:tr w:rsidR="000F37B9" w:rsidRPr="00AA6C13" w14:paraId="49DD7F1F" w14:textId="77777777" w:rsidTr="00DF6BD1">
        <w:trPr>
          <w:jc w:val="center"/>
        </w:trPr>
        <w:tc>
          <w:tcPr>
            <w:tcW w:w="9629" w:type="dxa"/>
          </w:tcPr>
          <w:p w14:paraId="4AE3CE38" w14:textId="77777777" w:rsidR="000F37B9" w:rsidRPr="00AA6C13" w:rsidRDefault="000F37B9" w:rsidP="00752C4E">
            <w:pPr>
              <w:pStyle w:val="Headingb"/>
              <w:rPr>
                <w:bCs/>
                <w:lang w:bidi="ar-DZ"/>
              </w:rPr>
            </w:pPr>
            <w:r w:rsidRPr="00AA6C13">
              <w:t>Comment</w:t>
            </w:r>
            <w:r w:rsidRPr="00AA6C13">
              <w:rPr>
                <w:bCs/>
                <w:lang w:bidi="ar-DZ"/>
              </w:rPr>
              <w:t>:</w:t>
            </w:r>
          </w:p>
          <w:p w14:paraId="206B27AB" w14:textId="0E79D0D4" w:rsidR="000F37B9" w:rsidRPr="00AA6C13" w:rsidRDefault="00DF6BD1" w:rsidP="00DF6BD1">
            <w:pPr>
              <w:pStyle w:val="enumlev1"/>
              <w:rPr>
                <w:i/>
                <w:iCs/>
                <w:lang w:bidi="ar-DZ"/>
              </w:rPr>
            </w:pPr>
            <w:r w:rsidRPr="00AA6C13">
              <w:rPr>
                <w:lang w:bidi="ar-DZ"/>
              </w:rPr>
              <w:t>–</w:t>
            </w:r>
            <w:r w:rsidRPr="00AA6C13">
              <w:rPr>
                <w:lang w:bidi="ar-DZ"/>
              </w:rPr>
              <w:tab/>
            </w:r>
            <w:r w:rsidR="002605A3" w:rsidRPr="00AA6C13">
              <w:rPr>
                <w:lang w:bidi="ar-DZ"/>
              </w:rPr>
              <w:t>The b</w:t>
            </w:r>
            <w:r w:rsidR="000F37B9" w:rsidRPr="00AA6C13">
              <w:rPr>
                <w:lang w:bidi="ar-DZ"/>
              </w:rPr>
              <w:t>asis for the extension towards machine learning "TRIPOD-ML", cited above.</w:t>
            </w:r>
          </w:p>
        </w:tc>
      </w:tr>
    </w:tbl>
    <w:p w14:paraId="5047CD3D" w14:textId="77777777" w:rsidR="000F37B9" w:rsidRPr="00AA6C13" w:rsidRDefault="000F37B9" w:rsidP="000F37B9">
      <w:pPr>
        <w:spacing w:before="0"/>
        <w:rPr>
          <w:rFonts w:eastAsia="Times New Roman"/>
          <w:lang w:eastAsia="de-DE"/>
        </w:rPr>
      </w:pPr>
    </w:p>
    <w:tbl>
      <w:tblPr>
        <w:tblStyle w:val="TableGrid"/>
        <w:tblW w:w="9629" w:type="dxa"/>
        <w:jc w:val="center"/>
        <w:tblLook w:val="04A0" w:firstRow="1" w:lastRow="0" w:firstColumn="1" w:lastColumn="0" w:noHBand="0" w:noVBand="1"/>
      </w:tblPr>
      <w:tblGrid>
        <w:gridCol w:w="9629"/>
      </w:tblGrid>
      <w:tr w:rsidR="000F37B9" w:rsidRPr="00AA6C13" w14:paraId="321E1C31" w14:textId="77777777" w:rsidTr="00DF6BD1">
        <w:trPr>
          <w:jc w:val="center"/>
        </w:trPr>
        <w:tc>
          <w:tcPr>
            <w:tcW w:w="9629" w:type="dxa"/>
            <w:shd w:val="clear" w:color="auto" w:fill="E7E6E6" w:themeFill="background2"/>
          </w:tcPr>
          <w:p w14:paraId="6D996E01" w14:textId="3EB8BB11" w:rsidR="000F37B9" w:rsidRPr="00AA6C13" w:rsidRDefault="000F37B9" w:rsidP="00482D83">
            <w:pPr>
              <w:spacing w:before="0"/>
              <w:rPr>
                <w:rFonts w:eastAsia="Times New Roman"/>
                <w:b/>
                <w:bCs/>
                <w:lang w:eastAsia="de-DE"/>
              </w:rPr>
            </w:pPr>
            <w:r w:rsidRPr="00AA6C13">
              <w:rPr>
                <w:rFonts w:eastAsia="Times New Roman"/>
                <w:b/>
                <w:bCs/>
                <w:lang w:eastAsia="de-DE"/>
              </w:rPr>
              <w:t xml:space="preserve">A </w:t>
            </w:r>
            <w:r w:rsidR="0096444D" w:rsidRPr="00AA6C13">
              <w:rPr>
                <w:rFonts w:eastAsia="Times New Roman"/>
                <w:b/>
                <w:bCs/>
                <w:lang w:eastAsia="de-DE"/>
              </w:rPr>
              <w:t>m</w:t>
            </w:r>
            <w:r w:rsidRPr="00AA6C13">
              <w:rPr>
                <w:rFonts w:eastAsia="Times New Roman"/>
                <w:b/>
                <w:bCs/>
                <w:lang w:eastAsia="de-DE"/>
              </w:rPr>
              <w:t xml:space="preserve">achine </w:t>
            </w:r>
            <w:r w:rsidR="0096444D" w:rsidRPr="00AA6C13">
              <w:rPr>
                <w:rFonts w:eastAsia="Times New Roman"/>
                <w:b/>
                <w:bCs/>
                <w:lang w:eastAsia="de-DE"/>
              </w:rPr>
              <w:t>l</w:t>
            </w:r>
            <w:r w:rsidRPr="00AA6C13">
              <w:rPr>
                <w:rFonts w:eastAsia="Times New Roman"/>
                <w:b/>
                <w:bCs/>
                <w:lang w:eastAsia="de-DE"/>
              </w:rPr>
              <w:t xml:space="preserve">earning </w:t>
            </w:r>
            <w:r w:rsidR="0096444D" w:rsidRPr="00AA6C13">
              <w:rPr>
                <w:rFonts w:eastAsia="Times New Roman"/>
                <w:b/>
                <w:bCs/>
                <w:lang w:eastAsia="de-DE"/>
              </w:rPr>
              <w:t>p</w:t>
            </w:r>
            <w:r w:rsidRPr="00AA6C13">
              <w:rPr>
                <w:rFonts w:eastAsia="Times New Roman"/>
                <w:b/>
                <w:bCs/>
                <w:lang w:eastAsia="de-DE"/>
              </w:rPr>
              <w:t xml:space="preserve">rocess </w:t>
            </w:r>
            <w:r w:rsidR="005A3583" w:rsidRPr="00AA6C13">
              <w:rPr>
                <w:rFonts w:eastAsia="Times New Roman"/>
                <w:b/>
                <w:bCs/>
                <w:lang w:eastAsia="de-DE"/>
              </w:rPr>
              <w:t>m</w:t>
            </w:r>
            <w:r w:rsidRPr="00AA6C13">
              <w:rPr>
                <w:rFonts w:eastAsia="Times New Roman"/>
                <w:b/>
                <w:bCs/>
                <w:lang w:eastAsia="de-DE"/>
              </w:rPr>
              <w:t xml:space="preserve">odel with </w:t>
            </w:r>
            <w:r w:rsidR="00F66B3D" w:rsidRPr="00AA6C13">
              <w:rPr>
                <w:rFonts w:eastAsia="Times New Roman"/>
                <w:b/>
                <w:bCs/>
                <w:lang w:eastAsia="de-DE"/>
              </w:rPr>
              <w:t>q</w:t>
            </w:r>
            <w:r w:rsidRPr="00AA6C13">
              <w:rPr>
                <w:rFonts w:eastAsia="Times New Roman"/>
                <w:b/>
                <w:bCs/>
                <w:lang w:eastAsia="de-DE"/>
              </w:rPr>
              <w:t xml:space="preserve">uality </w:t>
            </w:r>
            <w:r w:rsidR="00F66B3D" w:rsidRPr="00AA6C13">
              <w:rPr>
                <w:rFonts w:eastAsia="Times New Roman"/>
                <w:b/>
                <w:bCs/>
                <w:lang w:eastAsia="de-DE"/>
              </w:rPr>
              <w:t>a</w:t>
            </w:r>
            <w:r w:rsidRPr="00AA6C13">
              <w:rPr>
                <w:rFonts w:eastAsia="Times New Roman"/>
                <w:b/>
                <w:bCs/>
                <w:lang w:eastAsia="de-DE"/>
              </w:rPr>
              <w:t xml:space="preserve">ssurance </w:t>
            </w:r>
            <w:r w:rsidR="00F66B3D" w:rsidRPr="00AA6C13">
              <w:rPr>
                <w:rFonts w:eastAsia="Times New Roman"/>
                <w:b/>
                <w:bCs/>
                <w:lang w:eastAsia="de-DE"/>
              </w:rPr>
              <w:t>m</w:t>
            </w:r>
            <w:r w:rsidRPr="00AA6C13">
              <w:rPr>
                <w:rFonts w:eastAsia="Times New Roman"/>
                <w:b/>
                <w:bCs/>
                <w:lang w:eastAsia="de-DE"/>
              </w:rPr>
              <w:t xml:space="preserve">ethodology. </w:t>
            </w:r>
          </w:p>
        </w:tc>
      </w:tr>
      <w:tr w:rsidR="000F37B9" w:rsidRPr="00AA6C13" w14:paraId="7AA75532" w14:textId="77777777" w:rsidTr="00DF6BD1">
        <w:trPr>
          <w:jc w:val="center"/>
        </w:trPr>
        <w:tc>
          <w:tcPr>
            <w:tcW w:w="9629" w:type="dxa"/>
          </w:tcPr>
          <w:p w14:paraId="6864B602" w14:textId="708E2E48" w:rsidR="000F37B9" w:rsidRPr="00AA6C13" w:rsidRDefault="000F37B9" w:rsidP="00482D83">
            <w:pPr>
              <w:spacing w:before="0"/>
            </w:pPr>
            <w:r w:rsidRPr="00AA6C13">
              <w:rPr>
                <w:rFonts w:eastAsia="Times New Roman"/>
                <w:lang w:eastAsia="de-DE"/>
              </w:rPr>
              <w:t xml:space="preserve">Studer, S., Bui, T. B., Drescher, C., </w:t>
            </w:r>
            <w:proofErr w:type="spellStart"/>
            <w:r w:rsidRPr="00AA6C13">
              <w:rPr>
                <w:rFonts w:eastAsia="Times New Roman"/>
                <w:lang w:eastAsia="de-DE"/>
              </w:rPr>
              <w:t>Hanuschkin</w:t>
            </w:r>
            <w:proofErr w:type="spellEnd"/>
            <w:r w:rsidRPr="00AA6C13">
              <w:rPr>
                <w:rFonts w:eastAsia="Times New Roman"/>
                <w:lang w:eastAsia="de-DE"/>
              </w:rPr>
              <w:t xml:space="preserve">, A., Winkler, L., Peters, S., </w:t>
            </w:r>
            <w:r w:rsidR="00391308" w:rsidRPr="00AA6C13">
              <w:rPr>
                <w:rFonts w:eastAsia="Times New Roman"/>
                <w:lang w:eastAsia="de-DE"/>
              </w:rPr>
              <w:t>and</w:t>
            </w:r>
            <w:r w:rsidRPr="00AA6C13">
              <w:rPr>
                <w:rFonts w:eastAsia="Times New Roman"/>
                <w:lang w:eastAsia="de-DE"/>
              </w:rPr>
              <w:t xml:space="preserve"> Müller, K. R. (2020). Towards CRISP-ML(Q): A </w:t>
            </w:r>
            <w:r w:rsidR="005B5CC0" w:rsidRPr="00AA6C13">
              <w:rPr>
                <w:rFonts w:eastAsia="Times New Roman"/>
                <w:lang w:eastAsia="de-DE"/>
              </w:rPr>
              <w:t>m</w:t>
            </w:r>
            <w:r w:rsidRPr="00AA6C13">
              <w:rPr>
                <w:rFonts w:eastAsia="Times New Roman"/>
                <w:lang w:eastAsia="de-DE"/>
              </w:rPr>
              <w:t xml:space="preserve">achine </w:t>
            </w:r>
            <w:r w:rsidR="005B5CC0" w:rsidRPr="00AA6C13">
              <w:rPr>
                <w:rFonts w:eastAsia="Times New Roman"/>
                <w:lang w:eastAsia="de-DE"/>
              </w:rPr>
              <w:t>l</w:t>
            </w:r>
            <w:r w:rsidRPr="00AA6C13">
              <w:rPr>
                <w:rFonts w:eastAsia="Times New Roman"/>
                <w:lang w:eastAsia="de-DE"/>
              </w:rPr>
              <w:t xml:space="preserve">earning </w:t>
            </w:r>
            <w:r w:rsidR="00D331E4" w:rsidRPr="00AA6C13">
              <w:rPr>
                <w:rFonts w:eastAsia="Times New Roman"/>
                <w:lang w:eastAsia="de-DE"/>
              </w:rPr>
              <w:t>p</w:t>
            </w:r>
            <w:r w:rsidRPr="00AA6C13">
              <w:rPr>
                <w:rFonts w:eastAsia="Times New Roman"/>
                <w:lang w:eastAsia="de-DE"/>
              </w:rPr>
              <w:t xml:space="preserve">rocess </w:t>
            </w:r>
            <w:r w:rsidR="00546D0B" w:rsidRPr="00AA6C13">
              <w:rPr>
                <w:rFonts w:eastAsia="Times New Roman"/>
                <w:lang w:eastAsia="de-DE"/>
              </w:rPr>
              <w:t>m</w:t>
            </w:r>
            <w:r w:rsidRPr="00AA6C13">
              <w:rPr>
                <w:rFonts w:eastAsia="Times New Roman"/>
                <w:lang w:eastAsia="de-DE"/>
              </w:rPr>
              <w:t xml:space="preserve">odel with </w:t>
            </w:r>
            <w:r w:rsidR="00AD7D44" w:rsidRPr="00AA6C13">
              <w:rPr>
                <w:rFonts w:eastAsia="Times New Roman"/>
                <w:lang w:eastAsia="de-DE"/>
              </w:rPr>
              <w:t>q</w:t>
            </w:r>
            <w:r w:rsidRPr="00AA6C13">
              <w:rPr>
                <w:rFonts w:eastAsia="Times New Roman"/>
                <w:lang w:eastAsia="de-DE"/>
              </w:rPr>
              <w:t xml:space="preserve">uality </w:t>
            </w:r>
            <w:r w:rsidR="00D7064D" w:rsidRPr="00AA6C13">
              <w:rPr>
                <w:rFonts w:eastAsia="Times New Roman"/>
                <w:lang w:eastAsia="de-DE"/>
              </w:rPr>
              <w:t>a</w:t>
            </w:r>
            <w:r w:rsidRPr="00AA6C13">
              <w:rPr>
                <w:rFonts w:eastAsia="Times New Roman"/>
                <w:lang w:eastAsia="de-DE"/>
              </w:rPr>
              <w:t xml:space="preserve">ssurance </w:t>
            </w:r>
            <w:r w:rsidR="00B60DD0" w:rsidRPr="00AA6C13">
              <w:rPr>
                <w:rFonts w:eastAsia="Times New Roman"/>
                <w:lang w:eastAsia="de-DE"/>
              </w:rPr>
              <w:t>m</w:t>
            </w:r>
            <w:r w:rsidRPr="00AA6C13">
              <w:rPr>
                <w:rFonts w:eastAsia="Times New Roman"/>
                <w:lang w:eastAsia="de-DE"/>
              </w:rPr>
              <w:t xml:space="preserve">ethodology. </w:t>
            </w:r>
            <w:proofErr w:type="spellStart"/>
            <w:r w:rsidRPr="00AA6C13">
              <w:rPr>
                <w:rFonts w:eastAsia="Times New Roman"/>
                <w:i/>
                <w:iCs/>
                <w:lang w:eastAsia="de-DE"/>
              </w:rPr>
              <w:t>arXiv</w:t>
            </w:r>
            <w:proofErr w:type="spellEnd"/>
            <w:r w:rsidRPr="00AA6C13">
              <w:rPr>
                <w:rFonts w:eastAsia="Times New Roman"/>
                <w:i/>
                <w:iCs/>
                <w:lang w:eastAsia="de-DE"/>
              </w:rPr>
              <w:t xml:space="preserve"> preprint arXiv:2003.05155</w:t>
            </w:r>
            <w:r w:rsidRPr="00AA6C13">
              <w:rPr>
                <w:rFonts w:eastAsia="Times New Roman"/>
                <w:lang w:eastAsia="de-DE"/>
              </w:rPr>
              <w:t>.</w:t>
            </w:r>
            <w:r w:rsidR="008C1DE2" w:rsidRPr="00AA6C13">
              <w:rPr>
                <w:rFonts w:eastAsia="Times New Roman"/>
                <w:lang w:eastAsia="de-DE"/>
              </w:rPr>
              <w:t xml:space="preserve"> [b-Studer et al., 2020]</w:t>
            </w:r>
            <w:r w:rsidR="00F741CE" w:rsidRPr="00AA6C13">
              <w:rPr>
                <w:rFonts w:eastAsia="Times New Roman"/>
                <w:lang w:eastAsia="de-DE"/>
              </w:rPr>
              <w:t>.</w:t>
            </w:r>
            <w:r w:rsidRPr="00AA6C13">
              <w:rPr>
                <w:rFonts w:eastAsia="Times New Roman"/>
                <w:lang w:eastAsia="de-DE"/>
              </w:rPr>
              <w:t xml:space="preserve"> </w:t>
            </w:r>
            <w:hyperlink r:id="rId57">
              <w:r w:rsidRPr="00AA6C13">
                <w:rPr>
                  <w:color w:val="0000FF"/>
                  <w:u w:val="single"/>
                  <w:lang w:bidi="ar-DZ"/>
                </w:rPr>
                <w:t>https://arxiv.org/abs/2003.05155</w:t>
              </w:r>
            </w:hyperlink>
          </w:p>
        </w:tc>
      </w:tr>
      <w:tr w:rsidR="000F37B9" w:rsidRPr="00AA6C13" w14:paraId="19857041" w14:textId="77777777" w:rsidTr="00DF6BD1">
        <w:trPr>
          <w:jc w:val="center"/>
        </w:trPr>
        <w:tc>
          <w:tcPr>
            <w:tcW w:w="9629" w:type="dxa"/>
          </w:tcPr>
          <w:p w14:paraId="007C63A4" w14:textId="22C57D1D" w:rsidR="000F37B9" w:rsidRPr="00AA6C13" w:rsidRDefault="00D53643" w:rsidP="00482D83">
            <w:pPr>
              <w:rPr>
                <w:i/>
                <w:lang w:bidi="ar-DZ"/>
              </w:rPr>
            </w:pPr>
            <w:r w:rsidRPr="00AA6C13">
              <w:rPr>
                <w:i/>
                <w:lang w:bidi="ar-DZ"/>
              </w:rPr>
              <w:t>"</w:t>
            </w:r>
            <w:r w:rsidR="000F37B9" w:rsidRPr="00AA6C13">
              <w:rPr>
                <w:i/>
                <w:lang w:bidi="ar-DZ"/>
              </w:rPr>
              <w:t>This evaluation phase consists of three tasks:</w:t>
            </w:r>
            <w:r w:rsidR="000F37B9" w:rsidRPr="00AA6C13">
              <w:rPr>
                <w:b/>
                <w:i/>
                <w:lang w:bidi="ar-DZ"/>
              </w:rPr>
              <w:t xml:space="preserve"> evaluation of performance, robustness and explainability</w:t>
            </w:r>
            <w:r w:rsidR="000F37B9" w:rsidRPr="00AA6C13">
              <w:rPr>
                <w:i/>
                <w:lang w:bidi="ar-DZ"/>
              </w:rPr>
              <w:t xml:space="preserve">. […] it is important to assure the </w:t>
            </w:r>
            <w:r w:rsidR="000F37B9" w:rsidRPr="00AA6C13">
              <w:rPr>
                <w:b/>
                <w:i/>
                <w:lang w:bidi="ar-DZ"/>
              </w:rPr>
              <w:t>correctness of the results but also to study its behaviour on false inputs</w:t>
            </w:r>
            <w:r w:rsidR="000F37B9" w:rsidRPr="00AA6C13">
              <w:rPr>
                <w:i/>
                <w:lang w:bidi="ar-DZ"/>
              </w:rPr>
              <w:t xml:space="preserve">. A </w:t>
            </w:r>
            <w:r w:rsidR="000F37B9" w:rsidRPr="00AA6C13">
              <w:rPr>
                <w:b/>
                <w:i/>
                <w:lang w:bidi="ar-DZ"/>
              </w:rPr>
              <w:t>major risk is caused by the fact that a complete test coverage of all possible inputs is not tractable because of the large input dimensions</w:t>
            </w:r>
            <w:r w:rsidR="000F37B9" w:rsidRPr="00AA6C13">
              <w:rPr>
                <w:i/>
                <w:lang w:bidi="ar-DZ"/>
              </w:rPr>
              <w:t xml:space="preserve">. However, extensive testing reduces the risk of failures. When testing, one </w:t>
            </w:r>
            <w:proofErr w:type="gramStart"/>
            <w:r w:rsidR="000F37B9" w:rsidRPr="00AA6C13">
              <w:rPr>
                <w:i/>
                <w:lang w:bidi="ar-DZ"/>
              </w:rPr>
              <w:t>has to</w:t>
            </w:r>
            <w:proofErr w:type="gramEnd"/>
            <w:r w:rsidR="000F37B9" w:rsidRPr="00AA6C13">
              <w:rPr>
                <w:i/>
                <w:lang w:bidi="ar-DZ"/>
              </w:rPr>
              <w:t xml:space="preserve"> always keep in mind that the stochastic nature of the data resulting in label noises bounds the test accuracy from the top. That means, 100% test accuracy can be rarely achieved.</w:t>
            </w:r>
          </w:p>
          <w:p w14:paraId="3F074373" w14:textId="6D303FE4" w:rsidR="000F37B9" w:rsidRPr="00AA6C13" w:rsidRDefault="000F37B9" w:rsidP="00482D83">
            <w:pPr>
              <w:rPr>
                <w:i/>
                <w:iCs/>
                <w:lang w:bidi="ar-DZ"/>
              </w:rPr>
            </w:pPr>
            <w:r w:rsidRPr="00AA6C13">
              <w:rPr>
                <w:b/>
                <w:bCs/>
                <w:i/>
                <w:iCs/>
                <w:lang w:bidi="ar-DZ"/>
              </w:rPr>
              <w:t>Validate performance</w:t>
            </w:r>
            <w:r w:rsidRPr="00AA6C13">
              <w:rPr>
                <w:i/>
                <w:iCs/>
                <w:lang w:bidi="ar-DZ"/>
              </w:rPr>
              <w:t xml:space="preserve">: A risk occurs during the validation of the performance by using feedback signals from the test set to optimize the model. To avoid this, it is good practice to hold back an additional </w:t>
            </w:r>
            <w:r w:rsidRPr="00AA6C13">
              <w:rPr>
                <w:b/>
                <w:bCs/>
                <w:i/>
                <w:iCs/>
                <w:lang w:bidi="ar-DZ"/>
              </w:rPr>
              <w:t>test set</w:t>
            </w:r>
            <w:r w:rsidRPr="00AA6C13">
              <w:rPr>
                <w:i/>
                <w:iCs/>
                <w:lang w:bidi="ar-DZ"/>
              </w:rPr>
              <w:t xml:space="preserve">, which is </w:t>
            </w:r>
            <w:r w:rsidRPr="00AA6C13">
              <w:rPr>
                <w:b/>
                <w:bCs/>
                <w:i/>
                <w:iCs/>
                <w:lang w:bidi="ar-DZ"/>
              </w:rPr>
              <w:t>disjoint from the training (and validation) set and stored only for a final evaluation and never shipped to any partner to be able to measure the performance metrics in a kind of blind-test way</w:t>
            </w:r>
            <w:r w:rsidRPr="00AA6C13">
              <w:rPr>
                <w:i/>
                <w:iCs/>
                <w:lang w:bidi="ar-DZ"/>
              </w:rPr>
              <w:t>. To not bias the performance of a model, the</w:t>
            </w:r>
            <w:r w:rsidRPr="00AA6C13">
              <w:rPr>
                <w:b/>
                <w:bCs/>
                <w:i/>
                <w:iCs/>
                <w:lang w:bidi="ar-DZ"/>
              </w:rPr>
              <w:t xml:space="preserve"> test set should be assembled and curated with caution and ideally by a team of experts that are capable to analy</w:t>
            </w:r>
            <w:r w:rsidR="00451E7F" w:rsidRPr="00AA6C13">
              <w:rPr>
                <w:b/>
                <w:bCs/>
                <w:i/>
                <w:iCs/>
                <w:lang w:bidi="ar-DZ"/>
              </w:rPr>
              <w:t>s</w:t>
            </w:r>
            <w:r w:rsidRPr="00AA6C13">
              <w:rPr>
                <w:b/>
                <w:bCs/>
                <w:i/>
                <w:iCs/>
                <w:lang w:bidi="ar-DZ"/>
              </w:rPr>
              <w:t>e the correctness and ability to represent real cases</w:t>
            </w:r>
            <w:r w:rsidRPr="00AA6C13">
              <w:rPr>
                <w:i/>
                <w:iCs/>
                <w:lang w:bidi="ar-DZ"/>
              </w:rPr>
              <w:t xml:space="preserve">. In general, the </w:t>
            </w:r>
            <w:r w:rsidRPr="00AA6C13">
              <w:rPr>
                <w:b/>
                <w:bCs/>
                <w:i/>
                <w:iCs/>
                <w:lang w:bidi="ar-DZ"/>
              </w:rPr>
              <w:t>test set should cover the whole input distribution and consider all the invariances in the data</w:t>
            </w:r>
            <w:r w:rsidRPr="00AA6C13">
              <w:rPr>
                <w:i/>
                <w:iCs/>
                <w:lang w:bidi="ar-DZ"/>
              </w:rPr>
              <w:t xml:space="preserve">. Invariances are transformations of the input that should not change the label of the data. (Zhou and Sun, 2019; Tian et al., 2018; Pei et al., 2017) have shown that a highly sophisticated model for autonomous driving could not capture those invariances and found extreme cases which led to false predictions by transforming a picture taken on a sunny day to a </w:t>
            </w:r>
            <w:proofErr w:type="gramStart"/>
            <w:r w:rsidRPr="00AA6C13">
              <w:rPr>
                <w:i/>
                <w:iCs/>
                <w:lang w:bidi="ar-DZ"/>
              </w:rPr>
              <w:t>rainy day</w:t>
            </w:r>
            <w:proofErr w:type="gramEnd"/>
            <w:r w:rsidRPr="00AA6C13">
              <w:rPr>
                <w:i/>
                <w:iCs/>
                <w:lang w:bidi="ar-DZ"/>
              </w:rPr>
              <w:t xml:space="preserve"> picture or by darkening the picture. It is recommended to </w:t>
            </w:r>
            <w:r w:rsidRPr="00AA6C13">
              <w:rPr>
                <w:b/>
                <w:bCs/>
                <w:i/>
                <w:iCs/>
                <w:lang w:bidi="ar-DZ"/>
              </w:rPr>
              <w:t>separate the teams and the procedures collecting the training and the</w:t>
            </w:r>
            <w:r w:rsidR="00A4259C" w:rsidRPr="00AA6C13">
              <w:rPr>
                <w:b/>
                <w:bCs/>
                <w:i/>
                <w:iCs/>
                <w:lang w:bidi="ar-DZ"/>
              </w:rPr>
              <w:t xml:space="preserve"> </w:t>
            </w:r>
            <w:r w:rsidRPr="00AA6C13">
              <w:rPr>
                <w:b/>
                <w:bCs/>
                <w:i/>
                <w:iCs/>
                <w:lang w:bidi="ar-DZ"/>
              </w:rPr>
              <w:t>test data to erase dependencies and avoid false methodology propagating from the training set to the test set. On that test set, the prior defined performance metrics should then be evaluated</w:t>
            </w:r>
            <w:r w:rsidRPr="00AA6C13">
              <w:rPr>
                <w:i/>
                <w:iCs/>
                <w:lang w:bidi="ar-DZ"/>
              </w:rPr>
              <w:t>. Additionally, it is recommended to perform a sliced performance analysis to highlight weak performance on certain classes or time slices. A full test set evaluation may mask flaws on certain slices.</w:t>
            </w:r>
          </w:p>
          <w:p w14:paraId="0CE7B616" w14:textId="506C202C" w:rsidR="002E2071" w:rsidRPr="00AA6C13" w:rsidRDefault="000F37B9" w:rsidP="00482D83">
            <w:pPr>
              <w:rPr>
                <w:i/>
                <w:iCs/>
                <w:lang w:bidi="ar-DZ"/>
              </w:rPr>
            </w:pPr>
            <w:r w:rsidRPr="00AA6C13">
              <w:rPr>
                <w:b/>
                <w:bCs/>
                <w:i/>
                <w:iCs/>
                <w:lang w:bidi="ar-DZ"/>
              </w:rPr>
              <w:lastRenderedPageBreak/>
              <w:t>Determine robustness</w:t>
            </w:r>
            <w:r w:rsidRPr="00AA6C13">
              <w:rPr>
                <w:i/>
                <w:iCs/>
                <w:lang w:bidi="ar-DZ"/>
              </w:rPr>
              <w:t>: The robustness of the model, in terms of the model</w:t>
            </w:r>
            <w:r w:rsidR="00992312" w:rsidRPr="00AA6C13">
              <w:rPr>
                <w:i/>
                <w:iCs/>
                <w:lang w:bidi="ar-DZ"/>
              </w:rPr>
              <w:t>'</w:t>
            </w:r>
            <w:r w:rsidRPr="00AA6C13">
              <w:rPr>
                <w:i/>
                <w:iCs/>
                <w:lang w:bidi="ar-DZ"/>
              </w:rPr>
              <w:t xml:space="preserve">s ability to generalize to a perturbation of the data set, can be determined with K-fold cross-validation. Hereby, the algorithm is repeatedly validated by holding disjoint subsets of the data out of the training data as validation data. The mean performance and variance of the cross-validation can be </w:t>
            </w:r>
            <w:proofErr w:type="spellStart"/>
            <w:r w:rsidRPr="00AA6C13">
              <w:rPr>
                <w:i/>
                <w:iCs/>
                <w:lang w:bidi="ar-DZ"/>
              </w:rPr>
              <w:t>analyzed</w:t>
            </w:r>
            <w:proofErr w:type="spellEnd"/>
            <w:r w:rsidRPr="00AA6C13">
              <w:rPr>
                <w:i/>
                <w:iCs/>
                <w:lang w:bidi="ar-DZ"/>
              </w:rPr>
              <w:t xml:space="preserve"> to check the generalization ability of the model on different data sets. […] Moreover, robustness should be checked when adding different kinds of noise to the data or varying the hyper-parameters which characterize the model indirectly (e.g.</w:t>
            </w:r>
            <w:r w:rsidR="00AC3C2F" w:rsidRPr="00AA6C13">
              <w:rPr>
                <w:i/>
                <w:iCs/>
                <w:lang w:bidi="ar-DZ"/>
              </w:rPr>
              <w:t>,</w:t>
            </w:r>
            <w:r w:rsidRPr="00AA6C13">
              <w:rPr>
                <w:i/>
                <w:iCs/>
                <w:lang w:bidi="ar-DZ"/>
              </w:rPr>
              <w:t xml:space="preserve"> the number of neurons in a deep neural network). In addition, it is recommended to assure robustness of a model when given wrong inputs e.g.</w:t>
            </w:r>
            <w:r w:rsidR="00A4259C" w:rsidRPr="00AA6C13">
              <w:rPr>
                <w:i/>
                <w:iCs/>
                <w:lang w:bidi="ar-DZ"/>
              </w:rPr>
              <w:t>,</w:t>
            </w:r>
            <w:r w:rsidRPr="00AA6C13">
              <w:rPr>
                <w:i/>
                <w:iCs/>
                <w:lang w:bidi="ar-DZ"/>
              </w:rPr>
              <w:t xml:space="preserve"> missing values, </w:t>
            </w:r>
            <w:proofErr w:type="spellStart"/>
            <w:r w:rsidRPr="00AA6C13">
              <w:rPr>
                <w:i/>
                <w:iCs/>
                <w:lang w:bidi="ar-DZ"/>
              </w:rPr>
              <w:t>NaNs</w:t>
            </w:r>
            <w:proofErr w:type="spellEnd"/>
            <w:r w:rsidRPr="00AA6C13">
              <w:rPr>
                <w:i/>
                <w:iCs/>
                <w:lang w:bidi="ar-DZ"/>
              </w:rPr>
              <w:t xml:space="preserve"> or data out of distribution as well as signals which might occur in case of malfunctions of input devices such as sensors. A different challenge is given by adversarial examples (Goodfellow et al., 2014) that perturbs the image by an imperceptible amount and fool classifiers to make wrong predictions. […]</w:t>
            </w:r>
          </w:p>
          <w:p w14:paraId="41946F75" w14:textId="18BDB8B0" w:rsidR="000F37B9" w:rsidRPr="00AA6C13" w:rsidRDefault="000F37B9" w:rsidP="00482D83">
            <w:pPr>
              <w:rPr>
                <w:i/>
                <w:lang w:bidi="ar-DZ"/>
              </w:rPr>
            </w:pPr>
            <w:r w:rsidRPr="00AA6C13">
              <w:rPr>
                <w:i/>
                <w:lang w:bidi="ar-DZ"/>
              </w:rPr>
              <w:t xml:space="preserve">[…] </w:t>
            </w:r>
            <w:r w:rsidRPr="00AA6C13">
              <w:rPr>
                <w:b/>
                <w:i/>
                <w:lang w:bidi="ar-DZ"/>
              </w:rPr>
              <w:t>to avoid spurious correlations</w:t>
            </w:r>
            <w:r w:rsidRPr="00AA6C13">
              <w:rPr>
                <w:i/>
                <w:lang w:bidi="ar-DZ"/>
              </w:rPr>
              <w:t xml:space="preserve"> (compare clever </w:t>
            </w:r>
            <w:proofErr w:type="spellStart"/>
            <w:r w:rsidRPr="00AA6C13">
              <w:rPr>
                <w:i/>
                <w:lang w:bidi="ar-DZ"/>
              </w:rPr>
              <w:t>hans</w:t>
            </w:r>
            <w:proofErr w:type="spellEnd"/>
            <w:r w:rsidRPr="00AA6C13">
              <w:rPr>
                <w:i/>
                <w:lang w:bidi="ar-DZ"/>
              </w:rPr>
              <w:t xml:space="preserve"> phenomenon in (</w:t>
            </w:r>
            <w:proofErr w:type="spellStart"/>
            <w:r w:rsidRPr="00AA6C13">
              <w:rPr>
                <w:i/>
                <w:lang w:bidi="ar-DZ"/>
              </w:rPr>
              <w:t>Lapuschkin</w:t>
            </w:r>
            <w:proofErr w:type="spellEnd"/>
            <w:r w:rsidRPr="00AA6C13">
              <w:rPr>
                <w:i/>
                <w:lang w:bidi="ar-DZ"/>
              </w:rPr>
              <w:t xml:space="preserve"> et al., 2019)), it is best practice to </w:t>
            </w:r>
            <w:r w:rsidRPr="00AA6C13">
              <w:rPr>
                <w:b/>
                <w:i/>
                <w:lang w:bidi="ar-DZ"/>
              </w:rPr>
              <w:t>carefully observe the features which impact the model's prediction the most and check whether they are plausible from a domain experts' point of view</w:t>
            </w:r>
            <w:r w:rsidRPr="00AA6C13">
              <w:rPr>
                <w:i/>
                <w:lang w:bidi="ar-DZ"/>
              </w:rPr>
              <w:t>. For example, heat maps highlight the most significant pixels in image classification problem (</w:t>
            </w:r>
            <w:proofErr w:type="spellStart"/>
            <w:r w:rsidRPr="00AA6C13">
              <w:rPr>
                <w:i/>
                <w:lang w:bidi="ar-DZ"/>
              </w:rPr>
              <w:t>Lapuschkin</w:t>
            </w:r>
            <w:proofErr w:type="spellEnd"/>
            <w:r w:rsidRPr="00AA6C13">
              <w:rPr>
                <w:i/>
                <w:lang w:bidi="ar-DZ"/>
              </w:rPr>
              <w:t xml:space="preserve"> et al., 2016; Ribeiro et al., 2016; Lundberg and Lee, 2017; </w:t>
            </w:r>
            <w:proofErr w:type="spellStart"/>
            <w:r w:rsidRPr="00AA6C13">
              <w:rPr>
                <w:i/>
                <w:lang w:bidi="ar-DZ"/>
              </w:rPr>
              <w:t>Lapuschkin</w:t>
            </w:r>
            <w:proofErr w:type="spellEnd"/>
            <w:r w:rsidRPr="00AA6C13">
              <w:rPr>
                <w:i/>
                <w:lang w:bidi="ar-DZ"/>
              </w:rPr>
              <w:t xml:space="preserve"> et al., 2019) or the most significant words in NLP tasks (Arras et al., 2017). [...]</w:t>
            </w:r>
          </w:p>
          <w:p w14:paraId="7684BCAF" w14:textId="77777777" w:rsidR="000F37B9" w:rsidRPr="00AA6C13" w:rsidRDefault="000F37B9" w:rsidP="00482D83">
            <w:pPr>
              <w:rPr>
                <w:i/>
                <w:lang w:bidi="ar-DZ"/>
              </w:rPr>
            </w:pPr>
            <w:r w:rsidRPr="00AA6C13">
              <w:rPr>
                <w:i/>
                <w:lang w:bidi="ar-DZ"/>
              </w:rPr>
              <w:t xml:space="preserve">Model evaluation under production condition: As training and test data is gathered to train and evaluate the model, the possible </w:t>
            </w:r>
            <w:r w:rsidRPr="00AA6C13">
              <w:rPr>
                <w:b/>
                <w:i/>
                <w:lang w:bidi="ar-DZ"/>
              </w:rPr>
              <w:t>risk</w:t>
            </w:r>
            <w:r w:rsidRPr="00AA6C13">
              <w:rPr>
                <w:i/>
                <w:lang w:bidi="ar-DZ"/>
              </w:rPr>
              <w:t xml:space="preserve"> persists </w:t>
            </w:r>
            <w:r w:rsidRPr="00AA6C13">
              <w:rPr>
                <w:b/>
                <w:i/>
                <w:lang w:bidi="ar-DZ"/>
              </w:rPr>
              <w:t>that the production data does not resemble the training data or didn't cover corner cases</w:t>
            </w:r>
            <w:r w:rsidRPr="00AA6C13">
              <w:rPr>
                <w:i/>
                <w:lang w:bidi="ar-DZ"/>
              </w:rPr>
              <w:t>. Previous assumptions on the training data might not hold in production and the hardware that gathered the data might be different. Therefore, it is best practice to evaluate the performance of the model under incrementally increasing production conditions by iteratively running the tasks […]</w:t>
            </w:r>
          </w:p>
          <w:p w14:paraId="5D4775F7" w14:textId="0F86F531" w:rsidR="000F37B9" w:rsidRPr="00AA6C13" w:rsidRDefault="000F37B9" w:rsidP="00482D83">
            <w:pPr>
              <w:rPr>
                <w:i/>
                <w:lang w:bidi="ar-DZ"/>
              </w:rPr>
            </w:pPr>
            <w:r w:rsidRPr="00AA6C13">
              <w:rPr>
                <w:i/>
                <w:lang w:bidi="ar-DZ"/>
              </w:rPr>
              <w:t xml:space="preserve">Assure user acceptance and </w:t>
            </w:r>
            <w:r w:rsidRPr="00AA6C13">
              <w:rPr>
                <w:b/>
                <w:i/>
                <w:lang w:bidi="ar-DZ"/>
              </w:rPr>
              <w:t>usability</w:t>
            </w:r>
            <w:r w:rsidRPr="00AA6C13">
              <w:rPr>
                <w:i/>
                <w:lang w:bidi="ar-DZ"/>
              </w:rPr>
              <w:t>: Even after passing all evaluation steps, there might be the risk that the user acceptance and the usability of the model is underwhelming. The model might be incomprehensible and did not cover corner cases. It is best practice to build a prototype and run an exhaustive field test with end users.</w:t>
            </w:r>
            <w:r w:rsidR="00D53643" w:rsidRPr="00AA6C13">
              <w:rPr>
                <w:i/>
                <w:lang w:bidi="ar-DZ"/>
              </w:rPr>
              <w:t>"</w:t>
            </w:r>
          </w:p>
        </w:tc>
      </w:tr>
      <w:tr w:rsidR="000F37B9" w:rsidRPr="00AA6C13" w14:paraId="06C96818" w14:textId="77777777" w:rsidTr="00DF6BD1">
        <w:trPr>
          <w:jc w:val="center"/>
        </w:trPr>
        <w:tc>
          <w:tcPr>
            <w:tcW w:w="9629" w:type="dxa"/>
          </w:tcPr>
          <w:p w14:paraId="2F303A31" w14:textId="77777777" w:rsidR="000F37B9" w:rsidRPr="00AA6C13" w:rsidRDefault="000F37B9" w:rsidP="00752C4E">
            <w:pPr>
              <w:pStyle w:val="Headingb"/>
              <w:rPr>
                <w:lang w:bidi="ar-DZ"/>
              </w:rPr>
            </w:pPr>
            <w:r w:rsidRPr="00AA6C13">
              <w:rPr>
                <w:lang w:bidi="ar-DZ"/>
              </w:rPr>
              <w:lastRenderedPageBreak/>
              <w:t>Comments:</w:t>
            </w:r>
          </w:p>
          <w:p w14:paraId="60284BB7" w14:textId="7E2764FF" w:rsidR="002E2071" w:rsidRPr="00AA6C13" w:rsidRDefault="00DF6BD1" w:rsidP="00DF6BD1">
            <w:pPr>
              <w:pStyle w:val="enumlev1"/>
              <w:rPr>
                <w:lang w:bidi="ar-DZ"/>
              </w:rPr>
            </w:pPr>
            <w:r w:rsidRPr="00AA6C13">
              <w:rPr>
                <w:lang w:bidi="ar-DZ"/>
              </w:rPr>
              <w:t>–</w:t>
            </w:r>
            <w:r w:rsidRPr="00AA6C13">
              <w:rPr>
                <w:lang w:bidi="ar-DZ"/>
              </w:rPr>
              <w:tab/>
            </w:r>
            <w:r w:rsidR="000F37B9" w:rsidRPr="00AA6C13">
              <w:rPr>
                <w:lang w:bidi="ar-DZ"/>
              </w:rPr>
              <w:t>Excellent summary concerning ML model evaluation methods.</w:t>
            </w:r>
          </w:p>
          <w:p w14:paraId="5C5A144E" w14:textId="50F48C70" w:rsidR="000F37B9" w:rsidRPr="00AA6C13" w:rsidRDefault="00DF6BD1" w:rsidP="00DF6BD1">
            <w:pPr>
              <w:pStyle w:val="enumlev1"/>
              <w:rPr>
                <w:i/>
                <w:lang w:bidi="ar-DZ"/>
              </w:rPr>
            </w:pPr>
            <w:r w:rsidRPr="00AA6C13">
              <w:rPr>
                <w:lang w:bidi="ar-DZ"/>
              </w:rPr>
              <w:t>–</w:t>
            </w:r>
            <w:r w:rsidRPr="00AA6C13">
              <w:rPr>
                <w:lang w:bidi="ar-DZ"/>
              </w:rPr>
              <w:tab/>
            </w:r>
            <w:r w:rsidR="000F37B9" w:rsidRPr="00AA6C13">
              <w:rPr>
                <w:lang w:bidi="ar-DZ"/>
              </w:rPr>
              <w:t xml:space="preserve">This cross-industry perspective could be adapted to </w:t>
            </w:r>
            <w:r w:rsidR="00385768" w:rsidRPr="00AA6C13">
              <w:rPr>
                <w:lang w:bidi="ar-DZ"/>
              </w:rPr>
              <w:t xml:space="preserve">the </w:t>
            </w:r>
            <w:r w:rsidR="000F37B9" w:rsidRPr="00AA6C13">
              <w:rPr>
                <w:lang w:bidi="ar-DZ"/>
              </w:rPr>
              <w:t>health domain.</w:t>
            </w:r>
          </w:p>
          <w:p w14:paraId="06C9CCFB" w14:textId="564D5544" w:rsidR="000F37B9" w:rsidRPr="00AA6C13" w:rsidRDefault="00DF6BD1" w:rsidP="00DF6BD1">
            <w:pPr>
              <w:pStyle w:val="enumlev1"/>
              <w:rPr>
                <w:i/>
                <w:lang w:bidi="ar-DZ"/>
              </w:rPr>
            </w:pPr>
            <w:r w:rsidRPr="00AA6C13">
              <w:rPr>
                <w:lang w:bidi="ar-DZ"/>
              </w:rPr>
              <w:t>–</w:t>
            </w:r>
            <w:r w:rsidRPr="00AA6C13">
              <w:rPr>
                <w:lang w:bidi="ar-DZ"/>
              </w:rPr>
              <w:tab/>
            </w:r>
            <w:r w:rsidR="000F37B9" w:rsidRPr="00AA6C13">
              <w:rPr>
                <w:lang w:bidi="ar-DZ"/>
              </w:rPr>
              <w:t>Clinical evaluation needs to be added</w:t>
            </w:r>
            <w:r w:rsidR="00662FCF" w:rsidRPr="00AA6C13">
              <w:rPr>
                <w:lang w:bidi="ar-DZ"/>
              </w:rPr>
              <w:t xml:space="preserve"> </w:t>
            </w:r>
            <w:r w:rsidR="000F37B9" w:rsidRPr="00AA6C13">
              <w:rPr>
                <w:lang w:bidi="ar-DZ"/>
              </w:rPr>
              <w:t>/</w:t>
            </w:r>
            <w:r w:rsidR="00662FCF" w:rsidRPr="00AA6C13">
              <w:rPr>
                <w:lang w:bidi="ar-DZ"/>
              </w:rPr>
              <w:t xml:space="preserve"> </w:t>
            </w:r>
            <w:r w:rsidR="000F37B9" w:rsidRPr="00AA6C13">
              <w:rPr>
                <w:lang w:bidi="ar-DZ"/>
              </w:rPr>
              <w:t>integrated in this technical perspective.</w:t>
            </w:r>
          </w:p>
        </w:tc>
      </w:tr>
    </w:tbl>
    <w:p w14:paraId="7783673B" w14:textId="77777777" w:rsidR="000F37B9" w:rsidRPr="00AA6C13" w:rsidRDefault="000F37B9" w:rsidP="000F37B9">
      <w:pPr>
        <w:spacing w:before="0"/>
        <w:rPr>
          <w:rFonts w:eastAsia="Times New Roman"/>
          <w:lang w:eastAsia="de-DE"/>
        </w:rPr>
      </w:pPr>
    </w:p>
    <w:tbl>
      <w:tblPr>
        <w:tblStyle w:val="TableGrid"/>
        <w:tblW w:w="9629" w:type="dxa"/>
        <w:jc w:val="center"/>
        <w:tblLook w:val="04A0" w:firstRow="1" w:lastRow="0" w:firstColumn="1" w:lastColumn="0" w:noHBand="0" w:noVBand="1"/>
      </w:tblPr>
      <w:tblGrid>
        <w:gridCol w:w="9629"/>
      </w:tblGrid>
      <w:tr w:rsidR="000F37B9" w:rsidRPr="00AA6C13" w14:paraId="62CAB23C" w14:textId="77777777" w:rsidTr="00DF6BD1">
        <w:trPr>
          <w:jc w:val="center"/>
        </w:trPr>
        <w:tc>
          <w:tcPr>
            <w:tcW w:w="9629" w:type="dxa"/>
            <w:shd w:val="clear" w:color="auto" w:fill="E7E6E6" w:themeFill="background2"/>
          </w:tcPr>
          <w:p w14:paraId="071C4689" w14:textId="2A8CF5D8" w:rsidR="000F37B9" w:rsidRPr="00AA6C13" w:rsidRDefault="000F37B9" w:rsidP="00752C4E">
            <w:pPr>
              <w:rPr>
                <w:rFonts w:eastAsia="Times New Roman"/>
                <w:b/>
                <w:bCs/>
                <w:lang w:eastAsia="de-DE"/>
              </w:rPr>
            </w:pPr>
            <w:r w:rsidRPr="00AA6C13">
              <w:rPr>
                <w:rFonts w:eastAsia="Times New Roman"/>
                <w:b/>
                <w:bCs/>
                <w:lang w:eastAsia="de-DE"/>
              </w:rPr>
              <w:t>Machine learning testing: Survey, landscapes and horizons.</w:t>
            </w:r>
          </w:p>
        </w:tc>
      </w:tr>
      <w:tr w:rsidR="000F37B9" w:rsidRPr="00AA6C13" w14:paraId="37E99538" w14:textId="77777777" w:rsidTr="00DF6BD1">
        <w:trPr>
          <w:jc w:val="center"/>
        </w:trPr>
        <w:tc>
          <w:tcPr>
            <w:tcW w:w="9629" w:type="dxa"/>
          </w:tcPr>
          <w:p w14:paraId="1524980B" w14:textId="4A642173" w:rsidR="000F37B9" w:rsidRPr="00AA6C13" w:rsidRDefault="000F37B9" w:rsidP="00482D83">
            <w:pPr>
              <w:spacing w:before="0"/>
              <w:rPr>
                <w:rFonts w:eastAsia="Times New Roman"/>
                <w:lang w:eastAsia="de-DE"/>
              </w:rPr>
            </w:pPr>
            <w:r w:rsidRPr="00AA6C13">
              <w:rPr>
                <w:rFonts w:eastAsia="Times New Roman"/>
                <w:lang w:eastAsia="de-DE"/>
              </w:rPr>
              <w:t xml:space="preserve">Zhang, J. M., Harman, M., Ma, L., </w:t>
            </w:r>
            <w:r w:rsidR="00EB5571" w:rsidRPr="00AA6C13">
              <w:rPr>
                <w:rFonts w:eastAsia="Times New Roman"/>
                <w:lang w:eastAsia="de-DE"/>
              </w:rPr>
              <w:t>and</w:t>
            </w:r>
            <w:r w:rsidRPr="00AA6C13">
              <w:rPr>
                <w:rFonts w:eastAsia="Times New Roman"/>
                <w:lang w:eastAsia="de-DE"/>
              </w:rPr>
              <w:t xml:space="preserve"> Liu, Y. (2020). Machine learning testing: Survey, landscapes and horizons. </w:t>
            </w:r>
            <w:r w:rsidRPr="00AA6C13">
              <w:rPr>
                <w:rFonts w:eastAsia="Times New Roman"/>
                <w:i/>
                <w:iCs/>
                <w:lang w:eastAsia="de-DE"/>
              </w:rPr>
              <w:t xml:space="preserve">IEEE </w:t>
            </w:r>
            <w:r w:rsidR="00D711C3" w:rsidRPr="00AA6C13">
              <w:rPr>
                <w:rFonts w:eastAsia="Times New Roman"/>
                <w:i/>
                <w:iCs/>
                <w:lang w:eastAsia="de-DE"/>
              </w:rPr>
              <w:t>t</w:t>
            </w:r>
            <w:r w:rsidRPr="00AA6C13">
              <w:rPr>
                <w:rFonts w:eastAsia="Times New Roman"/>
                <w:i/>
                <w:iCs/>
                <w:lang w:eastAsia="de-DE"/>
              </w:rPr>
              <w:t xml:space="preserve">ransactions on </w:t>
            </w:r>
            <w:r w:rsidR="0054376B" w:rsidRPr="00AA6C13">
              <w:rPr>
                <w:rFonts w:eastAsia="Times New Roman"/>
                <w:i/>
                <w:iCs/>
                <w:lang w:eastAsia="de-DE"/>
              </w:rPr>
              <w:t>s</w:t>
            </w:r>
            <w:r w:rsidRPr="00AA6C13">
              <w:rPr>
                <w:rFonts w:eastAsia="Times New Roman"/>
                <w:i/>
                <w:iCs/>
                <w:lang w:eastAsia="de-DE"/>
              </w:rPr>
              <w:t xml:space="preserve">oftware </w:t>
            </w:r>
            <w:r w:rsidR="0054376B" w:rsidRPr="00AA6C13">
              <w:rPr>
                <w:rFonts w:eastAsia="Times New Roman"/>
                <w:i/>
                <w:iCs/>
                <w:lang w:eastAsia="de-DE"/>
              </w:rPr>
              <w:t>e</w:t>
            </w:r>
            <w:r w:rsidRPr="00AA6C13">
              <w:rPr>
                <w:rFonts w:eastAsia="Times New Roman"/>
                <w:i/>
                <w:iCs/>
                <w:lang w:eastAsia="de-DE"/>
              </w:rPr>
              <w:t>ngineering</w:t>
            </w:r>
            <w:r w:rsidRPr="00AA6C13">
              <w:rPr>
                <w:rFonts w:eastAsia="Times New Roman"/>
                <w:lang w:eastAsia="de-DE"/>
              </w:rPr>
              <w:t>.</w:t>
            </w:r>
            <w:r w:rsidR="00610383" w:rsidRPr="00AA6C13">
              <w:rPr>
                <w:rFonts w:eastAsia="Times New Roman"/>
                <w:lang w:eastAsia="de-DE"/>
              </w:rPr>
              <w:t xml:space="preserve"> [b-Zhang et al., 2020]</w:t>
            </w:r>
            <w:r w:rsidR="005814BF" w:rsidRPr="00AA6C13">
              <w:rPr>
                <w:rFonts w:eastAsia="Times New Roman"/>
                <w:lang w:eastAsia="de-DE"/>
              </w:rPr>
              <w:t>.</w:t>
            </w:r>
            <w:r w:rsidRPr="00AA6C13">
              <w:rPr>
                <w:rFonts w:eastAsia="Times New Roman"/>
                <w:lang w:eastAsia="de-DE"/>
              </w:rPr>
              <w:t xml:space="preserve"> </w:t>
            </w:r>
            <w:hyperlink r:id="rId58">
              <w:r w:rsidRPr="00AA6C13">
                <w:rPr>
                  <w:rFonts w:eastAsia="Times New Roman"/>
                  <w:color w:val="0000FF"/>
                  <w:u w:val="single"/>
                  <w:lang w:eastAsia="de-DE"/>
                </w:rPr>
                <w:t>https://doi.org/10.1109/TSE.2019.2962027</w:t>
              </w:r>
            </w:hyperlink>
            <w:r w:rsidRPr="00AA6C13">
              <w:rPr>
                <w:rFonts w:eastAsia="Times New Roman"/>
                <w:lang w:eastAsia="de-DE"/>
              </w:rPr>
              <w:t xml:space="preserve"> (or: </w:t>
            </w:r>
            <w:hyperlink r:id="rId59">
              <w:r w:rsidRPr="00AA6C13">
                <w:rPr>
                  <w:rFonts w:eastAsia="Times New Roman"/>
                  <w:color w:val="0000FF"/>
                  <w:u w:val="single"/>
                  <w:lang w:eastAsia="de-DE"/>
                </w:rPr>
                <w:t>https://arxiv.org/abs/1906.10742</w:t>
              </w:r>
            </w:hyperlink>
            <w:r w:rsidRPr="00AA6C13">
              <w:rPr>
                <w:rFonts w:eastAsia="Times New Roman"/>
                <w:lang w:eastAsia="de-DE"/>
              </w:rPr>
              <w:t>)</w:t>
            </w:r>
          </w:p>
        </w:tc>
      </w:tr>
      <w:tr w:rsidR="000F37B9" w:rsidRPr="00AA6C13" w14:paraId="1CA5C86A" w14:textId="77777777" w:rsidTr="00DF6BD1">
        <w:trPr>
          <w:jc w:val="center"/>
        </w:trPr>
        <w:tc>
          <w:tcPr>
            <w:tcW w:w="9629" w:type="dxa"/>
          </w:tcPr>
          <w:p w14:paraId="170E5A2A" w14:textId="7600B894" w:rsidR="000F37B9" w:rsidRPr="00AA6C13" w:rsidRDefault="00D53643" w:rsidP="00482D83">
            <w:pPr>
              <w:spacing w:before="0"/>
              <w:rPr>
                <w:lang w:bidi="ar-DZ"/>
              </w:rPr>
            </w:pPr>
            <w:r w:rsidRPr="00AA6C13">
              <w:rPr>
                <w:i/>
                <w:lang w:bidi="ar-DZ"/>
              </w:rPr>
              <w:t>"</w:t>
            </w:r>
            <w:r w:rsidR="000F37B9" w:rsidRPr="00AA6C13">
              <w:rPr>
                <w:i/>
                <w:lang w:bidi="ar-DZ"/>
              </w:rPr>
              <w:t xml:space="preserve">This paper provides a comprehensive survey of </w:t>
            </w:r>
            <w:r w:rsidR="00EA0A22" w:rsidRPr="00AA6C13">
              <w:rPr>
                <w:i/>
                <w:lang w:bidi="ar-DZ"/>
              </w:rPr>
              <w:t>m</w:t>
            </w:r>
            <w:r w:rsidR="000F37B9" w:rsidRPr="00AA6C13">
              <w:rPr>
                <w:i/>
                <w:lang w:bidi="ar-DZ"/>
              </w:rPr>
              <w:t xml:space="preserve">achine </w:t>
            </w:r>
            <w:r w:rsidR="00EA0A22" w:rsidRPr="00AA6C13">
              <w:rPr>
                <w:i/>
                <w:lang w:bidi="ar-DZ"/>
              </w:rPr>
              <w:t>l</w:t>
            </w:r>
            <w:r w:rsidR="000F37B9" w:rsidRPr="00AA6C13">
              <w:rPr>
                <w:i/>
                <w:lang w:bidi="ar-DZ"/>
              </w:rPr>
              <w:t xml:space="preserve">earning </w:t>
            </w:r>
            <w:r w:rsidR="00EA0A22" w:rsidRPr="00AA6C13">
              <w:rPr>
                <w:i/>
                <w:lang w:bidi="ar-DZ"/>
              </w:rPr>
              <w:t>t</w:t>
            </w:r>
            <w:r w:rsidR="000F37B9" w:rsidRPr="00AA6C13">
              <w:rPr>
                <w:i/>
                <w:lang w:bidi="ar-DZ"/>
              </w:rPr>
              <w:t>esting (ML testing) research. It covers 144 papers on testing properties (e.g., correctness, robustness, and fairness), testing components (e.g., the data, learning program, and framework), testing workflow (e.g., test generation and test evaluation), and application scenarios (e.g., autonomous driving, machine translation).</w:t>
            </w:r>
            <w:r w:rsidRPr="00AA6C13">
              <w:rPr>
                <w:i/>
                <w:lang w:bidi="ar-DZ"/>
              </w:rPr>
              <w:t>"</w:t>
            </w:r>
          </w:p>
        </w:tc>
      </w:tr>
      <w:tr w:rsidR="000F37B9" w:rsidRPr="00AA6C13" w14:paraId="71BF14C8" w14:textId="77777777" w:rsidTr="00DF6BD1">
        <w:trPr>
          <w:jc w:val="center"/>
        </w:trPr>
        <w:tc>
          <w:tcPr>
            <w:tcW w:w="9629" w:type="dxa"/>
          </w:tcPr>
          <w:p w14:paraId="543B2E67" w14:textId="77777777" w:rsidR="002E2071" w:rsidRPr="00AA6C13" w:rsidRDefault="000F37B9" w:rsidP="00752C4E">
            <w:pPr>
              <w:pStyle w:val="Headingb"/>
              <w:rPr>
                <w:lang w:bidi="ar-DZ"/>
              </w:rPr>
            </w:pPr>
            <w:r w:rsidRPr="00AA6C13">
              <w:rPr>
                <w:lang w:bidi="ar-DZ"/>
              </w:rPr>
              <w:lastRenderedPageBreak/>
              <w:t>Comments:</w:t>
            </w:r>
          </w:p>
          <w:p w14:paraId="4E95D1EF" w14:textId="54F6E1FB" w:rsidR="000F37B9" w:rsidRPr="00AA6C13" w:rsidRDefault="00DF6BD1" w:rsidP="00DF6BD1">
            <w:pPr>
              <w:pStyle w:val="enumlev1"/>
              <w:rPr>
                <w:rFonts w:eastAsia="Times New Roman"/>
                <w:i/>
                <w:iCs/>
                <w:lang w:eastAsia="de-DE"/>
              </w:rPr>
            </w:pPr>
            <w:r w:rsidRPr="00AA6C13">
              <w:rPr>
                <w:lang w:bidi="ar-DZ"/>
              </w:rPr>
              <w:t>–</w:t>
            </w:r>
            <w:r w:rsidRPr="00AA6C13">
              <w:rPr>
                <w:lang w:bidi="ar-DZ"/>
              </w:rPr>
              <w:tab/>
            </w:r>
            <w:r w:rsidR="000F37B9" w:rsidRPr="00AA6C13">
              <w:rPr>
                <w:lang w:bidi="ar-DZ"/>
              </w:rPr>
              <w:t>Valuable recent overview of the state of the art of machine learning model testing.</w:t>
            </w:r>
          </w:p>
          <w:p w14:paraId="64A38F58" w14:textId="5EF385A1" w:rsidR="000F37B9" w:rsidRPr="00AA6C13" w:rsidRDefault="00DF6BD1" w:rsidP="00DF6BD1">
            <w:pPr>
              <w:pStyle w:val="enumlev1"/>
              <w:rPr>
                <w:rFonts w:eastAsia="Times New Roman"/>
                <w:i/>
                <w:iCs/>
                <w:lang w:eastAsia="de-DE"/>
              </w:rPr>
            </w:pPr>
            <w:r w:rsidRPr="00AA6C13">
              <w:rPr>
                <w:lang w:bidi="ar-DZ"/>
              </w:rPr>
              <w:t>–</w:t>
            </w:r>
            <w:r w:rsidRPr="00AA6C13">
              <w:rPr>
                <w:lang w:bidi="ar-DZ"/>
              </w:rPr>
              <w:tab/>
            </w:r>
            <w:r w:rsidR="000F37B9" w:rsidRPr="00AA6C13">
              <w:rPr>
                <w:lang w:bidi="ar-DZ"/>
              </w:rPr>
              <w:t xml:space="preserve">The </w:t>
            </w:r>
            <w:r w:rsidR="00F31199" w:rsidRPr="00AA6C13">
              <w:rPr>
                <w:lang w:bidi="ar-DZ"/>
              </w:rPr>
              <w:t>report</w:t>
            </w:r>
            <w:r w:rsidR="000F37B9" w:rsidRPr="00AA6C13">
              <w:rPr>
                <w:lang w:bidi="ar-DZ"/>
              </w:rPr>
              <w:t xml:space="preserve"> is a general survey. Hence, the specifics for the health/medicine domain could deserve additional attention, e.g., the clinical perspective (Do the test</w:t>
            </w:r>
            <w:r w:rsidR="00957629" w:rsidRPr="00AA6C13">
              <w:rPr>
                <w:lang w:bidi="ar-DZ"/>
              </w:rPr>
              <w:t>s</w:t>
            </w:r>
            <w:r w:rsidR="000F37B9" w:rsidRPr="00AA6C13">
              <w:rPr>
                <w:lang w:bidi="ar-DZ"/>
              </w:rPr>
              <w:t xml:space="preserve"> consider a relevant and correct clinical endpoint</w:t>
            </w:r>
            <w:r w:rsidR="009147F9" w:rsidRPr="00AA6C13">
              <w:rPr>
                <w:lang w:bidi="ar-DZ"/>
              </w:rPr>
              <w:t xml:space="preserve"> </w:t>
            </w:r>
            <w:r w:rsidR="000F37B9" w:rsidRPr="00AA6C13">
              <w:rPr>
                <w:lang w:bidi="ar-DZ"/>
              </w:rPr>
              <w:t>/</w:t>
            </w:r>
            <w:r w:rsidR="009147F9" w:rsidRPr="00AA6C13">
              <w:rPr>
                <w:lang w:bidi="ar-DZ"/>
              </w:rPr>
              <w:t xml:space="preserve"> </w:t>
            </w:r>
            <w:proofErr w:type="gramStart"/>
            <w:r w:rsidR="000F37B9" w:rsidRPr="00AA6C13">
              <w:rPr>
                <w:lang w:bidi="ar-DZ"/>
              </w:rPr>
              <w:t>objective?</w:t>
            </w:r>
            <w:r w:rsidR="00FB0416" w:rsidRPr="00AA6C13">
              <w:rPr>
                <w:lang w:bidi="ar-DZ"/>
              </w:rPr>
              <w:t>,</w:t>
            </w:r>
            <w:proofErr w:type="gramEnd"/>
            <w:r w:rsidR="000F37B9" w:rsidRPr="00AA6C13">
              <w:rPr>
                <w:lang w:bidi="ar-DZ"/>
              </w:rPr>
              <w:t xml:space="preserve"> clinical trials</w:t>
            </w:r>
            <w:r w:rsidR="00757DDC" w:rsidRPr="00AA6C13">
              <w:rPr>
                <w:lang w:bidi="ar-DZ"/>
              </w:rPr>
              <w:t>,</w:t>
            </w:r>
            <w:r w:rsidR="000F37B9" w:rsidRPr="00AA6C13">
              <w:rPr>
                <w:lang w:bidi="ar-DZ"/>
              </w:rPr>
              <w:t xml:space="preserve"> etc.)</w:t>
            </w:r>
          </w:p>
        </w:tc>
      </w:tr>
    </w:tbl>
    <w:p w14:paraId="4A8D397D"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7670E444" w14:textId="77777777" w:rsidTr="00DF6BD1">
        <w:trPr>
          <w:jc w:val="center"/>
        </w:trPr>
        <w:tc>
          <w:tcPr>
            <w:tcW w:w="9629" w:type="dxa"/>
            <w:shd w:val="clear" w:color="auto" w:fill="E7E6E6" w:themeFill="background2"/>
          </w:tcPr>
          <w:p w14:paraId="26E33B91" w14:textId="7076926F" w:rsidR="000F37B9" w:rsidRPr="00AA6C13" w:rsidRDefault="000F37B9" w:rsidP="00482D83">
            <w:pPr>
              <w:keepNext/>
              <w:rPr>
                <w:b/>
                <w:lang w:bidi="ar-DZ"/>
              </w:rPr>
            </w:pPr>
            <w:r w:rsidRPr="00AA6C13">
              <w:rPr>
                <w:b/>
                <w:lang w:bidi="ar-DZ"/>
              </w:rPr>
              <w:t xml:space="preserve">IMDRF </w:t>
            </w:r>
            <w:r w:rsidR="00DB74B7" w:rsidRPr="00AA6C13">
              <w:rPr>
                <w:b/>
                <w:lang w:bidi="ar-DZ"/>
              </w:rPr>
              <w:t>s</w:t>
            </w:r>
            <w:r w:rsidRPr="00AA6C13">
              <w:rPr>
                <w:b/>
                <w:lang w:bidi="ar-DZ"/>
              </w:rPr>
              <w:t xml:space="preserve">oftware as a </w:t>
            </w:r>
            <w:r w:rsidR="00DB74B7" w:rsidRPr="00AA6C13">
              <w:rPr>
                <w:b/>
                <w:lang w:bidi="ar-DZ"/>
              </w:rPr>
              <w:t>m</w:t>
            </w:r>
            <w:r w:rsidRPr="00AA6C13">
              <w:rPr>
                <w:b/>
                <w:lang w:bidi="ar-DZ"/>
              </w:rPr>
              <w:t xml:space="preserve">edical </w:t>
            </w:r>
            <w:r w:rsidR="00DA646F" w:rsidRPr="00AA6C13">
              <w:rPr>
                <w:b/>
                <w:lang w:bidi="ar-DZ"/>
              </w:rPr>
              <w:t>d</w:t>
            </w:r>
            <w:r w:rsidRPr="00AA6C13">
              <w:rPr>
                <w:b/>
                <w:lang w:bidi="ar-DZ"/>
              </w:rPr>
              <w:t xml:space="preserve">evice </w:t>
            </w:r>
            <w:r w:rsidR="00DA646F" w:rsidRPr="00AA6C13">
              <w:rPr>
                <w:b/>
                <w:lang w:bidi="ar-DZ"/>
              </w:rPr>
              <w:t>w</w:t>
            </w:r>
            <w:r w:rsidRPr="00AA6C13">
              <w:rPr>
                <w:b/>
                <w:lang w:bidi="ar-DZ"/>
              </w:rPr>
              <w:t xml:space="preserve">orking </w:t>
            </w:r>
            <w:r w:rsidR="00DA646F" w:rsidRPr="00AA6C13">
              <w:rPr>
                <w:b/>
                <w:lang w:bidi="ar-DZ"/>
              </w:rPr>
              <w:t>g</w:t>
            </w:r>
            <w:r w:rsidRPr="00AA6C13">
              <w:rPr>
                <w:b/>
                <w:lang w:bidi="ar-DZ"/>
              </w:rPr>
              <w:t>roup (2017)</w:t>
            </w:r>
            <w:r w:rsidR="00F93742" w:rsidRPr="00AA6C13">
              <w:rPr>
                <w:b/>
                <w:lang w:bidi="ar-DZ"/>
              </w:rPr>
              <w:t>.</w:t>
            </w:r>
          </w:p>
        </w:tc>
      </w:tr>
      <w:tr w:rsidR="000F37B9" w:rsidRPr="00AA6C13" w14:paraId="56F2472F" w14:textId="77777777" w:rsidTr="00DF6BD1">
        <w:trPr>
          <w:jc w:val="center"/>
        </w:trPr>
        <w:tc>
          <w:tcPr>
            <w:tcW w:w="9629" w:type="dxa"/>
          </w:tcPr>
          <w:p w14:paraId="63F2068D" w14:textId="79B51757" w:rsidR="000F37B9" w:rsidRPr="00AA6C13" w:rsidRDefault="000F37B9" w:rsidP="00482D83">
            <w:pPr>
              <w:rPr>
                <w:lang w:bidi="ar-DZ"/>
              </w:rPr>
            </w:pPr>
            <w:r w:rsidRPr="00AA6C13">
              <w:rPr>
                <w:lang w:bidi="ar-DZ"/>
              </w:rPr>
              <w:t xml:space="preserve">IMDRF </w:t>
            </w:r>
            <w:r w:rsidR="00632C80" w:rsidRPr="00AA6C13">
              <w:rPr>
                <w:lang w:bidi="ar-DZ"/>
              </w:rPr>
              <w:t>s</w:t>
            </w:r>
            <w:r w:rsidRPr="00AA6C13">
              <w:rPr>
                <w:lang w:bidi="ar-DZ"/>
              </w:rPr>
              <w:t xml:space="preserve">oftware as a </w:t>
            </w:r>
            <w:r w:rsidR="00632C80" w:rsidRPr="00AA6C13">
              <w:rPr>
                <w:lang w:bidi="ar-DZ"/>
              </w:rPr>
              <w:t>m</w:t>
            </w:r>
            <w:r w:rsidRPr="00AA6C13">
              <w:rPr>
                <w:lang w:bidi="ar-DZ"/>
              </w:rPr>
              <w:t xml:space="preserve">edical </w:t>
            </w:r>
            <w:r w:rsidR="00632C80" w:rsidRPr="00AA6C13">
              <w:rPr>
                <w:lang w:bidi="ar-DZ"/>
              </w:rPr>
              <w:t>d</w:t>
            </w:r>
            <w:r w:rsidRPr="00AA6C13">
              <w:rPr>
                <w:lang w:bidi="ar-DZ"/>
              </w:rPr>
              <w:t xml:space="preserve">evice </w:t>
            </w:r>
            <w:r w:rsidR="00632C80" w:rsidRPr="00AA6C13">
              <w:rPr>
                <w:lang w:bidi="ar-DZ"/>
              </w:rPr>
              <w:t>w</w:t>
            </w:r>
            <w:r w:rsidRPr="00AA6C13">
              <w:rPr>
                <w:lang w:bidi="ar-DZ"/>
              </w:rPr>
              <w:t xml:space="preserve">orking </w:t>
            </w:r>
            <w:r w:rsidR="000B1B04" w:rsidRPr="00AA6C13">
              <w:rPr>
                <w:lang w:bidi="ar-DZ"/>
              </w:rPr>
              <w:t>g</w:t>
            </w:r>
            <w:r w:rsidRPr="00AA6C13">
              <w:rPr>
                <w:lang w:bidi="ar-DZ"/>
              </w:rPr>
              <w:t xml:space="preserve">roup (2017). Software as a </w:t>
            </w:r>
            <w:r w:rsidR="004C2640" w:rsidRPr="00AA6C13">
              <w:rPr>
                <w:lang w:bidi="ar-DZ"/>
              </w:rPr>
              <w:t>m</w:t>
            </w:r>
            <w:r w:rsidRPr="00AA6C13">
              <w:rPr>
                <w:lang w:bidi="ar-DZ"/>
              </w:rPr>
              <w:t xml:space="preserve">edical </w:t>
            </w:r>
            <w:r w:rsidR="004C2640" w:rsidRPr="00AA6C13">
              <w:rPr>
                <w:lang w:bidi="ar-DZ"/>
              </w:rPr>
              <w:t>d</w:t>
            </w:r>
            <w:r w:rsidRPr="00AA6C13">
              <w:rPr>
                <w:lang w:bidi="ar-DZ"/>
              </w:rPr>
              <w:t xml:space="preserve">evice (SaMD): Clinical </w:t>
            </w:r>
            <w:r w:rsidR="00465C75" w:rsidRPr="00AA6C13">
              <w:rPr>
                <w:lang w:bidi="ar-DZ"/>
              </w:rPr>
              <w:t>e</w:t>
            </w:r>
            <w:r w:rsidRPr="00AA6C13">
              <w:rPr>
                <w:lang w:bidi="ar-DZ"/>
              </w:rPr>
              <w:t>valuation.</w:t>
            </w:r>
            <w:r w:rsidR="00083C03" w:rsidRPr="00AA6C13">
              <w:rPr>
                <w:lang w:bidi="ar-DZ"/>
              </w:rPr>
              <w:t xml:space="preserve"> [b-IMDRF]</w:t>
            </w:r>
            <w:r w:rsidRPr="00AA6C13">
              <w:rPr>
                <w:lang w:bidi="ar-DZ"/>
              </w:rPr>
              <w:t xml:space="preserve"> </w:t>
            </w:r>
            <w:hyperlink r:id="rId60">
              <w:r w:rsidRPr="00AA6C13">
                <w:rPr>
                  <w:color w:val="0000FF"/>
                  <w:u w:val="single"/>
                  <w:lang w:bidi="ar-DZ"/>
                </w:rPr>
                <w:t>http://www.imdrf.org/docs/imdrf/final/technical/imdrf-tech-170921-samd-n41-clinical-evaluation_1.pdf</w:t>
              </w:r>
            </w:hyperlink>
            <w:r w:rsidRPr="00AA6C13">
              <w:rPr>
                <w:lang w:bidi="ar-DZ"/>
              </w:rPr>
              <w:t xml:space="preserve"> </w:t>
            </w:r>
          </w:p>
        </w:tc>
      </w:tr>
      <w:tr w:rsidR="000F37B9" w:rsidRPr="00AA6C13" w14:paraId="234B7C8E" w14:textId="77777777" w:rsidTr="00DF6BD1">
        <w:trPr>
          <w:jc w:val="center"/>
        </w:trPr>
        <w:tc>
          <w:tcPr>
            <w:tcW w:w="9629" w:type="dxa"/>
          </w:tcPr>
          <w:p w14:paraId="27A1A87F" w14:textId="3835CC92" w:rsidR="000F37B9" w:rsidRPr="00AA6C13" w:rsidRDefault="00D53643" w:rsidP="00482D83">
            <w:pPr>
              <w:rPr>
                <w:i/>
                <w:lang w:bidi="ar-DZ"/>
              </w:rPr>
            </w:pPr>
            <w:r w:rsidRPr="00AA6C13">
              <w:rPr>
                <w:i/>
                <w:lang w:bidi="ar-DZ"/>
              </w:rPr>
              <w:t>"</w:t>
            </w:r>
            <w:r w:rsidR="000F37B9" w:rsidRPr="00AA6C13">
              <w:rPr>
                <w:i/>
                <w:lang w:bidi="ar-DZ"/>
              </w:rPr>
              <w:t xml:space="preserve">5.3 Analytical / </w:t>
            </w:r>
            <w:r w:rsidR="00EF30D3" w:rsidRPr="00AA6C13">
              <w:rPr>
                <w:i/>
                <w:lang w:bidi="ar-DZ"/>
              </w:rPr>
              <w:t>t</w:t>
            </w:r>
            <w:r w:rsidR="000F37B9" w:rsidRPr="00AA6C13">
              <w:rPr>
                <w:i/>
                <w:lang w:bidi="ar-DZ"/>
              </w:rPr>
              <w:t xml:space="preserve">echnical </w:t>
            </w:r>
            <w:r w:rsidR="00EF30D3" w:rsidRPr="00AA6C13">
              <w:rPr>
                <w:i/>
                <w:lang w:bidi="ar-DZ"/>
              </w:rPr>
              <w:t>v</w:t>
            </w:r>
            <w:r w:rsidR="000F37B9" w:rsidRPr="00AA6C13">
              <w:rPr>
                <w:i/>
                <w:lang w:bidi="ar-DZ"/>
              </w:rPr>
              <w:t>alidation of a SaMD</w:t>
            </w:r>
          </w:p>
          <w:p w14:paraId="7FC9E27B" w14:textId="77777777" w:rsidR="000F37B9" w:rsidRPr="00AA6C13" w:rsidRDefault="000F37B9" w:rsidP="00482D83">
            <w:pPr>
              <w:rPr>
                <w:i/>
                <w:lang w:bidi="ar-DZ"/>
              </w:rPr>
            </w:pPr>
            <w:r w:rsidRPr="00AA6C13">
              <w:rPr>
                <w:i/>
                <w:lang w:bidi="ar-DZ"/>
              </w:rPr>
              <w:t xml:space="preserve">Analytical validation </w:t>
            </w:r>
            <w:r w:rsidRPr="00AA6C13">
              <w:rPr>
                <w:b/>
                <w:i/>
                <w:lang w:bidi="ar-DZ"/>
              </w:rPr>
              <w:t>measures the ability of a SaMD to accurately, reliably and precisely generate the intended technical output from the input data</w:t>
            </w:r>
            <w:r w:rsidRPr="00AA6C13">
              <w:rPr>
                <w:i/>
                <w:lang w:bidi="ar-DZ"/>
              </w:rPr>
              <w:t>. Said differently, analytical validation:</w:t>
            </w:r>
          </w:p>
          <w:p w14:paraId="6436208D" w14:textId="77777777" w:rsidR="002E2071" w:rsidRPr="00AA6C13" w:rsidRDefault="000F37B9" w:rsidP="00DF6BD1">
            <w:pPr>
              <w:numPr>
                <w:ilvl w:val="0"/>
                <w:numId w:val="28"/>
              </w:numPr>
              <w:ind w:left="360"/>
              <w:contextualSpacing/>
              <w:rPr>
                <w:i/>
                <w:iCs/>
                <w:lang w:bidi="ar-DZ"/>
              </w:rPr>
            </w:pPr>
            <w:r w:rsidRPr="00AA6C13">
              <w:rPr>
                <w:i/>
                <w:iCs/>
                <w:lang w:bidi="ar-DZ"/>
              </w:rPr>
              <w:t>Confirms and provides objective evidence that the software was correctly constructed – namely, correctly and reliably processes input data and generates output data with the appropriate level of accuracy, and repeatability and reproducibility (i.e., precision); and</w:t>
            </w:r>
          </w:p>
          <w:p w14:paraId="1D1F7740" w14:textId="63343084" w:rsidR="000F37B9" w:rsidRPr="00AA6C13" w:rsidRDefault="000F37B9" w:rsidP="00DF6BD1">
            <w:pPr>
              <w:numPr>
                <w:ilvl w:val="0"/>
                <w:numId w:val="28"/>
              </w:numPr>
              <w:ind w:left="360"/>
              <w:contextualSpacing/>
              <w:rPr>
                <w:i/>
                <w:lang w:bidi="ar-DZ"/>
              </w:rPr>
            </w:pPr>
            <w:r w:rsidRPr="00AA6C13">
              <w:rPr>
                <w:i/>
                <w:iCs/>
                <w:lang w:bidi="ar-DZ"/>
              </w:rPr>
              <w:t xml:space="preserve">Demonstrates that (a) the software meets its specifications and (b) the software specifications </w:t>
            </w:r>
            <w:r w:rsidRPr="00AA6C13">
              <w:rPr>
                <w:b/>
                <w:bCs/>
                <w:i/>
                <w:iCs/>
                <w:lang w:bidi="ar-DZ"/>
              </w:rPr>
              <w:t>conform to user needs and intended uses</w:t>
            </w:r>
            <w:r w:rsidRPr="00AA6C13">
              <w:rPr>
                <w:i/>
                <w:iCs/>
                <w:lang w:bidi="ar-DZ"/>
              </w:rPr>
              <w:t xml:space="preserve">. The analytical validation is </w:t>
            </w:r>
            <w:r w:rsidRPr="00AA6C13">
              <w:rPr>
                <w:b/>
                <w:bCs/>
                <w:i/>
                <w:iCs/>
                <w:lang w:bidi="ar-DZ"/>
              </w:rPr>
              <w:t xml:space="preserve">generally evaluated and determined by the manufacturer </w:t>
            </w:r>
            <w:r w:rsidRPr="00AA6C13">
              <w:rPr>
                <w:i/>
                <w:iCs/>
                <w:lang w:bidi="ar-DZ"/>
              </w:rPr>
              <w:t>during the verification and validation phase of the software development lifecycle using a QMS. [...]</w:t>
            </w:r>
          </w:p>
          <w:p w14:paraId="5B2E8905" w14:textId="6D8FA630" w:rsidR="000F37B9" w:rsidRPr="00AA6C13" w:rsidRDefault="000F37B9" w:rsidP="00752C4E">
            <w:pPr>
              <w:rPr>
                <w:lang w:bidi="ar-DZ"/>
              </w:rPr>
            </w:pPr>
            <w:r w:rsidRPr="00AA6C13">
              <w:rPr>
                <w:i/>
                <w:lang w:bidi="ar-DZ"/>
              </w:rPr>
              <w:t xml:space="preserve">A SaMD can best be described as software that utilizes an algorithm (logic, set of rules, or </w:t>
            </w:r>
            <w:r w:rsidRPr="00AA6C13">
              <w:rPr>
                <w:b/>
                <w:i/>
                <w:lang w:bidi="ar-DZ"/>
              </w:rPr>
              <w:t>model</w:t>
            </w:r>
            <w:r w:rsidRPr="00AA6C13">
              <w:rPr>
                <w:i/>
                <w:lang w:bidi="ar-DZ"/>
              </w:rPr>
              <w:t xml:space="preserve">) </w:t>
            </w:r>
            <w:r w:rsidRPr="00AA6C13">
              <w:rPr>
                <w:b/>
                <w:i/>
                <w:lang w:bidi="ar-DZ"/>
              </w:rPr>
              <w:t>that operates on data input</w:t>
            </w:r>
            <w:r w:rsidRPr="00AA6C13">
              <w:rPr>
                <w:i/>
                <w:lang w:bidi="ar-DZ"/>
              </w:rPr>
              <w:t xml:space="preserve"> (digitized content) </w:t>
            </w:r>
            <w:r w:rsidRPr="00AA6C13">
              <w:rPr>
                <w:b/>
                <w:i/>
                <w:lang w:bidi="ar-DZ"/>
              </w:rPr>
              <w:t xml:space="preserve">to produce an output that is intended for medical purposes as defined by the </w:t>
            </w:r>
            <w:r w:rsidRPr="00AA6C13">
              <w:rPr>
                <w:i/>
                <w:lang w:bidi="ar-DZ"/>
              </w:rPr>
              <w:t>SaMD</w:t>
            </w:r>
            <w:r w:rsidRPr="00AA6C13">
              <w:rPr>
                <w:b/>
                <w:i/>
                <w:lang w:bidi="ar-DZ"/>
              </w:rPr>
              <w:t xml:space="preserve"> manufacturer</w:t>
            </w:r>
            <w:r w:rsidRPr="00AA6C13">
              <w:rPr>
                <w:i/>
                <w:lang w:bidi="ar-DZ"/>
              </w:rPr>
              <w:t xml:space="preserve"> (Figure 9). The risks and benefits posed by SaMD outputs are largely related to the risk of inaccurate or incorrect output of the SaMD, which may impact the clinical management of a patient.</w:t>
            </w:r>
            <w:r w:rsidR="00D53643" w:rsidRPr="00AA6C13">
              <w:rPr>
                <w:i/>
                <w:lang w:bidi="ar-DZ"/>
              </w:rPr>
              <w:t>"</w:t>
            </w:r>
          </w:p>
        </w:tc>
      </w:tr>
      <w:tr w:rsidR="000F37B9" w:rsidRPr="00AA6C13" w14:paraId="393B1E27" w14:textId="77777777" w:rsidTr="00DF6BD1">
        <w:trPr>
          <w:jc w:val="center"/>
        </w:trPr>
        <w:tc>
          <w:tcPr>
            <w:tcW w:w="9629" w:type="dxa"/>
          </w:tcPr>
          <w:p w14:paraId="21F6111B" w14:textId="77777777" w:rsidR="000F37B9" w:rsidRPr="00AA6C13" w:rsidRDefault="000F37B9" w:rsidP="00752C4E">
            <w:pPr>
              <w:pStyle w:val="Headingb"/>
              <w:rPr>
                <w:lang w:bidi="ar-DZ"/>
              </w:rPr>
            </w:pPr>
            <w:r w:rsidRPr="00AA6C13">
              <w:rPr>
                <w:lang w:bidi="ar-DZ"/>
              </w:rPr>
              <w:t>Comments:</w:t>
            </w:r>
          </w:p>
          <w:p w14:paraId="72473E1E" w14:textId="6FC156EB" w:rsidR="002E2071" w:rsidRPr="00AA6C13" w:rsidRDefault="00DF6BD1" w:rsidP="00DF6BD1">
            <w:pPr>
              <w:pStyle w:val="enumlev1"/>
              <w:rPr>
                <w:lang w:bidi="ar-DZ"/>
              </w:rPr>
            </w:pPr>
            <w:r w:rsidRPr="00AA6C13">
              <w:rPr>
                <w:lang w:bidi="ar-DZ"/>
              </w:rPr>
              <w:t>–</w:t>
            </w:r>
            <w:r w:rsidRPr="00AA6C13">
              <w:rPr>
                <w:lang w:bidi="ar-DZ"/>
              </w:rPr>
              <w:tab/>
            </w:r>
            <w:r w:rsidR="000F37B9" w:rsidRPr="00AA6C13">
              <w:rPr>
                <w:lang w:bidi="ar-DZ"/>
              </w:rPr>
              <w:t xml:space="preserve">In-house validation by the manufacturer is not as trustworthy as </w:t>
            </w:r>
            <w:r w:rsidR="00E1122E" w:rsidRPr="00AA6C13">
              <w:rPr>
                <w:lang w:bidi="ar-DZ"/>
              </w:rPr>
              <w:t xml:space="preserve">the </w:t>
            </w:r>
            <w:r w:rsidR="000F37B9" w:rsidRPr="00AA6C13">
              <w:rPr>
                <w:lang w:bidi="ar-DZ"/>
              </w:rPr>
              <w:t xml:space="preserve">external validation by </w:t>
            </w:r>
            <w:r w:rsidR="009D76ED" w:rsidRPr="00AA6C13">
              <w:rPr>
                <w:lang w:bidi="ar-DZ"/>
              </w:rPr>
              <w:t xml:space="preserve">an </w:t>
            </w:r>
            <w:r w:rsidR="000F37B9" w:rsidRPr="00AA6C13">
              <w:rPr>
                <w:lang w:bidi="ar-DZ"/>
              </w:rPr>
              <w:t xml:space="preserve">independent third party. Expert knowledge and large </w:t>
            </w:r>
            <w:r w:rsidR="001348B2" w:rsidRPr="00AA6C13">
              <w:rPr>
                <w:lang w:bidi="ar-DZ"/>
              </w:rPr>
              <w:t>volumes</w:t>
            </w:r>
            <w:r w:rsidR="000F37B9" w:rsidRPr="00AA6C13">
              <w:rPr>
                <w:lang w:bidi="ar-DZ"/>
              </w:rPr>
              <w:t xml:space="preserve"> of high quality, independent test data from different sources are required for high quality, meaningful validation. Various flaws in the testing pipeline can lead to meaningless testing results.</w:t>
            </w:r>
          </w:p>
          <w:p w14:paraId="710255C8" w14:textId="673063AA" w:rsidR="000F37B9" w:rsidRPr="00AA6C13" w:rsidRDefault="00DF6BD1" w:rsidP="00DF6BD1">
            <w:pPr>
              <w:pStyle w:val="enumlev1"/>
              <w:rPr>
                <w:i/>
                <w:iCs/>
                <w:lang w:bidi="ar-DZ"/>
              </w:rPr>
            </w:pPr>
            <w:r w:rsidRPr="00AA6C13">
              <w:rPr>
                <w:lang w:bidi="ar-DZ"/>
              </w:rPr>
              <w:t>–</w:t>
            </w:r>
            <w:r w:rsidRPr="00AA6C13">
              <w:rPr>
                <w:lang w:bidi="ar-DZ"/>
              </w:rPr>
              <w:tab/>
            </w:r>
            <w:r w:rsidR="000F37B9" w:rsidRPr="00AA6C13">
              <w:rPr>
                <w:lang w:bidi="ar-DZ"/>
              </w:rPr>
              <w:t xml:space="preserve">In-house test data are often limited and close to </w:t>
            </w:r>
            <w:r w:rsidR="00043BFE" w:rsidRPr="00AA6C13">
              <w:rPr>
                <w:lang w:bidi="ar-DZ"/>
              </w:rPr>
              <w:t xml:space="preserve">the </w:t>
            </w:r>
            <w:r w:rsidR="000F37B9" w:rsidRPr="00AA6C13">
              <w:rPr>
                <w:lang w:bidi="ar-DZ"/>
              </w:rPr>
              <w:t xml:space="preserve">training data. Hence, </w:t>
            </w:r>
            <w:r w:rsidR="00C57785" w:rsidRPr="00AA6C13">
              <w:rPr>
                <w:lang w:bidi="ar-DZ"/>
              </w:rPr>
              <w:t xml:space="preserve">the </w:t>
            </w:r>
            <w:r w:rsidR="000F37B9" w:rsidRPr="00AA6C13">
              <w:rPr>
                <w:lang w:bidi="ar-DZ"/>
              </w:rPr>
              <w:t>significance of test results might be limited</w:t>
            </w:r>
            <w:r w:rsidR="00B46979" w:rsidRPr="00AA6C13">
              <w:rPr>
                <w:lang w:bidi="ar-DZ"/>
              </w:rPr>
              <w:t>,</w:t>
            </w:r>
            <w:r w:rsidR="000F37B9" w:rsidRPr="00AA6C13">
              <w:rPr>
                <w:lang w:bidi="ar-DZ"/>
              </w:rPr>
              <w:t xml:space="preserve"> and findings might not translate to actual application in the field.</w:t>
            </w:r>
          </w:p>
          <w:p w14:paraId="01A1DA2A" w14:textId="466C58FC" w:rsidR="000F37B9" w:rsidRPr="00AA6C13" w:rsidRDefault="00DF6BD1" w:rsidP="00DF6BD1">
            <w:pPr>
              <w:pStyle w:val="enumlev1"/>
              <w:rPr>
                <w:i/>
                <w:iCs/>
                <w:lang w:bidi="ar-DZ"/>
              </w:rPr>
            </w:pPr>
            <w:r w:rsidRPr="00AA6C13">
              <w:rPr>
                <w:lang w:bidi="ar-DZ"/>
              </w:rPr>
              <w:t>–</w:t>
            </w:r>
            <w:r w:rsidRPr="00AA6C13">
              <w:rPr>
                <w:lang w:bidi="ar-DZ"/>
              </w:rPr>
              <w:tab/>
            </w:r>
            <w:r w:rsidR="000F37B9" w:rsidRPr="00AA6C13">
              <w:rPr>
                <w:lang w:bidi="ar-DZ"/>
              </w:rPr>
              <w:t>Test data should not be known to the developer for meaningful testing.</w:t>
            </w:r>
          </w:p>
        </w:tc>
      </w:tr>
    </w:tbl>
    <w:p w14:paraId="2C008E0B"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7D262932" w14:textId="77777777" w:rsidTr="00DF6BD1">
        <w:trPr>
          <w:jc w:val="center"/>
        </w:trPr>
        <w:tc>
          <w:tcPr>
            <w:tcW w:w="9629" w:type="dxa"/>
            <w:shd w:val="clear" w:color="auto" w:fill="E7E6E6" w:themeFill="background2"/>
          </w:tcPr>
          <w:p w14:paraId="2C561310" w14:textId="799FF8DB" w:rsidR="000F37B9" w:rsidRPr="00AA6C13" w:rsidRDefault="000F37B9" w:rsidP="00482D83">
            <w:pPr>
              <w:rPr>
                <w:b/>
                <w:lang w:bidi="ar-DZ"/>
              </w:rPr>
            </w:pPr>
            <w:r w:rsidRPr="00AA6C13">
              <w:rPr>
                <w:b/>
                <w:lang w:bidi="ar-DZ"/>
              </w:rPr>
              <w:t>EU Regulation on medical devices (2017)</w:t>
            </w:r>
            <w:r w:rsidR="0013056F" w:rsidRPr="00AA6C13">
              <w:rPr>
                <w:b/>
                <w:lang w:bidi="ar-DZ"/>
              </w:rPr>
              <w:t>.</w:t>
            </w:r>
          </w:p>
        </w:tc>
      </w:tr>
      <w:tr w:rsidR="000F37B9" w:rsidRPr="00AA6C13" w14:paraId="02454148" w14:textId="77777777" w:rsidTr="00DF6BD1">
        <w:trPr>
          <w:jc w:val="center"/>
        </w:trPr>
        <w:tc>
          <w:tcPr>
            <w:tcW w:w="9629" w:type="dxa"/>
          </w:tcPr>
          <w:p w14:paraId="3C0761F1" w14:textId="7A03F738" w:rsidR="000F37B9" w:rsidRPr="00AA6C13" w:rsidRDefault="000F37B9" w:rsidP="00482D83">
            <w:r w:rsidRPr="00AA6C13">
              <w:t>Regulation (EU) 2017/745 of the European Parliament and of the Council of 5 April 2017 on medical devices, amending Directive 2001/83/EC, Regulation (EC) No 178/2002 and Regulation (EC) No 1223/2009 and repealing Council Directives 90/385/EEC and 93/42/EEC (Text with EEA relevance)</w:t>
            </w:r>
            <w:r w:rsidR="009E5D05" w:rsidRPr="00AA6C13">
              <w:t xml:space="preserve"> [b-Regulation</w:t>
            </w:r>
            <w:r w:rsidR="005249A7" w:rsidRPr="00AA6C13">
              <w:t xml:space="preserve"> EU]</w:t>
            </w:r>
            <w:r w:rsidRPr="00AA6C13">
              <w:t xml:space="preserve"> ELI: </w:t>
            </w:r>
            <w:hyperlink r:id="rId61" w:tgtFrame="Gives access to this document through its ELI URI.">
              <w:r w:rsidRPr="00AA6C13">
                <w:rPr>
                  <w:color w:val="0000FF"/>
                  <w:u w:val="single"/>
                </w:rPr>
                <w:t>http://data.europa.eu/eli/reg/2017/745/2017-05-05</w:t>
              </w:r>
            </w:hyperlink>
            <w:r w:rsidRPr="00AA6C13">
              <w:t xml:space="preserve"> </w:t>
            </w:r>
          </w:p>
        </w:tc>
      </w:tr>
      <w:tr w:rsidR="000F37B9" w:rsidRPr="00AA6C13" w14:paraId="590A4A88" w14:textId="77777777" w:rsidTr="00DF6BD1">
        <w:trPr>
          <w:jc w:val="center"/>
        </w:trPr>
        <w:tc>
          <w:tcPr>
            <w:tcW w:w="9629" w:type="dxa"/>
          </w:tcPr>
          <w:p w14:paraId="35E61BC2" w14:textId="597AD3BD" w:rsidR="000F37B9" w:rsidRPr="00AA6C13" w:rsidRDefault="00D53643" w:rsidP="00482D83">
            <w:pPr>
              <w:spacing w:before="0"/>
              <w:rPr>
                <w:rFonts w:eastAsia="Times New Roman"/>
                <w:i/>
                <w:iCs/>
                <w:lang w:eastAsia="de-DE"/>
              </w:rPr>
            </w:pPr>
            <w:r w:rsidRPr="00AA6C13">
              <w:rPr>
                <w:rFonts w:eastAsia="Times New Roman"/>
                <w:i/>
                <w:iCs/>
                <w:lang w:eastAsia="de-DE"/>
              </w:rPr>
              <w:t>"</w:t>
            </w:r>
            <w:r w:rsidR="000F37B9" w:rsidRPr="00AA6C13">
              <w:rPr>
                <w:rFonts w:eastAsia="Times New Roman"/>
                <w:i/>
                <w:iCs/>
                <w:lang w:eastAsia="de-DE"/>
              </w:rPr>
              <w:t>(22) '</w:t>
            </w:r>
            <w:r w:rsidR="000F37B9" w:rsidRPr="00AA6C13">
              <w:rPr>
                <w:rFonts w:eastAsia="Times New Roman"/>
                <w:b/>
                <w:bCs/>
                <w:i/>
                <w:iCs/>
                <w:lang w:eastAsia="de-DE"/>
              </w:rPr>
              <w:t>performance'</w:t>
            </w:r>
            <w:r w:rsidR="000F37B9" w:rsidRPr="00AA6C13">
              <w:rPr>
                <w:rFonts w:eastAsia="Times New Roman"/>
                <w:i/>
                <w:iCs/>
                <w:lang w:eastAsia="de-DE"/>
              </w:rPr>
              <w:t xml:space="preserve"> means the ability of a device to </w:t>
            </w:r>
            <w:r w:rsidR="000F37B9" w:rsidRPr="00AA6C13">
              <w:rPr>
                <w:rFonts w:eastAsia="Times New Roman"/>
                <w:b/>
                <w:bCs/>
                <w:i/>
                <w:iCs/>
                <w:lang w:eastAsia="de-DE"/>
              </w:rPr>
              <w:t>achieve its intended purpose as stated by the manufacturer</w:t>
            </w:r>
            <w:r w:rsidR="000F37B9" w:rsidRPr="00AA6C13">
              <w:rPr>
                <w:rFonts w:eastAsia="Times New Roman"/>
                <w:i/>
                <w:iCs/>
                <w:lang w:eastAsia="de-DE"/>
              </w:rPr>
              <w:t>; […]</w:t>
            </w:r>
            <w:r w:rsidRPr="00AA6C13">
              <w:rPr>
                <w:rFonts w:eastAsia="Times New Roman"/>
                <w:i/>
                <w:iCs/>
                <w:lang w:eastAsia="de-DE"/>
              </w:rPr>
              <w:t>"</w:t>
            </w:r>
          </w:p>
          <w:p w14:paraId="57C3A896" w14:textId="11A81EC3" w:rsidR="000F37B9" w:rsidRPr="00AA6C13" w:rsidRDefault="00D53643" w:rsidP="00482D83">
            <w:pPr>
              <w:rPr>
                <w:i/>
                <w:lang w:bidi="ar-DZ"/>
              </w:rPr>
            </w:pPr>
            <w:r w:rsidRPr="00AA6C13">
              <w:rPr>
                <w:i/>
                <w:lang w:bidi="ar-DZ"/>
              </w:rPr>
              <w:lastRenderedPageBreak/>
              <w:t>"</w:t>
            </w:r>
            <w:r w:rsidR="000F37B9" w:rsidRPr="00AA6C13">
              <w:rPr>
                <w:i/>
                <w:lang w:bidi="ar-DZ"/>
              </w:rPr>
              <w:t xml:space="preserve">(51) 'clinical evidence' means clinical data and clinical evaluation results pertaining to a device of a sufficient amount and quality to allow a qualified assessment of whether the device is safe and achieves the intended clinical benefit(s), when used as intended by the </w:t>
            </w:r>
            <w:proofErr w:type="gramStart"/>
            <w:r w:rsidR="000F37B9" w:rsidRPr="00AA6C13">
              <w:rPr>
                <w:i/>
                <w:lang w:bidi="ar-DZ"/>
              </w:rPr>
              <w:t>manufacturer;</w:t>
            </w:r>
            <w:proofErr w:type="gramEnd"/>
          </w:p>
          <w:p w14:paraId="08275B70" w14:textId="77777777" w:rsidR="000F37B9" w:rsidRPr="00AA6C13" w:rsidRDefault="000F37B9" w:rsidP="00482D83">
            <w:pPr>
              <w:rPr>
                <w:i/>
                <w:lang w:bidi="ar-DZ"/>
              </w:rPr>
            </w:pPr>
            <w:r w:rsidRPr="00AA6C13">
              <w:rPr>
                <w:i/>
                <w:lang w:bidi="ar-DZ"/>
              </w:rPr>
              <w:t xml:space="preserve">(52) 'clinical performance' means the ability of a device, resulting from any direct or indirect medical effects which stem from its technical or functional characteristics, including diagnostic characteristics, to achieve its intended purpose as claimed by the manufacturer, thereby leading to a clinical benefit for patients, when used as intended by the </w:t>
            </w:r>
            <w:proofErr w:type="gramStart"/>
            <w:r w:rsidRPr="00AA6C13">
              <w:rPr>
                <w:i/>
                <w:lang w:bidi="ar-DZ"/>
              </w:rPr>
              <w:t>manufacturer;</w:t>
            </w:r>
            <w:proofErr w:type="gramEnd"/>
          </w:p>
          <w:p w14:paraId="68EB7C1A" w14:textId="761DB5C4" w:rsidR="000F37B9" w:rsidRPr="00AA6C13" w:rsidRDefault="000F37B9" w:rsidP="00482D83">
            <w:pPr>
              <w:rPr>
                <w:i/>
                <w:lang w:bidi="ar-DZ"/>
              </w:rPr>
            </w:pPr>
            <w:r w:rsidRPr="00AA6C13">
              <w:rPr>
                <w:i/>
                <w:lang w:bidi="ar-DZ"/>
              </w:rPr>
              <w:t>(53) 'clinical benefit' means the positive impact of a device on the health of an individual, expressed in terms of a meaningful, measurable, patient-relevant clinical outcome(s), including outcome(s) related to diagnosis, or a positive impact on patient management or public health; […]</w:t>
            </w:r>
            <w:r w:rsidR="00D53643" w:rsidRPr="00AA6C13">
              <w:rPr>
                <w:i/>
                <w:lang w:bidi="ar-DZ"/>
              </w:rPr>
              <w:t>"</w:t>
            </w:r>
          </w:p>
          <w:p w14:paraId="2D04D5ED" w14:textId="229E5450" w:rsidR="000F37B9" w:rsidRPr="00AA6C13" w:rsidRDefault="00D53643" w:rsidP="00482D83">
            <w:pPr>
              <w:rPr>
                <w:i/>
                <w:lang w:bidi="ar-DZ"/>
              </w:rPr>
            </w:pPr>
            <w:r w:rsidRPr="00AA6C13">
              <w:rPr>
                <w:i/>
                <w:lang w:bidi="ar-DZ"/>
              </w:rPr>
              <w:t>"</w:t>
            </w:r>
            <w:r w:rsidR="000F37B9" w:rsidRPr="00AA6C13">
              <w:rPr>
                <w:i/>
                <w:lang w:bidi="ar-DZ"/>
              </w:rPr>
              <w:t>15.1.</w:t>
            </w:r>
            <w:r w:rsidR="002E2071" w:rsidRPr="00AA6C13">
              <w:rPr>
                <w:i/>
                <w:lang w:bidi="ar-DZ"/>
              </w:rPr>
              <w:t xml:space="preserve"> </w:t>
            </w:r>
            <w:r w:rsidR="000F37B9" w:rsidRPr="00AA6C13">
              <w:rPr>
                <w:i/>
                <w:lang w:bidi="ar-DZ"/>
              </w:rPr>
              <w:t xml:space="preserve">Diagnostic devices and devices with a measuring function, shall be designed and manufactured in such a way as to </w:t>
            </w:r>
            <w:r w:rsidR="000F37B9" w:rsidRPr="00AA6C13">
              <w:rPr>
                <w:b/>
                <w:i/>
                <w:lang w:bidi="ar-DZ"/>
              </w:rPr>
              <w:t>provide sufficient accuracy, precision and stability for their intended purpose, based on appropriate scientific and technical methods. The limits of accuracy shall be indicated by the manufacturer</w:t>
            </w:r>
            <w:r w:rsidR="000F37B9" w:rsidRPr="00AA6C13">
              <w:rPr>
                <w:i/>
                <w:lang w:bidi="ar-DZ"/>
              </w:rPr>
              <w:t xml:space="preserve">. </w:t>
            </w:r>
            <w:r w:rsidR="000F37B9" w:rsidRPr="00AA6C13">
              <w:rPr>
                <w:rFonts w:eastAsia="Times New Roman"/>
                <w:i/>
                <w:lang w:eastAsia="de-DE"/>
              </w:rPr>
              <w:t>[…]</w:t>
            </w:r>
            <w:r w:rsidRPr="00AA6C13">
              <w:rPr>
                <w:rFonts w:eastAsia="Times New Roman"/>
                <w:i/>
                <w:lang w:eastAsia="de-DE"/>
              </w:rPr>
              <w:t>"</w:t>
            </w:r>
          </w:p>
          <w:p w14:paraId="2D8FAED4" w14:textId="1C77E29B" w:rsidR="000F37B9" w:rsidRPr="00AA6C13" w:rsidRDefault="00D53643" w:rsidP="00482D83">
            <w:pPr>
              <w:rPr>
                <w:i/>
                <w:iCs/>
                <w:lang w:bidi="ar-DZ"/>
              </w:rPr>
            </w:pPr>
            <w:r w:rsidRPr="00AA6C13">
              <w:rPr>
                <w:i/>
                <w:iCs/>
                <w:lang w:bidi="ar-DZ"/>
              </w:rPr>
              <w:t>"</w:t>
            </w:r>
            <w:r w:rsidR="000F37B9" w:rsidRPr="00AA6C13">
              <w:rPr>
                <w:i/>
                <w:iCs/>
                <w:lang w:bidi="ar-DZ"/>
              </w:rPr>
              <w:t>17.1.</w:t>
            </w:r>
            <w:r w:rsidR="000F37B9" w:rsidRPr="00AA6C13">
              <w:rPr>
                <w:i/>
                <w:iCs/>
                <w:lang w:bidi="ar-DZ"/>
              </w:rPr>
              <w:tab/>
              <w:t xml:space="preserve">Devices that incorporate electronic programmable systems, including </w:t>
            </w:r>
            <w:r w:rsidR="000F37B9" w:rsidRPr="00AA6C13">
              <w:rPr>
                <w:b/>
                <w:bCs/>
                <w:i/>
                <w:iCs/>
                <w:lang w:bidi="ar-DZ"/>
              </w:rPr>
              <w:t>software</w:t>
            </w:r>
            <w:r w:rsidR="000F37B9" w:rsidRPr="00AA6C13">
              <w:rPr>
                <w:i/>
                <w:iCs/>
                <w:lang w:bidi="ar-DZ"/>
              </w:rPr>
              <w:t xml:space="preserve">, or software that are devices in themselves, </w:t>
            </w:r>
            <w:r w:rsidR="000F37B9" w:rsidRPr="00AA6C13">
              <w:rPr>
                <w:b/>
                <w:bCs/>
                <w:i/>
                <w:iCs/>
                <w:lang w:bidi="ar-DZ"/>
              </w:rPr>
              <w:t>shall be designed to ensure repeatability, reliability and performance in line with their intended use</w:t>
            </w:r>
            <w:r w:rsidR="000F37B9" w:rsidRPr="00AA6C13">
              <w:rPr>
                <w:i/>
                <w:iCs/>
                <w:lang w:bidi="ar-DZ"/>
              </w:rPr>
              <w:t>. […]</w:t>
            </w:r>
            <w:r w:rsidRPr="00AA6C13">
              <w:rPr>
                <w:i/>
                <w:iCs/>
                <w:lang w:bidi="ar-DZ"/>
              </w:rPr>
              <w:t>"</w:t>
            </w:r>
          </w:p>
          <w:p w14:paraId="7C32CAA9" w14:textId="45EAA0FE" w:rsidR="000F37B9" w:rsidRPr="00AA6C13" w:rsidRDefault="00D53643" w:rsidP="00482D83">
            <w:pPr>
              <w:rPr>
                <w:i/>
                <w:iCs/>
                <w:lang w:bidi="ar-DZ"/>
              </w:rPr>
            </w:pPr>
            <w:r w:rsidRPr="00AA6C13">
              <w:rPr>
                <w:i/>
                <w:iCs/>
                <w:lang w:bidi="ar-DZ"/>
              </w:rPr>
              <w:t>"</w:t>
            </w:r>
            <w:r w:rsidR="000F37B9" w:rsidRPr="00AA6C13">
              <w:rPr>
                <w:i/>
                <w:iCs/>
                <w:lang w:bidi="ar-DZ"/>
              </w:rPr>
              <w:t xml:space="preserve">The documentation shall contain the results and critical analyses of all </w:t>
            </w:r>
            <w:r w:rsidR="000F37B9" w:rsidRPr="00AA6C13">
              <w:rPr>
                <w:b/>
                <w:bCs/>
                <w:i/>
                <w:iCs/>
                <w:lang w:bidi="ar-DZ"/>
              </w:rPr>
              <w:t>verifications and validation tests and/or studies</w:t>
            </w:r>
            <w:r w:rsidR="000F37B9" w:rsidRPr="00AA6C13">
              <w:rPr>
                <w:i/>
                <w:iCs/>
                <w:lang w:bidi="ar-DZ"/>
              </w:rPr>
              <w:t xml:space="preserve"> undertaken to demonstrate conformity of the device with the requirements of this Regulation and in particular the applicable </w:t>
            </w:r>
            <w:r w:rsidR="000F37B9" w:rsidRPr="00AA6C13">
              <w:rPr>
                <w:b/>
                <w:bCs/>
                <w:i/>
                <w:iCs/>
                <w:lang w:bidi="ar-DZ"/>
              </w:rPr>
              <w:t>general safety and performance requirements</w:t>
            </w:r>
            <w:r w:rsidR="000F37B9" w:rsidRPr="00AA6C13">
              <w:rPr>
                <w:i/>
                <w:iCs/>
                <w:lang w:bidi="ar-DZ"/>
              </w:rPr>
              <w:t>. […]</w:t>
            </w:r>
            <w:r w:rsidRPr="00AA6C13">
              <w:rPr>
                <w:i/>
                <w:iCs/>
                <w:lang w:bidi="ar-DZ"/>
              </w:rPr>
              <w:t>"</w:t>
            </w:r>
          </w:p>
          <w:p w14:paraId="4395B8D2" w14:textId="6268857E" w:rsidR="000F37B9" w:rsidRPr="00AA6C13" w:rsidRDefault="00D53643" w:rsidP="00482D83">
            <w:pPr>
              <w:rPr>
                <w:i/>
                <w:lang w:bidi="ar-DZ"/>
              </w:rPr>
            </w:pPr>
            <w:r w:rsidRPr="00AA6C13">
              <w:rPr>
                <w:i/>
                <w:lang w:bidi="ar-DZ"/>
              </w:rPr>
              <w:t>"</w:t>
            </w:r>
            <w:r w:rsidR="000F37B9" w:rsidRPr="00AA6C13">
              <w:rPr>
                <w:i/>
                <w:lang w:bidi="ar-DZ"/>
              </w:rPr>
              <w:t xml:space="preserve">(b) </w:t>
            </w:r>
            <w:r w:rsidR="000F37B9" w:rsidRPr="00AA6C13">
              <w:rPr>
                <w:b/>
                <w:i/>
                <w:lang w:bidi="ar-DZ"/>
              </w:rPr>
              <w:t>detailed information</w:t>
            </w:r>
            <w:r w:rsidR="000F37B9" w:rsidRPr="00AA6C13">
              <w:rPr>
                <w:i/>
                <w:lang w:bidi="ar-DZ"/>
              </w:rPr>
              <w:t xml:space="preserve"> regarding </w:t>
            </w:r>
            <w:r w:rsidR="000F37B9" w:rsidRPr="00AA6C13">
              <w:rPr>
                <w:b/>
                <w:i/>
                <w:lang w:bidi="ar-DZ"/>
              </w:rPr>
              <w:t>test design, complete test or study protocols, methods of data analysis, in addition to data summaries and test conclusions</w:t>
            </w:r>
            <w:r w:rsidR="000F37B9" w:rsidRPr="00AA6C13">
              <w:rPr>
                <w:i/>
                <w:lang w:bidi="ar-DZ"/>
              </w:rPr>
              <w:t xml:space="preserve"> regarding in particular: [...]</w:t>
            </w:r>
          </w:p>
          <w:p w14:paraId="61E01AD7" w14:textId="0AE59237" w:rsidR="000F37B9" w:rsidRPr="00AA6C13" w:rsidRDefault="000F37B9" w:rsidP="00482D83">
            <w:pPr>
              <w:rPr>
                <w:i/>
                <w:lang w:bidi="ar-DZ"/>
              </w:rPr>
            </w:pPr>
            <w:r w:rsidRPr="00AA6C13">
              <w:rPr>
                <w:i/>
                <w:lang w:bidi="ar-DZ"/>
              </w:rPr>
              <w:t>— software verification and validation (describing the software design and development process and evidence of the validation of the software, as used in the finished device. This information shall typically include the summary</w:t>
            </w:r>
            <w:r w:rsidRPr="00AA6C13">
              <w:rPr>
                <w:b/>
                <w:i/>
                <w:lang w:bidi="ar-DZ"/>
              </w:rPr>
              <w:t xml:space="preserve"> results of all verification, validation and testing performed both in-house and in a simulated or actual user environment prior to final release.</w:t>
            </w:r>
            <w:r w:rsidRPr="00AA6C13">
              <w:rPr>
                <w:i/>
                <w:lang w:bidi="ar-DZ"/>
              </w:rPr>
              <w:t xml:space="preserve"> […]</w:t>
            </w:r>
            <w:r w:rsidR="00D53643" w:rsidRPr="00AA6C13">
              <w:rPr>
                <w:i/>
                <w:lang w:bidi="ar-DZ"/>
              </w:rPr>
              <w:t>"</w:t>
            </w:r>
          </w:p>
          <w:p w14:paraId="6D72A00A" w14:textId="59EFF82E" w:rsidR="000F37B9" w:rsidRPr="00AA6C13" w:rsidRDefault="00D53643" w:rsidP="00482D83">
            <w:pPr>
              <w:rPr>
                <w:i/>
                <w:iCs/>
                <w:lang w:bidi="ar-DZ"/>
              </w:rPr>
            </w:pPr>
            <w:r w:rsidRPr="00AA6C13">
              <w:rPr>
                <w:i/>
                <w:iCs/>
                <w:lang w:bidi="ar-DZ"/>
              </w:rPr>
              <w:t>"</w:t>
            </w:r>
            <w:r w:rsidR="000F37B9" w:rsidRPr="00AA6C13">
              <w:rPr>
                <w:i/>
                <w:iCs/>
                <w:lang w:bidi="ar-DZ"/>
              </w:rPr>
              <w:t xml:space="preserve">[…] </w:t>
            </w:r>
            <w:r w:rsidR="000F37B9" w:rsidRPr="00AA6C13">
              <w:rPr>
                <w:b/>
                <w:bCs/>
                <w:i/>
                <w:iCs/>
                <w:lang w:bidi="ar-DZ"/>
              </w:rPr>
              <w:t xml:space="preserve">The notified body shall </w:t>
            </w:r>
            <w:r w:rsidR="000F37B9" w:rsidRPr="00AA6C13">
              <w:rPr>
                <w:i/>
                <w:iCs/>
                <w:lang w:bidi="ar-DZ"/>
              </w:rPr>
              <w:t>have documented procedures, sufficient expertise and facilities for the type-examination of devices in accordance with Annex X including the capacity to: […]</w:t>
            </w:r>
          </w:p>
          <w:p w14:paraId="61729C16" w14:textId="77777777" w:rsidR="000F37B9" w:rsidRPr="00AA6C13" w:rsidRDefault="000F37B9" w:rsidP="00482D83">
            <w:pPr>
              <w:rPr>
                <w:i/>
                <w:lang w:bidi="ar-DZ"/>
              </w:rPr>
            </w:pPr>
            <w:r w:rsidRPr="00AA6C13">
              <w:rPr>
                <w:i/>
                <w:lang w:bidi="ar-DZ"/>
              </w:rPr>
              <w:t xml:space="preserve">— </w:t>
            </w:r>
            <w:r w:rsidRPr="00AA6C13">
              <w:rPr>
                <w:b/>
                <w:i/>
                <w:lang w:bidi="ar-DZ"/>
              </w:rPr>
              <w:t>establish a test plan identifying all relevant and critical parameters which need to be tested by the notified body or under its responsibility</w:t>
            </w:r>
            <w:r w:rsidRPr="00AA6C13">
              <w:rPr>
                <w:i/>
                <w:lang w:bidi="ar-DZ"/>
              </w:rPr>
              <w:t>; […]</w:t>
            </w:r>
          </w:p>
          <w:p w14:paraId="04DAECF6" w14:textId="77777777" w:rsidR="000F37B9" w:rsidRPr="00AA6C13" w:rsidRDefault="000F37B9" w:rsidP="00482D83">
            <w:pPr>
              <w:rPr>
                <w:i/>
                <w:lang w:bidi="ar-DZ"/>
              </w:rPr>
            </w:pPr>
            <w:r w:rsidRPr="00AA6C13">
              <w:rPr>
                <w:i/>
                <w:lang w:bidi="ar-DZ"/>
              </w:rPr>
              <w:t xml:space="preserve">— </w:t>
            </w:r>
            <w:r w:rsidRPr="00AA6C13">
              <w:rPr>
                <w:b/>
                <w:i/>
                <w:lang w:bidi="ar-DZ"/>
              </w:rPr>
              <w:t>carry out the appropriate examinations and tests</w:t>
            </w:r>
            <w:r w:rsidRPr="00AA6C13">
              <w:rPr>
                <w:i/>
                <w:lang w:bidi="ar-DZ"/>
              </w:rPr>
              <w:t xml:space="preserve"> </w:t>
            </w:r>
            <w:proofErr w:type="gramStart"/>
            <w:r w:rsidRPr="00AA6C13">
              <w:rPr>
                <w:i/>
                <w:lang w:bidi="ar-DZ"/>
              </w:rPr>
              <w:t>in order to</w:t>
            </w:r>
            <w:proofErr w:type="gramEnd"/>
            <w:r w:rsidRPr="00AA6C13">
              <w:rPr>
                <w:i/>
                <w:lang w:bidi="ar-DZ"/>
              </w:rPr>
              <w:t xml:space="preserve"> verify that the solutions adopted by the manufacturer meet the general safety and performance requirements set out in Annex I. Such examinations and </w:t>
            </w:r>
            <w:r w:rsidRPr="00AA6C13">
              <w:rPr>
                <w:b/>
                <w:i/>
                <w:lang w:bidi="ar-DZ"/>
              </w:rPr>
              <w:t>tests shall include all tests necessary to verify that the manufacturer has in fact applied the relevant standards it has opted to use</w:t>
            </w:r>
            <w:r w:rsidRPr="00AA6C13">
              <w:rPr>
                <w:i/>
                <w:lang w:bidi="ar-DZ"/>
              </w:rPr>
              <w:t>; […]</w:t>
            </w:r>
          </w:p>
          <w:p w14:paraId="5DC13B3C" w14:textId="08D10EED" w:rsidR="000F37B9" w:rsidRPr="00AA6C13" w:rsidRDefault="000F37B9" w:rsidP="00482D83">
            <w:pPr>
              <w:rPr>
                <w:i/>
                <w:iCs/>
                <w:lang w:bidi="ar-DZ"/>
              </w:rPr>
            </w:pPr>
            <w:r w:rsidRPr="00AA6C13">
              <w:rPr>
                <w:i/>
                <w:iCs/>
                <w:lang w:bidi="ar-DZ"/>
              </w:rPr>
              <w:t>— assume full responsibility for test results.</w:t>
            </w:r>
            <w:r w:rsidRPr="00AA6C13">
              <w:rPr>
                <w:b/>
                <w:bCs/>
                <w:i/>
                <w:iCs/>
                <w:lang w:bidi="ar-DZ"/>
              </w:rPr>
              <w:t xml:space="preserve"> Test reports</w:t>
            </w:r>
            <w:r w:rsidRPr="00AA6C13">
              <w:rPr>
                <w:i/>
                <w:iCs/>
                <w:lang w:bidi="ar-DZ"/>
              </w:rPr>
              <w:t xml:space="preserve"> submitted by the manufacturer shall only be </w:t>
            </w:r>
            <w:proofErr w:type="gramStart"/>
            <w:r w:rsidRPr="00AA6C13">
              <w:rPr>
                <w:i/>
                <w:iCs/>
                <w:lang w:bidi="ar-DZ"/>
              </w:rPr>
              <w:t>taken into account</w:t>
            </w:r>
            <w:proofErr w:type="gramEnd"/>
            <w:r w:rsidRPr="00AA6C13">
              <w:rPr>
                <w:i/>
                <w:iCs/>
                <w:lang w:bidi="ar-DZ"/>
              </w:rPr>
              <w:t xml:space="preserve"> if they have been issued by conformity assessment bodies which are competent and </w:t>
            </w:r>
            <w:r w:rsidRPr="00AA6C13">
              <w:rPr>
                <w:b/>
                <w:bCs/>
                <w:i/>
                <w:iCs/>
                <w:lang w:bidi="ar-DZ"/>
              </w:rPr>
              <w:t>independent of the manufacturer</w:t>
            </w:r>
            <w:r w:rsidRPr="00AA6C13">
              <w:rPr>
                <w:i/>
                <w:iCs/>
                <w:lang w:bidi="ar-DZ"/>
              </w:rPr>
              <w:t>. […]</w:t>
            </w:r>
            <w:r w:rsidR="00D53643" w:rsidRPr="00AA6C13">
              <w:rPr>
                <w:i/>
                <w:iCs/>
                <w:lang w:bidi="ar-DZ"/>
              </w:rPr>
              <w:t>"</w:t>
            </w:r>
          </w:p>
        </w:tc>
      </w:tr>
      <w:tr w:rsidR="000F37B9" w:rsidRPr="00AA6C13" w14:paraId="22693F68" w14:textId="77777777" w:rsidTr="00DF6BD1">
        <w:trPr>
          <w:jc w:val="center"/>
        </w:trPr>
        <w:tc>
          <w:tcPr>
            <w:tcW w:w="9629" w:type="dxa"/>
          </w:tcPr>
          <w:p w14:paraId="7ADA2629" w14:textId="77777777" w:rsidR="000F37B9" w:rsidRPr="00AA6C13" w:rsidRDefault="000F37B9" w:rsidP="00752C4E">
            <w:pPr>
              <w:pStyle w:val="Headingb"/>
              <w:rPr>
                <w:lang w:bidi="ar-DZ"/>
              </w:rPr>
            </w:pPr>
            <w:r w:rsidRPr="00AA6C13">
              <w:rPr>
                <w:lang w:bidi="ar-DZ"/>
              </w:rPr>
              <w:lastRenderedPageBreak/>
              <w:t>Comment:</w:t>
            </w:r>
          </w:p>
          <w:p w14:paraId="1DF6DC2C" w14:textId="459E886C" w:rsidR="000F37B9" w:rsidRPr="00AA6C13" w:rsidRDefault="00DF6BD1" w:rsidP="00DF6BD1">
            <w:pPr>
              <w:pStyle w:val="enumlev1"/>
              <w:rPr>
                <w:i/>
                <w:iCs/>
                <w:lang w:bidi="ar-DZ"/>
              </w:rPr>
            </w:pPr>
            <w:r w:rsidRPr="00AA6C13">
              <w:rPr>
                <w:lang w:bidi="ar-DZ"/>
              </w:rPr>
              <w:t>–</w:t>
            </w:r>
            <w:r w:rsidRPr="00AA6C13">
              <w:rPr>
                <w:lang w:bidi="ar-DZ"/>
              </w:rPr>
              <w:tab/>
            </w:r>
            <w:r w:rsidR="000F37B9" w:rsidRPr="00AA6C13">
              <w:rPr>
                <w:lang w:bidi="ar-DZ"/>
              </w:rPr>
              <w:t xml:space="preserve">The regulatory perspective is discussed in more detail in the </w:t>
            </w:r>
            <w:r w:rsidR="000F37B9" w:rsidRPr="00AA6C13">
              <w:rPr>
                <w:i/>
                <w:iCs/>
                <w:lang w:bidi="ar-DZ"/>
              </w:rPr>
              <w:t>AI4H regulatory considerations</w:t>
            </w:r>
            <w:r w:rsidR="000F37B9" w:rsidRPr="00AA6C13">
              <w:rPr>
                <w:lang w:bidi="ar-DZ"/>
              </w:rPr>
              <w:t xml:space="preserve"> [DEL02].</w:t>
            </w:r>
          </w:p>
        </w:tc>
      </w:tr>
    </w:tbl>
    <w:p w14:paraId="3AB22DD5"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516AB666" w14:textId="77777777" w:rsidTr="00DF6BD1">
        <w:trPr>
          <w:jc w:val="center"/>
        </w:trPr>
        <w:tc>
          <w:tcPr>
            <w:tcW w:w="9629" w:type="dxa"/>
            <w:shd w:val="clear" w:color="auto" w:fill="E7E6E6" w:themeFill="background2"/>
          </w:tcPr>
          <w:p w14:paraId="60950EEE" w14:textId="4AF2D1F4" w:rsidR="000F37B9" w:rsidRPr="00AA6C13" w:rsidRDefault="000F37B9" w:rsidP="00482D83">
            <w:pPr>
              <w:spacing w:before="0"/>
              <w:rPr>
                <w:b/>
                <w:lang w:bidi="ar-DZ"/>
              </w:rPr>
            </w:pPr>
            <w:r w:rsidRPr="00AA6C13">
              <w:rPr>
                <w:b/>
                <w:lang w:bidi="ar-DZ"/>
              </w:rPr>
              <w:t>BIAS: Transparent reporting of biomedical image analysis challenges</w:t>
            </w:r>
            <w:r w:rsidR="004155FB" w:rsidRPr="00AA6C13">
              <w:rPr>
                <w:b/>
                <w:lang w:bidi="ar-DZ"/>
              </w:rPr>
              <w:t>.</w:t>
            </w:r>
          </w:p>
        </w:tc>
      </w:tr>
      <w:tr w:rsidR="000F37B9" w:rsidRPr="00AA6C13" w14:paraId="5A2CBDEF" w14:textId="77777777" w:rsidTr="00DF6BD1">
        <w:trPr>
          <w:jc w:val="center"/>
        </w:trPr>
        <w:tc>
          <w:tcPr>
            <w:tcW w:w="9629" w:type="dxa"/>
          </w:tcPr>
          <w:p w14:paraId="05E43D27" w14:textId="5D23C278" w:rsidR="000F37B9" w:rsidRPr="004D4B8A" w:rsidRDefault="000F37B9" w:rsidP="00482D83">
            <w:pPr>
              <w:ind w:left="288" w:hanging="288"/>
              <w:rPr>
                <w:rFonts w:eastAsia="Calibri"/>
                <w:color w:val="0000FF"/>
                <w:u w:val="single"/>
                <w:lang w:val="fr-CH"/>
              </w:rPr>
            </w:pPr>
            <w:r w:rsidRPr="00AA6C13">
              <w:rPr>
                <w:rFonts w:eastAsia="Times New Roman"/>
                <w:lang w:eastAsia="de-DE"/>
              </w:rPr>
              <w:t xml:space="preserve">Maier-Hein, L., Reinke, A., </w:t>
            </w:r>
            <w:proofErr w:type="spellStart"/>
            <w:r w:rsidRPr="00AA6C13">
              <w:rPr>
                <w:rFonts w:eastAsia="Times New Roman"/>
                <w:lang w:eastAsia="de-DE"/>
              </w:rPr>
              <w:t>Kozubek</w:t>
            </w:r>
            <w:proofErr w:type="spellEnd"/>
            <w:r w:rsidRPr="00AA6C13">
              <w:rPr>
                <w:rFonts w:eastAsia="Times New Roman"/>
                <w:lang w:eastAsia="de-DE"/>
              </w:rPr>
              <w:t xml:space="preserve">, M., Martel, A. L., Arbel, T., Eisenmann, M., </w:t>
            </w:r>
            <w:r w:rsidR="00E11FE4" w:rsidRPr="00AA6C13">
              <w:rPr>
                <w:rFonts w:eastAsia="Times New Roman"/>
                <w:lang w:eastAsia="de-DE"/>
              </w:rPr>
              <w:t>Hanbury, A</w:t>
            </w:r>
            <w:r w:rsidR="003B00CB" w:rsidRPr="00AA6C13">
              <w:rPr>
                <w:rFonts w:eastAsia="Times New Roman"/>
                <w:lang w:eastAsia="de-DE"/>
              </w:rPr>
              <w:t xml:space="preserve">., </w:t>
            </w:r>
            <w:proofErr w:type="spellStart"/>
            <w:r w:rsidR="003B00CB" w:rsidRPr="00AA6C13">
              <w:rPr>
                <w:rFonts w:eastAsia="Times New Roman"/>
                <w:lang w:eastAsia="de-DE"/>
              </w:rPr>
              <w:t>Jannin</w:t>
            </w:r>
            <w:proofErr w:type="spellEnd"/>
            <w:r w:rsidR="003B00CB" w:rsidRPr="00AA6C13">
              <w:rPr>
                <w:rFonts w:eastAsia="Times New Roman"/>
                <w:lang w:eastAsia="de-DE"/>
              </w:rPr>
              <w:t xml:space="preserve">, P., Müller, </w:t>
            </w:r>
            <w:r w:rsidR="005B017C" w:rsidRPr="00AA6C13">
              <w:rPr>
                <w:rFonts w:eastAsia="Times New Roman"/>
                <w:lang w:eastAsia="de-DE"/>
              </w:rPr>
              <w:t xml:space="preserve">H., </w:t>
            </w:r>
            <w:proofErr w:type="spellStart"/>
            <w:r w:rsidR="005B017C" w:rsidRPr="00AA6C13">
              <w:rPr>
                <w:rFonts w:eastAsia="Times New Roman"/>
                <w:lang w:eastAsia="de-DE"/>
              </w:rPr>
              <w:t>Onogur</w:t>
            </w:r>
            <w:proofErr w:type="spellEnd"/>
            <w:r w:rsidR="005B017C" w:rsidRPr="00AA6C13">
              <w:rPr>
                <w:rFonts w:eastAsia="Times New Roman"/>
                <w:lang w:eastAsia="de-DE"/>
              </w:rPr>
              <w:t>, S.,</w:t>
            </w:r>
            <w:r w:rsidRPr="00AA6C13">
              <w:rPr>
                <w:rFonts w:eastAsia="Times New Roman"/>
                <w:lang w:eastAsia="de-DE"/>
              </w:rPr>
              <w:t xml:space="preserve"> Saez-Rodriguez, J.</w:t>
            </w:r>
            <w:r w:rsidR="00512D09" w:rsidRPr="00AA6C13">
              <w:rPr>
                <w:rFonts w:eastAsia="Times New Roman"/>
                <w:lang w:eastAsia="de-DE"/>
              </w:rPr>
              <w:t xml:space="preserve">, </w:t>
            </w:r>
            <w:r w:rsidR="00FE07A6" w:rsidRPr="00AA6C13">
              <w:rPr>
                <w:rFonts w:eastAsia="Times New Roman"/>
                <w:lang w:eastAsia="de-DE"/>
              </w:rPr>
              <w:t xml:space="preserve">van Ginneken, B., Kopp-Schneider, A., </w:t>
            </w:r>
            <w:r w:rsidR="00FE07A6" w:rsidRPr="00AA6C13">
              <w:rPr>
                <w:rFonts w:eastAsia="Times New Roman"/>
                <w:lang w:eastAsia="de-DE"/>
              </w:rPr>
              <w:lastRenderedPageBreak/>
              <w:t>Landman, B. A.</w:t>
            </w:r>
            <w:r w:rsidRPr="00AA6C13">
              <w:rPr>
                <w:rFonts w:eastAsia="Times New Roman"/>
                <w:lang w:eastAsia="de-DE"/>
              </w:rPr>
              <w:t xml:space="preserve"> (2020)</w:t>
            </w:r>
            <w:r w:rsidR="006607C0" w:rsidRPr="00AA6C13">
              <w:rPr>
                <w:rFonts w:eastAsia="Times New Roman"/>
                <w:lang w:eastAsia="de-DE"/>
              </w:rPr>
              <w:t>,</w:t>
            </w:r>
            <w:r w:rsidRPr="00AA6C13">
              <w:rPr>
                <w:rFonts w:eastAsia="Times New Roman"/>
                <w:lang w:eastAsia="de-DE"/>
              </w:rPr>
              <w:t xml:space="preserve"> BIAS: Transparent reporting of biomedical image analysis challenges.</w:t>
            </w:r>
            <w:r w:rsidR="002E2071" w:rsidRPr="00AA6C13">
              <w:rPr>
                <w:rFonts w:eastAsia="Times New Roman"/>
                <w:lang w:eastAsia="de-DE"/>
              </w:rPr>
              <w:t xml:space="preserve"> </w:t>
            </w:r>
            <w:r w:rsidRPr="004D4B8A">
              <w:rPr>
                <w:rFonts w:eastAsia="Times New Roman"/>
                <w:i/>
                <w:iCs/>
                <w:lang w:val="fr-CH"/>
              </w:rPr>
              <w:t xml:space="preserve">Medical image </w:t>
            </w:r>
            <w:proofErr w:type="spellStart"/>
            <w:r w:rsidRPr="004D4B8A">
              <w:rPr>
                <w:rFonts w:eastAsia="Times New Roman"/>
                <w:i/>
                <w:iCs/>
                <w:lang w:val="fr-CH"/>
              </w:rPr>
              <w:t>analysis</w:t>
            </w:r>
            <w:proofErr w:type="spellEnd"/>
            <w:r w:rsidRPr="004D4B8A">
              <w:rPr>
                <w:rFonts w:eastAsia="Times New Roman"/>
                <w:lang w:val="fr-CH"/>
              </w:rPr>
              <w:t xml:space="preserve">, </w:t>
            </w:r>
            <w:r w:rsidR="00A5480B" w:rsidRPr="004D4B8A">
              <w:rPr>
                <w:rFonts w:eastAsia="Times New Roman"/>
                <w:lang w:val="fr-CH"/>
              </w:rPr>
              <w:t xml:space="preserve">Volume </w:t>
            </w:r>
            <w:r w:rsidRPr="004D4B8A">
              <w:rPr>
                <w:rFonts w:eastAsia="Times New Roman"/>
                <w:lang w:val="fr-CH"/>
              </w:rPr>
              <w:t xml:space="preserve">66, 101796. </w:t>
            </w:r>
            <w:r w:rsidR="00E166F8" w:rsidRPr="004D4B8A">
              <w:rPr>
                <w:rFonts w:eastAsia="Times New Roman"/>
                <w:lang w:val="fr-CH"/>
              </w:rPr>
              <w:t>[</w:t>
            </w:r>
            <w:proofErr w:type="gramStart"/>
            <w:r w:rsidR="00073B5D" w:rsidRPr="004D4B8A">
              <w:rPr>
                <w:rFonts w:eastAsia="Times New Roman"/>
                <w:lang w:val="fr-CH" w:eastAsia="de-DE"/>
              </w:rPr>
              <w:t>b</w:t>
            </w:r>
            <w:proofErr w:type="gramEnd"/>
            <w:r w:rsidR="00073B5D" w:rsidRPr="004D4B8A">
              <w:rPr>
                <w:rFonts w:eastAsia="Times New Roman"/>
                <w:lang w:val="fr-CH" w:eastAsia="de-DE"/>
              </w:rPr>
              <w:t>-Maier-Hein et al., 2020]</w:t>
            </w:r>
            <w:r w:rsidR="007E22EC" w:rsidRPr="004D4B8A">
              <w:rPr>
                <w:rFonts w:eastAsia="Times New Roman"/>
                <w:lang w:val="fr-CH" w:eastAsia="de-DE"/>
              </w:rPr>
              <w:t>.</w:t>
            </w:r>
            <w:r w:rsidR="00073B5D" w:rsidRPr="004D4B8A">
              <w:rPr>
                <w:rFonts w:eastAsia="Times New Roman"/>
                <w:lang w:val="fr-CH" w:eastAsia="de-DE"/>
              </w:rPr>
              <w:t xml:space="preserve"> </w:t>
            </w:r>
            <w:proofErr w:type="spellStart"/>
            <w:proofErr w:type="gramStart"/>
            <w:r w:rsidRPr="004D4B8A">
              <w:rPr>
                <w:rFonts w:eastAsia="Times New Roman"/>
                <w:lang w:val="fr-CH"/>
              </w:rPr>
              <w:t>Doi</w:t>
            </w:r>
            <w:proofErr w:type="spellEnd"/>
            <w:r w:rsidRPr="004D4B8A">
              <w:rPr>
                <w:rFonts w:eastAsia="Times New Roman"/>
                <w:lang w:val="fr-CH"/>
              </w:rPr>
              <w:t>:</w:t>
            </w:r>
            <w:proofErr w:type="gramEnd"/>
            <w:r w:rsidRPr="004D4B8A">
              <w:rPr>
                <w:rFonts w:eastAsia="Times New Roman"/>
                <w:lang w:val="fr-CH"/>
              </w:rPr>
              <w:t xml:space="preserve"> </w:t>
            </w:r>
            <w:hyperlink r:id="rId62">
              <w:r w:rsidRPr="004D4B8A">
                <w:rPr>
                  <w:rFonts w:eastAsia="Times New Roman"/>
                  <w:color w:val="0000FF"/>
                  <w:u w:val="single"/>
                  <w:lang w:val="fr-CH"/>
                </w:rPr>
                <w:t>https://doi.org/10.1016/j.media.2020.101796</w:t>
              </w:r>
            </w:hyperlink>
          </w:p>
          <w:p w14:paraId="540EE324" w14:textId="4DA3CDDA" w:rsidR="000F37B9" w:rsidRPr="00AA6C13" w:rsidRDefault="000F37B9" w:rsidP="00482D83">
            <w:pPr>
              <w:spacing w:before="0"/>
              <w:rPr>
                <w:lang w:bidi="ar-DZ"/>
              </w:rPr>
            </w:pPr>
            <w:r w:rsidRPr="00AA6C13">
              <w:rPr>
                <w:lang w:bidi="ar-DZ"/>
              </w:rPr>
              <w:t xml:space="preserve">Also registered to the </w:t>
            </w:r>
            <w:r w:rsidR="00D210F0" w:rsidRPr="00AA6C13">
              <w:rPr>
                <w:lang w:bidi="ar-DZ"/>
              </w:rPr>
              <w:t>e</w:t>
            </w:r>
            <w:r w:rsidRPr="00AA6C13">
              <w:rPr>
                <w:lang w:bidi="ar-DZ"/>
              </w:rPr>
              <w:t xml:space="preserve">quator </w:t>
            </w:r>
            <w:r w:rsidR="00D210F0" w:rsidRPr="00AA6C13">
              <w:rPr>
                <w:lang w:bidi="ar-DZ"/>
              </w:rPr>
              <w:t>n</w:t>
            </w:r>
            <w:r w:rsidRPr="00AA6C13">
              <w:rPr>
                <w:lang w:bidi="ar-DZ"/>
              </w:rPr>
              <w:t>etwork.</w:t>
            </w:r>
          </w:p>
        </w:tc>
      </w:tr>
      <w:tr w:rsidR="000F37B9" w:rsidRPr="00AA6C13" w14:paraId="25FA1B01" w14:textId="77777777" w:rsidTr="00DF6BD1">
        <w:trPr>
          <w:jc w:val="center"/>
        </w:trPr>
        <w:tc>
          <w:tcPr>
            <w:tcW w:w="9629" w:type="dxa"/>
          </w:tcPr>
          <w:p w14:paraId="0E0123B1" w14:textId="5CE3E2DD" w:rsidR="000F37B9" w:rsidRPr="00AA6C13" w:rsidRDefault="00D53643" w:rsidP="00482D83">
            <w:pPr>
              <w:spacing w:before="0"/>
              <w:rPr>
                <w:i/>
                <w:iCs/>
                <w:lang w:bidi="ar-DZ"/>
              </w:rPr>
            </w:pPr>
            <w:r w:rsidRPr="00AA6C13">
              <w:rPr>
                <w:i/>
                <w:iCs/>
                <w:lang w:bidi="ar-DZ"/>
              </w:rPr>
              <w:lastRenderedPageBreak/>
              <w:t>"</w:t>
            </w:r>
            <w:r w:rsidR="000F37B9" w:rsidRPr="00AA6C13">
              <w:rPr>
                <w:i/>
                <w:iCs/>
                <w:lang w:bidi="ar-DZ"/>
              </w:rPr>
              <w:t xml:space="preserve">The </w:t>
            </w:r>
            <w:r w:rsidR="00D136D5" w:rsidRPr="00AA6C13">
              <w:rPr>
                <w:i/>
                <w:iCs/>
                <w:lang w:bidi="ar-DZ"/>
              </w:rPr>
              <w:t>b</w:t>
            </w:r>
            <w:r w:rsidR="000F37B9" w:rsidRPr="00AA6C13">
              <w:rPr>
                <w:i/>
                <w:iCs/>
                <w:lang w:bidi="ar-DZ"/>
              </w:rPr>
              <w:t xml:space="preserve">iomedical </w:t>
            </w:r>
            <w:r w:rsidR="00D136D5" w:rsidRPr="00AA6C13">
              <w:rPr>
                <w:i/>
                <w:iCs/>
                <w:lang w:bidi="ar-DZ"/>
              </w:rPr>
              <w:t>i</w:t>
            </w:r>
            <w:r w:rsidR="000F37B9" w:rsidRPr="00AA6C13">
              <w:rPr>
                <w:i/>
                <w:iCs/>
                <w:lang w:bidi="ar-DZ"/>
              </w:rPr>
              <w:t xml:space="preserve">mage </w:t>
            </w:r>
            <w:r w:rsidR="00810D3F" w:rsidRPr="00AA6C13">
              <w:rPr>
                <w:i/>
                <w:iCs/>
                <w:lang w:bidi="ar-DZ"/>
              </w:rPr>
              <w:t>a</w:t>
            </w:r>
            <w:r w:rsidR="000F37B9" w:rsidRPr="00AA6C13">
              <w:rPr>
                <w:i/>
                <w:iCs/>
                <w:lang w:bidi="ar-DZ"/>
              </w:rPr>
              <w:t xml:space="preserve">nalysis </w:t>
            </w:r>
            <w:r w:rsidR="00810D3F" w:rsidRPr="00AA6C13">
              <w:rPr>
                <w:i/>
                <w:iCs/>
                <w:lang w:bidi="ar-DZ"/>
              </w:rPr>
              <w:t>c</w:t>
            </w:r>
            <w:r w:rsidR="000F37B9" w:rsidRPr="00AA6C13">
              <w:rPr>
                <w:i/>
                <w:iCs/>
                <w:lang w:bidi="ar-DZ"/>
              </w:rPr>
              <w:t>hallenge</w:t>
            </w:r>
            <w:r w:rsidR="00810D3F" w:rsidRPr="00AA6C13">
              <w:rPr>
                <w:i/>
                <w:iCs/>
                <w:lang w:bidi="ar-DZ"/>
              </w:rPr>
              <w:t>s</w:t>
            </w:r>
            <w:r w:rsidR="000F37B9" w:rsidRPr="00AA6C13">
              <w:rPr>
                <w:i/>
                <w:iCs/>
                <w:lang w:bidi="ar-DZ"/>
              </w:rPr>
              <w:t xml:space="preserve"> (BIAS) initiative was founded by the challenge working group of the </w:t>
            </w:r>
            <w:r w:rsidR="00254C82" w:rsidRPr="00AA6C13">
              <w:rPr>
                <w:i/>
                <w:iCs/>
                <w:lang w:bidi="ar-DZ"/>
              </w:rPr>
              <w:t>m</w:t>
            </w:r>
            <w:r w:rsidR="000F37B9" w:rsidRPr="00AA6C13">
              <w:rPr>
                <w:i/>
                <w:iCs/>
                <w:lang w:bidi="ar-DZ"/>
              </w:rPr>
              <w:t xml:space="preserve">edical </w:t>
            </w:r>
            <w:r w:rsidR="00254C82" w:rsidRPr="00AA6C13">
              <w:rPr>
                <w:i/>
                <w:iCs/>
                <w:lang w:bidi="ar-DZ"/>
              </w:rPr>
              <w:t>i</w:t>
            </w:r>
            <w:r w:rsidR="000F37B9" w:rsidRPr="00AA6C13">
              <w:rPr>
                <w:i/>
                <w:iCs/>
                <w:lang w:bidi="ar-DZ"/>
              </w:rPr>
              <w:t xml:space="preserve">mage </w:t>
            </w:r>
            <w:r w:rsidR="00254C82" w:rsidRPr="00AA6C13">
              <w:rPr>
                <w:i/>
                <w:iCs/>
                <w:lang w:bidi="ar-DZ"/>
              </w:rPr>
              <w:t>c</w:t>
            </w:r>
            <w:r w:rsidR="000F37B9" w:rsidRPr="00AA6C13">
              <w:rPr>
                <w:i/>
                <w:iCs/>
                <w:lang w:bidi="ar-DZ"/>
              </w:rPr>
              <w:t xml:space="preserve">omputing and </w:t>
            </w:r>
            <w:r w:rsidR="008E71FC" w:rsidRPr="00AA6C13">
              <w:rPr>
                <w:i/>
                <w:iCs/>
                <w:lang w:bidi="ar-DZ"/>
              </w:rPr>
              <w:t>c</w:t>
            </w:r>
            <w:r w:rsidR="000F37B9" w:rsidRPr="00AA6C13">
              <w:rPr>
                <w:i/>
                <w:iCs/>
                <w:lang w:bidi="ar-DZ"/>
              </w:rPr>
              <w:t xml:space="preserve">omputer </w:t>
            </w:r>
            <w:r w:rsidR="008E71FC" w:rsidRPr="00AA6C13">
              <w:rPr>
                <w:i/>
                <w:iCs/>
                <w:lang w:bidi="ar-DZ"/>
              </w:rPr>
              <w:t>a</w:t>
            </w:r>
            <w:r w:rsidR="000F37B9" w:rsidRPr="00AA6C13">
              <w:rPr>
                <w:i/>
                <w:iCs/>
                <w:lang w:bidi="ar-DZ"/>
              </w:rPr>
              <w:t xml:space="preserve">ssisted </w:t>
            </w:r>
            <w:r w:rsidR="008E71FC" w:rsidRPr="00AA6C13">
              <w:rPr>
                <w:i/>
                <w:iCs/>
                <w:lang w:bidi="ar-DZ"/>
              </w:rPr>
              <w:t>i</w:t>
            </w:r>
            <w:r w:rsidR="000F37B9" w:rsidRPr="00AA6C13">
              <w:rPr>
                <w:i/>
                <w:iCs/>
                <w:lang w:bidi="ar-DZ"/>
              </w:rPr>
              <w:t xml:space="preserve">ntervention (MICCAI) </w:t>
            </w:r>
            <w:r w:rsidR="00D6604D" w:rsidRPr="00AA6C13">
              <w:rPr>
                <w:i/>
                <w:iCs/>
                <w:lang w:bidi="ar-DZ"/>
              </w:rPr>
              <w:t>s</w:t>
            </w:r>
            <w:r w:rsidR="000F37B9" w:rsidRPr="00AA6C13">
              <w:rPr>
                <w:i/>
                <w:iCs/>
                <w:lang w:bidi="ar-DZ"/>
              </w:rPr>
              <w:t xml:space="preserve">ociety board with the </w:t>
            </w:r>
            <w:r w:rsidR="000F37B9" w:rsidRPr="00AA6C13">
              <w:rPr>
                <w:b/>
                <w:bCs/>
                <w:i/>
                <w:iCs/>
                <w:lang w:bidi="ar-DZ"/>
              </w:rPr>
              <w:t>goal of bringing biomedical image analysis challenges to the next level of quality</w:t>
            </w:r>
            <w:r w:rsidR="008D26BB" w:rsidRPr="00AA6C13">
              <w:rPr>
                <w:b/>
                <w:bCs/>
                <w:i/>
                <w:iCs/>
                <w:lang w:bidi="ar-DZ"/>
              </w:rPr>
              <w:t>.</w:t>
            </w:r>
            <w:r w:rsidRPr="00AA6C13">
              <w:rPr>
                <w:i/>
                <w:iCs/>
                <w:lang w:bidi="ar-DZ"/>
              </w:rPr>
              <w:t>"</w:t>
            </w:r>
          </w:p>
          <w:p w14:paraId="5CC2E6E3" w14:textId="7DB9BA53" w:rsidR="000F37B9" w:rsidRPr="00AA6C13" w:rsidRDefault="00D53643" w:rsidP="00482D83">
            <w:pPr>
              <w:spacing w:before="0"/>
              <w:rPr>
                <w:i/>
                <w:iCs/>
                <w:lang w:bidi="ar-DZ"/>
              </w:rPr>
            </w:pPr>
            <w:r w:rsidRPr="00AA6C13">
              <w:rPr>
                <w:i/>
                <w:iCs/>
                <w:lang w:bidi="ar-DZ"/>
              </w:rPr>
              <w:t>"</w:t>
            </w:r>
            <w:r w:rsidR="000F37B9" w:rsidRPr="00AA6C13">
              <w:rPr>
                <w:i/>
                <w:iCs/>
                <w:lang w:bidi="ar-DZ"/>
              </w:rPr>
              <w:t xml:space="preserve">This paper of the initiative presents a </w:t>
            </w:r>
            <w:r w:rsidR="000F37B9" w:rsidRPr="00AA6C13">
              <w:rPr>
                <w:b/>
                <w:bCs/>
                <w:i/>
                <w:iCs/>
                <w:lang w:bidi="ar-DZ"/>
              </w:rPr>
              <w:t xml:space="preserve">guideline to standardize and facilitate </w:t>
            </w:r>
            <w:r w:rsidR="000F37B9" w:rsidRPr="00AA6C13">
              <w:rPr>
                <w:i/>
                <w:iCs/>
                <w:lang w:bidi="ar-DZ"/>
              </w:rPr>
              <w:t>the writing and reviewing process of biomedical image analysis challenges and help</w:t>
            </w:r>
            <w:r w:rsidR="000F37B9" w:rsidRPr="00AA6C13">
              <w:rPr>
                <w:b/>
                <w:bCs/>
                <w:i/>
                <w:iCs/>
                <w:lang w:bidi="ar-DZ"/>
              </w:rPr>
              <w:t xml:space="preserve"> readers of challenges interpret and reproduce results by making relevant information explicit</w:t>
            </w:r>
            <w:r w:rsidR="000F37B9" w:rsidRPr="00AA6C13">
              <w:rPr>
                <w:i/>
                <w:iCs/>
                <w:lang w:bidi="ar-DZ"/>
              </w:rPr>
              <w:t>.</w:t>
            </w:r>
            <w:r w:rsidRPr="00AA6C13">
              <w:rPr>
                <w:i/>
                <w:iCs/>
                <w:lang w:bidi="ar-DZ"/>
              </w:rPr>
              <w:t>"</w:t>
            </w:r>
          </w:p>
          <w:p w14:paraId="438A26AA" w14:textId="6DE47F02" w:rsidR="000F37B9" w:rsidRPr="00AA6C13" w:rsidRDefault="00D53643" w:rsidP="00482D83">
            <w:pPr>
              <w:spacing w:before="0"/>
              <w:rPr>
                <w:i/>
                <w:iCs/>
                <w:lang w:bidi="ar-DZ"/>
              </w:rPr>
            </w:pPr>
            <w:r w:rsidRPr="00AA6C13">
              <w:rPr>
                <w:i/>
                <w:iCs/>
                <w:lang w:bidi="ar-DZ"/>
              </w:rPr>
              <w:t>"</w:t>
            </w:r>
            <w:r w:rsidR="000F37B9" w:rsidRPr="00AA6C13">
              <w:rPr>
                <w:i/>
                <w:iCs/>
                <w:lang w:bidi="ar-DZ"/>
              </w:rPr>
              <w:t xml:space="preserve">An increasingly relevant problem is that it typically </w:t>
            </w:r>
            <w:r w:rsidR="000F37B9" w:rsidRPr="00AA6C13">
              <w:rPr>
                <w:b/>
                <w:bCs/>
                <w:i/>
                <w:iCs/>
                <w:lang w:bidi="ar-DZ"/>
              </w:rPr>
              <w:t>remains unknown which specific feature of one algorithm actually makes it better than competing algorithms</w:t>
            </w:r>
            <w:r w:rsidR="000F37B9" w:rsidRPr="00AA6C13">
              <w:rPr>
                <w:i/>
                <w:iCs/>
                <w:lang w:bidi="ar-DZ"/>
              </w:rPr>
              <w:t xml:space="preserve"> [18]. For example, many researchers are convinced that the method for data augmentation often has a much bigger influence on the performance of a deep learning algorithm than the network architecture itself. For this reason, a structured</w:t>
            </w:r>
            <w:r w:rsidR="000F37B9" w:rsidRPr="00AA6C13">
              <w:rPr>
                <w:b/>
                <w:bCs/>
                <w:i/>
                <w:iCs/>
                <w:lang w:bidi="ar-DZ"/>
              </w:rPr>
              <w:t xml:space="preserve"> description</w:t>
            </w:r>
            <w:r w:rsidR="000F37B9" w:rsidRPr="00AA6C13">
              <w:rPr>
                <w:i/>
                <w:iCs/>
                <w:lang w:bidi="ar-DZ"/>
              </w:rPr>
              <w:t xml:space="preserve"> (e.g.</w:t>
            </w:r>
            <w:r w:rsidR="00B500AF" w:rsidRPr="00AA6C13">
              <w:rPr>
                <w:i/>
                <w:iCs/>
                <w:lang w:bidi="ar-DZ"/>
              </w:rPr>
              <w:t>,</w:t>
            </w:r>
            <w:r w:rsidR="000F37B9" w:rsidRPr="00AA6C13">
              <w:rPr>
                <w:i/>
                <w:iCs/>
                <w:lang w:bidi="ar-DZ"/>
              </w:rPr>
              <w:t xml:space="preserve"> using ontologies) not only of the challenge but </w:t>
            </w:r>
            <w:r w:rsidR="000F37B9" w:rsidRPr="00AA6C13">
              <w:rPr>
                <w:b/>
                <w:bCs/>
                <w:i/>
                <w:iCs/>
                <w:lang w:bidi="ar-DZ"/>
              </w:rPr>
              <w:t>also of the participating algorithms may be desirable</w:t>
            </w:r>
            <w:r w:rsidR="000F37B9" w:rsidRPr="00AA6C13">
              <w:rPr>
                <w:i/>
                <w:iCs/>
                <w:lang w:bidi="ar-DZ"/>
              </w:rPr>
              <w:t>.</w:t>
            </w:r>
            <w:r w:rsidRPr="00AA6C13">
              <w:rPr>
                <w:i/>
                <w:iCs/>
                <w:lang w:bidi="ar-DZ"/>
              </w:rPr>
              <w:t>"</w:t>
            </w:r>
          </w:p>
        </w:tc>
      </w:tr>
      <w:tr w:rsidR="000F37B9" w:rsidRPr="00AA6C13" w14:paraId="392ED9BF" w14:textId="77777777" w:rsidTr="00DF6BD1">
        <w:trPr>
          <w:jc w:val="center"/>
        </w:trPr>
        <w:tc>
          <w:tcPr>
            <w:tcW w:w="9629" w:type="dxa"/>
          </w:tcPr>
          <w:p w14:paraId="06EAC7A3" w14:textId="77777777" w:rsidR="000F37B9" w:rsidRPr="00AA6C13" w:rsidRDefault="000F37B9" w:rsidP="00752C4E">
            <w:pPr>
              <w:pStyle w:val="Headingb"/>
              <w:rPr>
                <w:lang w:bidi="ar-DZ"/>
              </w:rPr>
            </w:pPr>
            <w:r w:rsidRPr="00AA6C13">
              <w:rPr>
                <w:lang w:bidi="ar-DZ"/>
              </w:rPr>
              <w:t>Comment:</w:t>
            </w:r>
          </w:p>
          <w:p w14:paraId="77F97C9F" w14:textId="71E95F84" w:rsidR="000F37B9" w:rsidRPr="00AA6C13" w:rsidRDefault="00DF6BD1" w:rsidP="00DF6BD1">
            <w:pPr>
              <w:pStyle w:val="enumlev1"/>
              <w:rPr>
                <w:i/>
                <w:iCs/>
                <w:lang w:bidi="ar-DZ"/>
              </w:rPr>
            </w:pPr>
            <w:r w:rsidRPr="00AA6C13">
              <w:rPr>
                <w:lang w:bidi="ar-DZ"/>
              </w:rPr>
              <w:t>–</w:t>
            </w:r>
            <w:r w:rsidRPr="00AA6C13">
              <w:rPr>
                <w:lang w:bidi="ar-DZ"/>
              </w:rPr>
              <w:tab/>
            </w:r>
            <w:r w:rsidR="000F37B9" w:rsidRPr="00AA6C13">
              <w:rPr>
                <w:lang w:bidi="ar-DZ"/>
              </w:rPr>
              <w:t>Standardized guideline for challenge design</w:t>
            </w:r>
            <w:r w:rsidR="006805C2" w:rsidRPr="00AA6C13">
              <w:rPr>
                <w:lang w:bidi="ar-DZ"/>
              </w:rPr>
              <w:t>.</w:t>
            </w:r>
          </w:p>
        </w:tc>
      </w:tr>
    </w:tbl>
    <w:p w14:paraId="55644323"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2DE79299" w14:textId="77777777" w:rsidTr="00DF6BD1">
        <w:trPr>
          <w:jc w:val="center"/>
        </w:trPr>
        <w:tc>
          <w:tcPr>
            <w:tcW w:w="9629" w:type="dxa"/>
            <w:shd w:val="clear" w:color="auto" w:fill="E7E6E6" w:themeFill="background2"/>
          </w:tcPr>
          <w:p w14:paraId="02706BE3" w14:textId="17A60F72" w:rsidR="000F37B9" w:rsidRPr="00AA6C13" w:rsidRDefault="000F37B9" w:rsidP="00482D83">
            <w:pPr>
              <w:spacing w:before="0"/>
              <w:rPr>
                <w:b/>
                <w:lang w:bidi="ar-DZ"/>
              </w:rPr>
            </w:pPr>
            <w:r w:rsidRPr="00AA6C13">
              <w:rPr>
                <w:b/>
                <w:lang w:bidi="ar-DZ"/>
              </w:rPr>
              <w:t xml:space="preserve">Benchmarking </w:t>
            </w:r>
            <w:r w:rsidR="005C0492" w:rsidRPr="00AA6C13">
              <w:rPr>
                <w:b/>
                <w:lang w:bidi="ar-DZ"/>
              </w:rPr>
              <w:t>v</w:t>
            </w:r>
            <w:r w:rsidRPr="00AA6C13">
              <w:rPr>
                <w:b/>
                <w:lang w:bidi="ar-DZ"/>
              </w:rPr>
              <w:t xml:space="preserve">isualization </w:t>
            </w:r>
            <w:r w:rsidR="005C0492" w:rsidRPr="00AA6C13">
              <w:rPr>
                <w:b/>
                <w:lang w:bidi="ar-DZ"/>
              </w:rPr>
              <w:t>t</w:t>
            </w:r>
            <w:r w:rsidRPr="00AA6C13">
              <w:rPr>
                <w:b/>
                <w:lang w:bidi="ar-DZ"/>
              </w:rPr>
              <w:t>oolkit</w:t>
            </w:r>
            <w:r w:rsidR="006E0A23" w:rsidRPr="00AA6C13">
              <w:rPr>
                <w:b/>
                <w:lang w:bidi="ar-DZ"/>
              </w:rPr>
              <w:t>.</w:t>
            </w:r>
          </w:p>
        </w:tc>
      </w:tr>
      <w:tr w:rsidR="000F37B9" w:rsidRPr="00AA6C13" w14:paraId="226AC2D9" w14:textId="77777777" w:rsidTr="00DF6BD1">
        <w:trPr>
          <w:jc w:val="center"/>
        </w:trPr>
        <w:tc>
          <w:tcPr>
            <w:tcW w:w="9629" w:type="dxa"/>
          </w:tcPr>
          <w:p w14:paraId="31F51671" w14:textId="21024B75" w:rsidR="000F37B9" w:rsidRPr="00AA6C13" w:rsidRDefault="000F37B9" w:rsidP="00DF6BD1">
            <w:pPr>
              <w:ind w:left="288" w:hanging="288"/>
              <w:rPr>
                <w:rFonts w:eastAsia="Calibri"/>
                <w:color w:val="0000FF"/>
                <w:u w:val="single"/>
              </w:rPr>
            </w:pPr>
            <w:proofErr w:type="spellStart"/>
            <w:r w:rsidRPr="00AA6C13">
              <w:rPr>
                <w:lang w:bidi="ar-DZ"/>
              </w:rPr>
              <w:t>Wiesenfarth</w:t>
            </w:r>
            <w:proofErr w:type="spellEnd"/>
            <w:r w:rsidRPr="00AA6C13">
              <w:rPr>
                <w:lang w:bidi="ar-DZ"/>
              </w:rPr>
              <w:t xml:space="preserve">, M., Reinke, A., Landman, B.A., Cardoso, M.J., Maier-Hein, L., Kopp-Schneider, A. (2021). </w:t>
            </w:r>
            <w:r w:rsidRPr="00AA6C13">
              <w:t xml:space="preserve">Methods and open-source toolkit for </w:t>
            </w:r>
            <w:proofErr w:type="spellStart"/>
            <w:r w:rsidRPr="00AA6C13">
              <w:t>analyzing</w:t>
            </w:r>
            <w:proofErr w:type="spellEnd"/>
            <w:r w:rsidRPr="00AA6C13">
              <w:t xml:space="preserve"> and visualizing challenge results.</w:t>
            </w:r>
            <w:r w:rsidR="002E2071" w:rsidRPr="00AA6C13">
              <w:t xml:space="preserve"> </w:t>
            </w:r>
            <w:r w:rsidRPr="00AA6C13">
              <w:rPr>
                <w:rFonts w:eastAsia="Times New Roman"/>
                <w:i/>
                <w:iCs/>
              </w:rPr>
              <w:t xml:space="preserve">Scientific </w:t>
            </w:r>
            <w:r w:rsidR="00E74C7D" w:rsidRPr="00AA6C13">
              <w:rPr>
                <w:rFonts w:eastAsia="Times New Roman"/>
                <w:i/>
                <w:iCs/>
              </w:rPr>
              <w:t>r</w:t>
            </w:r>
            <w:r w:rsidRPr="00AA6C13">
              <w:rPr>
                <w:rFonts w:eastAsia="Times New Roman"/>
                <w:i/>
                <w:iCs/>
              </w:rPr>
              <w:t>eports</w:t>
            </w:r>
            <w:r w:rsidRPr="00AA6C13">
              <w:rPr>
                <w:rFonts w:eastAsia="Times New Roman"/>
              </w:rPr>
              <w:t xml:space="preserve">. </w:t>
            </w:r>
            <w:r w:rsidR="00CF1D54" w:rsidRPr="00AA6C13">
              <w:rPr>
                <w:rFonts w:eastAsia="Times New Roman"/>
              </w:rPr>
              <w:t>[b-</w:t>
            </w:r>
            <w:proofErr w:type="spellStart"/>
            <w:r w:rsidR="00D04A27" w:rsidRPr="00AA6C13">
              <w:rPr>
                <w:rFonts w:eastAsia="Times New Roman"/>
              </w:rPr>
              <w:t>Wiesenfarth</w:t>
            </w:r>
            <w:proofErr w:type="spellEnd"/>
            <w:r w:rsidR="00D04A27" w:rsidRPr="00AA6C13">
              <w:rPr>
                <w:rFonts w:eastAsia="Times New Roman"/>
              </w:rPr>
              <w:t xml:space="preserve"> et al., 2021]. </w:t>
            </w:r>
            <w:r w:rsidRPr="00AA6C13">
              <w:rPr>
                <w:rFonts w:eastAsia="Times New Roman"/>
              </w:rPr>
              <w:t xml:space="preserve">Doi: </w:t>
            </w:r>
            <w:hyperlink r:id="rId63">
              <w:r w:rsidRPr="00AA6C13">
                <w:rPr>
                  <w:rFonts w:eastAsia="Times New Roman"/>
                  <w:color w:val="0000FF"/>
                  <w:u w:val="single"/>
                </w:rPr>
                <w:t>https://doi.org/10.1038/s41598-021-82017-6</w:t>
              </w:r>
            </w:hyperlink>
          </w:p>
        </w:tc>
      </w:tr>
      <w:tr w:rsidR="000F37B9" w:rsidRPr="00AA6C13" w14:paraId="5FF1D306" w14:textId="77777777" w:rsidTr="00DF6BD1">
        <w:trPr>
          <w:jc w:val="center"/>
        </w:trPr>
        <w:tc>
          <w:tcPr>
            <w:tcW w:w="9629" w:type="dxa"/>
          </w:tcPr>
          <w:p w14:paraId="74C1B17B" w14:textId="177083D5" w:rsidR="000F37B9" w:rsidRPr="00AA6C13" w:rsidRDefault="00D53643" w:rsidP="00482D83">
            <w:pPr>
              <w:spacing w:before="0"/>
              <w:rPr>
                <w:i/>
                <w:iCs/>
                <w:lang w:bidi="ar-DZ"/>
              </w:rPr>
            </w:pPr>
            <w:r w:rsidRPr="00AA6C13">
              <w:rPr>
                <w:i/>
                <w:iCs/>
                <w:lang w:bidi="ar-DZ"/>
              </w:rPr>
              <w:t>"</w:t>
            </w:r>
            <w:r w:rsidR="000F37B9" w:rsidRPr="00AA6C13">
              <w:rPr>
                <w:i/>
                <w:iCs/>
                <w:lang w:bidi="ar-DZ"/>
              </w:rPr>
              <w:t xml:space="preserve">The presentation of results in publications is commonly </w:t>
            </w:r>
            <w:r w:rsidR="000F37B9" w:rsidRPr="00AA6C13">
              <w:rPr>
                <w:b/>
                <w:bCs/>
                <w:i/>
                <w:iCs/>
                <w:lang w:bidi="ar-DZ"/>
              </w:rPr>
              <w:t xml:space="preserve">limited to tables and simple visualization of the metric values </w:t>
            </w:r>
            <w:r w:rsidR="000F37B9" w:rsidRPr="00AA6C13">
              <w:rPr>
                <w:i/>
                <w:iCs/>
                <w:lang w:bidi="ar-DZ"/>
              </w:rPr>
              <w:t>for each algorithm. […] crucial</w:t>
            </w:r>
            <w:r w:rsidR="000F37B9" w:rsidRPr="00AA6C13">
              <w:rPr>
                <w:b/>
                <w:bCs/>
                <w:i/>
                <w:iCs/>
                <w:lang w:bidi="ar-DZ"/>
              </w:rPr>
              <w:t xml:space="preserve"> information on the stability of the ranking is not conveyed.</w:t>
            </w:r>
            <w:r w:rsidR="000F37B9" w:rsidRPr="00AA6C13">
              <w:rPr>
                <w:i/>
                <w:iCs/>
                <w:lang w:bidi="ar-DZ"/>
              </w:rPr>
              <w:t>"</w:t>
            </w:r>
          </w:p>
          <w:p w14:paraId="45C2B3CB" w14:textId="77777777" w:rsidR="000F37B9" w:rsidRPr="00AA6C13" w:rsidRDefault="000F37B9" w:rsidP="00482D83">
            <w:pPr>
              <w:spacing w:before="0"/>
              <w:rPr>
                <w:i/>
                <w:iCs/>
                <w:lang w:bidi="ar-DZ"/>
              </w:rPr>
            </w:pPr>
            <w:r w:rsidRPr="00AA6C13">
              <w:rPr>
                <w:i/>
                <w:iCs/>
                <w:lang w:bidi="ar-DZ"/>
              </w:rPr>
              <w:t xml:space="preserve">"[Example:] The </w:t>
            </w:r>
            <w:r w:rsidRPr="00AA6C13">
              <w:rPr>
                <w:b/>
                <w:bCs/>
                <w:i/>
                <w:iCs/>
                <w:lang w:bidi="ar-DZ"/>
              </w:rPr>
              <w:t>rankings</w:t>
            </w:r>
            <w:r w:rsidRPr="00AA6C13">
              <w:rPr>
                <w:i/>
                <w:iCs/>
                <w:lang w:bidi="ar-DZ"/>
              </w:rPr>
              <w:t xml:space="preserve"> of these challenges are </w:t>
            </w:r>
            <w:r w:rsidRPr="00AA6C13">
              <w:rPr>
                <w:b/>
                <w:bCs/>
                <w:i/>
                <w:iCs/>
                <w:lang w:bidi="ar-DZ"/>
              </w:rPr>
              <w:t>identical</w:t>
            </w:r>
            <w:r w:rsidRPr="00AA6C13">
              <w:rPr>
                <w:i/>
                <w:iCs/>
                <w:lang w:bidi="ar-DZ"/>
              </w:rPr>
              <w:t xml:space="preserve">, although the </w:t>
            </w:r>
            <w:r w:rsidRPr="00AA6C13">
              <w:rPr>
                <w:b/>
                <w:bCs/>
                <w:i/>
                <w:iCs/>
                <w:lang w:bidi="ar-DZ"/>
              </w:rPr>
              <w:t>distributions of metric values are radically different</w:t>
            </w:r>
            <w:r w:rsidRPr="00AA6C13">
              <w:rPr>
                <w:i/>
                <w:iCs/>
                <w:lang w:bidi="ar-DZ"/>
              </w:rPr>
              <w:t>."</w:t>
            </w:r>
          </w:p>
          <w:p w14:paraId="5978532D" w14:textId="77777777" w:rsidR="000F37B9" w:rsidRPr="00AA6C13" w:rsidRDefault="000F37B9" w:rsidP="00482D83">
            <w:pPr>
              <w:spacing w:before="0"/>
              <w:rPr>
                <w:i/>
                <w:iCs/>
                <w:lang w:bidi="ar-DZ"/>
              </w:rPr>
            </w:pPr>
            <w:r w:rsidRPr="00AA6C13">
              <w:rPr>
                <w:i/>
                <w:iCs/>
                <w:lang w:bidi="ar-DZ"/>
              </w:rPr>
              <w:t xml:space="preserve">"The purpose of this paper is therefore to propose methodology along with an </w:t>
            </w:r>
            <w:r w:rsidRPr="00AA6C13">
              <w:rPr>
                <w:b/>
                <w:bCs/>
                <w:i/>
                <w:iCs/>
                <w:lang w:bidi="ar-DZ"/>
              </w:rPr>
              <w:t>open-source framework</w:t>
            </w:r>
            <w:r w:rsidRPr="00AA6C13">
              <w:rPr>
                <w:i/>
                <w:iCs/>
                <w:lang w:bidi="ar-DZ"/>
              </w:rPr>
              <w:t xml:space="preserve"> for systematically </w:t>
            </w:r>
            <w:proofErr w:type="spellStart"/>
            <w:r w:rsidRPr="00AA6C13">
              <w:rPr>
                <w:b/>
                <w:bCs/>
                <w:i/>
                <w:iCs/>
                <w:lang w:bidi="ar-DZ"/>
              </w:rPr>
              <w:t>analyzing</w:t>
            </w:r>
            <w:proofErr w:type="spellEnd"/>
            <w:r w:rsidRPr="00AA6C13">
              <w:rPr>
                <w:b/>
                <w:bCs/>
                <w:i/>
                <w:iCs/>
                <w:lang w:bidi="ar-DZ"/>
              </w:rPr>
              <w:t xml:space="preserve"> and visualizing results</w:t>
            </w:r>
            <w:r w:rsidRPr="00AA6C13">
              <w:rPr>
                <w:i/>
                <w:iCs/>
                <w:lang w:bidi="ar-DZ"/>
              </w:rPr>
              <w:t xml:space="preserve"> of challenges. Our work will help challenge organizers and participants </w:t>
            </w:r>
            <w:r w:rsidRPr="00AA6C13">
              <w:rPr>
                <w:b/>
                <w:bCs/>
                <w:i/>
                <w:iCs/>
                <w:lang w:bidi="ar-DZ"/>
              </w:rPr>
              <w:t xml:space="preserve">gain further insights into both the algorithms' performance and the assessment data set </w:t>
            </w:r>
            <w:r w:rsidRPr="00AA6C13">
              <w:rPr>
                <w:i/>
                <w:iCs/>
                <w:lang w:bidi="ar-DZ"/>
              </w:rPr>
              <w:t>itself in an intuitive manner."</w:t>
            </w:r>
          </w:p>
          <w:p w14:paraId="781BDCC8" w14:textId="5C86B950" w:rsidR="000F37B9" w:rsidRPr="00AA6C13" w:rsidRDefault="000F37B9" w:rsidP="00482D83">
            <w:pPr>
              <w:spacing w:before="0"/>
              <w:rPr>
                <w:i/>
                <w:iCs/>
                <w:highlight w:val="yellow"/>
                <w:lang w:bidi="ar-DZ"/>
              </w:rPr>
            </w:pPr>
            <w:r w:rsidRPr="00AA6C13">
              <w:rPr>
                <w:i/>
                <w:iCs/>
                <w:lang w:bidi="ar-DZ"/>
              </w:rPr>
              <w:t xml:space="preserve">"Whereas the methodology and toolkit proposed were designed specifically for the analysis and visualization of challenge data, they may also be </w:t>
            </w:r>
            <w:r w:rsidRPr="00AA6C13">
              <w:rPr>
                <w:b/>
                <w:bCs/>
                <w:i/>
                <w:iCs/>
                <w:lang w:bidi="ar-DZ"/>
              </w:rPr>
              <w:t>applied to presenting the results of validation studies performed in the scope of classical original papers</w:t>
            </w:r>
            <w:r w:rsidRPr="00AA6C13">
              <w:rPr>
                <w:i/>
                <w:iCs/>
                <w:lang w:bidi="ar-DZ"/>
              </w:rPr>
              <w:t xml:space="preserve">. In these papers it has become increasingly common to compare a new methodological contribution with other previously proposed methods. </w:t>
            </w:r>
            <w:r w:rsidRPr="00AA6C13">
              <w:rPr>
                <w:b/>
                <w:bCs/>
                <w:i/>
                <w:iCs/>
                <w:lang w:bidi="ar-DZ"/>
              </w:rPr>
              <w:t>Our methods can be applied to this use case in a straightforward manner</w:t>
            </w:r>
            <w:r w:rsidRPr="00AA6C13">
              <w:rPr>
                <w:i/>
                <w:iCs/>
                <w:lang w:bidi="ar-DZ"/>
              </w:rPr>
              <w:t>.</w:t>
            </w:r>
            <w:r w:rsidR="00D53643" w:rsidRPr="00AA6C13">
              <w:rPr>
                <w:i/>
                <w:iCs/>
                <w:lang w:bidi="ar-DZ"/>
              </w:rPr>
              <w:t>"</w:t>
            </w:r>
          </w:p>
        </w:tc>
      </w:tr>
      <w:tr w:rsidR="000F37B9" w:rsidRPr="00AA6C13" w14:paraId="7F5A6D87" w14:textId="77777777" w:rsidTr="00DF6BD1">
        <w:trPr>
          <w:jc w:val="center"/>
        </w:trPr>
        <w:tc>
          <w:tcPr>
            <w:tcW w:w="9629" w:type="dxa"/>
          </w:tcPr>
          <w:p w14:paraId="5B397C72" w14:textId="77777777" w:rsidR="000F37B9" w:rsidRPr="00AA6C13" w:rsidRDefault="000F37B9" w:rsidP="00752C4E">
            <w:pPr>
              <w:pStyle w:val="Headingb"/>
              <w:rPr>
                <w:lang w:bidi="ar-DZ"/>
              </w:rPr>
            </w:pPr>
            <w:r w:rsidRPr="00AA6C13">
              <w:rPr>
                <w:lang w:bidi="ar-DZ"/>
              </w:rPr>
              <w:t>Comment:</w:t>
            </w:r>
          </w:p>
          <w:p w14:paraId="47681780" w14:textId="70158EC2" w:rsidR="000F37B9" w:rsidRPr="00AA6C13" w:rsidRDefault="00DF6BD1" w:rsidP="00DF6BD1">
            <w:pPr>
              <w:pStyle w:val="enumlev1"/>
              <w:rPr>
                <w:i/>
                <w:iCs/>
                <w:lang w:bidi="ar-DZ"/>
              </w:rPr>
            </w:pPr>
            <w:r w:rsidRPr="00AA6C13">
              <w:rPr>
                <w:lang w:bidi="ar-DZ"/>
              </w:rPr>
              <w:t>–</w:t>
            </w:r>
            <w:r w:rsidRPr="00AA6C13">
              <w:rPr>
                <w:lang w:bidi="ar-DZ"/>
              </w:rPr>
              <w:tab/>
            </w:r>
            <w:r w:rsidR="000F37B9" w:rsidRPr="00AA6C13">
              <w:rPr>
                <w:lang w:bidi="ar-DZ"/>
              </w:rPr>
              <w:t xml:space="preserve">Could be valuable for the benchmarking platform as well </w:t>
            </w:r>
            <w:proofErr w:type="gramStart"/>
            <w:r w:rsidR="000F37B9" w:rsidRPr="00AA6C13">
              <w:rPr>
                <w:lang w:bidi="ar-DZ"/>
              </w:rPr>
              <w:t>in order to</w:t>
            </w:r>
            <w:proofErr w:type="gramEnd"/>
            <w:r w:rsidR="000F37B9" w:rsidRPr="00AA6C13">
              <w:rPr>
                <w:lang w:bidi="ar-DZ"/>
              </w:rPr>
              <w:t xml:space="preserve"> visualize the results.</w:t>
            </w:r>
          </w:p>
        </w:tc>
      </w:tr>
    </w:tbl>
    <w:p w14:paraId="4B28C0B0" w14:textId="77777777" w:rsidR="000F37B9" w:rsidRPr="00AA6C13" w:rsidRDefault="000F37B9" w:rsidP="000F37B9">
      <w:pPr>
        <w:rPr>
          <w:lang w:bidi="ar-DZ"/>
        </w:rPr>
      </w:pPr>
    </w:p>
    <w:tbl>
      <w:tblPr>
        <w:tblStyle w:val="TableGrid"/>
        <w:tblW w:w="9629" w:type="dxa"/>
        <w:jc w:val="center"/>
        <w:tblLook w:val="04A0" w:firstRow="1" w:lastRow="0" w:firstColumn="1" w:lastColumn="0" w:noHBand="0" w:noVBand="1"/>
      </w:tblPr>
      <w:tblGrid>
        <w:gridCol w:w="9629"/>
      </w:tblGrid>
      <w:tr w:rsidR="000F37B9" w:rsidRPr="00AA6C13" w14:paraId="25D27F9E" w14:textId="77777777" w:rsidTr="00DF6BD1">
        <w:trPr>
          <w:jc w:val="center"/>
        </w:trPr>
        <w:tc>
          <w:tcPr>
            <w:tcW w:w="9629" w:type="dxa"/>
            <w:shd w:val="clear" w:color="auto" w:fill="E7E6E6" w:themeFill="background2"/>
          </w:tcPr>
          <w:p w14:paraId="75750876" w14:textId="19F6022C" w:rsidR="000F37B9" w:rsidRPr="00AA6C13" w:rsidRDefault="000F37B9" w:rsidP="00752C4E">
            <w:pPr>
              <w:keepNext/>
              <w:spacing w:before="0"/>
              <w:rPr>
                <w:rFonts w:eastAsia="Times New Roman"/>
                <w:b/>
                <w:bCs/>
              </w:rPr>
            </w:pPr>
            <w:r w:rsidRPr="00AA6C13">
              <w:rPr>
                <w:rFonts w:eastAsia="Times New Roman"/>
                <w:b/>
                <w:bCs/>
              </w:rPr>
              <w:t>Causality matters in medical imaging</w:t>
            </w:r>
            <w:r w:rsidR="00B80813" w:rsidRPr="00AA6C13">
              <w:rPr>
                <w:rFonts w:eastAsia="Times New Roman"/>
                <w:b/>
                <w:bCs/>
              </w:rPr>
              <w:t>.</w:t>
            </w:r>
          </w:p>
        </w:tc>
      </w:tr>
      <w:tr w:rsidR="000F37B9" w:rsidRPr="007E3BD1" w14:paraId="3E11BBF9" w14:textId="77777777" w:rsidTr="00DF6BD1">
        <w:trPr>
          <w:jc w:val="center"/>
        </w:trPr>
        <w:tc>
          <w:tcPr>
            <w:tcW w:w="9629" w:type="dxa"/>
          </w:tcPr>
          <w:p w14:paraId="1776A7D8" w14:textId="3F6CFBE0" w:rsidR="000F37B9" w:rsidRPr="004D4B8A" w:rsidRDefault="000F37B9" w:rsidP="00DF6BD1">
            <w:pPr>
              <w:rPr>
                <w:lang w:val="fr-CH"/>
              </w:rPr>
            </w:pPr>
            <w:r w:rsidRPr="00AA6C13">
              <w:rPr>
                <w:rFonts w:eastAsia="Times New Roman"/>
              </w:rPr>
              <w:t>Castro, D.</w:t>
            </w:r>
            <w:r w:rsidR="00AE23C6" w:rsidRPr="00AA6C13">
              <w:rPr>
                <w:rFonts w:eastAsia="Times New Roman"/>
              </w:rPr>
              <w:t xml:space="preserve"> </w:t>
            </w:r>
            <w:r w:rsidRPr="00AA6C13">
              <w:rPr>
                <w:rFonts w:eastAsia="Times New Roman"/>
              </w:rPr>
              <w:t xml:space="preserve">C., Walker, I. </w:t>
            </w:r>
            <w:r w:rsidR="00195831" w:rsidRPr="00AA6C13">
              <w:rPr>
                <w:rFonts w:eastAsia="Times New Roman"/>
              </w:rPr>
              <w:t>and</w:t>
            </w:r>
            <w:r w:rsidRPr="00AA6C13">
              <w:rPr>
                <w:rFonts w:eastAsia="Times New Roman"/>
              </w:rPr>
              <w:t xml:space="preserve"> Glocker, B. (2020). Causality matters in medical imaging. </w:t>
            </w:r>
            <w:r w:rsidRPr="004D4B8A">
              <w:rPr>
                <w:rFonts w:eastAsia="Times New Roman"/>
                <w:i/>
                <w:iCs/>
                <w:lang w:val="fr-CH"/>
              </w:rPr>
              <w:t>Nat</w:t>
            </w:r>
            <w:r w:rsidR="004E57DD" w:rsidRPr="004D4B8A">
              <w:rPr>
                <w:rFonts w:eastAsia="Times New Roman"/>
                <w:i/>
                <w:iCs/>
                <w:lang w:val="fr-CH"/>
              </w:rPr>
              <w:t>ure</w:t>
            </w:r>
            <w:r w:rsidRPr="004D4B8A">
              <w:rPr>
                <w:rFonts w:eastAsia="Times New Roman"/>
                <w:i/>
                <w:iCs/>
                <w:lang w:val="fr-CH"/>
              </w:rPr>
              <w:t xml:space="preserve"> </w:t>
            </w:r>
            <w:r w:rsidR="005F0424" w:rsidRPr="004D4B8A">
              <w:rPr>
                <w:rFonts w:eastAsia="Times New Roman"/>
                <w:i/>
                <w:iCs/>
                <w:lang w:val="fr-CH"/>
              </w:rPr>
              <w:t>c</w:t>
            </w:r>
            <w:r w:rsidRPr="004D4B8A">
              <w:rPr>
                <w:rFonts w:eastAsia="Times New Roman"/>
                <w:i/>
                <w:iCs/>
                <w:lang w:val="fr-CH"/>
              </w:rPr>
              <w:t>ommun</w:t>
            </w:r>
            <w:r w:rsidR="004E57DD" w:rsidRPr="004D4B8A">
              <w:rPr>
                <w:rFonts w:eastAsia="Times New Roman"/>
                <w:i/>
                <w:iCs/>
                <w:lang w:val="fr-CH"/>
              </w:rPr>
              <w:t>ications</w:t>
            </w:r>
            <w:r w:rsidRPr="004D4B8A">
              <w:rPr>
                <w:rFonts w:eastAsia="Times New Roman"/>
                <w:lang w:val="fr-CH"/>
              </w:rPr>
              <w:t xml:space="preserve"> </w:t>
            </w:r>
            <w:r w:rsidRPr="004D4B8A">
              <w:rPr>
                <w:rFonts w:eastAsia="Times New Roman"/>
                <w:i/>
                <w:iCs/>
                <w:lang w:val="fr-CH"/>
              </w:rPr>
              <w:t>11</w:t>
            </w:r>
            <w:r w:rsidRPr="004D4B8A">
              <w:rPr>
                <w:rFonts w:eastAsia="Times New Roman"/>
                <w:lang w:val="fr-CH"/>
              </w:rPr>
              <w:t>, 3673.</w:t>
            </w:r>
            <w:r w:rsidR="00807AB4" w:rsidRPr="004D4B8A">
              <w:rPr>
                <w:rFonts w:eastAsia="Times New Roman"/>
                <w:lang w:val="fr-CH"/>
              </w:rPr>
              <w:t xml:space="preserve"> [</w:t>
            </w:r>
            <w:proofErr w:type="gramStart"/>
            <w:r w:rsidR="00807AB4" w:rsidRPr="004D4B8A">
              <w:rPr>
                <w:rFonts w:eastAsia="Times New Roman"/>
                <w:lang w:val="fr-CH"/>
              </w:rPr>
              <w:t>b</w:t>
            </w:r>
            <w:proofErr w:type="gramEnd"/>
            <w:r w:rsidR="00807AB4" w:rsidRPr="004D4B8A">
              <w:rPr>
                <w:rFonts w:eastAsia="Times New Roman"/>
                <w:lang w:val="fr-CH"/>
              </w:rPr>
              <w:t>-Castro et al., 2020].</w:t>
            </w:r>
            <w:r w:rsidRPr="004D4B8A">
              <w:rPr>
                <w:rFonts w:eastAsia="Times New Roman"/>
                <w:lang w:val="fr-CH"/>
              </w:rPr>
              <w:t xml:space="preserve"> </w:t>
            </w:r>
            <w:hyperlink r:id="rId64">
              <w:r w:rsidRPr="004D4B8A">
                <w:rPr>
                  <w:rFonts w:eastAsia="Times New Roman"/>
                  <w:color w:val="0000FF"/>
                  <w:u w:val="single"/>
                  <w:lang w:val="fr-CH"/>
                </w:rPr>
                <w:t>https://doi.org/10.1038/s41467-020-17478-w</w:t>
              </w:r>
            </w:hyperlink>
            <w:r w:rsidRPr="004D4B8A">
              <w:rPr>
                <w:rFonts w:eastAsia="Times New Roman"/>
                <w:lang w:val="fr-CH"/>
              </w:rPr>
              <w:t xml:space="preserve"> </w:t>
            </w:r>
          </w:p>
        </w:tc>
      </w:tr>
      <w:tr w:rsidR="000F37B9" w:rsidRPr="00AA6C13" w14:paraId="60E9FE78" w14:textId="77777777" w:rsidTr="00DF6BD1">
        <w:trPr>
          <w:jc w:val="center"/>
        </w:trPr>
        <w:tc>
          <w:tcPr>
            <w:tcW w:w="9629" w:type="dxa"/>
          </w:tcPr>
          <w:p w14:paraId="05657D29" w14:textId="77777777" w:rsidR="002E2071" w:rsidRPr="00AA6C13" w:rsidRDefault="00D53643" w:rsidP="00482D83">
            <w:pPr>
              <w:rPr>
                <w:i/>
                <w:iCs/>
                <w:lang w:bidi="ar-DZ"/>
              </w:rPr>
            </w:pPr>
            <w:r w:rsidRPr="00AA6C13">
              <w:rPr>
                <w:i/>
                <w:iCs/>
                <w:lang w:bidi="ar-DZ"/>
              </w:rPr>
              <w:t>"</w:t>
            </w:r>
            <w:r w:rsidR="000F37B9" w:rsidRPr="00AA6C13">
              <w:rPr>
                <w:i/>
                <w:iCs/>
                <w:lang w:bidi="ar-DZ"/>
              </w:rPr>
              <w:t xml:space="preserve">Causal reasoning can shed new light on the major challenges in machine learning for medical imaging: scarcity of high-quality annotated data and </w:t>
            </w:r>
            <w:r w:rsidR="000F37B9" w:rsidRPr="00AA6C13">
              <w:rPr>
                <w:b/>
                <w:bCs/>
                <w:i/>
                <w:iCs/>
                <w:lang w:bidi="ar-DZ"/>
              </w:rPr>
              <w:t>mismatch between the development dataset and the target environment</w:t>
            </w:r>
            <w:r w:rsidR="000F37B9" w:rsidRPr="00AA6C13">
              <w:rPr>
                <w:i/>
                <w:iCs/>
                <w:lang w:bidi="ar-DZ"/>
              </w:rPr>
              <w:t xml:space="preserve">. A causal perspective on these issues allows decisions about data collection, annotation, preprocessing, and learning strategies to be made and scrutinized more </w:t>
            </w:r>
            <w:r w:rsidR="000F37B9" w:rsidRPr="00AA6C13">
              <w:rPr>
                <w:i/>
                <w:iCs/>
                <w:lang w:bidi="ar-DZ"/>
              </w:rPr>
              <w:lastRenderedPageBreak/>
              <w:t xml:space="preserve">transparently, while providing a detailed categorisation of potential biases and mitigation techniques. Along with worked clinical examples, we highlight the importance of establishing the causal relationship between images and their </w:t>
            </w:r>
            <w:proofErr w:type="gramStart"/>
            <w:r w:rsidR="000F37B9" w:rsidRPr="00AA6C13">
              <w:rPr>
                <w:i/>
                <w:iCs/>
                <w:lang w:bidi="ar-DZ"/>
              </w:rPr>
              <w:t>annotations, and</w:t>
            </w:r>
            <w:proofErr w:type="gramEnd"/>
            <w:r w:rsidR="000F37B9" w:rsidRPr="00AA6C13">
              <w:rPr>
                <w:i/>
                <w:iCs/>
                <w:lang w:bidi="ar-DZ"/>
              </w:rPr>
              <w:t xml:space="preserve"> offer step-by-step recommendations for future studies.</w:t>
            </w:r>
          </w:p>
          <w:p w14:paraId="433B304E" w14:textId="6D7039C7" w:rsidR="000F37B9" w:rsidRPr="00AA6C13" w:rsidRDefault="000F37B9" w:rsidP="00482D83">
            <w:pPr>
              <w:rPr>
                <w:rFonts w:eastAsia="Times New Roman"/>
                <w:i/>
                <w:iCs/>
              </w:rPr>
            </w:pPr>
            <w:r w:rsidRPr="00AA6C13">
              <w:rPr>
                <w:rFonts w:eastAsia="Times New Roman"/>
                <w:i/>
                <w:iCs/>
              </w:rPr>
              <w:t xml:space="preserve">(...) Importantly, the </w:t>
            </w:r>
            <w:r w:rsidRPr="00AA6C13">
              <w:rPr>
                <w:rFonts w:eastAsia="Times New Roman"/>
                <w:b/>
                <w:bCs/>
                <w:i/>
                <w:iCs/>
              </w:rPr>
              <w:t>assumption that the performance of a trained model on the development test set is representative of the performance on new clinical data after deployment in varying environments is often violated due to differences in data characteristics</w:t>
            </w:r>
            <w:r w:rsidRPr="00AA6C13">
              <w:rPr>
                <w:rFonts w:eastAsia="Times New Roman"/>
                <w:i/>
                <w:iCs/>
              </w:rPr>
              <w:t xml:space="preserve">, as discussed earlier. It is therefore </w:t>
            </w:r>
            <w:proofErr w:type="gramStart"/>
            <w:r w:rsidRPr="00AA6C13">
              <w:rPr>
                <w:rFonts w:eastAsia="Times New Roman"/>
                <w:i/>
                <w:iCs/>
              </w:rPr>
              <w:t>absolutely critical</w:t>
            </w:r>
            <w:proofErr w:type="gramEnd"/>
            <w:r w:rsidRPr="00AA6C13">
              <w:rPr>
                <w:rFonts w:eastAsia="Times New Roman"/>
                <w:i/>
                <w:iCs/>
              </w:rPr>
              <w:t xml:space="preserve"> to be able to clearly formalise and communicate the underlying assumptions regarding the data-generating processes in the lab and real-world environments, which in turn can help anticipate and mitigate failure modes of the predictive system.</w:t>
            </w:r>
          </w:p>
          <w:p w14:paraId="50B8E9B1" w14:textId="471EA589" w:rsidR="000F37B9" w:rsidRPr="00AA6C13" w:rsidRDefault="000F37B9" w:rsidP="00482D83">
            <w:pPr>
              <w:rPr>
                <w:rFonts w:eastAsia="Times New Roman"/>
                <w:i/>
                <w:iCs/>
              </w:rPr>
            </w:pPr>
            <w:r w:rsidRPr="00AA6C13">
              <w:rPr>
                <w:rFonts w:eastAsia="Times New Roman"/>
                <w:i/>
                <w:iCs/>
              </w:rPr>
              <w:t xml:space="preserve">(...) </w:t>
            </w:r>
            <w:r w:rsidRPr="00AA6C13">
              <w:rPr>
                <w:rFonts w:eastAsia="Times New Roman"/>
                <w:b/>
                <w:bCs/>
                <w:i/>
                <w:iCs/>
              </w:rPr>
              <w:t>The recurrent issue of mismatch between data distributions, typically between training and test sets or development and deployment environments, tends to hurt the generalisability of learned models</w:t>
            </w:r>
            <w:r w:rsidRPr="00AA6C13">
              <w:rPr>
                <w:rFonts w:eastAsia="Times New Roman"/>
                <w:i/>
                <w:iCs/>
              </w:rPr>
              <w:t xml:space="preserve">. In the generic case when no assumptions can be made about the nature of these differences, any form of learning from the training set is arguably pointless, as the test-time performance can be arbitrarily poor. Nonetheless, causal reasoning enables us to recognise special situations in which direct generalisation is possible, and to devise principled strategies to mitigate estimation biases. </w:t>
            </w:r>
            <w:proofErr w:type="gramStart"/>
            <w:r w:rsidRPr="00AA6C13">
              <w:rPr>
                <w:rFonts w:eastAsia="Times New Roman"/>
                <w:i/>
                <w:iCs/>
              </w:rPr>
              <w:t>In particular, two</w:t>
            </w:r>
            <w:proofErr w:type="gramEnd"/>
            <w:r w:rsidRPr="00AA6C13">
              <w:rPr>
                <w:rFonts w:eastAsia="Times New Roman"/>
                <w:i/>
                <w:iCs/>
              </w:rPr>
              <w:t xml:space="preserve"> distinct mechanisms of distributional mismatch can be identified: </w:t>
            </w:r>
            <w:r w:rsidRPr="00AA6C13">
              <w:rPr>
                <w:rFonts w:eastAsia="Times New Roman"/>
                <w:b/>
                <w:bCs/>
                <w:i/>
                <w:iCs/>
              </w:rPr>
              <w:t>dataset shift</w:t>
            </w:r>
            <w:r w:rsidRPr="00AA6C13">
              <w:rPr>
                <w:rFonts w:eastAsia="Times New Roman"/>
                <w:i/>
                <w:iCs/>
              </w:rPr>
              <w:t xml:space="preserve"> and </w:t>
            </w:r>
            <w:r w:rsidRPr="00AA6C13">
              <w:rPr>
                <w:rFonts w:eastAsia="Times New Roman"/>
                <w:b/>
                <w:bCs/>
                <w:i/>
                <w:iCs/>
              </w:rPr>
              <w:t>sample selection bias</w:t>
            </w:r>
            <w:r w:rsidRPr="00AA6C13">
              <w:rPr>
                <w:rFonts w:eastAsia="Times New Roman"/>
                <w:i/>
                <w:iCs/>
              </w:rPr>
              <w:t>. Learning about their differences is helpful for diagnosing when such situations arise in practice.</w:t>
            </w:r>
            <w:r w:rsidR="00D53643" w:rsidRPr="00AA6C13">
              <w:rPr>
                <w:rFonts w:eastAsia="Times New Roman"/>
                <w:i/>
                <w:iCs/>
              </w:rPr>
              <w:t>"</w:t>
            </w:r>
          </w:p>
        </w:tc>
      </w:tr>
      <w:tr w:rsidR="000F37B9" w:rsidRPr="00AA6C13" w14:paraId="55E79342" w14:textId="77777777" w:rsidTr="00DF6BD1">
        <w:trPr>
          <w:jc w:val="center"/>
        </w:trPr>
        <w:tc>
          <w:tcPr>
            <w:tcW w:w="9629" w:type="dxa"/>
          </w:tcPr>
          <w:p w14:paraId="0BD43343" w14:textId="77777777" w:rsidR="000F37B9" w:rsidRPr="00AA6C13" w:rsidRDefault="000F37B9" w:rsidP="00752C4E">
            <w:pPr>
              <w:pStyle w:val="Headingb"/>
              <w:rPr>
                <w:lang w:bidi="ar-DZ"/>
              </w:rPr>
            </w:pPr>
            <w:r w:rsidRPr="00AA6C13">
              <w:rPr>
                <w:lang w:bidi="ar-DZ"/>
              </w:rPr>
              <w:lastRenderedPageBreak/>
              <w:t>Comment:</w:t>
            </w:r>
          </w:p>
          <w:p w14:paraId="66BF59DE" w14:textId="06129EB8" w:rsidR="000F37B9" w:rsidRPr="00AA6C13" w:rsidRDefault="00DF6BD1" w:rsidP="00DF6BD1">
            <w:pPr>
              <w:pStyle w:val="enumlev1"/>
              <w:rPr>
                <w:rFonts w:eastAsia="Times New Roman"/>
                <w:i/>
                <w:iCs/>
                <w:lang w:bidi="ar-DZ"/>
              </w:rPr>
            </w:pPr>
            <w:r w:rsidRPr="00AA6C13">
              <w:rPr>
                <w:lang w:bidi="ar-DZ"/>
              </w:rPr>
              <w:t>–</w:t>
            </w:r>
            <w:r w:rsidRPr="00AA6C13">
              <w:rPr>
                <w:lang w:bidi="ar-DZ"/>
              </w:rPr>
              <w:tab/>
            </w:r>
            <w:r w:rsidR="000F37B9" w:rsidRPr="00AA6C13">
              <w:rPr>
                <w:lang w:bidi="ar-DZ"/>
              </w:rPr>
              <w:t xml:space="preserve">From a causality point of view, the authors analyse the relationship between images and annotations as well as the generalisation from training data to test data, which is of paramount importance for the design of the benchmarking procedure discussed in this deliverable </w:t>
            </w:r>
            <w:r w:rsidR="00207F5B" w:rsidRPr="00AA6C13">
              <w:rPr>
                <w:lang w:bidi="ar-DZ"/>
              </w:rPr>
              <w:t>[</w:t>
            </w:r>
            <w:r w:rsidR="000F37B9" w:rsidRPr="00AA6C13">
              <w:rPr>
                <w:lang w:bidi="ar-DZ"/>
              </w:rPr>
              <w:t>DEL07</w:t>
            </w:r>
            <w:r w:rsidR="00207F5B" w:rsidRPr="00AA6C13">
              <w:rPr>
                <w:lang w:bidi="ar-DZ"/>
              </w:rPr>
              <w:t>]</w:t>
            </w:r>
            <w:r w:rsidR="000F37B9" w:rsidRPr="00AA6C13">
              <w:rPr>
                <w:lang w:bidi="ar-DZ"/>
              </w:rPr>
              <w:t>.</w:t>
            </w:r>
          </w:p>
        </w:tc>
      </w:tr>
    </w:tbl>
    <w:p w14:paraId="30091D40"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5857FB03" w14:textId="77777777" w:rsidTr="00DF6BD1">
        <w:trPr>
          <w:jc w:val="center"/>
        </w:trPr>
        <w:tc>
          <w:tcPr>
            <w:tcW w:w="9630" w:type="dxa"/>
            <w:shd w:val="clear" w:color="auto" w:fill="E7E6E6" w:themeFill="background2"/>
          </w:tcPr>
          <w:p w14:paraId="68B3E4A8" w14:textId="6EF73292" w:rsidR="000F37B9" w:rsidRPr="00AA6C13" w:rsidRDefault="000F37B9" w:rsidP="00482D83">
            <w:pPr>
              <w:rPr>
                <w:b/>
                <w:bCs/>
              </w:rPr>
            </w:pPr>
            <w:r w:rsidRPr="00AA6C13">
              <w:rPr>
                <w:b/>
                <w:bCs/>
              </w:rPr>
              <w:t>MINIMAR (</w:t>
            </w:r>
            <w:proofErr w:type="spellStart"/>
            <w:r w:rsidRPr="00AA6C13">
              <w:rPr>
                <w:b/>
                <w:bCs/>
              </w:rPr>
              <w:t>MINimum</w:t>
            </w:r>
            <w:proofErr w:type="spellEnd"/>
            <w:r w:rsidRPr="00AA6C13">
              <w:rPr>
                <w:b/>
                <w:bCs/>
              </w:rPr>
              <w:t xml:space="preserve"> </w:t>
            </w:r>
            <w:r w:rsidR="006D79B5" w:rsidRPr="00AA6C13">
              <w:rPr>
                <w:b/>
                <w:bCs/>
              </w:rPr>
              <w:t>i</w:t>
            </w:r>
            <w:r w:rsidRPr="00AA6C13">
              <w:rPr>
                <w:b/>
                <w:bCs/>
              </w:rPr>
              <w:t xml:space="preserve">nformation for </w:t>
            </w:r>
            <w:r w:rsidR="00092610" w:rsidRPr="00AA6C13">
              <w:rPr>
                <w:b/>
                <w:bCs/>
              </w:rPr>
              <w:t>m</w:t>
            </w:r>
            <w:r w:rsidRPr="00AA6C13">
              <w:rPr>
                <w:b/>
                <w:bCs/>
              </w:rPr>
              <w:t xml:space="preserve">edical AI </w:t>
            </w:r>
            <w:r w:rsidR="00092610" w:rsidRPr="00AA6C13">
              <w:rPr>
                <w:b/>
                <w:bCs/>
              </w:rPr>
              <w:t>r</w:t>
            </w:r>
            <w:r w:rsidRPr="00AA6C13">
              <w:rPr>
                <w:b/>
                <w:bCs/>
              </w:rPr>
              <w:t>eporting)</w:t>
            </w:r>
            <w:r w:rsidR="005F640D" w:rsidRPr="00AA6C13">
              <w:rPr>
                <w:b/>
                <w:bCs/>
              </w:rPr>
              <w:t>.</w:t>
            </w:r>
          </w:p>
        </w:tc>
      </w:tr>
      <w:tr w:rsidR="000F37B9" w:rsidRPr="00AA6C13" w14:paraId="02C67C10" w14:textId="77777777" w:rsidTr="00DF6BD1">
        <w:trPr>
          <w:jc w:val="center"/>
        </w:trPr>
        <w:tc>
          <w:tcPr>
            <w:tcW w:w="9630" w:type="dxa"/>
          </w:tcPr>
          <w:p w14:paraId="42459734" w14:textId="2BB2B5DD" w:rsidR="000F37B9" w:rsidRPr="00AA6C13" w:rsidRDefault="000F37B9" w:rsidP="00482D83">
            <w:r w:rsidRPr="00AA6C13">
              <w:t>Hernandez-</w:t>
            </w:r>
            <w:proofErr w:type="spellStart"/>
            <w:r w:rsidRPr="00AA6C13">
              <w:t>Boussard</w:t>
            </w:r>
            <w:proofErr w:type="spellEnd"/>
            <w:r w:rsidRPr="00AA6C13">
              <w:t>, T., Bozkurt, S., Ioannidis, J. P.</w:t>
            </w:r>
            <w:r w:rsidR="00EF64DC" w:rsidRPr="00AA6C13">
              <w:t xml:space="preserve"> A.</w:t>
            </w:r>
            <w:r w:rsidRPr="00AA6C13">
              <w:t>, &amp; Shah, N. H. (2020). MINIMAR (</w:t>
            </w:r>
            <w:proofErr w:type="spellStart"/>
            <w:r w:rsidRPr="00AA6C13">
              <w:t>MINimum</w:t>
            </w:r>
            <w:proofErr w:type="spellEnd"/>
            <w:r w:rsidRPr="00AA6C13">
              <w:t xml:space="preserve"> Information for Medical AI Reporting): Developing reporting standards for artificial intelligence in health care. Journal of the American Medical Informatics Association, 27(12). </w:t>
            </w:r>
            <w:r w:rsidR="00FC078F" w:rsidRPr="00AA6C13">
              <w:t>[b-Hernandez-B</w:t>
            </w:r>
            <w:r w:rsidR="00BD28F9" w:rsidRPr="00AA6C13">
              <w:t>.</w:t>
            </w:r>
            <w:r w:rsidR="00FC078F" w:rsidRPr="00AA6C13">
              <w:t xml:space="preserve"> et at., 2020]. </w:t>
            </w:r>
            <w:hyperlink r:id="rId65" w:history="1">
              <w:r w:rsidR="00E61E05" w:rsidRPr="00AA6C13">
                <w:rPr>
                  <w:rStyle w:val="Hyperlink"/>
                </w:rPr>
                <w:t>https://doi.org/10.1093/jamia/ocaa088</w:t>
              </w:r>
            </w:hyperlink>
            <w:r w:rsidRPr="00AA6C13">
              <w:t xml:space="preserve"> </w:t>
            </w:r>
          </w:p>
        </w:tc>
      </w:tr>
      <w:tr w:rsidR="000F37B9" w:rsidRPr="00AA6C13" w14:paraId="5D501295" w14:textId="77777777" w:rsidTr="00DF6BD1">
        <w:trPr>
          <w:jc w:val="center"/>
        </w:trPr>
        <w:tc>
          <w:tcPr>
            <w:tcW w:w="9630" w:type="dxa"/>
          </w:tcPr>
          <w:p w14:paraId="139220F2" w14:textId="7F3CDD4D" w:rsidR="000F37B9" w:rsidRPr="00AA6C13" w:rsidRDefault="00D53643" w:rsidP="00482D83">
            <w:pPr>
              <w:rPr>
                <w:i/>
                <w:iCs/>
              </w:rPr>
            </w:pPr>
            <w:r w:rsidRPr="00AA6C13">
              <w:rPr>
                <w:i/>
                <w:iCs/>
              </w:rPr>
              <w:t>"</w:t>
            </w:r>
            <w:r w:rsidR="000F37B9" w:rsidRPr="00AA6C13">
              <w:rPr>
                <w:i/>
                <w:iCs/>
              </w:rPr>
              <w:t>[...] describing the minimum information necessary to understand intended predictions, target populations, and hidden biases, and the ability to generalize these emerging technologies. We call for a standard to accurately and responsibly report on AI in health care. This will facilitate the design and implementation of these models and promote the development and use of associated clinical decision support tools, as well as manage concerns regarding accuracy and bias.</w:t>
            </w:r>
            <w:r w:rsidRPr="00AA6C13">
              <w:rPr>
                <w:i/>
                <w:iCs/>
              </w:rPr>
              <w:t>"</w:t>
            </w:r>
          </w:p>
          <w:p w14:paraId="6806A10E" w14:textId="51A2A920" w:rsidR="000F37B9" w:rsidRPr="00AA6C13" w:rsidRDefault="00D53643" w:rsidP="00482D83">
            <w:pPr>
              <w:rPr>
                <w:i/>
                <w:iCs/>
              </w:rPr>
            </w:pPr>
            <w:r w:rsidRPr="00AA6C13">
              <w:rPr>
                <w:i/>
                <w:iCs/>
              </w:rPr>
              <w:t>"</w:t>
            </w:r>
            <w:r w:rsidR="000F37B9" w:rsidRPr="00AA6C13">
              <w:rPr>
                <w:i/>
                <w:iCs/>
              </w:rPr>
              <w:t>MINIMAR will also promote external validation, encouraging the use of secondary resources.</w:t>
            </w:r>
            <w:r w:rsidRPr="00AA6C13">
              <w:rPr>
                <w:i/>
                <w:iCs/>
              </w:rPr>
              <w:t>"</w:t>
            </w:r>
          </w:p>
          <w:p w14:paraId="615D8F51" w14:textId="58C5C344" w:rsidR="000F37B9" w:rsidRPr="00AA6C13" w:rsidRDefault="00D53643" w:rsidP="00482D83">
            <w:pPr>
              <w:rPr>
                <w:i/>
                <w:iCs/>
              </w:rPr>
            </w:pPr>
            <w:r w:rsidRPr="00AA6C13">
              <w:rPr>
                <w:i/>
                <w:iCs/>
              </w:rPr>
              <w:t>"</w:t>
            </w:r>
            <w:r w:rsidR="000F37B9" w:rsidRPr="00AA6C13">
              <w:rPr>
                <w:i/>
                <w:iCs/>
              </w:rPr>
              <w:t xml:space="preserve">Model evaluation strategies should be defined in detail, in terms of data used for both internal and external validation as well as the adopted approach adopted for evaluation (e.g., 5-fold cross-validation or 80/20 split). The choice of validation metrics, such as sensitivity, specificity, positive predictive value, or area under the receiver-operating characteristic curve, also needs to be defined. [...] Finally, as part of model evaluation, transparency is necessary for broad AI application in health care </w:t>
            </w:r>
            <w:proofErr w:type="gramStart"/>
            <w:r w:rsidR="000F37B9" w:rsidRPr="00AA6C13">
              <w:rPr>
                <w:i/>
                <w:iCs/>
              </w:rPr>
              <w:t>in order to</w:t>
            </w:r>
            <w:proofErr w:type="gramEnd"/>
            <w:r w:rsidR="000F37B9" w:rsidRPr="00AA6C13">
              <w:rPr>
                <w:i/>
                <w:iCs/>
              </w:rPr>
              <w:t xml:space="preserve"> achieve and retain confidence and trust from all the stakeholders. Indeed, recent studies show an alarming difficulty in reproducing models developed in research studies and suggest that even if the training data cannot be shared due to privacy issues, the source code of the model should be shared publicly.26 Therefore, in order to demonstrate the provenance and authenticity of the data and knowledge used to make decisions by AI models, promoting access to training data and source code is crucial to ensure that ML in biomedicine can </w:t>
            </w:r>
            <w:r w:rsidR="000F37B9" w:rsidRPr="00AA6C13">
              <w:rPr>
                <w:i/>
                <w:iCs/>
              </w:rPr>
              <w:lastRenderedPageBreak/>
              <w:t>be broadly applied and generalized. This is essential not only for choosing the best model for the given setting, but also for the unbiased comparison of different models or different settings.</w:t>
            </w:r>
            <w:r w:rsidRPr="00AA6C13">
              <w:rPr>
                <w:i/>
                <w:iCs/>
              </w:rPr>
              <w:t>"</w:t>
            </w:r>
          </w:p>
        </w:tc>
      </w:tr>
    </w:tbl>
    <w:p w14:paraId="3B0589CC" w14:textId="77777777" w:rsidR="000F37B9" w:rsidRPr="00AA6C13" w:rsidRDefault="000F37B9" w:rsidP="00DF6BD1"/>
    <w:tbl>
      <w:tblPr>
        <w:tblStyle w:val="TableGrid"/>
        <w:tblW w:w="9630" w:type="dxa"/>
        <w:jc w:val="center"/>
        <w:tblLook w:val="06A0" w:firstRow="1" w:lastRow="0" w:firstColumn="1" w:lastColumn="0" w:noHBand="1" w:noVBand="1"/>
      </w:tblPr>
      <w:tblGrid>
        <w:gridCol w:w="9630"/>
      </w:tblGrid>
      <w:tr w:rsidR="000F37B9" w:rsidRPr="00AA6C13" w14:paraId="0E00C6DA" w14:textId="77777777" w:rsidTr="00DF6BD1">
        <w:trPr>
          <w:jc w:val="center"/>
        </w:trPr>
        <w:tc>
          <w:tcPr>
            <w:tcW w:w="9630" w:type="dxa"/>
            <w:shd w:val="clear" w:color="auto" w:fill="E7E6E6" w:themeFill="background2"/>
          </w:tcPr>
          <w:p w14:paraId="5E84215D" w14:textId="2A7DE5E9" w:rsidR="000F37B9" w:rsidRPr="00AA6C13" w:rsidRDefault="000F37B9" w:rsidP="00DF6BD1">
            <w:pPr>
              <w:keepNext/>
              <w:keepLines/>
              <w:rPr>
                <w:b/>
                <w:bCs/>
              </w:rPr>
            </w:pPr>
            <w:r w:rsidRPr="00AA6C13">
              <w:rPr>
                <w:b/>
                <w:bCs/>
              </w:rPr>
              <w:t xml:space="preserve">Minimum information about clinical artificial intelligence </w:t>
            </w:r>
            <w:proofErr w:type="spellStart"/>
            <w:r w:rsidRPr="00AA6C13">
              <w:rPr>
                <w:b/>
                <w:bCs/>
              </w:rPr>
              <w:t>modeling</w:t>
            </w:r>
            <w:proofErr w:type="spellEnd"/>
            <w:r w:rsidRPr="00AA6C13">
              <w:rPr>
                <w:b/>
                <w:bCs/>
              </w:rPr>
              <w:t>: the MI-CLAIM checklist</w:t>
            </w:r>
            <w:r w:rsidR="00BA62DD" w:rsidRPr="00AA6C13">
              <w:rPr>
                <w:b/>
                <w:bCs/>
              </w:rPr>
              <w:t>.</w:t>
            </w:r>
          </w:p>
        </w:tc>
      </w:tr>
      <w:tr w:rsidR="000F37B9" w:rsidRPr="00AA6C13" w14:paraId="0347DE2D" w14:textId="77777777" w:rsidTr="00DF6BD1">
        <w:trPr>
          <w:jc w:val="center"/>
        </w:trPr>
        <w:tc>
          <w:tcPr>
            <w:tcW w:w="9630" w:type="dxa"/>
          </w:tcPr>
          <w:p w14:paraId="4ED95969" w14:textId="5A8628FC" w:rsidR="000F37B9" w:rsidRPr="00AA6C13" w:rsidRDefault="000F37B9" w:rsidP="00DF6BD1">
            <w:pPr>
              <w:keepNext/>
              <w:keepLines/>
            </w:pPr>
            <w:proofErr w:type="spellStart"/>
            <w:r w:rsidRPr="004D4B8A">
              <w:rPr>
                <w:lang w:val="fr-CH"/>
              </w:rPr>
              <w:t>Norgeot</w:t>
            </w:r>
            <w:proofErr w:type="spellEnd"/>
            <w:r w:rsidRPr="004D4B8A">
              <w:rPr>
                <w:lang w:val="fr-CH"/>
              </w:rPr>
              <w:t xml:space="preserve">, B., </w:t>
            </w:r>
            <w:proofErr w:type="spellStart"/>
            <w:r w:rsidRPr="004D4B8A">
              <w:rPr>
                <w:lang w:val="fr-CH"/>
              </w:rPr>
              <w:t>Quer</w:t>
            </w:r>
            <w:proofErr w:type="spellEnd"/>
            <w:r w:rsidRPr="004D4B8A">
              <w:rPr>
                <w:lang w:val="fr-CH"/>
              </w:rPr>
              <w:t xml:space="preserve">, G., Beaulieu-Jones, B. K., </w:t>
            </w:r>
            <w:proofErr w:type="spellStart"/>
            <w:r w:rsidRPr="004D4B8A">
              <w:rPr>
                <w:lang w:val="fr-CH"/>
              </w:rPr>
              <w:t>Torkamani</w:t>
            </w:r>
            <w:proofErr w:type="spellEnd"/>
            <w:r w:rsidRPr="004D4B8A">
              <w:rPr>
                <w:lang w:val="fr-CH"/>
              </w:rPr>
              <w:t xml:space="preserve">, A., Dias, R., </w:t>
            </w:r>
            <w:proofErr w:type="spellStart"/>
            <w:r w:rsidRPr="004D4B8A">
              <w:rPr>
                <w:lang w:val="fr-CH"/>
              </w:rPr>
              <w:t>Gianfrancesco</w:t>
            </w:r>
            <w:proofErr w:type="spellEnd"/>
            <w:r w:rsidRPr="004D4B8A">
              <w:rPr>
                <w:lang w:val="fr-CH"/>
              </w:rPr>
              <w:t xml:space="preserve">, M., ... </w:t>
            </w:r>
            <w:r w:rsidRPr="00AA6C13">
              <w:t xml:space="preserve">&amp; Obermeyer, Z. (2020). Minimum information about clinical artificial intelligence </w:t>
            </w:r>
            <w:proofErr w:type="spellStart"/>
            <w:r w:rsidRPr="00AA6C13">
              <w:t>modeling</w:t>
            </w:r>
            <w:proofErr w:type="spellEnd"/>
            <w:r w:rsidRPr="00AA6C13">
              <w:t xml:space="preserve">: the MI-CLAIM checklist. </w:t>
            </w:r>
            <w:r w:rsidRPr="00AA6C13">
              <w:rPr>
                <w:i/>
              </w:rPr>
              <w:t>Nature medicine</w:t>
            </w:r>
            <w:r w:rsidRPr="00AA6C13">
              <w:t xml:space="preserve">, </w:t>
            </w:r>
            <w:r w:rsidRPr="00AA6C13">
              <w:rPr>
                <w:b/>
              </w:rPr>
              <w:t>26</w:t>
            </w:r>
            <w:r w:rsidRPr="00AA6C13">
              <w:t xml:space="preserve">(9), 1320-1324. </w:t>
            </w:r>
            <w:r w:rsidR="005C7FEA" w:rsidRPr="00AA6C13">
              <w:t>[b-</w:t>
            </w:r>
            <w:proofErr w:type="spellStart"/>
            <w:r w:rsidR="005C7FEA" w:rsidRPr="00AA6C13">
              <w:t>Norgeot</w:t>
            </w:r>
            <w:proofErr w:type="spellEnd"/>
            <w:r w:rsidR="005C7FEA" w:rsidRPr="00AA6C13">
              <w:t xml:space="preserve">]. </w:t>
            </w:r>
            <w:hyperlink r:id="rId66" w:history="1">
              <w:r w:rsidR="000B4943" w:rsidRPr="00AA6C13">
                <w:rPr>
                  <w:rStyle w:val="Hyperlink"/>
                </w:rPr>
                <w:t>https://www.nature.com/articles/s41591-020-1041-y</w:t>
              </w:r>
            </w:hyperlink>
          </w:p>
        </w:tc>
      </w:tr>
      <w:tr w:rsidR="000F37B9" w:rsidRPr="00AA6C13" w14:paraId="16C35D6F" w14:textId="77777777" w:rsidTr="00DF6BD1">
        <w:trPr>
          <w:jc w:val="center"/>
        </w:trPr>
        <w:tc>
          <w:tcPr>
            <w:tcW w:w="9630" w:type="dxa"/>
          </w:tcPr>
          <w:p w14:paraId="77230D55" w14:textId="136992EF" w:rsidR="000F37B9" w:rsidRPr="00AA6C13" w:rsidRDefault="00D53643" w:rsidP="00482D83">
            <w:pPr>
              <w:rPr>
                <w:i/>
                <w:iCs/>
              </w:rPr>
            </w:pPr>
            <w:r w:rsidRPr="00AA6C13">
              <w:rPr>
                <w:i/>
              </w:rPr>
              <w:t>"</w:t>
            </w:r>
            <w:r w:rsidR="000F37B9" w:rsidRPr="00AA6C13">
              <w:rPr>
                <w:i/>
              </w:rPr>
              <w:t>MI-CLAIM checklist, a tool intended to improve transparent reporting of AI algorithms in medicine.</w:t>
            </w:r>
            <w:r w:rsidRPr="00AA6C13">
              <w:rPr>
                <w:i/>
              </w:rPr>
              <w:t>"</w:t>
            </w:r>
          </w:p>
        </w:tc>
      </w:tr>
    </w:tbl>
    <w:p w14:paraId="3B3245A0"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0064D3E2" w14:textId="77777777" w:rsidTr="00DF6BD1">
        <w:trPr>
          <w:jc w:val="center"/>
        </w:trPr>
        <w:tc>
          <w:tcPr>
            <w:tcW w:w="9630" w:type="dxa"/>
            <w:shd w:val="clear" w:color="auto" w:fill="E7E6E6" w:themeFill="background2"/>
          </w:tcPr>
          <w:p w14:paraId="12A5DEE6" w14:textId="4B9C4C01" w:rsidR="000F37B9" w:rsidRPr="00AA6C13" w:rsidRDefault="000F37B9" w:rsidP="00482D83">
            <w:pPr>
              <w:rPr>
                <w:b/>
              </w:rPr>
            </w:pPr>
            <w:r w:rsidRPr="00AA6C13">
              <w:rPr>
                <w:b/>
              </w:rPr>
              <w:t xml:space="preserve">Checklist for </w:t>
            </w:r>
            <w:r w:rsidR="009C7F88" w:rsidRPr="00AA6C13">
              <w:rPr>
                <w:b/>
              </w:rPr>
              <w:t>a</w:t>
            </w:r>
            <w:r w:rsidRPr="00AA6C13">
              <w:rPr>
                <w:b/>
              </w:rPr>
              <w:t xml:space="preserve">rtificial </w:t>
            </w:r>
            <w:r w:rsidR="009C7F88" w:rsidRPr="00AA6C13">
              <w:rPr>
                <w:b/>
              </w:rPr>
              <w:t>i</w:t>
            </w:r>
            <w:r w:rsidRPr="00AA6C13">
              <w:rPr>
                <w:b/>
              </w:rPr>
              <w:t xml:space="preserve">ntelligence in </w:t>
            </w:r>
            <w:r w:rsidR="00C4510D" w:rsidRPr="00AA6C13">
              <w:rPr>
                <w:b/>
              </w:rPr>
              <w:t>m</w:t>
            </w:r>
            <w:r w:rsidRPr="00AA6C13">
              <w:rPr>
                <w:b/>
              </w:rPr>
              <w:t xml:space="preserve">edical </w:t>
            </w:r>
            <w:r w:rsidR="00C4510D" w:rsidRPr="00AA6C13">
              <w:rPr>
                <w:b/>
              </w:rPr>
              <w:t>i</w:t>
            </w:r>
            <w:r w:rsidRPr="00AA6C13">
              <w:rPr>
                <w:b/>
              </w:rPr>
              <w:t xml:space="preserve">maging (CLAIM): A </w:t>
            </w:r>
            <w:r w:rsidR="006F5B9B" w:rsidRPr="00AA6C13">
              <w:rPr>
                <w:b/>
              </w:rPr>
              <w:t>g</w:t>
            </w:r>
            <w:r w:rsidRPr="00AA6C13">
              <w:rPr>
                <w:b/>
              </w:rPr>
              <w:t xml:space="preserve">uide for </w:t>
            </w:r>
            <w:r w:rsidR="006F5B9B" w:rsidRPr="00AA6C13">
              <w:rPr>
                <w:b/>
              </w:rPr>
              <w:t>a</w:t>
            </w:r>
            <w:r w:rsidRPr="00AA6C13">
              <w:rPr>
                <w:b/>
              </w:rPr>
              <w:t xml:space="preserve">uthors and </w:t>
            </w:r>
            <w:r w:rsidR="006F5B9B" w:rsidRPr="00AA6C13">
              <w:rPr>
                <w:b/>
              </w:rPr>
              <w:t>r</w:t>
            </w:r>
            <w:r w:rsidRPr="00AA6C13">
              <w:rPr>
                <w:b/>
              </w:rPr>
              <w:t>eviewers</w:t>
            </w:r>
            <w:r w:rsidR="00EF6142" w:rsidRPr="00AA6C13">
              <w:rPr>
                <w:b/>
              </w:rPr>
              <w:t>.</w:t>
            </w:r>
          </w:p>
        </w:tc>
      </w:tr>
      <w:tr w:rsidR="000F37B9" w:rsidRPr="00AA6C13" w14:paraId="0EBB4C01" w14:textId="77777777" w:rsidTr="00DF6BD1">
        <w:trPr>
          <w:jc w:val="center"/>
        </w:trPr>
        <w:tc>
          <w:tcPr>
            <w:tcW w:w="9630" w:type="dxa"/>
          </w:tcPr>
          <w:p w14:paraId="37212CAA" w14:textId="4D0FEC51" w:rsidR="000F37B9" w:rsidRPr="00AA6C13" w:rsidRDefault="000F37B9" w:rsidP="00482D83">
            <w:r w:rsidRPr="00AA6C13">
              <w:rPr>
                <w:rFonts w:eastAsia="Times New Roman"/>
              </w:rPr>
              <w:t xml:space="preserve">Mongan, J., Moy, L., </w:t>
            </w:r>
            <w:r w:rsidR="00493AD2" w:rsidRPr="00AA6C13">
              <w:rPr>
                <w:rFonts w:eastAsia="Times New Roman"/>
              </w:rPr>
              <w:t>and</w:t>
            </w:r>
            <w:r w:rsidRPr="00AA6C13">
              <w:rPr>
                <w:rFonts w:eastAsia="Times New Roman"/>
              </w:rPr>
              <w:t xml:space="preserve"> Kahn Jr, C. E. (2020). Checklist for artificial intelligence in medical imaging (CLAIM): a guide for authors and reviewers. Radiology: </w:t>
            </w:r>
            <w:r w:rsidR="00441909" w:rsidRPr="00AA6C13">
              <w:rPr>
                <w:rFonts w:eastAsia="Times New Roman"/>
              </w:rPr>
              <w:t>a</w:t>
            </w:r>
            <w:r w:rsidRPr="00AA6C13">
              <w:rPr>
                <w:rFonts w:eastAsia="Times New Roman"/>
              </w:rPr>
              <w:t xml:space="preserve">rtificial </w:t>
            </w:r>
            <w:r w:rsidR="00441909" w:rsidRPr="00AA6C13">
              <w:rPr>
                <w:rFonts w:eastAsia="Times New Roman"/>
              </w:rPr>
              <w:t>i</w:t>
            </w:r>
            <w:r w:rsidRPr="00AA6C13">
              <w:rPr>
                <w:rFonts w:eastAsia="Times New Roman"/>
              </w:rPr>
              <w:t xml:space="preserve">ntelligence, </w:t>
            </w:r>
            <w:r w:rsidR="004C7311" w:rsidRPr="00AA6C13">
              <w:rPr>
                <w:rFonts w:eastAsia="Times New Roman"/>
              </w:rPr>
              <w:t>Volume</w:t>
            </w:r>
            <w:r w:rsidR="004C16AF" w:rsidRPr="00AA6C13">
              <w:rPr>
                <w:rFonts w:eastAsia="Times New Roman"/>
              </w:rPr>
              <w:t xml:space="preserve"> </w:t>
            </w:r>
            <w:r w:rsidRPr="00AA6C13">
              <w:rPr>
                <w:rFonts w:eastAsia="Times New Roman"/>
              </w:rPr>
              <w:t>2</w:t>
            </w:r>
            <w:r w:rsidR="004C16AF" w:rsidRPr="00AA6C13">
              <w:rPr>
                <w:rFonts w:eastAsia="Times New Roman"/>
              </w:rPr>
              <w:t>, No.</w:t>
            </w:r>
            <w:r w:rsidRPr="00AA6C13">
              <w:rPr>
                <w:rFonts w:eastAsia="Times New Roman"/>
              </w:rPr>
              <w:t>2.</w:t>
            </w:r>
            <w:r w:rsidR="00632748" w:rsidRPr="00AA6C13">
              <w:rPr>
                <w:rFonts w:eastAsia="Times New Roman"/>
              </w:rPr>
              <w:t xml:space="preserve"> [b-Mongan et al., 2020]</w:t>
            </w:r>
            <w:r w:rsidR="00EA3912" w:rsidRPr="00AA6C13">
              <w:rPr>
                <w:rFonts w:eastAsia="Times New Roman"/>
              </w:rPr>
              <w:t>.</w:t>
            </w:r>
            <w:r w:rsidRPr="00AA6C13">
              <w:rPr>
                <w:rFonts w:eastAsia="Times New Roman"/>
              </w:rPr>
              <w:t xml:space="preserve"> </w:t>
            </w:r>
            <w:hyperlink r:id="rId67">
              <w:r w:rsidRPr="00AA6C13">
                <w:rPr>
                  <w:rFonts w:eastAsia="Times New Roman"/>
                  <w:color w:val="0000FF"/>
                  <w:u w:val="single"/>
                </w:rPr>
                <w:t>https://doi.org/10.1148/ryai.2020200029</w:t>
              </w:r>
            </w:hyperlink>
          </w:p>
        </w:tc>
      </w:tr>
      <w:tr w:rsidR="000F37B9" w:rsidRPr="00AA6C13" w14:paraId="65C50D6B" w14:textId="77777777" w:rsidTr="00DF6BD1">
        <w:trPr>
          <w:jc w:val="center"/>
        </w:trPr>
        <w:tc>
          <w:tcPr>
            <w:tcW w:w="9630" w:type="dxa"/>
          </w:tcPr>
          <w:p w14:paraId="425F86D9" w14:textId="2AEA969F" w:rsidR="000F37B9" w:rsidRPr="00AA6C13" w:rsidRDefault="00D53643" w:rsidP="00482D83">
            <w:pPr>
              <w:rPr>
                <w:i/>
              </w:rPr>
            </w:pPr>
            <w:r w:rsidRPr="00AA6C13">
              <w:rPr>
                <w:i/>
              </w:rPr>
              <w:t>"</w:t>
            </w:r>
            <w:r w:rsidR="000F37B9" w:rsidRPr="00AA6C13">
              <w:rPr>
                <w:rFonts w:eastAsia="Times New Roman"/>
                <w:i/>
              </w:rPr>
              <w:t xml:space="preserve">To aid authors and reviewers of AI manuscripts in medical imaging, CLAIM, the </w:t>
            </w:r>
            <w:r w:rsidR="000D6051" w:rsidRPr="00AA6C13">
              <w:rPr>
                <w:rFonts w:eastAsia="Times New Roman"/>
                <w:i/>
              </w:rPr>
              <w:t>c</w:t>
            </w:r>
            <w:r w:rsidR="000F37B9" w:rsidRPr="00AA6C13">
              <w:rPr>
                <w:rFonts w:eastAsia="Times New Roman"/>
                <w:i/>
              </w:rPr>
              <w:t xml:space="preserve">hecklist for AI in </w:t>
            </w:r>
            <w:r w:rsidR="00032B68" w:rsidRPr="00AA6C13">
              <w:rPr>
                <w:rFonts w:eastAsia="Times New Roman"/>
                <w:i/>
              </w:rPr>
              <w:t>m</w:t>
            </w:r>
            <w:r w:rsidR="000F37B9" w:rsidRPr="00AA6C13">
              <w:rPr>
                <w:rFonts w:eastAsia="Times New Roman"/>
                <w:i/>
              </w:rPr>
              <w:t xml:space="preserve">edical </w:t>
            </w:r>
            <w:r w:rsidR="00032B68" w:rsidRPr="00AA6C13">
              <w:rPr>
                <w:rFonts w:eastAsia="Times New Roman"/>
                <w:i/>
              </w:rPr>
              <w:t>i</w:t>
            </w:r>
            <w:r w:rsidR="000F37B9" w:rsidRPr="00AA6C13">
              <w:rPr>
                <w:rFonts w:eastAsia="Times New Roman"/>
                <w:i/>
              </w:rPr>
              <w:t xml:space="preserve">maging is proposed. CLAIM is </w:t>
            </w:r>
            <w:proofErr w:type="spellStart"/>
            <w:r w:rsidR="000F37B9" w:rsidRPr="00AA6C13">
              <w:rPr>
                <w:rFonts w:eastAsia="Times New Roman"/>
                <w:i/>
              </w:rPr>
              <w:t>modeled</w:t>
            </w:r>
            <w:proofErr w:type="spellEnd"/>
            <w:r w:rsidR="000F37B9" w:rsidRPr="00AA6C13">
              <w:rPr>
                <w:rFonts w:eastAsia="Times New Roman"/>
                <w:i/>
              </w:rPr>
              <w:t xml:space="preserve"> after the STARD guideline and has been extended to address applications of AI in medical imaging that include classification, image reconstruction, text analysis, and workflow optimization. The elements described here should be viewed as a </w:t>
            </w:r>
            <w:r w:rsidRPr="00AA6C13">
              <w:rPr>
                <w:rFonts w:eastAsia="Times New Roman"/>
                <w:i/>
              </w:rPr>
              <w:t>"</w:t>
            </w:r>
            <w:r w:rsidR="000F37B9" w:rsidRPr="00AA6C13">
              <w:rPr>
                <w:rFonts w:eastAsia="Times New Roman"/>
                <w:i/>
              </w:rPr>
              <w:t>best practice</w:t>
            </w:r>
            <w:r w:rsidRPr="00AA6C13">
              <w:rPr>
                <w:rFonts w:eastAsia="Times New Roman"/>
                <w:i/>
              </w:rPr>
              <w:t>"</w:t>
            </w:r>
            <w:r w:rsidR="000F37B9" w:rsidRPr="00AA6C13">
              <w:rPr>
                <w:rFonts w:eastAsia="Times New Roman"/>
                <w:i/>
              </w:rPr>
              <w:t xml:space="preserve"> to guide authors in presenting their research</w:t>
            </w:r>
            <w:r w:rsidR="000F37B9" w:rsidRPr="00AA6C13">
              <w:rPr>
                <w:i/>
              </w:rPr>
              <w:t>.</w:t>
            </w:r>
            <w:r w:rsidRPr="00AA6C13">
              <w:rPr>
                <w:i/>
              </w:rPr>
              <w:t>"</w:t>
            </w:r>
          </w:p>
        </w:tc>
      </w:tr>
    </w:tbl>
    <w:p w14:paraId="67ABFCFC"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66FD9D4D" w14:textId="77777777" w:rsidTr="00DF6BD1">
        <w:trPr>
          <w:jc w:val="center"/>
        </w:trPr>
        <w:tc>
          <w:tcPr>
            <w:tcW w:w="9630" w:type="dxa"/>
            <w:shd w:val="clear" w:color="auto" w:fill="E7E6E6" w:themeFill="background2"/>
          </w:tcPr>
          <w:p w14:paraId="4C1544CF" w14:textId="552F04C9" w:rsidR="000F37B9" w:rsidRPr="00AA6C13" w:rsidRDefault="000F37B9" w:rsidP="00482D83">
            <w:pPr>
              <w:rPr>
                <w:b/>
                <w:bCs/>
              </w:rPr>
            </w:pPr>
            <w:r w:rsidRPr="00AA6C13">
              <w:rPr>
                <w:b/>
                <w:bCs/>
              </w:rPr>
              <w:t xml:space="preserve">STARD-AI </w:t>
            </w:r>
            <w:r w:rsidRPr="00AA6C13">
              <w:rPr>
                <w:rFonts w:eastAsia="Times New Roman"/>
                <w:b/>
                <w:bCs/>
              </w:rPr>
              <w:t xml:space="preserve">(Standards for </w:t>
            </w:r>
            <w:r w:rsidR="00C47A9A" w:rsidRPr="00AA6C13">
              <w:rPr>
                <w:rFonts w:eastAsia="Times New Roman"/>
                <w:b/>
                <w:bCs/>
              </w:rPr>
              <w:t>r</w:t>
            </w:r>
            <w:r w:rsidRPr="00AA6C13">
              <w:rPr>
                <w:rFonts w:eastAsia="Times New Roman"/>
                <w:b/>
                <w:bCs/>
              </w:rPr>
              <w:t xml:space="preserve">eporting of </w:t>
            </w:r>
            <w:r w:rsidR="00C47A9A" w:rsidRPr="00AA6C13">
              <w:rPr>
                <w:rFonts w:eastAsia="Times New Roman"/>
                <w:b/>
                <w:bCs/>
              </w:rPr>
              <w:t>d</w:t>
            </w:r>
            <w:r w:rsidRPr="00AA6C13">
              <w:rPr>
                <w:rFonts w:eastAsia="Times New Roman"/>
                <w:b/>
                <w:bCs/>
              </w:rPr>
              <w:t xml:space="preserve">iagnostic </w:t>
            </w:r>
            <w:r w:rsidR="00C47A9A" w:rsidRPr="00AA6C13">
              <w:rPr>
                <w:rFonts w:eastAsia="Times New Roman"/>
                <w:b/>
                <w:bCs/>
              </w:rPr>
              <w:t>a</w:t>
            </w:r>
            <w:r w:rsidRPr="00AA6C13">
              <w:rPr>
                <w:rFonts w:eastAsia="Times New Roman"/>
                <w:b/>
                <w:bCs/>
              </w:rPr>
              <w:t xml:space="preserve">ccuracy </w:t>
            </w:r>
            <w:r w:rsidR="00C47A9A" w:rsidRPr="00AA6C13">
              <w:rPr>
                <w:rFonts w:eastAsia="Times New Roman"/>
                <w:b/>
                <w:bCs/>
              </w:rPr>
              <w:t>s</w:t>
            </w:r>
            <w:r w:rsidRPr="00AA6C13">
              <w:rPr>
                <w:rFonts w:eastAsia="Times New Roman"/>
                <w:b/>
                <w:bCs/>
              </w:rPr>
              <w:t>tudies - AI)</w:t>
            </w:r>
            <w:r w:rsidR="009454C7" w:rsidRPr="00AA6C13">
              <w:rPr>
                <w:rFonts w:eastAsia="Times New Roman"/>
                <w:b/>
                <w:bCs/>
              </w:rPr>
              <w:t>.</w:t>
            </w:r>
          </w:p>
        </w:tc>
      </w:tr>
      <w:tr w:rsidR="000F37B9" w:rsidRPr="00AA6C13" w14:paraId="52A00CBF" w14:textId="77777777" w:rsidTr="00DF6BD1">
        <w:trPr>
          <w:jc w:val="center"/>
        </w:trPr>
        <w:tc>
          <w:tcPr>
            <w:tcW w:w="9630" w:type="dxa"/>
          </w:tcPr>
          <w:p w14:paraId="2A888697" w14:textId="64485E91" w:rsidR="000F37B9" w:rsidRPr="00AA6C13" w:rsidRDefault="000F37B9" w:rsidP="00482D83">
            <w:r w:rsidRPr="00AA6C13">
              <w:t xml:space="preserve">Sounderajah, V., </w:t>
            </w:r>
            <w:proofErr w:type="spellStart"/>
            <w:r w:rsidRPr="00AA6C13">
              <w:t>Ashrafian</w:t>
            </w:r>
            <w:proofErr w:type="spellEnd"/>
            <w:r w:rsidRPr="00AA6C13">
              <w:t xml:space="preserve">, H., Aggarwal, R., De </w:t>
            </w:r>
            <w:proofErr w:type="spellStart"/>
            <w:r w:rsidRPr="00AA6C13">
              <w:t>Fauw</w:t>
            </w:r>
            <w:proofErr w:type="spellEnd"/>
            <w:r w:rsidRPr="00AA6C13">
              <w:t xml:space="preserve">, J., Denniston, A. K., Greaves, F., </w:t>
            </w:r>
            <w:r w:rsidR="00806CDF" w:rsidRPr="00AA6C13">
              <w:t xml:space="preserve">., </w:t>
            </w:r>
            <w:proofErr w:type="spellStart"/>
            <w:r w:rsidR="00806CDF" w:rsidRPr="00AA6C13">
              <w:t>Karthikesalingam</w:t>
            </w:r>
            <w:proofErr w:type="spellEnd"/>
            <w:r w:rsidR="00806CDF" w:rsidRPr="00AA6C13">
              <w:t xml:space="preserve">, A., King, D., Liu, X., Markar, S. R., </w:t>
            </w:r>
            <w:proofErr w:type="spellStart"/>
            <w:r w:rsidR="00806CDF" w:rsidRPr="00AA6C13">
              <w:t>Mclnnes</w:t>
            </w:r>
            <w:proofErr w:type="spellEnd"/>
            <w:r w:rsidR="00806CDF" w:rsidRPr="00AA6C13">
              <w:t xml:space="preserve">, M. D. F., </w:t>
            </w:r>
            <w:proofErr w:type="spellStart"/>
            <w:r w:rsidR="00806CDF" w:rsidRPr="00AA6C13">
              <w:t>Panch</w:t>
            </w:r>
            <w:proofErr w:type="spellEnd"/>
            <w:r w:rsidR="00806CDF" w:rsidRPr="00AA6C13">
              <w:t>, T., Pearson-</w:t>
            </w:r>
            <w:proofErr w:type="spellStart"/>
            <w:r w:rsidR="00806CDF" w:rsidRPr="00AA6C13">
              <w:t>Stuttard</w:t>
            </w:r>
            <w:proofErr w:type="spellEnd"/>
            <w:r w:rsidR="00806CDF" w:rsidRPr="00AA6C13">
              <w:t>, J., Ting, D. S. W., Golub, R. M., Moher, D., Bossuyt, P. M., and Darzi, A</w:t>
            </w:r>
            <w:r w:rsidRPr="00AA6C13">
              <w:t>. (2020)</w:t>
            </w:r>
            <w:r w:rsidR="00C66A08" w:rsidRPr="00AA6C13">
              <w:t>.</w:t>
            </w:r>
            <w:r w:rsidRPr="00AA6C13">
              <w:t xml:space="preserve"> Developing specific reporting guidelines for diagnostic accuracy studies assessing AI interventions: The STARD-AI </w:t>
            </w:r>
            <w:r w:rsidR="00C83FF3" w:rsidRPr="00AA6C13">
              <w:t>s</w:t>
            </w:r>
            <w:r w:rsidRPr="00AA6C13">
              <w:t xml:space="preserve">teering </w:t>
            </w:r>
            <w:r w:rsidR="00C83FF3" w:rsidRPr="00AA6C13">
              <w:t>g</w:t>
            </w:r>
            <w:r w:rsidRPr="00AA6C13">
              <w:t xml:space="preserve">roup. Nature </w:t>
            </w:r>
            <w:r w:rsidR="00081A62" w:rsidRPr="00AA6C13">
              <w:t>m</w:t>
            </w:r>
            <w:r w:rsidRPr="00AA6C13">
              <w:t xml:space="preserve">edicine, 1-2. </w:t>
            </w:r>
            <w:r w:rsidR="00967E12" w:rsidRPr="00AA6C13">
              <w:t>[b</w:t>
            </w:r>
            <w:r w:rsidR="00F10F89" w:rsidRPr="00AA6C13">
              <w:t>-</w:t>
            </w:r>
            <w:r w:rsidR="00967E12" w:rsidRPr="00AA6C13">
              <w:t xml:space="preserve">Sounderajah et al., 2020]. </w:t>
            </w:r>
            <w:hyperlink r:id="rId68" w:history="1">
              <w:r w:rsidR="00F10F89" w:rsidRPr="00AA6C13">
                <w:rPr>
                  <w:rStyle w:val="Hyperlink"/>
                </w:rPr>
                <w:t>https://doi.org/10.1038/s41591-020-0941-1</w:t>
              </w:r>
            </w:hyperlink>
            <w:r w:rsidR="002E2071" w:rsidRPr="00AA6C13">
              <w:t xml:space="preserve"> </w:t>
            </w:r>
          </w:p>
        </w:tc>
      </w:tr>
      <w:tr w:rsidR="000F37B9" w:rsidRPr="00AA6C13" w14:paraId="1DD5A16B" w14:textId="77777777" w:rsidTr="00DF6BD1">
        <w:trPr>
          <w:jc w:val="center"/>
        </w:trPr>
        <w:tc>
          <w:tcPr>
            <w:tcW w:w="9630" w:type="dxa"/>
          </w:tcPr>
          <w:p w14:paraId="6115D693" w14:textId="0D87014D" w:rsidR="000F37B9" w:rsidRPr="00AA6C13" w:rsidRDefault="00D53643" w:rsidP="00482D83">
            <w:pPr>
              <w:rPr>
                <w:i/>
              </w:rPr>
            </w:pPr>
            <w:r w:rsidRPr="00AA6C13">
              <w:rPr>
                <w:i/>
              </w:rPr>
              <w:t>"</w:t>
            </w:r>
            <w:r w:rsidR="000F37B9" w:rsidRPr="00AA6C13">
              <w:rPr>
                <w:i/>
              </w:rPr>
              <w:t xml:space="preserve">The STARD (Standards for </w:t>
            </w:r>
            <w:r w:rsidR="005371CF" w:rsidRPr="00AA6C13">
              <w:rPr>
                <w:i/>
              </w:rPr>
              <w:t>r</w:t>
            </w:r>
            <w:r w:rsidR="000F37B9" w:rsidRPr="00AA6C13">
              <w:rPr>
                <w:i/>
              </w:rPr>
              <w:t xml:space="preserve">eporting of </w:t>
            </w:r>
            <w:r w:rsidR="005371CF" w:rsidRPr="00AA6C13">
              <w:rPr>
                <w:i/>
              </w:rPr>
              <w:t>d</w:t>
            </w:r>
            <w:r w:rsidR="000F37B9" w:rsidRPr="00AA6C13">
              <w:rPr>
                <w:i/>
              </w:rPr>
              <w:t xml:space="preserve">iagnostic </w:t>
            </w:r>
            <w:r w:rsidR="005371CF" w:rsidRPr="00AA6C13">
              <w:rPr>
                <w:i/>
              </w:rPr>
              <w:t>a</w:t>
            </w:r>
            <w:r w:rsidR="000F37B9" w:rsidRPr="00AA6C13">
              <w:rPr>
                <w:i/>
              </w:rPr>
              <w:t xml:space="preserve">ccuracy </w:t>
            </w:r>
            <w:r w:rsidR="00F25AE6" w:rsidRPr="00AA6C13">
              <w:rPr>
                <w:i/>
              </w:rPr>
              <w:t>s</w:t>
            </w:r>
            <w:r w:rsidR="000F37B9" w:rsidRPr="00AA6C13">
              <w:rPr>
                <w:i/>
              </w:rPr>
              <w:t xml:space="preserve">tudies) 2015 statement remains the most widely accepted set of reporting standards for diagnostic accuracy studies. </w:t>
            </w:r>
            <w:proofErr w:type="gramStart"/>
            <w:r w:rsidR="000F37B9" w:rsidRPr="00AA6C13">
              <w:rPr>
                <w:i/>
              </w:rPr>
              <w:t>In particular, STARD</w:t>
            </w:r>
            <w:proofErr w:type="gramEnd"/>
            <w:r w:rsidR="000F37B9" w:rsidRPr="00AA6C13">
              <w:rPr>
                <w:i/>
              </w:rPr>
              <w:t xml:space="preserve"> was developed to improve the completeness and transparency of studies investigating diagnostic accuracy. However, STARD was not designed to address the issues and challenges raised by AI-driven modalities. Such issues include unclear methodological interpretation (e.g., the use of external validation datasets, complexities of datasets and comparison to human performance) and the lack of standardized nomenclature (e.g., the definition of a </w:t>
            </w:r>
            <w:r w:rsidRPr="00AA6C13">
              <w:rPr>
                <w:i/>
              </w:rPr>
              <w:t>'</w:t>
            </w:r>
            <w:r w:rsidR="000F37B9" w:rsidRPr="00AA6C13">
              <w:rPr>
                <w:i/>
              </w:rPr>
              <w:t>validation dataset</w:t>
            </w:r>
            <w:r w:rsidRPr="00AA6C13">
              <w:rPr>
                <w:i/>
              </w:rPr>
              <w:t>'</w:t>
            </w:r>
            <w:r w:rsidR="000F37B9" w:rsidRPr="00AA6C13">
              <w:rPr>
                <w:i/>
              </w:rPr>
              <w:t xml:space="preserve">), as well as the heterogeneity of outcome measures (e.g., area under the receiver operating characteristics (AUROC), sensitivity, positive predictive value and F1 score). Until these issues are overcome at a validation stage, downstream evaluation of these technologies and their potential real-word benefits will remain limited. Journal editors have also commented that approximately 25% of all manuscript submissions in leading journals now </w:t>
            </w:r>
            <w:proofErr w:type="spellStart"/>
            <w:r w:rsidR="000F37B9" w:rsidRPr="00AA6C13">
              <w:rPr>
                <w:i/>
              </w:rPr>
              <w:t>center</w:t>
            </w:r>
            <w:proofErr w:type="spellEnd"/>
            <w:r w:rsidR="000F37B9" w:rsidRPr="00AA6C13">
              <w:rPr>
                <w:i/>
              </w:rPr>
              <w:t xml:space="preserve"> on the diagnostic accuracy of AI algorithms. In summation, there is a clear multi-faceted need to establish guidelines on the conduct and reporting of such projects. </w:t>
            </w:r>
            <w:proofErr w:type="gramStart"/>
            <w:r w:rsidR="000F37B9" w:rsidRPr="00AA6C13">
              <w:rPr>
                <w:i/>
              </w:rPr>
              <w:t>In order to</w:t>
            </w:r>
            <w:proofErr w:type="gramEnd"/>
            <w:r w:rsidR="000F37B9" w:rsidRPr="00AA6C13">
              <w:rPr>
                <w:i/>
              </w:rPr>
              <w:t xml:space="preserve"> tackle these problems, the STARD-AI Steering Group is preparing an AI-specific extension to the STARD statement (STARD-AI) that aims to focus upon the specific reporting of AI diagnostic accuracy studies.</w:t>
            </w:r>
            <w:r w:rsidRPr="00AA6C13">
              <w:rPr>
                <w:i/>
              </w:rPr>
              <w:t>"</w:t>
            </w:r>
          </w:p>
        </w:tc>
      </w:tr>
    </w:tbl>
    <w:p w14:paraId="5780DDB1" w14:textId="77777777" w:rsidR="000F37B9" w:rsidRPr="00AA6C13" w:rsidRDefault="000F37B9" w:rsidP="000F37B9"/>
    <w:tbl>
      <w:tblPr>
        <w:tblStyle w:val="TableGrid"/>
        <w:tblW w:w="9629" w:type="dxa"/>
        <w:jc w:val="center"/>
        <w:tblLook w:val="06A0" w:firstRow="1" w:lastRow="0" w:firstColumn="1" w:lastColumn="0" w:noHBand="1" w:noVBand="1"/>
      </w:tblPr>
      <w:tblGrid>
        <w:gridCol w:w="9629"/>
      </w:tblGrid>
      <w:tr w:rsidR="000F37B9" w:rsidRPr="00AA6C13" w14:paraId="0ACE5D90" w14:textId="77777777" w:rsidTr="00DF6BD1">
        <w:trPr>
          <w:jc w:val="center"/>
        </w:trPr>
        <w:tc>
          <w:tcPr>
            <w:tcW w:w="9629" w:type="dxa"/>
            <w:shd w:val="clear" w:color="auto" w:fill="E7E6E6" w:themeFill="background2"/>
          </w:tcPr>
          <w:p w14:paraId="05C5A818" w14:textId="1052EFEC" w:rsidR="000F37B9" w:rsidRPr="00AA6C13" w:rsidRDefault="000F37B9" w:rsidP="00DF6BD1">
            <w:pPr>
              <w:keepNext/>
              <w:keepLines/>
              <w:spacing w:line="259" w:lineRule="auto"/>
              <w:rPr>
                <w:rFonts w:eastAsia="Calibri"/>
              </w:rPr>
            </w:pPr>
            <w:r w:rsidRPr="00AA6C13">
              <w:rPr>
                <w:b/>
                <w:bCs/>
              </w:rPr>
              <w:t xml:space="preserve">Trusted </w:t>
            </w:r>
            <w:r w:rsidR="00E0057B" w:rsidRPr="00AA6C13">
              <w:rPr>
                <w:b/>
                <w:bCs/>
              </w:rPr>
              <w:t>a</w:t>
            </w:r>
            <w:r w:rsidRPr="00AA6C13">
              <w:rPr>
                <w:b/>
                <w:bCs/>
              </w:rPr>
              <w:t xml:space="preserve">rtificial </w:t>
            </w:r>
            <w:r w:rsidR="00E0057B" w:rsidRPr="00AA6C13">
              <w:rPr>
                <w:b/>
                <w:bCs/>
              </w:rPr>
              <w:t>i</w:t>
            </w:r>
            <w:r w:rsidRPr="00AA6C13">
              <w:rPr>
                <w:b/>
                <w:bCs/>
              </w:rPr>
              <w:t xml:space="preserve">ntelligence: </w:t>
            </w:r>
            <w:r w:rsidR="00031FBB" w:rsidRPr="00AA6C13">
              <w:rPr>
                <w:b/>
                <w:bCs/>
              </w:rPr>
              <w:t>t</w:t>
            </w:r>
            <w:r w:rsidRPr="00AA6C13">
              <w:rPr>
                <w:b/>
                <w:bCs/>
              </w:rPr>
              <w:t xml:space="preserve">owards </w:t>
            </w:r>
            <w:r w:rsidR="00C304F0" w:rsidRPr="00AA6C13">
              <w:rPr>
                <w:b/>
                <w:bCs/>
              </w:rPr>
              <w:t>c</w:t>
            </w:r>
            <w:r w:rsidRPr="00AA6C13">
              <w:rPr>
                <w:b/>
                <w:bCs/>
              </w:rPr>
              <w:t xml:space="preserve">ertification of </w:t>
            </w:r>
            <w:r w:rsidR="00C304F0" w:rsidRPr="00AA6C13">
              <w:rPr>
                <w:b/>
                <w:bCs/>
              </w:rPr>
              <w:t>m</w:t>
            </w:r>
            <w:r w:rsidRPr="00AA6C13">
              <w:rPr>
                <w:b/>
                <w:bCs/>
              </w:rPr>
              <w:t xml:space="preserve">achine </w:t>
            </w:r>
            <w:r w:rsidR="00C304F0" w:rsidRPr="00AA6C13">
              <w:rPr>
                <w:b/>
                <w:bCs/>
              </w:rPr>
              <w:t>l</w:t>
            </w:r>
            <w:r w:rsidRPr="00AA6C13">
              <w:rPr>
                <w:b/>
                <w:bCs/>
              </w:rPr>
              <w:t xml:space="preserve">earning </w:t>
            </w:r>
            <w:r w:rsidR="00C304F0" w:rsidRPr="00AA6C13">
              <w:rPr>
                <w:b/>
                <w:bCs/>
              </w:rPr>
              <w:t>a</w:t>
            </w:r>
            <w:r w:rsidRPr="00AA6C13">
              <w:rPr>
                <w:b/>
                <w:bCs/>
              </w:rPr>
              <w:t>pplications</w:t>
            </w:r>
            <w:r w:rsidR="00CB6234" w:rsidRPr="00AA6C13">
              <w:rPr>
                <w:b/>
                <w:bCs/>
              </w:rPr>
              <w:t>.</w:t>
            </w:r>
          </w:p>
        </w:tc>
      </w:tr>
      <w:tr w:rsidR="000F37B9" w:rsidRPr="00AA6C13" w14:paraId="49AD4677" w14:textId="77777777" w:rsidTr="00DF6BD1">
        <w:trPr>
          <w:jc w:val="center"/>
        </w:trPr>
        <w:tc>
          <w:tcPr>
            <w:tcW w:w="9629" w:type="dxa"/>
          </w:tcPr>
          <w:p w14:paraId="29E823AC" w14:textId="428E0736" w:rsidR="000F37B9" w:rsidRPr="00AA6C13" w:rsidRDefault="000F37B9" w:rsidP="00DF6BD1">
            <w:pPr>
              <w:keepNext/>
              <w:keepLines/>
            </w:pPr>
            <w:r w:rsidRPr="00AA6C13">
              <w:t xml:space="preserve">Winter, P. M., Eder, S., </w:t>
            </w:r>
            <w:proofErr w:type="spellStart"/>
            <w:r w:rsidRPr="00AA6C13">
              <w:t>Weissenböck</w:t>
            </w:r>
            <w:proofErr w:type="spellEnd"/>
            <w:r w:rsidRPr="00AA6C13">
              <w:t xml:space="preserve">, J., Schwald, C., </w:t>
            </w:r>
            <w:proofErr w:type="spellStart"/>
            <w:r w:rsidRPr="00AA6C13">
              <w:t>Doms</w:t>
            </w:r>
            <w:proofErr w:type="spellEnd"/>
            <w:r w:rsidRPr="00AA6C13">
              <w:t xml:space="preserve">, T., Vogt, T., </w:t>
            </w:r>
            <w:r w:rsidR="004D47FD" w:rsidRPr="00AA6C13">
              <w:t>Hochreiter, S., and</w:t>
            </w:r>
            <w:r w:rsidRPr="00AA6C13">
              <w:t xml:space="preserve"> Nessler, B. (2021). Trusted </w:t>
            </w:r>
            <w:r w:rsidR="00213F8E" w:rsidRPr="00AA6C13">
              <w:t>a</w:t>
            </w:r>
            <w:r w:rsidRPr="00AA6C13">
              <w:t xml:space="preserve">rtificial </w:t>
            </w:r>
            <w:r w:rsidR="00213F8E" w:rsidRPr="00AA6C13">
              <w:t>i</w:t>
            </w:r>
            <w:r w:rsidRPr="00AA6C13">
              <w:t xml:space="preserve">ntelligence: </w:t>
            </w:r>
            <w:r w:rsidR="00031FBB" w:rsidRPr="00AA6C13">
              <w:t>t</w:t>
            </w:r>
            <w:r w:rsidRPr="00AA6C13">
              <w:t xml:space="preserve">owards </w:t>
            </w:r>
            <w:r w:rsidR="00521129" w:rsidRPr="00AA6C13">
              <w:t>c</w:t>
            </w:r>
            <w:r w:rsidRPr="00AA6C13">
              <w:t xml:space="preserve">ertification of </w:t>
            </w:r>
            <w:r w:rsidR="00521129" w:rsidRPr="00AA6C13">
              <w:t>m</w:t>
            </w:r>
            <w:r w:rsidRPr="00AA6C13">
              <w:t xml:space="preserve">achine </w:t>
            </w:r>
            <w:r w:rsidR="00D91308" w:rsidRPr="00AA6C13">
              <w:t>l</w:t>
            </w:r>
            <w:r w:rsidRPr="00AA6C13">
              <w:t xml:space="preserve">earning </w:t>
            </w:r>
            <w:r w:rsidR="00485570" w:rsidRPr="00AA6C13">
              <w:t>a</w:t>
            </w:r>
            <w:r w:rsidRPr="00AA6C13">
              <w:t xml:space="preserve">pplications. </w:t>
            </w:r>
            <w:proofErr w:type="spellStart"/>
            <w:r w:rsidRPr="00AA6C13">
              <w:t>arXiv</w:t>
            </w:r>
            <w:proofErr w:type="spellEnd"/>
            <w:r w:rsidRPr="00AA6C13">
              <w:t xml:space="preserve"> preprint arXiv:2103.16910.</w:t>
            </w:r>
            <w:r w:rsidR="00BD7F09" w:rsidRPr="00AA6C13">
              <w:t xml:space="preserve"> [b-Winter et al., 2021].</w:t>
            </w:r>
            <w:r w:rsidRPr="00AA6C13">
              <w:t xml:space="preserve"> </w:t>
            </w:r>
            <w:hyperlink r:id="rId69">
              <w:r w:rsidRPr="00AA6C13">
                <w:rPr>
                  <w:color w:val="0000FF"/>
                  <w:u w:val="single"/>
                </w:rPr>
                <w:t>https://arxiv.org/abs/2103.16910v1</w:t>
              </w:r>
            </w:hyperlink>
            <w:r w:rsidRPr="00AA6C13">
              <w:t xml:space="preserve"> </w:t>
            </w:r>
          </w:p>
        </w:tc>
      </w:tr>
      <w:tr w:rsidR="000F37B9" w:rsidRPr="00AA6C13" w14:paraId="027052A6" w14:textId="77777777" w:rsidTr="00DF6BD1">
        <w:trPr>
          <w:jc w:val="center"/>
        </w:trPr>
        <w:tc>
          <w:tcPr>
            <w:tcW w:w="9629" w:type="dxa"/>
          </w:tcPr>
          <w:p w14:paraId="177519ED" w14:textId="4AEAFEFD" w:rsidR="000F37B9" w:rsidRPr="00AA6C13" w:rsidRDefault="00D53643" w:rsidP="00482D83">
            <w:pPr>
              <w:spacing w:line="259" w:lineRule="auto"/>
              <w:rPr>
                <w:rFonts w:eastAsia="Times New Roman"/>
                <w:i/>
              </w:rPr>
            </w:pPr>
            <w:r w:rsidRPr="00AA6C13">
              <w:rPr>
                <w:i/>
              </w:rPr>
              <w:t>"</w:t>
            </w:r>
            <w:r w:rsidR="000F37B9" w:rsidRPr="00AA6C13">
              <w:rPr>
                <w:rFonts w:eastAsia="Times New Roman"/>
                <w:i/>
              </w:rPr>
              <w:t xml:space="preserve">TÜV AUSTRIA </w:t>
            </w:r>
            <w:r w:rsidR="00CF1CE2" w:rsidRPr="00AA6C13">
              <w:rPr>
                <w:rFonts w:eastAsia="Times New Roman"/>
                <w:i/>
              </w:rPr>
              <w:t>g</w:t>
            </w:r>
            <w:r w:rsidR="000F37B9" w:rsidRPr="00AA6C13">
              <w:rPr>
                <w:rFonts w:eastAsia="Times New Roman"/>
                <w:i/>
              </w:rPr>
              <w:t xml:space="preserve">roup in cooperation with the </w:t>
            </w:r>
            <w:r w:rsidR="003E58A5" w:rsidRPr="00AA6C13">
              <w:rPr>
                <w:rFonts w:eastAsia="Times New Roman"/>
                <w:i/>
              </w:rPr>
              <w:t>i</w:t>
            </w:r>
            <w:r w:rsidR="000F37B9" w:rsidRPr="00AA6C13">
              <w:rPr>
                <w:rFonts w:eastAsia="Times New Roman"/>
                <w:i/>
              </w:rPr>
              <w:t xml:space="preserve">nstitute for </w:t>
            </w:r>
            <w:r w:rsidR="003E58A5" w:rsidRPr="00AA6C13">
              <w:rPr>
                <w:rFonts w:eastAsia="Times New Roman"/>
                <w:i/>
              </w:rPr>
              <w:t>m</w:t>
            </w:r>
            <w:r w:rsidR="000F37B9" w:rsidRPr="00AA6C13">
              <w:rPr>
                <w:rFonts w:eastAsia="Times New Roman"/>
                <w:i/>
              </w:rPr>
              <w:t xml:space="preserve">achine </w:t>
            </w:r>
            <w:r w:rsidR="003E58A5" w:rsidRPr="00AA6C13">
              <w:rPr>
                <w:rFonts w:eastAsia="Times New Roman"/>
                <w:i/>
              </w:rPr>
              <w:t>l</w:t>
            </w:r>
            <w:r w:rsidR="000F37B9" w:rsidRPr="00AA6C13">
              <w:rPr>
                <w:rFonts w:eastAsia="Times New Roman"/>
                <w:i/>
              </w:rPr>
              <w:t xml:space="preserve">earning at the Johannes Kepler University Linz, proposes a </w:t>
            </w:r>
            <w:r w:rsidR="000F37B9" w:rsidRPr="00AA6C13">
              <w:rPr>
                <w:rFonts w:eastAsia="Times New Roman"/>
                <w:b/>
                <w:bCs/>
                <w:i/>
              </w:rPr>
              <w:t xml:space="preserve">certification process and an audit </w:t>
            </w:r>
            <w:proofErr w:type="spellStart"/>
            <w:r w:rsidR="000F37B9" w:rsidRPr="00AA6C13">
              <w:rPr>
                <w:rFonts w:eastAsia="Times New Roman"/>
                <w:b/>
                <w:bCs/>
                <w:i/>
              </w:rPr>
              <w:t>catalog</w:t>
            </w:r>
            <w:proofErr w:type="spellEnd"/>
            <w:r w:rsidR="000F37B9" w:rsidRPr="00AA6C13">
              <w:rPr>
                <w:rFonts w:eastAsia="Times New Roman"/>
                <w:b/>
                <w:bCs/>
                <w:i/>
              </w:rPr>
              <w:t xml:space="preserve"> for </w:t>
            </w:r>
            <w:r w:rsidR="00C94ACC" w:rsidRPr="00AA6C13">
              <w:rPr>
                <w:rFonts w:eastAsia="Times New Roman"/>
                <w:b/>
                <w:bCs/>
                <w:i/>
              </w:rPr>
              <w:t>m</w:t>
            </w:r>
            <w:r w:rsidR="000F37B9" w:rsidRPr="00AA6C13">
              <w:rPr>
                <w:rFonts w:eastAsia="Times New Roman"/>
                <w:b/>
                <w:bCs/>
                <w:i/>
              </w:rPr>
              <w:t xml:space="preserve">achine </w:t>
            </w:r>
            <w:r w:rsidR="008D4231" w:rsidRPr="00AA6C13">
              <w:rPr>
                <w:rFonts w:eastAsia="Times New Roman"/>
                <w:b/>
                <w:bCs/>
                <w:i/>
              </w:rPr>
              <w:t>l</w:t>
            </w:r>
            <w:r w:rsidR="000F37B9" w:rsidRPr="00AA6C13">
              <w:rPr>
                <w:rFonts w:eastAsia="Times New Roman"/>
                <w:b/>
                <w:bCs/>
                <w:i/>
              </w:rPr>
              <w:t>earning applications</w:t>
            </w:r>
            <w:r w:rsidR="000F37B9" w:rsidRPr="00AA6C13">
              <w:rPr>
                <w:rFonts w:eastAsia="Times New Roman"/>
                <w:i/>
              </w:rPr>
              <w:t>.</w:t>
            </w:r>
            <w:r w:rsidRPr="00AA6C13">
              <w:rPr>
                <w:rFonts w:eastAsia="Times New Roman"/>
                <w:i/>
              </w:rPr>
              <w:t>"</w:t>
            </w:r>
          </w:p>
        </w:tc>
      </w:tr>
    </w:tbl>
    <w:p w14:paraId="2A8009E6" w14:textId="77777777" w:rsidR="000F37B9" w:rsidRPr="00AA6C13" w:rsidRDefault="000F37B9" w:rsidP="000F37B9"/>
    <w:tbl>
      <w:tblPr>
        <w:tblStyle w:val="TableGrid"/>
        <w:tblW w:w="9629" w:type="dxa"/>
        <w:jc w:val="center"/>
        <w:tblLook w:val="06A0" w:firstRow="1" w:lastRow="0" w:firstColumn="1" w:lastColumn="0" w:noHBand="1" w:noVBand="1"/>
      </w:tblPr>
      <w:tblGrid>
        <w:gridCol w:w="9629"/>
      </w:tblGrid>
      <w:tr w:rsidR="000F37B9" w:rsidRPr="00AA6C13" w14:paraId="1D44F4F4" w14:textId="77777777" w:rsidTr="00DF6BD1">
        <w:trPr>
          <w:jc w:val="center"/>
        </w:trPr>
        <w:tc>
          <w:tcPr>
            <w:tcW w:w="9629" w:type="dxa"/>
            <w:shd w:val="clear" w:color="auto" w:fill="E7E6E6" w:themeFill="background2"/>
          </w:tcPr>
          <w:p w14:paraId="0D0894E6" w14:textId="49B1C0AA" w:rsidR="000F37B9" w:rsidRPr="00AA6C13" w:rsidRDefault="000F37B9" w:rsidP="00482D83">
            <w:pPr>
              <w:spacing w:line="259" w:lineRule="auto"/>
              <w:rPr>
                <w:rFonts w:eastAsia="Calibri"/>
                <w:b/>
                <w:bCs/>
              </w:rPr>
            </w:pPr>
            <w:r w:rsidRPr="00AA6C13">
              <w:rPr>
                <w:b/>
                <w:bCs/>
              </w:rPr>
              <w:t>How medical AI devices are evaluated: limitations and recommendations from an analysis of FDA approvals</w:t>
            </w:r>
            <w:r w:rsidR="00AC5DB6" w:rsidRPr="00AA6C13">
              <w:rPr>
                <w:b/>
                <w:bCs/>
              </w:rPr>
              <w:t>.</w:t>
            </w:r>
          </w:p>
        </w:tc>
      </w:tr>
      <w:tr w:rsidR="000F37B9" w:rsidRPr="00AA6C13" w14:paraId="3C1FCF85" w14:textId="77777777" w:rsidTr="00DF6BD1">
        <w:trPr>
          <w:jc w:val="center"/>
        </w:trPr>
        <w:tc>
          <w:tcPr>
            <w:tcW w:w="9629" w:type="dxa"/>
          </w:tcPr>
          <w:p w14:paraId="7975ED5C" w14:textId="5762FE9F" w:rsidR="000F37B9" w:rsidRPr="00AA6C13" w:rsidRDefault="000F37B9" w:rsidP="00482D83">
            <w:r w:rsidRPr="00AA6C13">
              <w:t xml:space="preserve">Wu, E., Wu, K., </w:t>
            </w:r>
            <w:proofErr w:type="spellStart"/>
            <w:r w:rsidRPr="00AA6C13">
              <w:t>Daneshjou</w:t>
            </w:r>
            <w:proofErr w:type="spellEnd"/>
            <w:r w:rsidRPr="00AA6C13">
              <w:t>, R.</w:t>
            </w:r>
            <w:r w:rsidR="003F5270" w:rsidRPr="00AA6C13">
              <w:t>, Ouyang, D., Ho, D. E., and Zou, J</w:t>
            </w:r>
            <w:r w:rsidR="00963645" w:rsidRPr="00AA6C13">
              <w:t>.</w:t>
            </w:r>
            <w:r w:rsidRPr="00AA6C13">
              <w:t xml:space="preserve"> (2021). How medical AI devices are evaluated: limitations and recommendations from an analysis of FDA approvals. </w:t>
            </w:r>
            <w:r w:rsidRPr="00AA6C13">
              <w:rPr>
                <w:iCs/>
              </w:rPr>
              <w:t>Nat</w:t>
            </w:r>
            <w:r w:rsidR="00120A0D" w:rsidRPr="00AA6C13">
              <w:rPr>
                <w:iCs/>
              </w:rPr>
              <w:t>ure</w:t>
            </w:r>
            <w:r w:rsidRPr="00AA6C13">
              <w:rPr>
                <w:iCs/>
              </w:rPr>
              <w:t xml:space="preserve"> </w:t>
            </w:r>
            <w:r w:rsidR="00F57642" w:rsidRPr="00AA6C13">
              <w:rPr>
                <w:iCs/>
              </w:rPr>
              <w:t>m</w:t>
            </w:r>
            <w:r w:rsidRPr="00AA6C13">
              <w:rPr>
                <w:iCs/>
              </w:rPr>
              <w:t>ed</w:t>
            </w:r>
            <w:r w:rsidR="00170E72" w:rsidRPr="00AA6C13">
              <w:rPr>
                <w:iCs/>
              </w:rPr>
              <w:t>icine</w:t>
            </w:r>
            <w:r w:rsidR="001E0D00" w:rsidRPr="00AA6C13">
              <w:rPr>
                <w:iCs/>
              </w:rPr>
              <w:t xml:space="preserve"> 27, 582-584</w:t>
            </w:r>
            <w:r w:rsidRPr="00AA6C13">
              <w:t>.</w:t>
            </w:r>
            <w:r w:rsidR="00DD32BB" w:rsidRPr="00AA6C13">
              <w:t xml:space="preserve"> [b-</w:t>
            </w:r>
            <w:r w:rsidR="00C02692" w:rsidRPr="00AA6C13">
              <w:t>Wu et al., 2021]</w:t>
            </w:r>
            <w:r w:rsidR="00E46F56" w:rsidRPr="00AA6C13">
              <w:t>.</w:t>
            </w:r>
            <w:r w:rsidRPr="00AA6C13">
              <w:t xml:space="preserve"> </w:t>
            </w:r>
            <w:hyperlink r:id="rId70">
              <w:r w:rsidRPr="00AA6C13">
                <w:rPr>
                  <w:color w:val="0000FF"/>
                  <w:u w:val="single"/>
                </w:rPr>
                <w:t>https://doi.org/10.1038/s41591-021-01312-x</w:t>
              </w:r>
            </w:hyperlink>
            <w:r w:rsidRPr="00AA6C13">
              <w:t xml:space="preserve"> </w:t>
            </w:r>
          </w:p>
        </w:tc>
      </w:tr>
      <w:tr w:rsidR="000F37B9" w:rsidRPr="00AA6C13" w14:paraId="726A2261" w14:textId="77777777" w:rsidTr="00DF6BD1">
        <w:trPr>
          <w:jc w:val="center"/>
        </w:trPr>
        <w:tc>
          <w:tcPr>
            <w:tcW w:w="9629" w:type="dxa"/>
          </w:tcPr>
          <w:p w14:paraId="2B68E6C7" w14:textId="1C5318E8" w:rsidR="000F37B9" w:rsidRPr="00AA6C13" w:rsidRDefault="00D53643" w:rsidP="00482D83">
            <w:pPr>
              <w:spacing w:line="259" w:lineRule="auto"/>
              <w:rPr>
                <w:i/>
              </w:rPr>
            </w:pPr>
            <w:r w:rsidRPr="00AA6C13">
              <w:rPr>
                <w:i/>
              </w:rPr>
              <w:t>"</w:t>
            </w:r>
            <w:r w:rsidR="000F37B9" w:rsidRPr="00AA6C13">
              <w:rPr>
                <w:i/>
              </w:rPr>
              <w:t xml:space="preserve">A comprehensive overview of medical AI devices approved by the US Food and </w:t>
            </w:r>
            <w:r w:rsidR="007752C0" w:rsidRPr="00AA6C13">
              <w:rPr>
                <w:i/>
              </w:rPr>
              <w:t>d</w:t>
            </w:r>
            <w:r w:rsidR="000F37B9" w:rsidRPr="00AA6C13">
              <w:rPr>
                <w:i/>
              </w:rPr>
              <w:t xml:space="preserve">rug </w:t>
            </w:r>
            <w:r w:rsidR="007752C0" w:rsidRPr="00AA6C13">
              <w:rPr>
                <w:i/>
              </w:rPr>
              <w:t>a</w:t>
            </w:r>
            <w:r w:rsidR="000F37B9" w:rsidRPr="00AA6C13">
              <w:rPr>
                <w:i/>
              </w:rPr>
              <w:t>dministration sheds new light on limitations of the evaluation process that can mask vulnerabilities of devices when they are deployed on patients.</w:t>
            </w:r>
            <w:r w:rsidRPr="00AA6C13">
              <w:rPr>
                <w:i/>
              </w:rPr>
              <w:t>"</w:t>
            </w:r>
          </w:p>
        </w:tc>
      </w:tr>
      <w:tr w:rsidR="000F37B9" w:rsidRPr="00AA6C13" w14:paraId="7C347DEE" w14:textId="77777777" w:rsidTr="00DF6BD1">
        <w:trPr>
          <w:jc w:val="center"/>
        </w:trPr>
        <w:tc>
          <w:tcPr>
            <w:tcW w:w="9629" w:type="dxa"/>
          </w:tcPr>
          <w:p w14:paraId="6CB5C504" w14:textId="77777777" w:rsidR="000F37B9" w:rsidRPr="00AA6C13" w:rsidRDefault="000F37B9" w:rsidP="00752C4E">
            <w:pPr>
              <w:pStyle w:val="Headingb"/>
            </w:pPr>
            <w:r w:rsidRPr="00AA6C13">
              <w:t>Comment:</w:t>
            </w:r>
          </w:p>
          <w:p w14:paraId="14542C4F" w14:textId="77572549" w:rsidR="000F37B9" w:rsidRPr="00AA6C13" w:rsidRDefault="00DF6BD1" w:rsidP="00DF6BD1">
            <w:pPr>
              <w:pStyle w:val="enumlev1"/>
              <w:rPr>
                <w:rFonts w:eastAsia="Times New Roman"/>
              </w:rPr>
            </w:pPr>
            <w:r w:rsidRPr="00AA6C13">
              <w:rPr>
                <w:lang w:bidi="ar-DZ"/>
              </w:rPr>
              <w:t>–</w:t>
            </w:r>
            <w:r w:rsidRPr="00AA6C13">
              <w:rPr>
                <w:lang w:bidi="ar-DZ"/>
              </w:rPr>
              <w:tab/>
            </w:r>
            <w:r w:rsidR="000F37B9" w:rsidRPr="00AA6C13">
              <w:t>Summary: Multi-site evaluation of sufficient size and quality is recommended, because single-site models often do not generalize.</w:t>
            </w:r>
          </w:p>
        </w:tc>
      </w:tr>
    </w:tbl>
    <w:p w14:paraId="04D00C40" w14:textId="77777777" w:rsidR="000F37B9" w:rsidRPr="00AA6C13" w:rsidRDefault="000F37B9" w:rsidP="000F37B9"/>
    <w:tbl>
      <w:tblPr>
        <w:tblStyle w:val="TableGrid"/>
        <w:tblW w:w="9629" w:type="dxa"/>
        <w:jc w:val="center"/>
        <w:tblLook w:val="06A0" w:firstRow="1" w:lastRow="0" w:firstColumn="1" w:lastColumn="0" w:noHBand="1" w:noVBand="1"/>
      </w:tblPr>
      <w:tblGrid>
        <w:gridCol w:w="9629"/>
      </w:tblGrid>
      <w:tr w:rsidR="000F37B9" w:rsidRPr="00AA6C13" w14:paraId="14538C2D" w14:textId="77777777" w:rsidTr="00DF6BD1">
        <w:trPr>
          <w:jc w:val="center"/>
        </w:trPr>
        <w:tc>
          <w:tcPr>
            <w:tcW w:w="9629" w:type="dxa"/>
            <w:shd w:val="clear" w:color="auto" w:fill="E7E6E6" w:themeFill="background2"/>
          </w:tcPr>
          <w:p w14:paraId="3C729F3C" w14:textId="53225B6B" w:rsidR="000F37B9" w:rsidRPr="00AA6C13" w:rsidRDefault="000F37B9" w:rsidP="00482D83">
            <w:pPr>
              <w:spacing w:line="259" w:lineRule="auto"/>
              <w:rPr>
                <w:rFonts w:eastAsia="Calibri"/>
                <w:b/>
                <w:bCs/>
              </w:rPr>
            </w:pPr>
            <w:r w:rsidRPr="00AA6C13">
              <w:rPr>
                <w:b/>
                <w:bCs/>
              </w:rPr>
              <w:t xml:space="preserve">Artificial </w:t>
            </w:r>
            <w:r w:rsidR="00D3162D" w:rsidRPr="00AA6C13">
              <w:rPr>
                <w:b/>
                <w:bCs/>
              </w:rPr>
              <w:t>i</w:t>
            </w:r>
            <w:r w:rsidRPr="00AA6C13">
              <w:rPr>
                <w:b/>
                <w:bCs/>
              </w:rPr>
              <w:t>ntelligence/</w:t>
            </w:r>
            <w:r w:rsidR="003D6058" w:rsidRPr="00AA6C13">
              <w:rPr>
                <w:b/>
                <w:bCs/>
              </w:rPr>
              <w:t>m</w:t>
            </w:r>
            <w:r w:rsidRPr="00AA6C13">
              <w:rPr>
                <w:b/>
                <w:bCs/>
              </w:rPr>
              <w:t xml:space="preserve">achine </w:t>
            </w:r>
            <w:r w:rsidR="005E56E1" w:rsidRPr="00AA6C13">
              <w:rPr>
                <w:b/>
                <w:bCs/>
              </w:rPr>
              <w:t>l</w:t>
            </w:r>
            <w:r w:rsidRPr="00AA6C13">
              <w:rPr>
                <w:b/>
                <w:bCs/>
              </w:rPr>
              <w:t>earning (AI/ML)-</w:t>
            </w:r>
            <w:r w:rsidR="00BB434B" w:rsidRPr="00AA6C13">
              <w:rPr>
                <w:b/>
                <w:bCs/>
              </w:rPr>
              <w:t>b</w:t>
            </w:r>
            <w:r w:rsidRPr="00AA6C13">
              <w:rPr>
                <w:b/>
                <w:bCs/>
              </w:rPr>
              <w:t xml:space="preserve">ased </w:t>
            </w:r>
            <w:r w:rsidR="00BB434B" w:rsidRPr="00AA6C13">
              <w:rPr>
                <w:b/>
                <w:bCs/>
              </w:rPr>
              <w:t>s</w:t>
            </w:r>
            <w:r w:rsidRPr="00AA6C13">
              <w:rPr>
                <w:b/>
                <w:bCs/>
              </w:rPr>
              <w:t xml:space="preserve">oftware as a </w:t>
            </w:r>
            <w:r w:rsidR="00BB434B" w:rsidRPr="00AA6C13">
              <w:rPr>
                <w:b/>
                <w:bCs/>
              </w:rPr>
              <w:t>m</w:t>
            </w:r>
            <w:r w:rsidRPr="00AA6C13">
              <w:rPr>
                <w:b/>
                <w:bCs/>
              </w:rPr>
              <w:t xml:space="preserve">edical </w:t>
            </w:r>
            <w:r w:rsidR="00BB434B" w:rsidRPr="00AA6C13">
              <w:rPr>
                <w:b/>
                <w:bCs/>
              </w:rPr>
              <w:t>d</w:t>
            </w:r>
            <w:r w:rsidRPr="00AA6C13">
              <w:rPr>
                <w:b/>
                <w:bCs/>
              </w:rPr>
              <w:t xml:space="preserve">evice (SaMD) </w:t>
            </w:r>
            <w:r w:rsidR="00FE24BD" w:rsidRPr="00AA6C13">
              <w:rPr>
                <w:b/>
                <w:bCs/>
              </w:rPr>
              <w:t>a</w:t>
            </w:r>
            <w:r w:rsidRPr="00AA6C13">
              <w:rPr>
                <w:b/>
                <w:bCs/>
              </w:rPr>
              <w:t xml:space="preserve">ction </w:t>
            </w:r>
            <w:r w:rsidR="00FE24BD" w:rsidRPr="00AA6C13">
              <w:rPr>
                <w:b/>
                <w:bCs/>
              </w:rPr>
              <w:t>p</w:t>
            </w:r>
            <w:r w:rsidRPr="00AA6C13">
              <w:rPr>
                <w:b/>
                <w:bCs/>
              </w:rPr>
              <w:t>lan</w:t>
            </w:r>
            <w:r w:rsidR="00A746CC" w:rsidRPr="00AA6C13">
              <w:rPr>
                <w:b/>
                <w:bCs/>
              </w:rPr>
              <w:t>.</w:t>
            </w:r>
            <w:r w:rsidRPr="00AA6C13">
              <w:rPr>
                <w:b/>
                <w:bCs/>
              </w:rPr>
              <w:t xml:space="preserve"> </w:t>
            </w:r>
          </w:p>
        </w:tc>
      </w:tr>
      <w:tr w:rsidR="000F37B9" w:rsidRPr="00AA6C13" w14:paraId="702A78F4" w14:textId="77777777" w:rsidTr="00DF6BD1">
        <w:trPr>
          <w:jc w:val="center"/>
        </w:trPr>
        <w:tc>
          <w:tcPr>
            <w:tcW w:w="9629" w:type="dxa"/>
          </w:tcPr>
          <w:p w14:paraId="643569D8" w14:textId="4A31D0BA" w:rsidR="000F37B9" w:rsidRPr="00AA6C13" w:rsidRDefault="000F37B9" w:rsidP="00482D83">
            <w:r w:rsidRPr="00AA6C13">
              <w:t xml:space="preserve">FDA (2021). Artificial </w:t>
            </w:r>
            <w:r w:rsidR="00485714" w:rsidRPr="00AA6C13">
              <w:t>i</w:t>
            </w:r>
            <w:r w:rsidRPr="00AA6C13">
              <w:t>ntelligence/</w:t>
            </w:r>
            <w:r w:rsidR="00485714" w:rsidRPr="00AA6C13">
              <w:t>m</w:t>
            </w:r>
            <w:r w:rsidRPr="00AA6C13">
              <w:t xml:space="preserve">achine </w:t>
            </w:r>
            <w:r w:rsidR="000A4458" w:rsidRPr="00AA6C13">
              <w:t>l</w:t>
            </w:r>
            <w:r w:rsidRPr="00AA6C13">
              <w:t>earning (AI/ML)-</w:t>
            </w:r>
            <w:r w:rsidR="007F428D" w:rsidRPr="00AA6C13">
              <w:t>b</w:t>
            </w:r>
            <w:r w:rsidRPr="00AA6C13">
              <w:t xml:space="preserve">ased </w:t>
            </w:r>
            <w:r w:rsidR="007F428D" w:rsidRPr="00AA6C13">
              <w:t>s</w:t>
            </w:r>
            <w:r w:rsidRPr="00AA6C13">
              <w:t xml:space="preserve">oftware as a </w:t>
            </w:r>
            <w:r w:rsidR="007F428D" w:rsidRPr="00AA6C13">
              <w:t>m</w:t>
            </w:r>
            <w:r w:rsidRPr="00AA6C13">
              <w:t xml:space="preserve">edical </w:t>
            </w:r>
            <w:r w:rsidR="001507B5" w:rsidRPr="00AA6C13">
              <w:t>d</w:t>
            </w:r>
            <w:r w:rsidRPr="00AA6C13">
              <w:t xml:space="preserve">evice (SaMD) </w:t>
            </w:r>
            <w:r w:rsidR="006D1D81" w:rsidRPr="00AA6C13">
              <w:t>a</w:t>
            </w:r>
            <w:r w:rsidRPr="00AA6C13">
              <w:t xml:space="preserve">ction </w:t>
            </w:r>
            <w:r w:rsidR="006D1D81" w:rsidRPr="00AA6C13">
              <w:t>p</w:t>
            </w:r>
            <w:r w:rsidRPr="00AA6C13">
              <w:t>lan.</w:t>
            </w:r>
            <w:r w:rsidR="00522BB0" w:rsidRPr="00AA6C13">
              <w:t xml:space="preserve"> [b-FDA].</w:t>
            </w:r>
            <w:r w:rsidRPr="00AA6C13">
              <w:t xml:space="preserve"> </w:t>
            </w:r>
            <w:hyperlink r:id="rId71">
              <w:r w:rsidRPr="00AA6C13">
                <w:rPr>
                  <w:color w:val="0000FF"/>
                  <w:u w:val="single"/>
                </w:rPr>
                <w:t>https://www.fda.gov/media/145022/download</w:t>
              </w:r>
            </w:hyperlink>
            <w:r w:rsidRPr="00AA6C13">
              <w:t xml:space="preserve"> </w:t>
            </w:r>
          </w:p>
        </w:tc>
      </w:tr>
      <w:tr w:rsidR="000F37B9" w:rsidRPr="00AA6C13" w14:paraId="73F21E3E" w14:textId="77777777" w:rsidTr="00DF6BD1">
        <w:trPr>
          <w:jc w:val="center"/>
        </w:trPr>
        <w:tc>
          <w:tcPr>
            <w:tcW w:w="9629" w:type="dxa"/>
          </w:tcPr>
          <w:p w14:paraId="286F21A7" w14:textId="74214E21" w:rsidR="000F37B9" w:rsidRPr="00AA6C13" w:rsidRDefault="00D53643" w:rsidP="00482D83">
            <w:pPr>
              <w:spacing w:line="259" w:lineRule="auto"/>
              <w:rPr>
                <w:i/>
              </w:rPr>
            </w:pPr>
            <w:r w:rsidRPr="00AA6C13">
              <w:rPr>
                <w:i/>
              </w:rPr>
              <w:t>"</w:t>
            </w:r>
            <w:r w:rsidR="000F37B9" w:rsidRPr="00AA6C13">
              <w:rPr>
                <w:i/>
              </w:rPr>
              <w:t>What type of reference data are appropriate to utilize in measuring the performance of AI/ML software devices in the field? How much of the oversight should be performed by each stakeholder? How much data should be provided to the Agency, and how often? How can the algorithms, models, and claims be validated and tested?</w:t>
            </w:r>
            <w:r w:rsidRPr="00AA6C13">
              <w:rPr>
                <w:i/>
              </w:rPr>
              <w:t>"</w:t>
            </w:r>
          </w:p>
          <w:p w14:paraId="4A6AC4A1" w14:textId="55CD1EAF" w:rsidR="000F37B9" w:rsidRPr="00AA6C13" w:rsidRDefault="00D53643" w:rsidP="00482D83">
            <w:pPr>
              <w:spacing w:line="259" w:lineRule="auto"/>
              <w:rPr>
                <w:i/>
              </w:rPr>
            </w:pPr>
            <w:r w:rsidRPr="00AA6C13">
              <w:rPr>
                <w:i/>
              </w:rPr>
              <w:t>"</w:t>
            </w:r>
            <w:r w:rsidR="000F37B9" w:rsidRPr="00AA6C13">
              <w:rPr>
                <w:i/>
              </w:rPr>
              <w:t>Strengthen FDA</w:t>
            </w:r>
            <w:r w:rsidRPr="00AA6C13">
              <w:rPr>
                <w:i/>
              </w:rPr>
              <w:t>'</w:t>
            </w:r>
            <w:r w:rsidR="000F37B9" w:rsidRPr="00AA6C13">
              <w:rPr>
                <w:i/>
              </w:rPr>
              <w:t>s encouragement of the harmonized development of Good Machine Learning Practice (GMLP) through additional FDA participation in collaborative communities and consensus standards development efforts.</w:t>
            </w:r>
            <w:r w:rsidRPr="00AA6C13">
              <w:rPr>
                <w:i/>
              </w:rPr>
              <w:t>"</w:t>
            </w:r>
          </w:p>
          <w:p w14:paraId="7D0640D5" w14:textId="647E81E7" w:rsidR="000F37B9" w:rsidRPr="00AA6C13" w:rsidRDefault="00D53643" w:rsidP="00482D83">
            <w:pPr>
              <w:spacing w:line="259" w:lineRule="auto"/>
            </w:pPr>
            <w:r w:rsidRPr="00AA6C13">
              <w:rPr>
                <w:i/>
              </w:rPr>
              <w:t>"</w:t>
            </w:r>
            <w:r w:rsidR="000F37B9" w:rsidRPr="00AA6C13">
              <w:rPr>
                <w:i/>
              </w:rPr>
              <w:t>Support regulatory science efforts on the development of methodology for the evaluation and improvement of machine learning algorithms, including for the identification and elimination of bias, and on the robustness and resilience of these algorithms to withstand changing clinical inputs and conditions.</w:t>
            </w:r>
            <w:r w:rsidRPr="00AA6C13">
              <w:rPr>
                <w:i/>
              </w:rPr>
              <w:t>"</w:t>
            </w:r>
          </w:p>
        </w:tc>
      </w:tr>
    </w:tbl>
    <w:p w14:paraId="56FD032E" w14:textId="77777777" w:rsidR="000F37B9" w:rsidRPr="00AA6C13" w:rsidRDefault="000F37B9" w:rsidP="000F37B9">
      <w:pPr>
        <w:rPr>
          <w:rFonts w:eastAsia="Calibri"/>
        </w:rPr>
      </w:pPr>
    </w:p>
    <w:tbl>
      <w:tblPr>
        <w:tblStyle w:val="TableGrid"/>
        <w:tblW w:w="9629" w:type="dxa"/>
        <w:jc w:val="center"/>
        <w:tblLook w:val="06A0" w:firstRow="1" w:lastRow="0" w:firstColumn="1" w:lastColumn="0" w:noHBand="1" w:noVBand="1"/>
      </w:tblPr>
      <w:tblGrid>
        <w:gridCol w:w="9629"/>
      </w:tblGrid>
      <w:tr w:rsidR="000F37B9" w:rsidRPr="00AA6C13" w14:paraId="33A85C2C" w14:textId="77777777" w:rsidTr="00DF6BD1">
        <w:trPr>
          <w:jc w:val="center"/>
        </w:trPr>
        <w:tc>
          <w:tcPr>
            <w:tcW w:w="9629" w:type="dxa"/>
            <w:shd w:val="clear" w:color="auto" w:fill="E7E6E6" w:themeFill="background2"/>
          </w:tcPr>
          <w:p w14:paraId="436FD0C1" w14:textId="1D85E68F" w:rsidR="000F37B9" w:rsidRPr="00AA6C13" w:rsidRDefault="000F37B9" w:rsidP="00DF6BD1">
            <w:pPr>
              <w:keepNext/>
              <w:keepLines/>
              <w:rPr>
                <w:b/>
              </w:rPr>
            </w:pPr>
            <w:r w:rsidRPr="00AA6C13">
              <w:rPr>
                <w:b/>
              </w:rPr>
              <w:lastRenderedPageBreak/>
              <w:t xml:space="preserve">Common </w:t>
            </w:r>
            <w:r w:rsidR="00C87585" w:rsidRPr="00AA6C13">
              <w:rPr>
                <w:b/>
              </w:rPr>
              <w:t>l</w:t>
            </w:r>
            <w:r w:rsidRPr="00AA6C13">
              <w:rPr>
                <w:b/>
              </w:rPr>
              <w:t xml:space="preserve">imitations of </w:t>
            </w:r>
            <w:r w:rsidR="006C1CE3" w:rsidRPr="00AA6C13">
              <w:rPr>
                <w:b/>
              </w:rPr>
              <w:t>i</w:t>
            </w:r>
            <w:r w:rsidRPr="00AA6C13">
              <w:rPr>
                <w:b/>
              </w:rPr>
              <w:t xml:space="preserve">mage </w:t>
            </w:r>
            <w:r w:rsidR="002A1354" w:rsidRPr="00AA6C13">
              <w:rPr>
                <w:b/>
              </w:rPr>
              <w:t>p</w:t>
            </w:r>
            <w:r w:rsidRPr="00AA6C13">
              <w:rPr>
                <w:b/>
              </w:rPr>
              <w:t xml:space="preserve">rocessing </w:t>
            </w:r>
            <w:r w:rsidR="002A1354" w:rsidRPr="00AA6C13">
              <w:rPr>
                <w:b/>
              </w:rPr>
              <w:t>m</w:t>
            </w:r>
            <w:r w:rsidRPr="00AA6C13">
              <w:rPr>
                <w:b/>
              </w:rPr>
              <w:t>etrics</w:t>
            </w:r>
            <w:r w:rsidR="00F93F1E" w:rsidRPr="00AA6C13">
              <w:rPr>
                <w:b/>
              </w:rPr>
              <w:t>.</w:t>
            </w:r>
          </w:p>
        </w:tc>
      </w:tr>
      <w:tr w:rsidR="000F37B9" w:rsidRPr="00AA6C13" w14:paraId="52558260" w14:textId="77777777" w:rsidTr="00DF6BD1">
        <w:trPr>
          <w:jc w:val="center"/>
        </w:trPr>
        <w:tc>
          <w:tcPr>
            <w:tcW w:w="9629" w:type="dxa"/>
          </w:tcPr>
          <w:p w14:paraId="5CE4D894" w14:textId="2D5261B3" w:rsidR="000F37B9" w:rsidRPr="00AA6C13" w:rsidRDefault="000F37B9" w:rsidP="00DF6BD1">
            <w:pPr>
              <w:keepNext/>
              <w:keepLines/>
              <w:rPr>
                <w:rFonts w:eastAsia="Times New Roman"/>
                <w:color w:val="0000FF"/>
                <w:u w:val="single"/>
              </w:rPr>
            </w:pPr>
            <w:r w:rsidRPr="00AA6C13">
              <w:rPr>
                <w:rFonts w:eastAsia="Times New Roman"/>
              </w:rPr>
              <w:t xml:space="preserve">Reinke, A., </w:t>
            </w:r>
            <w:proofErr w:type="spellStart"/>
            <w:r w:rsidR="00A206E0" w:rsidRPr="00AA6C13">
              <w:t>Tizabi</w:t>
            </w:r>
            <w:proofErr w:type="spellEnd"/>
            <w:r w:rsidR="00A206E0" w:rsidRPr="00AA6C13">
              <w:t xml:space="preserve">, M. D., </w:t>
            </w:r>
            <w:proofErr w:type="spellStart"/>
            <w:r w:rsidR="00A206E0" w:rsidRPr="00AA6C13">
              <w:t>Sudre</w:t>
            </w:r>
            <w:proofErr w:type="spellEnd"/>
            <w:r w:rsidR="00A206E0" w:rsidRPr="00AA6C13">
              <w:t xml:space="preserve">, C. H., Eisenmann, M., </w:t>
            </w:r>
            <w:proofErr w:type="spellStart"/>
            <w:r w:rsidR="00A206E0" w:rsidRPr="00AA6C13">
              <w:t>Rädsch</w:t>
            </w:r>
            <w:proofErr w:type="spellEnd"/>
            <w:r w:rsidR="00A206E0" w:rsidRPr="00AA6C13">
              <w:t xml:space="preserve">, Baumgartner, M., </w:t>
            </w:r>
            <w:proofErr w:type="spellStart"/>
            <w:r w:rsidR="00A206E0" w:rsidRPr="00AA6C13">
              <w:t>Acion</w:t>
            </w:r>
            <w:proofErr w:type="spellEnd"/>
            <w:r w:rsidR="00A206E0" w:rsidRPr="00AA6C13">
              <w:t xml:space="preserve">, L., Antonelli, M., Arbel, T., Bakas, S., Bankhead, P., Benis, A., Blaschko, M., Büttner, Cardosa, M. J., Chen, J., </w:t>
            </w:r>
            <w:proofErr w:type="spellStart"/>
            <w:r w:rsidR="00A206E0" w:rsidRPr="00AA6C13">
              <w:t>Cheplygina</w:t>
            </w:r>
            <w:proofErr w:type="spellEnd"/>
            <w:r w:rsidR="00A206E0" w:rsidRPr="00AA6C13">
              <w:t xml:space="preserve">, V., Christodoulou, E., Cimini, B., Collins, G. S., Engelhardt, S., Farahani, K., Ferrer, L., </w:t>
            </w:r>
            <w:proofErr w:type="spellStart"/>
            <w:r w:rsidR="00A206E0" w:rsidRPr="00AA6C13">
              <w:t>Galdran</w:t>
            </w:r>
            <w:proofErr w:type="spellEnd"/>
            <w:r w:rsidR="00A206E0" w:rsidRPr="00AA6C13">
              <w:t xml:space="preserve">, A., van Ginneken, B., Glocker, B., Godau, P., Haase, R., </w:t>
            </w:r>
            <w:proofErr w:type="spellStart"/>
            <w:r w:rsidR="00A206E0" w:rsidRPr="00AA6C13">
              <w:t>Hamprecht</w:t>
            </w:r>
            <w:proofErr w:type="spellEnd"/>
            <w:r w:rsidR="00A206E0" w:rsidRPr="00AA6C13">
              <w:t>, F., Hashimoto, D. A., Heckmann-</w:t>
            </w:r>
            <w:proofErr w:type="spellStart"/>
            <w:r w:rsidR="00A206E0" w:rsidRPr="00AA6C13">
              <w:t>Nötzel</w:t>
            </w:r>
            <w:proofErr w:type="spellEnd"/>
            <w:r w:rsidR="00A206E0" w:rsidRPr="00AA6C13">
              <w:t xml:space="preserve">, D., Hirsch, P., Hoffman, M. M., Huisman, M., Isensee, F., </w:t>
            </w:r>
            <w:proofErr w:type="spellStart"/>
            <w:r w:rsidR="00A206E0" w:rsidRPr="00AA6C13">
              <w:t>Jannin</w:t>
            </w:r>
            <w:proofErr w:type="spellEnd"/>
            <w:r w:rsidR="00A206E0" w:rsidRPr="00AA6C13">
              <w:t xml:space="preserve">, P., Kahn, C. E., </w:t>
            </w:r>
            <w:proofErr w:type="spellStart"/>
            <w:r w:rsidR="00A206E0" w:rsidRPr="00AA6C13">
              <w:t>Kainmueller</w:t>
            </w:r>
            <w:proofErr w:type="spellEnd"/>
            <w:r w:rsidR="00A206E0" w:rsidRPr="00AA6C13">
              <w:t xml:space="preserve">, D., Kainz, B., </w:t>
            </w:r>
            <w:proofErr w:type="spellStart"/>
            <w:r w:rsidR="00A206E0" w:rsidRPr="00AA6C13">
              <w:t>Karargyris</w:t>
            </w:r>
            <w:proofErr w:type="spellEnd"/>
            <w:r w:rsidR="00A206E0" w:rsidRPr="00AA6C13">
              <w:t xml:space="preserve">, A., </w:t>
            </w:r>
            <w:proofErr w:type="spellStart"/>
            <w:r w:rsidR="00A206E0" w:rsidRPr="00AA6C13">
              <w:t>Karthikesalingam</w:t>
            </w:r>
            <w:proofErr w:type="spellEnd"/>
            <w:r w:rsidR="00A206E0" w:rsidRPr="00AA6C13">
              <w:t xml:space="preserve">, A., </w:t>
            </w:r>
            <w:proofErr w:type="spellStart"/>
            <w:r w:rsidR="00A206E0" w:rsidRPr="00AA6C13">
              <w:t>Kavur</w:t>
            </w:r>
            <w:proofErr w:type="spellEnd"/>
            <w:r w:rsidR="00A206E0" w:rsidRPr="00AA6C13">
              <w:t xml:space="preserve">, A. E., Kenngott, H., </w:t>
            </w:r>
            <w:proofErr w:type="spellStart"/>
            <w:r w:rsidR="00A206E0" w:rsidRPr="00AA6C13">
              <w:t>Kleesiek</w:t>
            </w:r>
            <w:proofErr w:type="spellEnd"/>
            <w:r w:rsidR="00A206E0" w:rsidRPr="00AA6C13">
              <w:t xml:space="preserve">, J., Kleppe, A., Kohler, S., Kofler, F., Kopp-Schneider, A., Kooi, T., </w:t>
            </w:r>
            <w:proofErr w:type="spellStart"/>
            <w:r w:rsidR="00A206E0" w:rsidRPr="00AA6C13">
              <w:t>Kozubek</w:t>
            </w:r>
            <w:proofErr w:type="spellEnd"/>
            <w:r w:rsidR="00A206E0" w:rsidRPr="00AA6C13">
              <w:t xml:space="preserve">, M., </w:t>
            </w:r>
            <w:proofErr w:type="spellStart"/>
            <w:r w:rsidR="00A206E0" w:rsidRPr="00AA6C13">
              <w:t>Kreshuk</w:t>
            </w:r>
            <w:proofErr w:type="spellEnd"/>
            <w:r w:rsidR="00A206E0" w:rsidRPr="00AA6C13">
              <w:t xml:space="preserve">, A., Kurc, T., Landman, B. A., </w:t>
            </w:r>
            <w:proofErr w:type="spellStart"/>
            <w:r w:rsidR="00A206E0" w:rsidRPr="00AA6C13">
              <w:t>Litjens</w:t>
            </w:r>
            <w:proofErr w:type="spellEnd"/>
            <w:r w:rsidR="00A206E0" w:rsidRPr="00AA6C13">
              <w:t xml:space="preserve">, G., Madani, A., Maier-Hein, K., Martel, A. L., Mattson. P., Meijering, E., Menze, B., Moher, D., Moons, K. G. M., Müller, H., </w:t>
            </w:r>
            <w:proofErr w:type="spellStart"/>
            <w:r w:rsidR="00A206E0" w:rsidRPr="00AA6C13">
              <w:t>Nichyporuk</w:t>
            </w:r>
            <w:proofErr w:type="spellEnd"/>
            <w:r w:rsidR="00A206E0" w:rsidRPr="00AA6C13">
              <w:t xml:space="preserve">, B., Nickel, F., Noyan, M. A., Petersen, J., Polat, G., </w:t>
            </w:r>
            <w:proofErr w:type="spellStart"/>
            <w:r w:rsidR="00A206E0" w:rsidRPr="00AA6C13">
              <w:t>Rafelski</w:t>
            </w:r>
            <w:proofErr w:type="spellEnd"/>
            <w:r w:rsidR="00A206E0" w:rsidRPr="00AA6C13">
              <w:t xml:space="preserve">, S. M., Rajpoot, N., Reyes, M., Rieke, N., Riegler, M., </w:t>
            </w:r>
            <w:proofErr w:type="spellStart"/>
            <w:r w:rsidR="00A206E0" w:rsidRPr="00AA6C13">
              <w:t>Rivaz</w:t>
            </w:r>
            <w:proofErr w:type="spellEnd"/>
            <w:r w:rsidR="00A206E0" w:rsidRPr="00AA6C13">
              <w:t xml:space="preserve">, H., Saez-Rodriguez, J., Sánchez, C. I., Schroeter, J., Saha, A., Selver, M. A., Sharan, L., Shetty, S., van Smeden, M., </w:t>
            </w:r>
            <w:proofErr w:type="spellStart"/>
            <w:r w:rsidR="00A206E0" w:rsidRPr="00AA6C13">
              <w:t>Stieltjes</w:t>
            </w:r>
            <w:proofErr w:type="spellEnd"/>
            <w:r w:rsidR="00A206E0" w:rsidRPr="00AA6C13">
              <w:t xml:space="preserve">, B., Summers, R. M., Taha, A. A., Tiulpin, A., </w:t>
            </w:r>
            <w:proofErr w:type="spellStart"/>
            <w:r w:rsidR="00A206E0" w:rsidRPr="00AA6C13">
              <w:t>Tsaftaris</w:t>
            </w:r>
            <w:proofErr w:type="spellEnd"/>
            <w:r w:rsidR="00A206E0" w:rsidRPr="00AA6C13">
              <w:t xml:space="preserve">, S. A., </w:t>
            </w:r>
            <w:proofErr w:type="spellStart"/>
            <w:r w:rsidR="00A206E0" w:rsidRPr="00AA6C13">
              <w:t>Calster</w:t>
            </w:r>
            <w:proofErr w:type="spellEnd"/>
            <w:r w:rsidR="00A206E0" w:rsidRPr="00AA6C13">
              <w:t xml:space="preserve">, B. V., </w:t>
            </w:r>
            <w:proofErr w:type="spellStart"/>
            <w:r w:rsidR="00A206E0" w:rsidRPr="00AA6C13">
              <w:t>Varoquaux</w:t>
            </w:r>
            <w:proofErr w:type="spellEnd"/>
            <w:r w:rsidR="00A206E0" w:rsidRPr="00AA6C13">
              <w:t xml:space="preserve">, G., </w:t>
            </w:r>
            <w:proofErr w:type="spellStart"/>
            <w:r w:rsidR="00A206E0" w:rsidRPr="00AA6C13">
              <w:t>Wiesenfarth</w:t>
            </w:r>
            <w:proofErr w:type="spellEnd"/>
            <w:r w:rsidR="00A206E0" w:rsidRPr="00AA6C13">
              <w:t>, M., Yaniv, Z. R., Jäger, P., and Maier-Hein, L</w:t>
            </w:r>
            <w:r w:rsidR="00A206E0" w:rsidRPr="00AA6C13" w:rsidDel="00A206E0">
              <w:rPr>
                <w:rFonts w:eastAsia="Times New Roman"/>
              </w:rPr>
              <w:t xml:space="preserve"> </w:t>
            </w:r>
            <w:r w:rsidRPr="00AA6C13">
              <w:rPr>
                <w:rFonts w:eastAsia="Times New Roman"/>
              </w:rPr>
              <w:t xml:space="preserve">(2021). Common </w:t>
            </w:r>
            <w:r w:rsidR="008863AE" w:rsidRPr="00AA6C13">
              <w:rPr>
                <w:rFonts w:eastAsia="Times New Roman"/>
              </w:rPr>
              <w:t>l</w:t>
            </w:r>
            <w:r w:rsidRPr="00AA6C13">
              <w:rPr>
                <w:rFonts w:eastAsia="Times New Roman"/>
              </w:rPr>
              <w:t xml:space="preserve">imitations of </w:t>
            </w:r>
            <w:r w:rsidR="008863AE" w:rsidRPr="00AA6C13">
              <w:rPr>
                <w:rFonts w:eastAsia="Times New Roman"/>
              </w:rPr>
              <w:t>i</w:t>
            </w:r>
            <w:r w:rsidRPr="00AA6C13">
              <w:rPr>
                <w:rFonts w:eastAsia="Times New Roman"/>
              </w:rPr>
              <w:t xml:space="preserve">mage </w:t>
            </w:r>
            <w:r w:rsidR="008863AE" w:rsidRPr="00AA6C13">
              <w:rPr>
                <w:rFonts w:eastAsia="Times New Roman"/>
              </w:rPr>
              <w:t>p</w:t>
            </w:r>
            <w:r w:rsidRPr="00AA6C13">
              <w:rPr>
                <w:rFonts w:eastAsia="Times New Roman"/>
              </w:rPr>
              <w:t xml:space="preserve">rocessing </w:t>
            </w:r>
            <w:r w:rsidR="008863AE" w:rsidRPr="00AA6C13">
              <w:rPr>
                <w:rFonts w:eastAsia="Times New Roman"/>
              </w:rPr>
              <w:t>m</w:t>
            </w:r>
            <w:r w:rsidRPr="00AA6C13">
              <w:rPr>
                <w:rFonts w:eastAsia="Times New Roman"/>
              </w:rPr>
              <w:t xml:space="preserve">etrics: </w:t>
            </w:r>
            <w:r w:rsidR="00051F1D" w:rsidRPr="00AA6C13">
              <w:rPr>
                <w:rFonts w:eastAsia="Times New Roman"/>
              </w:rPr>
              <w:t>a</w:t>
            </w:r>
            <w:r w:rsidRPr="00AA6C13">
              <w:rPr>
                <w:rFonts w:eastAsia="Times New Roman"/>
              </w:rPr>
              <w:t xml:space="preserve"> </w:t>
            </w:r>
            <w:r w:rsidR="00051F1D" w:rsidRPr="00AA6C13">
              <w:rPr>
                <w:rFonts w:eastAsia="Times New Roman"/>
              </w:rPr>
              <w:t>p</w:t>
            </w:r>
            <w:r w:rsidRPr="00AA6C13">
              <w:rPr>
                <w:rFonts w:eastAsia="Times New Roman"/>
              </w:rPr>
              <w:t xml:space="preserve">icture </w:t>
            </w:r>
            <w:r w:rsidR="00051F1D" w:rsidRPr="00AA6C13">
              <w:rPr>
                <w:rFonts w:eastAsia="Times New Roman"/>
              </w:rPr>
              <w:t>s</w:t>
            </w:r>
            <w:r w:rsidRPr="00AA6C13">
              <w:rPr>
                <w:rFonts w:eastAsia="Times New Roman"/>
              </w:rPr>
              <w:t>tory.</w:t>
            </w:r>
            <w:r w:rsidR="00BA77C0" w:rsidRPr="00AA6C13">
              <w:rPr>
                <w:rFonts w:eastAsia="Times New Roman"/>
              </w:rPr>
              <w:t xml:space="preserve"> [b-Reinke et al., 2021]</w:t>
            </w:r>
            <w:r w:rsidR="009B06A3" w:rsidRPr="00AA6C13">
              <w:rPr>
                <w:rFonts w:eastAsia="Times New Roman"/>
              </w:rPr>
              <w:t>.</w:t>
            </w:r>
            <w:r w:rsidRPr="00AA6C13">
              <w:rPr>
                <w:rFonts w:eastAsia="Times New Roman"/>
              </w:rPr>
              <w:t xml:space="preserve"> </w:t>
            </w:r>
            <w:hyperlink r:id="rId72" w:history="1">
              <w:r w:rsidRPr="00AA6C13">
                <w:rPr>
                  <w:rStyle w:val="Hyperlink"/>
                  <w:rFonts w:eastAsia="Times New Roman"/>
                </w:rPr>
                <w:t>https://arxiv.org/abs/2104.05642</w:t>
              </w:r>
            </w:hyperlink>
            <w:r w:rsidR="002E2071" w:rsidRPr="00AA6C13">
              <w:rPr>
                <w:rFonts w:eastAsia="Times New Roman"/>
              </w:rPr>
              <w:t xml:space="preserve"> </w:t>
            </w:r>
          </w:p>
        </w:tc>
      </w:tr>
      <w:tr w:rsidR="000F37B9" w:rsidRPr="00AA6C13" w14:paraId="45FD7A87" w14:textId="77777777" w:rsidTr="00DF6BD1">
        <w:trPr>
          <w:jc w:val="center"/>
        </w:trPr>
        <w:tc>
          <w:tcPr>
            <w:tcW w:w="9629" w:type="dxa"/>
          </w:tcPr>
          <w:p w14:paraId="35778A32" w14:textId="6EC84D63" w:rsidR="000F37B9" w:rsidRPr="00AA6C13" w:rsidRDefault="00D53643" w:rsidP="00482D83">
            <w:pPr>
              <w:rPr>
                <w:i/>
              </w:rPr>
            </w:pPr>
            <w:r w:rsidRPr="00AA6C13">
              <w:rPr>
                <w:i/>
              </w:rPr>
              <w:t>"</w:t>
            </w:r>
            <w:r w:rsidR="000F37B9" w:rsidRPr="00AA6C13">
              <w:rPr>
                <w:rFonts w:eastAsia="Times New Roman"/>
                <w:i/>
              </w:rPr>
              <w:t xml:space="preserve">While the importance of automatic image analysis is increasing at an enormous pace, recent meta-research revealed major flaws with respect to algorithm validation. Specifically, performance metrics are key for objective, transparent and comparative performance assessment, but relatively little attention has been given to the practical pitfalls when using specific metrics for a given image analysis task. A common mission of several international initiatives is therefore to provide researchers with guidelines and tools to choose the performance metrics in a problem-aware manner. This dynamically updated document has the purpose to illustrate important limitations of performance metrics commonly applied in the field of image analysis. The current version is based on a </w:t>
            </w:r>
            <w:proofErr w:type="spellStart"/>
            <w:r w:rsidR="000471A8" w:rsidRPr="00AA6C13">
              <w:rPr>
                <w:rFonts w:eastAsia="Times New Roman"/>
                <w:i/>
              </w:rPr>
              <w:t>d</w:t>
            </w:r>
            <w:r w:rsidR="000F37B9" w:rsidRPr="00AA6C13">
              <w:rPr>
                <w:rFonts w:eastAsia="Times New Roman"/>
                <w:i/>
              </w:rPr>
              <w:t>elphi</w:t>
            </w:r>
            <w:proofErr w:type="spellEnd"/>
            <w:r w:rsidR="000F37B9" w:rsidRPr="00AA6C13">
              <w:rPr>
                <w:rFonts w:eastAsia="Times New Roman"/>
                <w:i/>
              </w:rPr>
              <w:t xml:space="preserve"> process on metrics conducted by an international consortium of image analysis experts.</w:t>
            </w:r>
            <w:r w:rsidRPr="00AA6C13">
              <w:rPr>
                <w:i/>
              </w:rPr>
              <w:t>"</w:t>
            </w:r>
          </w:p>
        </w:tc>
      </w:tr>
    </w:tbl>
    <w:p w14:paraId="6D5A9709" w14:textId="77777777" w:rsidR="000F37B9" w:rsidRPr="00AA6C13" w:rsidRDefault="000F37B9" w:rsidP="000F37B9">
      <w:pPr>
        <w:rPr>
          <w:rFonts w:eastAsia="Calibri"/>
        </w:rPr>
      </w:pPr>
    </w:p>
    <w:tbl>
      <w:tblPr>
        <w:tblStyle w:val="TableGrid"/>
        <w:tblW w:w="9630" w:type="dxa"/>
        <w:jc w:val="center"/>
        <w:tblLook w:val="06A0" w:firstRow="1" w:lastRow="0" w:firstColumn="1" w:lastColumn="0" w:noHBand="1" w:noVBand="1"/>
      </w:tblPr>
      <w:tblGrid>
        <w:gridCol w:w="9630"/>
      </w:tblGrid>
      <w:tr w:rsidR="000F37B9" w:rsidRPr="00AA6C13" w14:paraId="771B5838" w14:textId="77777777" w:rsidTr="00DF6BD1">
        <w:trPr>
          <w:jc w:val="center"/>
        </w:trPr>
        <w:tc>
          <w:tcPr>
            <w:tcW w:w="9630" w:type="dxa"/>
            <w:shd w:val="clear" w:color="auto" w:fill="E7E6E6" w:themeFill="background2"/>
          </w:tcPr>
          <w:p w14:paraId="4761342C" w14:textId="271CCDF0" w:rsidR="000F37B9" w:rsidRPr="00AA6C13" w:rsidRDefault="000F37B9" w:rsidP="00482D83">
            <w:pPr>
              <w:rPr>
                <w:rFonts w:eastAsia="Calibri"/>
                <w:b/>
                <w:bCs/>
              </w:rPr>
            </w:pPr>
            <w:r w:rsidRPr="00AA6C13">
              <w:rPr>
                <w:rFonts w:eastAsia="Calibri"/>
                <w:b/>
                <w:bCs/>
              </w:rPr>
              <w:t>DECIDE-AI</w:t>
            </w:r>
            <w:r w:rsidR="00F93F1E" w:rsidRPr="00AA6C13">
              <w:rPr>
                <w:rFonts w:eastAsia="Calibri"/>
                <w:b/>
                <w:bCs/>
              </w:rPr>
              <w:t>.</w:t>
            </w:r>
          </w:p>
        </w:tc>
      </w:tr>
      <w:tr w:rsidR="000F37B9" w:rsidRPr="00AA6C13" w14:paraId="78E1F331" w14:textId="77777777" w:rsidTr="00DF6BD1">
        <w:trPr>
          <w:jc w:val="center"/>
        </w:trPr>
        <w:tc>
          <w:tcPr>
            <w:tcW w:w="9630" w:type="dxa"/>
          </w:tcPr>
          <w:p w14:paraId="6F144D2F" w14:textId="42C6B295" w:rsidR="000F37B9" w:rsidRPr="00AA6C13" w:rsidRDefault="00FE5691" w:rsidP="00482D83">
            <w:pPr>
              <w:rPr>
                <w:rFonts w:eastAsia="Calibri"/>
              </w:rPr>
            </w:pPr>
            <w:r w:rsidRPr="00AA6C13">
              <w:rPr>
                <w:rFonts w:eastAsia="Calibri"/>
              </w:rPr>
              <w:t>[b-</w:t>
            </w:r>
            <w:r w:rsidR="000F37B9" w:rsidRPr="00AA6C13">
              <w:rPr>
                <w:rFonts w:eastAsia="Calibri"/>
              </w:rPr>
              <w:t xml:space="preserve">DECIDE-AI </w:t>
            </w:r>
            <w:r w:rsidR="00CD0B56" w:rsidRPr="00AA6C13">
              <w:rPr>
                <w:rFonts w:eastAsia="Calibri"/>
              </w:rPr>
              <w:t>s</w:t>
            </w:r>
            <w:r w:rsidR="000F37B9" w:rsidRPr="00AA6C13">
              <w:rPr>
                <w:rFonts w:eastAsia="Calibri"/>
              </w:rPr>
              <w:t xml:space="preserve">teering </w:t>
            </w:r>
            <w:r w:rsidR="00CD0B56" w:rsidRPr="00AA6C13">
              <w:rPr>
                <w:rFonts w:eastAsia="Calibri"/>
              </w:rPr>
              <w:t>g</w:t>
            </w:r>
            <w:r w:rsidR="000F37B9" w:rsidRPr="00AA6C13">
              <w:rPr>
                <w:rFonts w:eastAsia="Calibri"/>
              </w:rPr>
              <w:t>roup</w:t>
            </w:r>
            <w:r w:rsidR="00E0676A" w:rsidRPr="00AA6C13">
              <w:rPr>
                <w:rFonts w:eastAsia="Calibri"/>
              </w:rPr>
              <w:t>]</w:t>
            </w:r>
            <w:r w:rsidR="000F37B9" w:rsidRPr="00AA6C13">
              <w:rPr>
                <w:rFonts w:eastAsia="Calibri"/>
              </w:rPr>
              <w:t xml:space="preserve"> (2021). DECIDE-AI: new reporting guidelines to bridge the development-to-implementation gap in clinical artificial intelligence. </w:t>
            </w:r>
            <w:r w:rsidR="000F37B9" w:rsidRPr="00AA6C13">
              <w:rPr>
                <w:rFonts w:eastAsia="Calibri"/>
                <w:i/>
              </w:rPr>
              <w:t>Nat</w:t>
            </w:r>
            <w:r w:rsidR="009F29C7" w:rsidRPr="00AA6C13">
              <w:rPr>
                <w:rFonts w:eastAsia="Calibri"/>
                <w:i/>
              </w:rPr>
              <w:t>ure</w:t>
            </w:r>
            <w:r w:rsidR="000F37B9" w:rsidRPr="00AA6C13">
              <w:rPr>
                <w:rFonts w:eastAsia="Calibri"/>
                <w:i/>
              </w:rPr>
              <w:t xml:space="preserve"> </w:t>
            </w:r>
            <w:r w:rsidR="005B40D7" w:rsidRPr="00AA6C13">
              <w:rPr>
                <w:rFonts w:eastAsia="Calibri"/>
                <w:i/>
              </w:rPr>
              <w:t>m</w:t>
            </w:r>
            <w:r w:rsidR="000F37B9" w:rsidRPr="00AA6C13">
              <w:rPr>
                <w:rFonts w:eastAsia="Calibri"/>
                <w:i/>
              </w:rPr>
              <w:t>ed</w:t>
            </w:r>
            <w:r w:rsidR="009F29C7" w:rsidRPr="00AA6C13">
              <w:rPr>
                <w:rFonts w:eastAsia="Calibri"/>
                <w:i/>
              </w:rPr>
              <w:t>icine</w:t>
            </w:r>
            <w:r w:rsidR="000F37B9" w:rsidRPr="00AA6C13">
              <w:rPr>
                <w:rFonts w:eastAsia="Calibri"/>
                <w:i/>
              </w:rPr>
              <w:t>.</w:t>
            </w:r>
            <w:r w:rsidR="000F37B9" w:rsidRPr="00AA6C13">
              <w:rPr>
                <w:rFonts w:eastAsia="Calibri"/>
              </w:rPr>
              <w:t xml:space="preserve"> </w:t>
            </w:r>
            <w:r w:rsidR="000F37B9" w:rsidRPr="00AA6C13">
              <w:rPr>
                <w:rFonts w:eastAsia="Calibri"/>
                <w:b/>
              </w:rPr>
              <w:t>27</w:t>
            </w:r>
            <w:r w:rsidR="00317EB3" w:rsidRPr="00AA6C13">
              <w:rPr>
                <w:rFonts w:eastAsia="Calibri"/>
              </w:rPr>
              <w:t xml:space="preserve"> pp</w:t>
            </w:r>
            <w:r w:rsidR="000F37B9" w:rsidRPr="00AA6C13">
              <w:rPr>
                <w:rFonts w:eastAsia="Calibri"/>
              </w:rPr>
              <w:t>186-187.</w:t>
            </w:r>
            <w:r w:rsidR="002E2071" w:rsidRPr="00AA6C13">
              <w:rPr>
                <w:rFonts w:eastAsia="Calibri"/>
              </w:rPr>
              <w:t xml:space="preserve"> </w:t>
            </w:r>
            <w:hyperlink r:id="rId73" w:history="1">
              <w:r w:rsidR="000F37B9" w:rsidRPr="00AA6C13">
                <w:rPr>
                  <w:rStyle w:val="Hyperlink"/>
                  <w:rFonts w:eastAsia="Calibri"/>
                </w:rPr>
                <w:t>https://doi.org/10.1038/s41591-021-01229-5</w:t>
              </w:r>
            </w:hyperlink>
            <w:r w:rsidR="000F37B9" w:rsidRPr="00AA6C13">
              <w:rPr>
                <w:rFonts w:eastAsia="Calibri"/>
              </w:rPr>
              <w:t xml:space="preserve"> </w:t>
            </w:r>
          </w:p>
        </w:tc>
      </w:tr>
      <w:tr w:rsidR="000F37B9" w:rsidRPr="00AA6C13" w14:paraId="79B7E47E" w14:textId="77777777" w:rsidTr="00DF6BD1">
        <w:trPr>
          <w:jc w:val="center"/>
        </w:trPr>
        <w:tc>
          <w:tcPr>
            <w:tcW w:w="9630" w:type="dxa"/>
          </w:tcPr>
          <w:p w14:paraId="0F3B8708" w14:textId="68C2421B" w:rsidR="000F37B9" w:rsidRPr="00AA6C13" w:rsidRDefault="00D53643" w:rsidP="00482D83">
            <w:pPr>
              <w:rPr>
                <w:rFonts w:eastAsia="Calibri"/>
                <w:i/>
              </w:rPr>
            </w:pPr>
            <w:r w:rsidRPr="00AA6C13">
              <w:rPr>
                <w:rFonts w:eastAsia="Calibri"/>
                <w:i/>
              </w:rPr>
              <w:t>"</w:t>
            </w:r>
            <w:r w:rsidR="000F37B9" w:rsidRPr="00AA6C13">
              <w:rPr>
                <w:rFonts w:eastAsia="Calibri"/>
                <w:i/>
              </w:rPr>
              <w:t xml:space="preserve">Delphi process to reach expert consensus on the key information items that should be reported during </w:t>
            </w:r>
            <w:r w:rsidRPr="00AA6C13">
              <w:rPr>
                <w:rFonts w:eastAsia="Calibri"/>
                <w:i/>
              </w:rPr>
              <w:t>'</w:t>
            </w:r>
            <w:r w:rsidR="00606463" w:rsidRPr="00AA6C13">
              <w:rPr>
                <w:rFonts w:eastAsia="Calibri"/>
                <w:i/>
              </w:rPr>
              <w:t>d</w:t>
            </w:r>
            <w:r w:rsidR="000F37B9" w:rsidRPr="00AA6C13">
              <w:rPr>
                <w:rFonts w:eastAsia="Calibri"/>
                <w:i/>
              </w:rPr>
              <w:t xml:space="preserve">evelopmental and </w:t>
            </w:r>
            <w:r w:rsidR="00606463" w:rsidRPr="00AA6C13">
              <w:rPr>
                <w:rFonts w:eastAsia="Calibri"/>
                <w:i/>
              </w:rPr>
              <w:t>e</w:t>
            </w:r>
            <w:r w:rsidR="000F37B9" w:rsidRPr="00AA6C13">
              <w:rPr>
                <w:rFonts w:eastAsia="Calibri"/>
                <w:i/>
              </w:rPr>
              <w:t xml:space="preserve">xploratory </w:t>
            </w:r>
            <w:r w:rsidR="00606463" w:rsidRPr="00AA6C13">
              <w:rPr>
                <w:rFonts w:eastAsia="Calibri"/>
                <w:i/>
              </w:rPr>
              <w:t>c</w:t>
            </w:r>
            <w:r w:rsidR="000F37B9" w:rsidRPr="00AA6C13">
              <w:rPr>
                <w:rFonts w:eastAsia="Calibri"/>
                <w:i/>
              </w:rPr>
              <w:t xml:space="preserve">linical </w:t>
            </w:r>
            <w:r w:rsidR="00606463" w:rsidRPr="00AA6C13">
              <w:rPr>
                <w:rFonts w:eastAsia="Calibri"/>
                <w:i/>
              </w:rPr>
              <w:t>i</w:t>
            </w:r>
            <w:r w:rsidR="000F37B9" w:rsidRPr="00AA6C13">
              <w:rPr>
                <w:rFonts w:eastAsia="Calibri"/>
                <w:i/>
              </w:rPr>
              <w:t xml:space="preserve">nvestigation of </w:t>
            </w:r>
            <w:proofErr w:type="spellStart"/>
            <w:r w:rsidR="000F37B9" w:rsidRPr="00AA6C13">
              <w:rPr>
                <w:rFonts w:eastAsia="Calibri"/>
                <w:i/>
              </w:rPr>
              <w:t>DEcision</w:t>
            </w:r>
            <w:proofErr w:type="spellEnd"/>
            <w:r w:rsidR="000F37B9" w:rsidRPr="00AA6C13">
              <w:rPr>
                <w:rFonts w:eastAsia="Calibri"/>
                <w:i/>
              </w:rPr>
              <w:t xml:space="preserve">-support systems driven by </w:t>
            </w:r>
            <w:r w:rsidR="006B61AF" w:rsidRPr="00AA6C13">
              <w:rPr>
                <w:rFonts w:eastAsia="Calibri"/>
                <w:i/>
              </w:rPr>
              <w:t>a</w:t>
            </w:r>
            <w:r w:rsidR="000F37B9" w:rsidRPr="00AA6C13">
              <w:rPr>
                <w:rFonts w:eastAsia="Calibri"/>
                <w:i/>
              </w:rPr>
              <w:t xml:space="preserve">rtificial </w:t>
            </w:r>
            <w:r w:rsidR="006B61AF" w:rsidRPr="00AA6C13">
              <w:rPr>
                <w:rFonts w:eastAsia="Calibri"/>
                <w:i/>
              </w:rPr>
              <w:t>i</w:t>
            </w:r>
            <w:r w:rsidR="000F37B9" w:rsidRPr="00AA6C13">
              <w:rPr>
                <w:rFonts w:eastAsia="Calibri"/>
                <w:i/>
              </w:rPr>
              <w:t>ntelligence</w:t>
            </w:r>
            <w:r w:rsidRPr="00AA6C13">
              <w:rPr>
                <w:rFonts w:eastAsia="Calibri"/>
                <w:i/>
              </w:rPr>
              <w:t>'</w:t>
            </w:r>
            <w:r w:rsidR="000F37B9" w:rsidRPr="00AA6C13">
              <w:rPr>
                <w:rFonts w:eastAsia="Calibri"/>
                <w:i/>
              </w:rPr>
              <w:t xml:space="preserve"> (DECIDE-AI).</w:t>
            </w:r>
            <w:r w:rsidRPr="00AA6C13">
              <w:rPr>
                <w:rFonts w:eastAsia="Calibri"/>
                <w:i/>
              </w:rPr>
              <w:t>"</w:t>
            </w:r>
          </w:p>
        </w:tc>
      </w:tr>
    </w:tbl>
    <w:p w14:paraId="3FDF5F61"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766A113A" w14:textId="77777777" w:rsidTr="00DF6BD1">
        <w:trPr>
          <w:jc w:val="center"/>
        </w:trPr>
        <w:tc>
          <w:tcPr>
            <w:tcW w:w="9630" w:type="dxa"/>
            <w:shd w:val="clear" w:color="auto" w:fill="E7E6E6" w:themeFill="background2"/>
          </w:tcPr>
          <w:p w14:paraId="775AEE04" w14:textId="06E43594" w:rsidR="000F37B9" w:rsidRPr="00AA6C13" w:rsidRDefault="000F37B9" w:rsidP="00482D83">
            <w:pPr>
              <w:rPr>
                <w:rFonts w:eastAsia="Calibri"/>
                <w:b/>
                <w:bCs/>
              </w:rPr>
            </w:pPr>
            <w:r w:rsidRPr="00AA6C13">
              <w:rPr>
                <w:rFonts w:eastAsia="Calibri"/>
                <w:b/>
                <w:bCs/>
              </w:rPr>
              <w:t>A governance model for the application of AI in health care</w:t>
            </w:r>
            <w:r w:rsidR="00F93F1E" w:rsidRPr="00AA6C13">
              <w:rPr>
                <w:rFonts w:eastAsia="Calibri"/>
                <w:b/>
                <w:bCs/>
              </w:rPr>
              <w:t>.</w:t>
            </w:r>
          </w:p>
        </w:tc>
      </w:tr>
      <w:tr w:rsidR="000F37B9" w:rsidRPr="00AA6C13" w14:paraId="1EC88F90" w14:textId="77777777" w:rsidTr="00DF6BD1">
        <w:trPr>
          <w:jc w:val="center"/>
        </w:trPr>
        <w:tc>
          <w:tcPr>
            <w:tcW w:w="9630" w:type="dxa"/>
          </w:tcPr>
          <w:p w14:paraId="5E23CEFC" w14:textId="58BED4C1" w:rsidR="000F37B9" w:rsidRPr="00AA6C13" w:rsidRDefault="000F37B9" w:rsidP="00482D83">
            <w:pPr>
              <w:rPr>
                <w:rFonts w:eastAsia="Calibri"/>
              </w:rPr>
            </w:pPr>
            <w:r w:rsidRPr="00AA6C13">
              <w:rPr>
                <w:rFonts w:eastAsia="Calibri"/>
              </w:rPr>
              <w:t>Reddy</w:t>
            </w:r>
            <w:r w:rsidR="003249B2" w:rsidRPr="00AA6C13">
              <w:rPr>
                <w:rFonts w:eastAsia="Calibri"/>
              </w:rPr>
              <w:t>,</w:t>
            </w:r>
            <w:r w:rsidRPr="00AA6C13">
              <w:rPr>
                <w:rFonts w:eastAsia="Calibri"/>
              </w:rPr>
              <w:t xml:space="preserve"> S</w:t>
            </w:r>
            <w:r w:rsidR="003249B2" w:rsidRPr="00AA6C13">
              <w:rPr>
                <w:rFonts w:eastAsia="Calibri"/>
              </w:rPr>
              <w:t>.</w:t>
            </w:r>
            <w:r w:rsidRPr="00AA6C13">
              <w:rPr>
                <w:rFonts w:eastAsia="Calibri"/>
              </w:rPr>
              <w:t>, Allan</w:t>
            </w:r>
            <w:r w:rsidR="000036E7" w:rsidRPr="00AA6C13">
              <w:rPr>
                <w:rFonts w:eastAsia="Calibri"/>
              </w:rPr>
              <w:t>,</w:t>
            </w:r>
            <w:r w:rsidRPr="00AA6C13">
              <w:rPr>
                <w:rFonts w:eastAsia="Calibri"/>
              </w:rPr>
              <w:t xml:space="preserve"> S</w:t>
            </w:r>
            <w:r w:rsidR="000036E7" w:rsidRPr="00AA6C13">
              <w:rPr>
                <w:rFonts w:eastAsia="Calibri"/>
              </w:rPr>
              <w:t>.</w:t>
            </w:r>
            <w:r w:rsidRPr="00AA6C13">
              <w:rPr>
                <w:rFonts w:eastAsia="Calibri"/>
              </w:rPr>
              <w:t>, Coghlan</w:t>
            </w:r>
            <w:r w:rsidR="000036E7" w:rsidRPr="00AA6C13">
              <w:rPr>
                <w:rFonts w:eastAsia="Calibri"/>
              </w:rPr>
              <w:t>,</w:t>
            </w:r>
            <w:r w:rsidRPr="00AA6C13">
              <w:rPr>
                <w:rFonts w:eastAsia="Calibri"/>
              </w:rPr>
              <w:t xml:space="preserve"> S</w:t>
            </w:r>
            <w:r w:rsidR="000036E7" w:rsidRPr="00AA6C13">
              <w:rPr>
                <w:rFonts w:eastAsia="Calibri"/>
              </w:rPr>
              <w:t>.</w:t>
            </w:r>
            <w:r w:rsidRPr="00AA6C13">
              <w:rPr>
                <w:rFonts w:eastAsia="Calibri"/>
              </w:rPr>
              <w:t>, Cooper</w:t>
            </w:r>
            <w:r w:rsidR="001E04E4" w:rsidRPr="00AA6C13">
              <w:rPr>
                <w:rFonts w:eastAsia="Calibri"/>
              </w:rPr>
              <w:t>,</w:t>
            </w:r>
            <w:r w:rsidRPr="00AA6C13">
              <w:rPr>
                <w:rFonts w:eastAsia="Calibri"/>
              </w:rPr>
              <w:t xml:space="preserve"> P</w:t>
            </w:r>
            <w:r w:rsidR="001E04E4" w:rsidRPr="00AA6C13">
              <w:rPr>
                <w:rFonts w:eastAsia="Calibri"/>
              </w:rPr>
              <w:t>.</w:t>
            </w:r>
            <w:r w:rsidRPr="00AA6C13">
              <w:rPr>
                <w:rFonts w:eastAsia="Calibri"/>
              </w:rPr>
              <w:t xml:space="preserve"> (2020). A governance model for the application of AI in health care. </w:t>
            </w:r>
            <w:r w:rsidRPr="00AA6C13">
              <w:rPr>
                <w:rFonts w:eastAsia="Calibri"/>
                <w:i/>
              </w:rPr>
              <w:t>J</w:t>
            </w:r>
            <w:r w:rsidR="00D85D4F" w:rsidRPr="00AA6C13">
              <w:rPr>
                <w:rFonts w:eastAsia="Calibri"/>
                <w:i/>
              </w:rPr>
              <w:t>ournal</w:t>
            </w:r>
            <w:r w:rsidRPr="00AA6C13">
              <w:rPr>
                <w:rFonts w:eastAsia="Calibri"/>
                <w:i/>
              </w:rPr>
              <w:t xml:space="preserve"> </w:t>
            </w:r>
            <w:r w:rsidR="00D85D4F" w:rsidRPr="00AA6C13">
              <w:rPr>
                <w:rFonts w:eastAsia="Calibri"/>
                <w:i/>
              </w:rPr>
              <w:t xml:space="preserve">of the </w:t>
            </w:r>
            <w:proofErr w:type="spellStart"/>
            <w:r w:rsidR="00FC43F0" w:rsidRPr="00AA6C13">
              <w:rPr>
                <w:rFonts w:eastAsia="Calibri"/>
                <w:i/>
              </w:rPr>
              <w:t>a</w:t>
            </w:r>
            <w:r w:rsidRPr="00AA6C13">
              <w:rPr>
                <w:rFonts w:eastAsia="Calibri"/>
                <w:i/>
              </w:rPr>
              <w:t>m</w:t>
            </w:r>
            <w:r w:rsidR="00D85D4F" w:rsidRPr="00AA6C13">
              <w:rPr>
                <w:rFonts w:eastAsia="Calibri"/>
                <w:i/>
              </w:rPr>
              <w:t>erican</w:t>
            </w:r>
            <w:proofErr w:type="spellEnd"/>
            <w:r w:rsidRPr="00AA6C13">
              <w:rPr>
                <w:rFonts w:eastAsia="Calibri"/>
                <w:i/>
              </w:rPr>
              <w:t xml:space="preserve"> </w:t>
            </w:r>
            <w:r w:rsidR="00FC43F0" w:rsidRPr="00AA6C13">
              <w:rPr>
                <w:rFonts w:eastAsia="Calibri"/>
                <w:i/>
              </w:rPr>
              <w:t>m</w:t>
            </w:r>
            <w:r w:rsidRPr="00AA6C13">
              <w:rPr>
                <w:rFonts w:eastAsia="Calibri"/>
                <w:i/>
              </w:rPr>
              <w:t>ed</w:t>
            </w:r>
            <w:r w:rsidR="00D85D4F" w:rsidRPr="00AA6C13">
              <w:rPr>
                <w:rFonts w:eastAsia="Calibri"/>
                <w:i/>
              </w:rPr>
              <w:t>ical</w:t>
            </w:r>
            <w:r w:rsidRPr="00AA6C13">
              <w:rPr>
                <w:rFonts w:eastAsia="Calibri"/>
                <w:i/>
              </w:rPr>
              <w:t xml:space="preserve"> </w:t>
            </w:r>
            <w:r w:rsidR="00FC43F0" w:rsidRPr="00AA6C13">
              <w:rPr>
                <w:rFonts w:eastAsia="Calibri"/>
                <w:i/>
              </w:rPr>
              <w:t>i</w:t>
            </w:r>
            <w:r w:rsidRPr="00AA6C13">
              <w:rPr>
                <w:rFonts w:eastAsia="Calibri"/>
                <w:i/>
              </w:rPr>
              <w:t>nform</w:t>
            </w:r>
            <w:r w:rsidR="00D85D4F" w:rsidRPr="00AA6C13">
              <w:rPr>
                <w:rFonts w:eastAsia="Calibri"/>
                <w:i/>
              </w:rPr>
              <w:t>atics</w:t>
            </w:r>
            <w:r w:rsidRPr="00AA6C13">
              <w:rPr>
                <w:rFonts w:eastAsia="Calibri"/>
                <w:i/>
              </w:rPr>
              <w:t xml:space="preserve"> </w:t>
            </w:r>
            <w:r w:rsidR="00921E8E" w:rsidRPr="00AA6C13">
              <w:rPr>
                <w:rFonts w:eastAsia="Calibri"/>
                <w:i/>
              </w:rPr>
              <w:t>a</w:t>
            </w:r>
            <w:r w:rsidRPr="00AA6C13">
              <w:rPr>
                <w:rFonts w:eastAsia="Calibri"/>
                <w:i/>
              </w:rPr>
              <w:t>ssoc</w:t>
            </w:r>
            <w:r w:rsidR="00D85D4F" w:rsidRPr="00AA6C13">
              <w:rPr>
                <w:rFonts w:eastAsia="Calibri"/>
                <w:i/>
              </w:rPr>
              <w:t>iatio</w:t>
            </w:r>
            <w:r w:rsidR="000876BA" w:rsidRPr="00AA6C13">
              <w:rPr>
                <w:rFonts w:eastAsia="Calibri"/>
                <w:i/>
              </w:rPr>
              <w:t>n</w:t>
            </w:r>
            <w:r w:rsidRPr="00AA6C13">
              <w:rPr>
                <w:rFonts w:eastAsia="Calibri"/>
              </w:rPr>
              <w:t xml:space="preserve">. </w:t>
            </w:r>
            <w:r w:rsidR="00D53527" w:rsidRPr="00AA6C13">
              <w:rPr>
                <w:rFonts w:eastAsia="Calibri"/>
              </w:rPr>
              <w:t xml:space="preserve">Volume </w:t>
            </w:r>
            <w:r w:rsidRPr="00AA6C13">
              <w:rPr>
                <w:rFonts w:eastAsia="Calibri"/>
                <w:bCs/>
              </w:rPr>
              <w:t>27</w:t>
            </w:r>
            <w:r w:rsidRPr="00AA6C13">
              <w:rPr>
                <w:rFonts w:eastAsia="Calibri"/>
              </w:rPr>
              <w:t>(3):491-497.</w:t>
            </w:r>
            <w:r w:rsidR="00FC4D97" w:rsidRPr="00AA6C13">
              <w:rPr>
                <w:rFonts w:eastAsia="Calibri"/>
              </w:rPr>
              <w:t xml:space="preserve"> [b-Reddy</w:t>
            </w:r>
            <w:r w:rsidR="00B2482C" w:rsidRPr="00AA6C13">
              <w:rPr>
                <w:rFonts w:eastAsia="Calibri"/>
              </w:rPr>
              <w:t xml:space="preserve"> et al., 2020]</w:t>
            </w:r>
            <w:r w:rsidR="00A536D5" w:rsidRPr="00AA6C13">
              <w:rPr>
                <w:rFonts w:eastAsia="Calibri"/>
              </w:rPr>
              <w:t>.</w:t>
            </w:r>
            <w:r w:rsidRPr="00AA6C13">
              <w:rPr>
                <w:rFonts w:eastAsia="Calibri"/>
              </w:rPr>
              <w:t xml:space="preserve"> </w:t>
            </w:r>
            <w:hyperlink r:id="rId74">
              <w:r w:rsidRPr="00AA6C13">
                <w:rPr>
                  <w:rFonts w:eastAsia="Calibri"/>
                  <w:color w:val="0000FF"/>
                  <w:u w:val="single"/>
                </w:rPr>
                <w:t>https://doi.org/10.1093/jamia/ocz192</w:t>
              </w:r>
            </w:hyperlink>
            <w:r w:rsidRPr="00AA6C13">
              <w:rPr>
                <w:rFonts w:eastAsia="Calibri"/>
              </w:rPr>
              <w:t xml:space="preserve"> </w:t>
            </w:r>
          </w:p>
        </w:tc>
      </w:tr>
      <w:tr w:rsidR="000F37B9" w:rsidRPr="00AA6C13" w14:paraId="7BAFC37E" w14:textId="77777777" w:rsidTr="00DF6BD1">
        <w:trPr>
          <w:jc w:val="center"/>
        </w:trPr>
        <w:tc>
          <w:tcPr>
            <w:tcW w:w="9630" w:type="dxa"/>
          </w:tcPr>
          <w:p w14:paraId="0F383E03" w14:textId="2BF4D5CB" w:rsidR="000F37B9" w:rsidRPr="00AA6C13" w:rsidRDefault="00D53643" w:rsidP="00482D83">
            <w:pPr>
              <w:rPr>
                <w:rFonts w:eastAsia="Calibri"/>
                <w:i/>
              </w:rPr>
            </w:pPr>
            <w:r w:rsidRPr="00AA6C13">
              <w:rPr>
                <w:rFonts w:eastAsia="Calibri"/>
                <w:i/>
              </w:rPr>
              <w:t>"</w:t>
            </w:r>
            <w:r w:rsidR="006E3196" w:rsidRPr="00AA6C13">
              <w:rPr>
                <w:rFonts w:eastAsia="Calibri"/>
                <w:i/>
              </w:rPr>
              <w:t>A</w:t>
            </w:r>
            <w:r w:rsidR="000F37B9" w:rsidRPr="00AA6C13">
              <w:rPr>
                <w:rFonts w:eastAsia="Calibri"/>
                <w:i/>
              </w:rPr>
              <w:t xml:space="preserve"> governance model that aims to not only address the ethical and regulatory issues that arise out of the application of AI in health </w:t>
            </w:r>
            <w:proofErr w:type="gramStart"/>
            <w:r w:rsidR="000F37B9" w:rsidRPr="00AA6C13">
              <w:rPr>
                <w:rFonts w:eastAsia="Calibri"/>
                <w:i/>
              </w:rPr>
              <w:t>care, but</w:t>
            </w:r>
            <w:proofErr w:type="gramEnd"/>
            <w:r w:rsidR="000F37B9" w:rsidRPr="00AA6C13">
              <w:rPr>
                <w:rFonts w:eastAsia="Calibri"/>
                <w:i/>
              </w:rPr>
              <w:t xml:space="preserve"> also stimulate further discussion about governance of AI in health care</w:t>
            </w:r>
            <w:r w:rsidR="00970379" w:rsidRPr="00AA6C13">
              <w:rPr>
                <w:rFonts w:eastAsia="Calibri"/>
                <w:i/>
              </w:rPr>
              <w:t>.</w:t>
            </w:r>
            <w:r w:rsidRPr="00AA6C13">
              <w:rPr>
                <w:rFonts w:eastAsia="Calibri"/>
                <w:i/>
              </w:rPr>
              <w:t>"</w:t>
            </w:r>
          </w:p>
        </w:tc>
      </w:tr>
    </w:tbl>
    <w:p w14:paraId="7827C07A" w14:textId="77777777" w:rsidR="000F37B9" w:rsidRPr="00AA6C13" w:rsidRDefault="000F37B9" w:rsidP="000F37B9"/>
    <w:tbl>
      <w:tblPr>
        <w:tblStyle w:val="TableGrid"/>
        <w:tblW w:w="9629" w:type="dxa"/>
        <w:jc w:val="center"/>
        <w:tblLook w:val="06A0" w:firstRow="1" w:lastRow="0" w:firstColumn="1" w:lastColumn="0" w:noHBand="1" w:noVBand="1"/>
      </w:tblPr>
      <w:tblGrid>
        <w:gridCol w:w="9629"/>
      </w:tblGrid>
      <w:tr w:rsidR="000F37B9" w:rsidRPr="00AA6C13" w14:paraId="07832CB1" w14:textId="77777777" w:rsidTr="00DF6BD1">
        <w:trPr>
          <w:jc w:val="center"/>
        </w:trPr>
        <w:tc>
          <w:tcPr>
            <w:tcW w:w="9629" w:type="dxa"/>
            <w:shd w:val="clear" w:color="auto" w:fill="E7E6E6" w:themeFill="background2"/>
          </w:tcPr>
          <w:p w14:paraId="280FF6FE" w14:textId="791027BF" w:rsidR="000F37B9" w:rsidRPr="00AA6C13" w:rsidRDefault="000F37B9" w:rsidP="00DF6BD1">
            <w:pPr>
              <w:keepNext/>
              <w:keepLines/>
              <w:rPr>
                <w:rFonts w:eastAsia="Calibri"/>
                <w:b/>
                <w:bCs/>
              </w:rPr>
            </w:pPr>
            <w:r w:rsidRPr="00AA6C13">
              <w:rPr>
                <w:rFonts w:eastAsia="DengXian"/>
                <w:b/>
                <w:bCs/>
              </w:rPr>
              <w:lastRenderedPageBreak/>
              <w:t>Evaluation of artificial intelligence clinical applications: Detailed case analyses show value of healthcare ethics approach in identifying patient care issues</w:t>
            </w:r>
            <w:r w:rsidR="00F93F1E" w:rsidRPr="00AA6C13">
              <w:rPr>
                <w:rFonts w:eastAsia="DengXian"/>
                <w:b/>
                <w:bCs/>
              </w:rPr>
              <w:t>.</w:t>
            </w:r>
          </w:p>
        </w:tc>
      </w:tr>
      <w:tr w:rsidR="000F37B9" w:rsidRPr="00AA6C13" w14:paraId="5E1D30A9" w14:textId="77777777" w:rsidTr="00DF6BD1">
        <w:trPr>
          <w:jc w:val="center"/>
        </w:trPr>
        <w:tc>
          <w:tcPr>
            <w:tcW w:w="9629" w:type="dxa"/>
          </w:tcPr>
          <w:p w14:paraId="4E56418A" w14:textId="5CF14D67" w:rsidR="000F37B9" w:rsidRPr="00AA6C13" w:rsidRDefault="000F37B9" w:rsidP="00DF6BD1">
            <w:pPr>
              <w:keepNext/>
              <w:keepLines/>
              <w:rPr>
                <w:rFonts w:eastAsia="Times New Roman"/>
              </w:rPr>
            </w:pPr>
            <w:r w:rsidRPr="00AA6C13">
              <w:rPr>
                <w:rFonts w:eastAsia="Times New Roman"/>
              </w:rPr>
              <w:t>Rogers, W</w:t>
            </w:r>
            <w:r w:rsidR="00915ACF" w:rsidRPr="00AA6C13">
              <w:rPr>
                <w:rFonts w:eastAsia="Times New Roman"/>
              </w:rPr>
              <w:t xml:space="preserve">. </w:t>
            </w:r>
            <w:r w:rsidRPr="00AA6C13">
              <w:rPr>
                <w:rFonts w:eastAsia="Times New Roman"/>
              </w:rPr>
              <w:t>A</w:t>
            </w:r>
            <w:r w:rsidR="00915ACF" w:rsidRPr="00AA6C13">
              <w:rPr>
                <w:rFonts w:eastAsia="Times New Roman"/>
              </w:rPr>
              <w:t>.</w:t>
            </w:r>
            <w:r w:rsidRPr="00AA6C13">
              <w:rPr>
                <w:rFonts w:eastAsia="Times New Roman"/>
              </w:rPr>
              <w:t>, Draper, H</w:t>
            </w:r>
            <w:r w:rsidR="002A01E4" w:rsidRPr="00AA6C13">
              <w:rPr>
                <w:rFonts w:eastAsia="Times New Roman"/>
              </w:rPr>
              <w:t>.</w:t>
            </w:r>
            <w:r w:rsidRPr="00AA6C13">
              <w:rPr>
                <w:rFonts w:eastAsia="Times New Roman"/>
              </w:rPr>
              <w:t>, Carter, S</w:t>
            </w:r>
            <w:r w:rsidR="00156007" w:rsidRPr="00AA6C13">
              <w:rPr>
                <w:rFonts w:eastAsia="Times New Roman"/>
              </w:rPr>
              <w:t xml:space="preserve">. </w:t>
            </w:r>
            <w:r w:rsidRPr="00AA6C13">
              <w:rPr>
                <w:rFonts w:eastAsia="Times New Roman"/>
              </w:rPr>
              <w:t>M. (2021)</w:t>
            </w:r>
            <w:r w:rsidR="00AE5A57" w:rsidRPr="00AA6C13">
              <w:rPr>
                <w:rFonts w:eastAsia="Times New Roman"/>
              </w:rPr>
              <w:t>.</w:t>
            </w:r>
            <w:r w:rsidRPr="00AA6C13">
              <w:rPr>
                <w:rFonts w:eastAsia="Times New Roman"/>
              </w:rPr>
              <w:t xml:space="preserve"> Evaluation of artificial intelligence clinical applications: Detailed case analyses show value of healthcare ethics approach in identifying patient care issues. </w:t>
            </w:r>
            <w:r w:rsidRPr="00AA6C13">
              <w:rPr>
                <w:rFonts w:eastAsia="Times New Roman"/>
                <w:i/>
                <w:iCs/>
              </w:rPr>
              <w:t>Bioethics</w:t>
            </w:r>
            <w:r w:rsidRPr="00AA6C13">
              <w:rPr>
                <w:rFonts w:eastAsia="Times New Roman"/>
              </w:rPr>
              <w:t>.</w:t>
            </w:r>
            <w:r w:rsidR="00F74884" w:rsidRPr="00AA6C13">
              <w:rPr>
                <w:rFonts w:eastAsia="Times New Roman"/>
              </w:rPr>
              <w:t xml:space="preserve"> </w:t>
            </w:r>
            <w:r w:rsidR="00FD6CBE" w:rsidRPr="00AA6C13">
              <w:rPr>
                <w:rFonts w:eastAsia="Times New Roman"/>
              </w:rPr>
              <w:t>[</w:t>
            </w:r>
            <w:r w:rsidR="00F74884" w:rsidRPr="00AA6C13">
              <w:t>b-Rogers et al., 2021</w:t>
            </w:r>
            <w:r w:rsidR="00FD6CBE" w:rsidRPr="00AA6C13">
              <w:t>]</w:t>
            </w:r>
            <w:r w:rsidR="007458A2" w:rsidRPr="00AA6C13">
              <w:t>.</w:t>
            </w:r>
            <w:r w:rsidRPr="00AA6C13">
              <w:rPr>
                <w:rFonts w:eastAsia="Times New Roman"/>
              </w:rPr>
              <w:t xml:space="preserve"> </w:t>
            </w:r>
            <w:hyperlink r:id="rId75" w:history="1">
              <w:r w:rsidRPr="00AA6C13">
                <w:rPr>
                  <w:rStyle w:val="Hyperlink"/>
                  <w:rFonts w:eastAsia="Times New Roman"/>
                </w:rPr>
                <w:t>https://doi.org/10.1111/bioe.12885</w:t>
              </w:r>
            </w:hyperlink>
            <w:r w:rsidRPr="00AA6C13">
              <w:rPr>
                <w:rFonts w:eastAsia="Times New Roman"/>
              </w:rPr>
              <w:t xml:space="preserve"> </w:t>
            </w:r>
          </w:p>
        </w:tc>
      </w:tr>
      <w:tr w:rsidR="000F37B9" w:rsidRPr="00AA6C13" w14:paraId="5E0CD0ED" w14:textId="77777777" w:rsidTr="00DF6BD1">
        <w:trPr>
          <w:jc w:val="center"/>
        </w:trPr>
        <w:tc>
          <w:tcPr>
            <w:tcW w:w="9629" w:type="dxa"/>
          </w:tcPr>
          <w:p w14:paraId="20E0A1F5" w14:textId="4C148F5F" w:rsidR="000F37B9" w:rsidRPr="00AA6C13" w:rsidRDefault="00D53643" w:rsidP="00DF6BD1">
            <w:pPr>
              <w:keepNext/>
              <w:keepLines/>
              <w:rPr>
                <w:rFonts w:eastAsia="Times New Roman"/>
                <w:i/>
              </w:rPr>
            </w:pPr>
            <w:r w:rsidRPr="00AA6C13">
              <w:rPr>
                <w:rFonts w:eastAsia="Times New Roman"/>
                <w:i/>
              </w:rPr>
              <w:t>"</w:t>
            </w:r>
            <w:r w:rsidR="000F37B9" w:rsidRPr="00AA6C13">
              <w:rPr>
                <w:rFonts w:eastAsia="Times New Roman"/>
                <w:i/>
              </w:rPr>
              <w:t xml:space="preserve">Our ethical evaluation identifies context- and case-specific healthcare ethical issues for two </w:t>
            </w:r>
            <w:proofErr w:type="gramStart"/>
            <w:r w:rsidR="000F37B9" w:rsidRPr="00AA6C13">
              <w:rPr>
                <w:rFonts w:eastAsia="Times New Roman"/>
                <w:i/>
              </w:rPr>
              <w:t>applications, and</w:t>
            </w:r>
            <w:proofErr w:type="gramEnd"/>
            <w:r w:rsidR="000F37B9" w:rsidRPr="00AA6C13">
              <w:rPr>
                <w:rFonts w:eastAsia="Times New Roman"/>
                <w:i/>
              </w:rPr>
              <w:t xml:space="preserve"> investigates the extent to which the general ethical principles for AI-assisted healthcare expressed in existing frameworks capture what is most ethically relevant from the perspective of healthcare ethics. We provide a detailed description and analysis of two AI-based systems for clinical decision support [...]</w:t>
            </w:r>
            <w:r w:rsidRPr="00AA6C13">
              <w:rPr>
                <w:rFonts w:eastAsia="Times New Roman"/>
                <w:i/>
              </w:rPr>
              <w:t>"</w:t>
            </w:r>
          </w:p>
          <w:p w14:paraId="64B1F052" w14:textId="121248B6" w:rsidR="000F37B9" w:rsidRPr="00AA6C13" w:rsidRDefault="00D53643" w:rsidP="00DF6BD1">
            <w:pPr>
              <w:keepNext/>
              <w:keepLines/>
              <w:rPr>
                <w:rFonts w:eastAsia="Times New Roman"/>
                <w:i/>
              </w:rPr>
            </w:pPr>
            <w:r w:rsidRPr="00AA6C13">
              <w:rPr>
                <w:rFonts w:eastAsia="Times New Roman"/>
                <w:i/>
              </w:rPr>
              <w:t>"</w:t>
            </w:r>
            <w:r w:rsidR="000F37B9" w:rsidRPr="00AA6C13">
              <w:rPr>
                <w:rFonts w:eastAsia="Times New Roman"/>
                <w:i/>
              </w:rPr>
              <w:t>[...] our analysis points to the close connection between ethical evaluation of healthcare and technical reporting. Details about the training set, the way the algorithm is constructed, sensitivity and specificity, data storage and so forth are essential for making ethical evaluations.</w:t>
            </w:r>
            <w:r w:rsidRPr="00AA6C13">
              <w:rPr>
                <w:rFonts w:eastAsia="Times New Roman"/>
                <w:i/>
              </w:rPr>
              <w:t>"</w:t>
            </w:r>
          </w:p>
          <w:p w14:paraId="195D5C19" w14:textId="4D7B08E7" w:rsidR="000F37B9" w:rsidRPr="00AA6C13" w:rsidRDefault="00D53643" w:rsidP="00DF6BD1">
            <w:pPr>
              <w:keepNext/>
              <w:keepLines/>
              <w:rPr>
                <w:rFonts w:eastAsia="Times New Roman"/>
                <w:i/>
              </w:rPr>
            </w:pPr>
            <w:r w:rsidRPr="00AA6C13">
              <w:rPr>
                <w:rFonts w:eastAsia="Times New Roman"/>
                <w:i/>
              </w:rPr>
              <w:t>"</w:t>
            </w:r>
            <w:r w:rsidR="000F37B9" w:rsidRPr="00AA6C13">
              <w:rPr>
                <w:rFonts w:eastAsia="Times New Roman"/>
                <w:i/>
              </w:rPr>
              <w:t>[...] ethicists must contribute to multidisciplinary evaluations of healthcare AIs, to ensure accuracy in interpreting the ethical implications of technical specifications.</w:t>
            </w:r>
            <w:r w:rsidRPr="00AA6C13">
              <w:rPr>
                <w:rFonts w:eastAsia="Times New Roman"/>
                <w:i/>
              </w:rPr>
              <w:t>"</w:t>
            </w:r>
          </w:p>
          <w:p w14:paraId="2DA2EA8C" w14:textId="284E95C4" w:rsidR="000F37B9" w:rsidRPr="00AA6C13" w:rsidRDefault="00D53643" w:rsidP="00DF6BD1">
            <w:pPr>
              <w:keepNext/>
              <w:keepLines/>
              <w:rPr>
                <w:rFonts w:eastAsia="Times New Roman"/>
              </w:rPr>
            </w:pPr>
            <w:r w:rsidRPr="00AA6C13">
              <w:rPr>
                <w:rFonts w:eastAsia="Times New Roman"/>
                <w:i/>
              </w:rPr>
              <w:t>"</w:t>
            </w:r>
            <w:r w:rsidR="000F37B9" w:rsidRPr="00AA6C13">
              <w:rPr>
                <w:rFonts w:eastAsia="Times New Roman"/>
                <w:i/>
              </w:rPr>
              <w:t>Our paper provides a potential blueprint for further use-case analyses. It is a contribution towards developing a robust ethical evaluation of healthcare AI that can be integrated with other appraisal tools.</w:t>
            </w:r>
            <w:r w:rsidRPr="00AA6C13">
              <w:rPr>
                <w:rFonts w:eastAsia="Times New Roman"/>
                <w:i/>
              </w:rPr>
              <w:t>"</w:t>
            </w:r>
          </w:p>
        </w:tc>
      </w:tr>
    </w:tbl>
    <w:p w14:paraId="0CB0D46D" w14:textId="77777777" w:rsidR="000F37B9" w:rsidRPr="00AA6C13" w:rsidRDefault="000F37B9" w:rsidP="000F37B9">
      <w:pPr>
        <w:rPr>
          <w:rFonts w:eastAsia="Calibri"/>
        </w:rPr>
      </w:pPr>
    </w:p>
    <w:tbl>
      <w:tblPr>
        <w:tblStyle w:val="TableGrid"/>
        <w:tblW w:w="9629" w:type="dxa"/>
        <w:jc w:val="center"/>
        <w:tblLook w:val="06A0" w:firstRow="1" w:lastRow="0" w:firstColumn="1" w:lastColumn="0" w:noHBand="1" w:noVBand="1"/>
      </w:tblPr>
      <w:tblGrid>
        <w:gridCol w:w="9629"/>
      </w:tblGrid>
      <w:tr w:rsidR="000F37B9" w:rsidRPr="00AA6C13" w14:paraId="7346A3D4" w14:textId="77777777" w:rsidTr="00DF6BD1">
        <w:trPr>
          <w:jc w:val="center"/>
        </w:trPr>
        <w:tc>
          <w:tcPr>
            <w:tcW w:w="9629" w:type="dxa"/>
            <w:shd w:val="clear" w:color="auto" w:fill="E7E6E6" w:themeFill="background2"/>
          </w:tcPr>
          <w:p w14:paraId="76D20CEC" w14:textId="30334734" w:rsidR="000F37B9" w:rsidRPr="00AA6C13" w:rsidRDefault="000F37B9" w:rsidP="00482D83">
            <w:pPr>
              <w:spacing w:line="259" w:lineRule="auto"/>
              <w:rPr>
                <w:rFonts w:eastAsia="DengXian"/>
                <w:b/>
                <w:bCs/>
              </w:rPr>
            </w:pPr>
            <w:r w:rsidRPr="00AA6C13">
              <w:rPr>
                <w:rFonts w:eastAsia="Calibri"/>
                <w:b/>
                <w:bCs/>
              </w:rPr>
              <w:t xml:space="preserve">ECLAIR </w:t>
            </w:r>
            <w:r w:rsidR="00344CB7" w:rsidRPr="00AA6C13">
              <w:rPr>
                <w:rFonts w:eastAsia="Calibri"/>
                <w:b/>
                <w:bCs/>
              </w:rPr>
              <w:t>g</w:t>
            </w:r>
            <w:r w:rsidRPr="00AA6C13">
              <w:rPr>
                <w:rFonts w:eastAsia="Calibri"/>
                <w:b/>
                <w:bCs/>
              </w:rPr>
              <w:t>uidelines</w:t>
            </w:r>
            <w:r w:rsidR="00A47CF8" w:rsidRPr="00AA6C13">
              <w:rPr>
                <w:rFonts w:eastAsia="Calibri"/>
                <w:b/>
                <w:bCs/>
              </w:rPr>
              <w:t>.</w:t>
            </w:r>
          </w:p>
        </w:tc>
      </w:tr>
      <w:tr w:rsidR="000F37B9" w:rsidRPr="00AA6C13" w14:paraId="668EB4A3" w14:textId="77777777" w:rsidTr="00DF6BD1">
        <w:trPr>
          <w:jc w:val="center"/>
        </w:trPr>
        <w:tc>
          <w:tcPr>
            <w:tcW w:w="9629" w:type="dxa"/>
          </w:tcPr>
          <w:p w14:paraId="78080402" w14:textId="4DB702EE" w:rsidR="000F37B9" w:rsidRPr="00AA6C13" w:rsidRDefault="000F37B9" w:rsidP="00482D83">
            <w:pPr>
              <w:rPr>
                <w:rFonts w:eastAsia="DengXian"/>
              </w:rPr>
            </w:pPr>
            <w:proofErr w:type="spellStart"/>
            <w:r w:rsidRPr="004D4B8A">
              <w:rPr>
                <w:rFonts w:eastAsia="Times New Roman"/>
                <w:lang w:val="fr-CH"/>
              </w:rPr>
              <w:t>Omoumi</w:t>
            </w:r>
            <w:proofErr w:type="spellEnd"/>
            <w:r w:rsidRPr="004D4B8A">
              <w:rPr>
                <w:rFonts w:eastAsia="Times New Roman"/>
                <w:lang w:val="fr-CH"/>
              </w:rPr>
              <w:t xml:space="preserve">, P., </w:t>
            </w:r>
            <w:proofErr w:type="spellStart"/>
            <w:r w:rsidRPr="004D4B8A">
              <w:rPr>
                <w:rFonts w:eastAsia="Times New Roman"/>
                <w:lang w:val="fr-CH"/>
              </w:rPr>
              <w:t>Ducarouge</w:t>
            </w:r>
            <w:proofErr w:type="spellEnd"/>
            <w:r w:rsidRPr="004D4B8A">
              <w:rPr>
                <w:rFonts w:eastAsia="Times New Roman"/>
                <w:lang w:val="fr-CH"/>
              </w:rPr>
              <w:t>, A., Tournier, A.</w:t>
            </w:r>
            <w:r w:rsidR="00A91D24" w:rsidRPr="004D4B8A">
              <w:rPr>
                <w:rFonts w:eastAsia="Times New Roman"/>
                <w:lang w:val="fr-CH"/>
              </w:rPr>
              <w:t xml:space="preserve">, </w:t>
            </w:r>
            <w:r w:rsidR="00397EE5" w:rsidRPr="004D4B8A">
              <w:rPr>
                <w:rFonts w:eastAsia="Times New Roman"/>
                <w:lang w:val="fr-CH"/>
              </w:rPr>
              <w:t>Harvey, H., Kahn Jr., C. E.,</w:t>
            </w:r>
            <w:r w:rsidR="00676B24" w:rsidRPr="004D4B8A">
              <w:rPr>
                <w:rFonts w:eastAsia="Times New Roman"/>
                <w:lang w:val="fr-CH"/>
              </w:rPr>
              <w:t xml:space="preserve"> Louvet-de Verchè</w:t>
            </w:r>
            <w:r w:rsidR="00652C9B" w:rsidRPr="004D4B8A">
              <w:rPr>
                <w:rFonts w:eastAsia="Times New Roman"/>
                <w:lang w:val="fr-CH"/>
              </w:rPr>
              <w:t>re</w:t>
            </w:r>
            <w:r w:rsidR="00E0334C" w:rsidRPr="004D4B8A">
              <w:rPr>
                <w:rFonts w:eastAsia="Times New Roman"/>
                <w:lang w:val="fr-CH"/>
              </w:rPr>
              <w:t xml:space="preserve">, F., </w:t>
            </w:r>
            <w:r w:rsidR="00F34159" w:rsidRPr="004D4B8A">
              <w:rPr>
                <w:rFonts w:eastAsia="Times New Roman"/>
                <w:lang w:val="fr-CH"/>
              </w:rPr>
              <w:t xml:space="preserve">Santos, D. P. D., </w:t>
            </w:r>
            <w:r w:rsidR="00251F9B" w:rsidRPr="004D4B8A">
              <w:rPr>
                <w:rFonts w:eastAsia="Times New Roman"/>
                <w:lang w:val="fr-CH"/>
              </w:rPr>
              <w:t xml:space="preserve">Kober, T., and </w:t>
            </w:r>
            <w:proofErr w:type="spellStart"/>
            <w:r w:rsidR="00251F9B" w:rsidRPr="004D4B8A">
              <w:rPr>
                <w:rFonts w:eastAsia="Times New Roman"/>
                <w:lang w:val="fr-CH"/>
              </w:rPr>
              <w:t>Richiardi</w:t>
            </w:r>
            <w:proofErr w:type="spellEnd"/>
            <w:r w:rsidR="00251F9B" w:rsidRPr="004D4B8A">
              <w:rPr>
                <w:rFonts w:eastAsia="Times New Roman"/>
                <w:lang w:val="fr-CH"/>
              </w:rPr>
              <w:t>, J</w:t>
            </w:r>
            <w:r w:rsidRPr="004D4B8A">
              <w:rPr>
                <w:rFonts w:eastAsia="Times New Roman"/>
                <w:i/>
                <w:iCs/>
                <w:lang w:val="fr-CH"/>
              </w:rPr>
              <w:t>.</w:t>
            </w:r>
            <w:r w:rsidRPr="004D4B8A">
              <w:rPr>
                <w:rFonts w:eastAsia="Times New Roman"/>
                <w:lang w:val="fr-CH"/>
              </w:rPr>
              <w:t xml:space="preserve"> (2021). </w:t>
            </w:r>
            <w:r w:rsidRPr="00AA6C13">
              <w:rPr>
                <w:rFonts w:eastAsia="Times New Roman"/>
              </w:rPr>
              <w:t xml:space="preserve">To buy or not to buy—evaluating commercial AI solutions in radiology (the ECLAIR guidelines). </w:t>
            </w:r>
            <w:r w:rsidRPr="00AA6C13">
              <w:rPr>
                <w:rFonts w:eastAsia="Times New Roman"/>
                <w:i/>
                <w:iCs/>
              </w:rPr>
              <w:t>Eur</w:t>
            </w:r>
            <w:r w:rsidR="000D48D6" w:rsidRPr="00AA6C13">
              <w:rPr>
                <w:rFonts w:eastAsia="Times New Roman"/>
                <w:i/>
                <w:iCs/>
              </w:rPr>
              <w:t>opean</w:t>
            </w:r>
            <w:r w:rsidRPr="00AA6C13">
              <w:rPr>
                <w:rFonts w:eastAsia="Times New Roman"/>
                <w:i/>
                <w:iCs/>
              </w:rPr>
              <w:t xml:space="preserve"> </w:t>
            </w:r>
            <w:r w:rsidR="006C5AD9" w:rsidRPr="00AA6C13">
              <w:rPr>
                <w:rFonts w:eastAsia="Times New Roman"/>
                <w:i/>
                <w:iCs/>
              </w:rPr>
              <w:t>r</w:t>
            </w:r>
            <w:r w:rsidRPr="00AA6C13">
              <w:rPr>
                <w:rFonts w:eastAsia="Times New Roman"/>
                <w:i/>
                <w:iCs/>
              </w:rPr>
              <w:t>adiol</w:t>
            </w:r>
            <w:r w:rsidR="000D48D6" w:rsidRPr="00AA6C13">
              <w:rPr>
                <w:rFonts w:eastAsia="Times New Roman"/>
                <w:i/>
                <w:iCs/>
              </w:rPr>
              <w:t>ogy</w:t>
            </w:r>
            <w:r w:rsidRPr="00AA6C13">
              <w:rPr>
                <w:rFonts w:eastAsia="Times New Roman"/>
              </w:rPr>
              <w:t xml:space="preserve"> </w:t>
            </w:r>
            <w:r w:rsidRPr="00AA6C13">
              <w:rPr>
                <w:rFonts w:eastAsia="Times New Roman"/>
                <w:b/>
                <w:bCs/>
              </w:rPr>
              <w:t xml:space="preserve">31, </w:t>
            </w:r>
            <w:r w:rsidRPr="00AA6C13">
              <w:rPr>
                <w:rFonts w:eastAsia="Times New Roman"/>
              </w:rPr>
              <w:t xml:space="preserve">3786–3796. </w:t>
            </w:r>
            <w:r w:rsidR="00364045" w:rsidRPr="00AA6C13">
              <w:rPr>
                <w:rFonts w:eastAsia="Times New Roman"/>
              </w:rPr>
              <w:t>[b</w:t>
            </w:r>
            <w:r w:rsidR="00DF6BD1" w:rsidRPr="00AA6C13">
              <w:rPr>
                <w:rFonts w:eastAsia="Times New Roman"/>
              </w:rPr>
              <w:noBreakHyphen/>
            </w:r>
            <w:proofErr w:type="spellStart"/>
            <w:r w:rsidR="00364045" w:rsidRPr="00AA6C13">
              <w:rPr>
                <w:rFonts w:eastAsia="Times New Roman"/>
              </w:rPr>
              <w:t>Omoumi</w:t>
            </w:r>
            <w:proofErr w:type="spellEnd"/>
            <w:r w:rsidR="001F344B" w:rsidRPr="00AA6C13">
              <w:rPr>
                <w:rFonts w:eastAsia="Times New Roman"/>
              </w:rPr>
              <w:t xml:space="preserve"> et al. 2021</w:t>
            </w:r>
            <w:r w:rsidR="00364045" w:rsidRPr="00AA6C13">
              <w:rPr>
                <w:rFonts w:eastAsia="Times New Roman"/>
              </w:rPr>
              <w:t>]</w:t>
            </w:r>
            <w:r w:rsidR="00F7595C" w:rsidRPr="00AA6C13">
              <w:rPr>
                <w:rFonts w:eastAsia="Times New Roman"/>
              </w:rPr>
              <w:t xml:space="preserve">. </w:t>
            </w:r>
            <w:hyperlink r:id="rId76" w:history="1">
              <w:r w:rsidR="001F344B" w:rsidRPr="00AA6C13">
                <w:rPr>
                  <w:rStyle w:val="Hyperlink"/>
                  <w:rFonts w:eastAsia="Times New Roman"/>
                </w:rPr>
                <w:t>https://doi.org/10.1007/s00330-020-07684-x</w:t>
              </w:r>
            </w:hyperlink>
            <w:r w:rsidRPr="00AA6C13">
              <w:rPr>
                <w:rFonts w:eastAsia="Times New Roman"/>
              </w:rPr>
              <w:t xml:space="preserve"> </w:t>
            </w:r>
          </w:p>
        </w:tc>
      </w:tr>
      <w:tr w:rsidR="000F37B9" w:rsidRPr="00AA6C13" w14:paraId="32D2C78B" w14:textId="77777777" w:rsidTr="00DF6BD1">
        <w:trPr>
          <w:jc w:val="center"/>
        </w:trPr>
        <w:tc>
          <w:tcPr>
            <w:tcW w:w="9629" w:type="dxa"/>
          </w:tcPr>
          <w:p w14:paraId="0BB4D16C" w14:textId="6DBB506A" w:rsidR="000F37B9" w:rsidRPr="00AA6C13" w:rsidRDefault="00D53643" w:rsidP="00482D83">
            <w:pPr>
              <w:rPr>
                <w:rFonts w:eastAsia="Times New Roman"/>
                <w:i/>
              </w:rPr>
            </w:pPr>
            <w:r w:rsidRPr="00AA6C13">
              <w:rPr>
                <w:rFonts w:eastAsia="Times New Roman"/>
                <w:i/>
              </w:rPr>
              <w:t>"</w:t>
            </w:r>
            <w:r w:rsidR="000F37B9" w:rsidRPr="00AA6C13">
              <w:rPr>
                <w:rFonts w:eastAsia="Times New Roman"/>
                <w:i/>
              </w:rPr>
              <w:t>While several guidelines describing good practices for conducting and reporting AI-based research in medicine and radiology have been published, fewer efforts have focused on recommendations addressing the key questions to consider when critically assessing AI solutions before purchase. Commercial AI solutions are typically complicated software products, for the evaluation of which many factors are to be considered. In this work, authors from academia and industry have joined efforts to propose a practical framework that will help stakeholders evaluate commercial AI solutions in radiology (the ECLAIR guidelines) and reach an informed decision. Topics to consider in the evaluation include the relevance of the solution from the point of view of each stakeholder, issues regarding performance and validation, usability and integration, regulatory and legal aspects, and financial and support services.</w:t>
            </w:r>
            <w:r w:rsidRPr="00AA6C13">
              <w:rPr>
                <w:rFonts w:eastAsia="Times New Roman"/>
                <w:i/>
              </w:rPr>
              <w:t>"</w:t>
            </w:r>
          </w:p>
        </w:tc>
      </w:tr>
    </w:tbl>
    <w:p w14:paraId="5A15540D" w14:textId="77777777" w:rsidR="000F37B9" w:rsidRPr="00AA6C13" w:rsidRDefault="000F37B9" w:rsidP="000F37B9">
      <w:pPr>
        <w:rPr>
          <w:rFonts w:eastAsia="Calibri"/>
        </w:rPr>
      </w:pPr>
    </w:p>
    <w:tbl>
      <w:tblPr>
        <w:tblStyle w:val="TableGrid"/>
        <w:tblW w:w="9639" w:type="dxa"/>
        <w:jc w:val="center"/>
        <w:tblLook w:val="06A0" w:firstRow="1" w:lastRow="0" w:firstColumn="1" w:lastColumn="0" w:noHBand="1" w:noVBand="1"/>
      </w:tblPr>
      <w:tblGrid>
        <w:gridCol w:w="9639"/>
      </w:tblGrid>
      <w:tr w:rsidR="000F37B9" w:rsidRPr="00AA6C13" w14:paraId="4B3C4B91" w14:textId="77777777" w:rsidTr="00DF6BD1">
        <w:trPr>
          <w:jc w:val="center"/>
        </w:trPr>
        <w:tc>
          <w:tcPr>
            <w:tcW w:w="9639" w:type="dxa"/>
            <w:shd w:val="clear" w:color="auto" w:fill="E7E6E6" w:themeFill="background2"/>
          </w:tcPr>
          <w:p w14:paraId="7F466922" w14:textId="06359DBB" w:rsidR="000F37B9" w:rsidRPr="00AA6C13" w:rsidRDefault="000F37B9" w:rsidP="00482D83">
            <w:pPr>
              <w:rPr>
                <w:rFonts w:eastAsia="Calibri"/>
                <w:b/>
                <w:bCs/>
              </w:rPr>
            </w:pPr>
            <w:r w:rsidRPr="00AA6C13">
              <w:rPr>
                <w:rFonts w:eastAsia="DengXian"/>
                <w:b/>
                <w:bCs/>
              </w:rPr>
              <w:t>Clinician checklist for assessing suitability of machine learning applications in healthcare</w:t>
            </w:r>
            <w:r w:rsidR="00A643EB" w:rsidRPr="00AA6C13">
              <w:rPr>
                <w:rFonts w:eastAsia="DengXian"/>
                <w:b/>
                <w:bCs/>
              </w:rPr>
              <w:t>.</w:t>
            </w:r>
          </w:p>
        </w:tc>
      </w:tr>
      <w:tr w:rsidR="000F37B9" w:rsidRPr="00AA6C13" w14:paraId="21F9D0AA" w14:textId="77777777" w:rsidTr="00DF6BD1">
        <w:trPr>
          <w:jc w:val="center"/>
        </w:trPr>
        <w:tc>
          <w:tcPr>
            <w:tcW w:w="9639" w:type="dxa"/>
          </w:tcPr>
          <w:p w14:paraId="632BCA39" w14:textId="4D145E97" w:rsidR="000F37B9" w:rsidRPr="00AA6C13" w:rsidRDefault="000F37B9" w:rsidP="00482D83">
            <w:pPr>
              <w:rPr>
                <w:rFonts w:eastAsia="DengXian"/>
              </w:rPr>
            </w:pPr>
            <w:r w:rsidRPr="00AA6C13">
              <w:rPr>
                <w:rFonts w:eastAsia="DengXian"/>
              </w:rPr>
              <w:t>Scott</w:t>
            </w:r>
            <w:r w:rsidR="000225C4" w:rsidRPr="00AA6C13">
              <w:rPr>
                <w:rFonts w:eastAsia="DengXian"/>
              </w:rPr>
              <w:t>,</w:t>
            </w:r>
            <w:r w:rsidRPr="00AA6C13">
              <w:rPr>
                <w:rFonts w:eastAsia="DengXian"/>
              </w:rPr>
              <w:t xml:space="preserve"> I</w:t>
            </w:r>
            <w:r w:rsidR="000225C4" w:rsidRPr="00AA6C13">
              <w:rPr>
                <w:rFonts w:eastAsia="DengXian"/>
              </w:rPr>
              <w:t>.</w:t>
            </w:r>
            <w:r w:rsidRPr="00AA6C13">
              <w:rPr>
                <w:rFonts w:eastAsia="DengXian"/>
              </w:rPr>
              <w:t>, Carter</w:t>
            </w:r>
            <w:r w:rsidR="0094501E" w:rsidRPr="00AA6C13">
              <w:rPr>
                <w:rFonts w:eastAsia="DengXian"/>
              </w:rPr>
              <w:t>,</w:t>
            </w:r>
            <w:r w:rsidRPr="00AA6C13">
              <w:rPr>
                <w:rFonts w:eastAsia="DengXian"/>
              </w:rPr>
              <w:t xml:space="preserve"> S</w:t>
            </w:r>
            <w:r w:rsidR="0094501E" w:rsidRPr="00AA6C13">
              <w:rPr>
                <w:rFonts w:eastAsia="DengXian"/>
              </w:rPr>
              <w:t>.</w:t>
            </w:r>
            <w:r w:rsidRPr="00AA6C13">
              <w:rPr>
                <w:rFonts w:eastAsia="DengXian"/>
              </w:rPr>
              <w:t xml:space="preserve">, </w:t>
            </w:r>
            <w:proofErr w:type="spellStart"/>
            <w:r w:rsidRPr="00AA6C13">
              <w:rPr>
                <w:rFonts w:eastAsia="DengXian"/>
              </w:rPr>
              <w:t>Coiera</w:t>
            </w:r>
            <w:proofErr w:type="spellEnd"/>
            <w:r w:rsidR="0094501E" w:rsidRPr="00AA6C13">
              <w:rPr>
                <w:rFonts w:eastAsia="DengXian"/>
              </w:rPr>
              <w:t>,</w:t>
            </w:r>
            <w:r w:rsidRPr="00AA6C13">
              <w:rPr>
                <w:rFonts w:eastAsia="DengXian"/>
              </w:rPr>
              <w:t xml:space="preserve"> E. (202</w:t>
            </w:r>
            <w:r w:rsidR="004B0E17" w:rsidRPr="00AA6C13">
              <w:rPr>
                <w:rFonts w:eastAsia="DengXian"/>
              </w:rPr>
              <w:t>0</w:t>
            </w:r>
            <w:r w:rsidRPr="00AA6C13">
              <w:rPr>
                <w:rFonts w:eastAsia="DengXian"/>
              </w:rPr>
              <w:t xml:space="preserve">). Clinician checklist for assessing suitability of machine learning applications in healthcare. BMJ </w:t>
            </w:r>
            <w:r w:rsidR="006077A3" w:rsidRPr="00AA6C13">
              <w:rPr>
                <w:rFonts w:eastAsia="DengXian"/>
              </w:rPr>
              <w:t>h</w:t>
            </w:r>
            <w:r w:rsidRPr="00AA6C13">
              <w:rPr>
                <w:rFonts w:eastAsia="DengXian"/>
              </w:rPr>
              <w:t xml:space="preserve">ealth &amp; </w:t>
            </w:r>
            <w:r w:rsidR="006077A3" w:rsidRPr="00AA6C13">
              <w:rPr>
                <w:rFonts w:eastAsia="DengXian"/>
              </w:rPr>
              <w:t>c</w:t>
            </w:r>
            <w:r w:rsidRPr="00AA6C13">
              <w:rPr>
                <w:rFonts w:eastAsia="DengXian"/>
              </w:rPr>
              <w:t xml:space="preserve">are </w:t>
            </w:r>
            <w:r w:rsidR="006077A3" w:rsidRPr="00AA6C13">
              <w:rPr>
                <w:rFonts w:eastAsia="DengXian"/>
              </w:rPr>
              <w:t>i</w:t>
            </w:r>
            <w:r w:rsidRPr="00AA6C13">
              <w:rPr>
                <w:rFonts w:eastAsia="DengXian"/>
              </w:rPr>
              <w:t xml:space="preserve">nformatics </w:t>
            </w:r>
            <w:r w:rsidR="00276862" w:rsidRPr="00AA6C13">
              <w:rPr>
                <w:rFonts w:eastAsia="DengXian"/>
              </w:rPr>
              <w:t xml:space="preserve">Volume </w:t>
            </w:r>
            <w:r w:rsidRPr="00AA6C13">
              <w:rPr>
                <w:rFonts w:eastAsia="DengXian"/>
                <w:bCs/>
              </w:rPr>
              <w:t>28</w:t>
            </w:r>
            <w:r w:rsidRPr="00AA6C13">
              <w:rPr>
                <w:rFonts w:eastAsia="DengXian"/>
              </w:rPr>
              <w:t xml:space="preserve">. </w:t>
            </w:r>
            <w:r w:rsidR="00321E13" w:rsidRPr="00AA6C13">
              <w:rPr>
                <w:rFonts w:eastAsia="DengXian"/>
              </w:rPr>
              <w:t>[b-Scott et al., 202</w:t>
            </w:r>
            <w:r w:rsidR="004B0E17" w:rsidRPr="00AA6C13">
              <w:rPr>
                <w:rFonts w:eastAsia="DengXian"/>
              </w:rPr>
              <w:t>0</w:t>
            </w:r>
            <w:r w:rsidR="00321E13" w:rsidRPr="00AA6C13">
              <w:rPr>
                <w:rFonts w:eastAsia="DengXian"/>
              </w:rPr>
              <w:t xml:space="preserve">]. </w:t>
            </w:r>
            <w:hyperlink r:id="rId77" w:history="1">
              <w:r w:rsidR="001661C1" w:rsidRPr="00AA6C13">
                <w:rPr>
                  <w:rStyle w:val="Hyperlink"/>
                  <w:rFonts w:eastAsia="DengXian"/>
                </w:rPr>
                <w:t>http://dx.doi.org/10.1136/bmjhci-2020-100251</w:t>
              </w:r>
            </w:hyperlink>
            <w:r w:rsidRPr="00AA6C13">
              <w:rPr>
                <w:rFonts w:eastAsia="DengXian"/>
              </w:rPr>
              <w:t xml:space="preserve"> </w:t>
            </w:r>
          </w:p>
        </w:tc>
      </w:tr>
      <w:tr w:rsidR="000F37B9" w:rsidRPr="00AA6C13" w14:paraId="701CA408" w14:textId="77777777" w:rsidTr="00DF6BD1">
        <w:trPr>
          <w:jc w:val="center"/>
        </w:trPr>
        <w:tc>
          <w:tcPr>
            <w:tcW w:w="9639" w:type="dxa"/>
          </w:tcPr>
          <w:p w14:paraId="07C6C913" w14:textId="467C8B2E" w:rsidR="000F37B9" w:rsidRPr="00AA6C13" w:rsidRDefault="00D53643" w:rsidP="00482D83">
            <w:pPr>
              <w:rPr>
                <w:rFonts w:eastAsia="Calibri"/>
                <w:i/>
              </w:rPr>
            </w:pPr>
            <w:r w:rsidRPr="00AA6C13">
              <w:rPr>
                <w:rFonts w:eastAsia="Times New Roman"/>
                <w:i/>
              </w:rPr>
              <w:t>"</w:t>
            </w:r>
            <w:r w:rsidR="000F37B9" w:rsidRPr="00AA6C13">
              <w:rPr>
                <w:rFonts w:eastAsia="Times New Roman"/>
                <w:i/>
              </w:rPr>
              <w:t xml:space="preserve">Hundreds of new algorithms are being developed, but whether they improve clinical decision making and patient outcomes remains uncertain. If clinicians are to use algorithms, they need to be reassured that key issues relating to their validity, utility, feasibility, safety and ethical use have been addressed. We propose a checklist of 10 questions that clinicians can ask of those advocating for the use of a particular algorithm, but which do not expect clinicians, as non-experts, to demonstrate mastery over what can be highly complex statistical and computational concepts. The questions are: (1) What is the purpose and context of the algorithm? (2) How good were the data </w:t>
            </w:r>
            <w:r w:rsidR="000F37B9" w:rsidRPr="00AA6C13">
              <w:rPr>
                <w:rFonts w:eastAsia="Times New Roman"/>
                <w:i/>
              </w:rPr>
              <w:lastRenderedPageBreak/>
              <w:t>used to train the algorithm? (3) Were there sufficient data to train the algorithm? (4) How well does the algorithm perform? (5) Is the algorithm transferable to new clinical settings? (6) Are the outputs of the algorithm clinically intelligible? (7) How will this algorithm fit into and complement current workflows? (8) Has use of the algorithm been shown to improve patient care and outcomes? (9) Could the algorithm cause patient harm? and (10) Does use of the algorithm raise ethical, legal or social concerns? We provide examples where an algorithm may raise concerns and apply the checklist to a recent review of diagnostic imaging applications. This checklist aims to assist clinicians in assessing algorithm readiness for routine care and identify situations where further refinement and evaluation is required prior to large-scale use.</w:t>
            </w:r>
            <w:r w:rsidRPr="00AA6C13">
              <w:rPr>
                <w:rFonts w:eastAsia="Times New Roman"/>
                <w:i/>
              </w:rPr>
              <w:t>"</w:t>
            </w:r>
          </w:p>
        </w:tc>
      </w:tr>
    </w:tbl>
    <w:p w14:paraId="6C7FBCDA" w14:textId="77777777" w:rsidR="000F37B9" w:rsidRPr="00AA6C13" w:rsidRDefault="000F37B9" w:rsidP="000F37B9">
      <w:pPr>
        <w:rPr>
          <w:rFonts w:eastAsia="DengXian"/>
        </w:rPr>
      </w:pPr>
    </w:p>
    <w:tbl>
      <w:tblPr>
        <w:tblStyle w:val="TableGrid"/>
        <w:tblW w:w="9630" w:type="dxa"/>
        <w:jc w:val="center"/>
        <w:tblLook w:val="06A0" w:firstRow="1" w:lastRow="0" w:firstColumn="1" w:lastColumn="0" w:noHBand="1" w:noVBand="1"/>
      </w:tblPr>
      <w:tblGrid>
        <w:gridCol w:w="9630"/>
      </w:tblGrid>
      <w:tr w:rsidR="000F37B9" w:rsidRPr="00AA6C13" w14:paraId="02432BCA" w14:textId="77777777" w:rsidTr="00DF6BD1">
        <w:trPr>
          <w:jc w:val="center"/>
        </w:trPr>
        <w:tc>
          <w:tcPr>
            <w:tcW w:w="9630" w:type="dxa"/>
            <w:shd w:val="clear" w:color="auto" w:fill="E7E6E6" w:themeFill="background2"/>
          </w:tcPr>
          <w:p w14:paraId="7B7CEAA8" w14:textId="02D5CBB6" w:rsidR="000F37B9" w:rsidRPr="00AA6C13" w:rsidRDefault="000F37B9" w:rsidP="00482D83">
            <w:r w:rsidRPr="00AA6C13">
              <w:rPr>
                <w:rFonts w:eastAsia="Times New Roman"/>
                <w:b/>
                <w:bCs/>
                <w:color w:val="231F20"/>
              </w:rPr>
              <w:t xml:space="preserve">Artificial intelligence versus clinicians: systematic review of design, reporting standards, and claims of deep learning </w:t>
            </w:r>
            <w:r w:rsidR="00E0370F" w:rsidRPr="00AA6C13">
              <w:rPr>
                <w:rFonts w:eastAsia="Times New Roman"/>
                <w:b/>
                <w:bCs/>
                <w:color w:val="231F20"/>
              </w:rPr>
              <w:t xml:space="preserve">(DL) </w:t>
            </w:r>
            <w:r w:rsidRPr="00AA6C13">
              <w:rPr>
                <w:rFonts w:eastAsia="Times New Roman"/>
                <w:b/>
                <w:bCs/>
                <w:color w:val="231F20"/>
              </w:rPr>
              <w:t>studies</w:t>
            </w:r>
            <w:r w:rsidR="00697122" w:rsidRPr="00AA6C13">
              <w:rPr>
                <w:rFonts w:eastAsia="Times New Roman"/>
                <w:b/>
                <w:bCs/>
                <w:color w:val="231F20"/>
              </w:rPr>
              <w:t>.</w:t>
            </w:r>
          </w:p>
        </w:tc>
      </w:tr>
      <w:tr w:rsidR="000F37B9" w:rsidRPr="007E3BD1" w14:paraId="4F93C7E3" w14:textId="77777777" w:rsidTr="00DF6BD1">
        <w:trPr>
          <w:jc w:val="center"/>
        </w:trPr>
        <w:tc>
          <w:tcPr>
            <w:tcW w:w="9630" w:type="dxa"/>
          </w:tcPr>
          <w:p w14:paraId="65F3A87E" w14:textId="217D9648" w:rsidR="000F37B9" w:rsidRPr="004D4B8A" w:rsidRDefault="000F37B9" w:rsidP="00482D83">
            <w:pPr>
              <w:rPr>
                <w:lang w:val="fr-CH"/>
              </w:rPr>
            </w:pPr>
            <w:r w:rsidRPr="00AA6C13">
              <w:rPr>
                <w:rFonts w:eastAsia="Times New Roman"/>
              </w:rPr>
              <w:t>Nagendran</w:t>
            </w:r>
            <w:r w:rsidR="00426C0E" w:rsidRPr="00AA6C13">
              <w:rPr>
                <w:rFonts w:eastAsia="Times New Roman"/>
              </w:rPr>
              <w:t>,</w:t>
            </w:r>
            <w:r w:rsidRPr="00AA6C13">
              <w:rPr>
                <w:rFonts w:eastAsia="Times New Roman"/>
              </w:rPr>
              <w:t xml:space="preserve"> M</w:t>
            </w:r>
            <w:r w:rsidR="00426C0E" w:rsidRPr="00AA6C13">
              <w:rPr>
                <w:rFonts w:eastAsia="Times New Roman"/>
              </w:rPr>
              <w:t>.</w:t>
            </w:r>
            <w:r w:rsidRPr="00AA6C13">
              <w:rPr>
                <w:rFonts w:eastAsia="Times New Roman"/>
              </w:rPr>
              <w:t>, Chen</w:t>
            </w:r>
            <w:r w:rsidR="00DA256C" w:rsidRPr="00AA6C13">
              <w:rPr>
                <w:rFonts w:eastAsia="Times New Roman"/>
              </w:rPr>
              <w:t>,</w:t>
            </w:r>
            <w:r w:rsidRPr="00AA6C13">
              <w:rPr>
                <w:rFonts w:eastAsia="Times New Roman"/>
              </w:rPr>
              <w:t xml:space="preserve"> Y</w:t>
            </w:r>
            <w:r w:rsidR="00DA256C" w:rsidRPr="00AA6C13">
              <w:rPr>
                <w:rFonts w:eastAsia="Times New Roman"/>
              </w:rPr>
              <w:t>.</w:t>
            </w:r>
            <w:r w:rsidRPr="00AA6C13">
              <w:rPr>
                <w:rFonts w:eastAsia="Times New Roman"/>
              </w:rPr>
              <w:t>, Lovejoy</w:t>
            </w:r>
            <w:r w:rsidR="00CB0827" w:rsidRPr="00AA6C13">
              <w:rPr>
                <w:rFonts w:eastAsia="Times New Roman"/>
              </w:rPr>
              <w:t>,</w:t>
            </w:r>
            <w:r w:rsidRPr="00AA6C13">
              <w:rPr>
                <w:rFonts w:eastAsia="Times New Roman"/>
              </w:rPr>
              <w:t xml:space="preserve"> C</w:t>
            </w:r>
            <w:r w:rsidR="0007378E" w:rsidRPr="00AA6C13">
              <w:rPr>
                <w:rFonts w:eastAsia="Times New Roman"/>
              </w:rPr>
              <w:t>.</w:t>
            </w:r>
            <w:r w:rsidRPr="00AA6C13">
              <w:rPr>
                <w:rFonts w:eastAsia="Times New Roman"/>
              </w:rPr>
              <w:t xml:space="preserve"> A</w:t>
            </w:r>
            <w:r w:rsidR="00720934" w:rsidRPr="00AA6C13">
              <w:rPr>
                <w:rFonts w:eastAsia="Times New Roman"/>
              </w:rPr>
              <w:t>.</w:t>
            </w:r>
            <w:r w:rsidRPr="00AA6C13">
              <w:rPr>
                <w:rFonts w:eastAsia="Times New Roman"/>
              </w:rPr>
              <w:t>, Gordon</w:t>
            </w:r>
            <w:r w:rsidR="00A1483C" w:rsidRPr="00AA6C13">
              <w:rPr>
                <w:rFonts w:eastAsia="Times New Roman"/>
              </w:rPr>
              <w:t>,</w:t>
            </w:r>
            <w:r w:rsidRPr="00AA6C13">
              <w:rPr>
                <w:rFonts w:eastAsia="Times New Roman"/>
              </w:rPr>
              <w:t xml:space="preserve"> A</w:t>
            </w:r>
            <w:r w:rsidR="00A1483C" w:rsidRPr="00AA6C13">
              <w:rPr>
                <w:rFonts w:eastAsia="Times New Roman"/>
              </w:rPr>
              <w:t>.</w:t>
            </w:r>
            <w:r w:rsidRPr="00AA6C13">
              <w:rPr>
                <w:rFonts w:eastAsia="Times New Roman"/>
              </w:rPr>
              <w:t xml:space="preserve"> C</w:t>
            </w:r>
            <w:r w:rsidR="00A1483C" w:rsidRPr="00AA6C13">
              <w:rPr>
                <w:rFonts w:eastAsia="Times New Roman"/>
              </w:rPr>
              <w:t>.</w:t>
            </w:r>
            <w:r w:rsidRPr="00AA6C13">
              <w:rPr>
                <w:rFonts w:eastAsia="Times New Roman"/>
              </w:rPr>
              <w:t>, Komorowski</w:t>
            </w:r>
            <w:r w:rsidR="00E805E6" w:rsidRPr="00AA6C13">
              <w:rPr>
                <w:rFonts w:eastAsia="Times New Roman"/>
              </w:rPr>
              <w:t>,</w:t>
            </w:r>
            <w:r w:rsidRPr="00AA6C13">
              <w:rPr>
                <w:rFonts w:eastAsia="Times New Roman"/>
              </w:rPr>
              <w:t xml:space="preserve"> M</w:t>
            </w:r>
            <w:r w:rsidR="00E805E6" w:rsidRPr="00AA6C13">
              <w:rPr>
                <w:rFonts w:eastAsia="Times New Roman"/>
              </w:rPr>
              <w:t>.</w:t>
            </w:r>
            <w:r w:rsidRPr="00AA6C13">
              <w:rPr>
                <w:rFonts w:eastAsia="Times New Roman"/>
              </w:rPr>
              <w:t>, Harvey</w:t>
            </w:r>
            <w:r w:rsidR="00E805E6" w:rsidRPr="00AA6C13">
              <w:rPr>
                <w:rFonts w:eastAsia="Times New Roman"/>
              </w:rPr>
              <w:t>,</w:t>
            </w:r>
            <w:r w:rsidRPr="00AA6C13">
              <w:rPr>
                <w:rFonts w:eastAsia="Times New Roman"/>
              </w:rPr>
              <w:t xml:space="preserve"> H</w:t>
            </w:r>
            <w:r w:rsidR="00EC6DA5" w:rsidRPr="00AA6C13">
              <w:rPr>
                <w:rFonts w:eastAsia="Times New Roman"/>
              </w:rPr>
              <w:t>.,</w:t>
            </w:r>
            <w:r w:rsidR="00EC6DA5" w:rsidRPr="00AA6C13">
              <w:rPr>
                <w:rFonts w:eastAsia="Times New Roman"/>
                <w:lang w:eastAsia="en-US"/>
              </w:rPr>
              <w:t xml:space="preserve"> Topol, E. J., Ioannidis, J. P. A., Collins, G. S., </w:t>
            </w:r>
            <w:proofErr w:type="spellStart"/>
            <w:r w:rsidR="00EC6DA5" w:rsidRPr="00AA6C13">
              <w:rPr>
                <w:rFonts w:eastAsia="Times New Roman"/>
                <w:lang w:eastAsia="en-US"/>
              </w:rPr>
              <w:t>Maruthappu</w:t>
            </w:r>
            <w:proofErr w:type="spellEnd"/>
            <w:r w:rsidR="00EC6DA5" w:rsidRPr="00AA6C13">
              <w:rPr>
                <w:rFonts w:eastAsia="Times New Roman"/>
                <w:lang w:eastAsia="en-US"/>
              </w:rPr>
              <w:t>, M</w:t>
            </w:r>
            <w:r w:rsidRPr="00AA6C13">
              <w:rPr>
                <w:rFonts w:eastAsia="Times New Roman"/>
              </w:rPr>
              <w:t xml:space="preserve">. (2020). Artificial intelligence versus clinicians: systematic review of design, reporting standards, and claims of deep learning studies. </w:t>
            </w:r>
            <w:r w:rsidRPr="004D4B8A">
              <w:rPr>
                <w:rFonts w:eastAsia="Times New Roman"/>
                <w:i/>
                <w:lang w:val="fr-CH"/>
              </w:rPr>
              <w:t>BMJ</w:t>
            </w:r>
            <w:r w:rsidRPr="004D4B8A">
              <w:rPr>
                <w:rFonts w:eastAsia="Times New Roman"/>
                <w:lang w:val="fr-CH"/>
              </w:rPr>
              <w:t xml:space="preserve"> </w:t>
            </w:r>
            <w:proofErr w:type="gramStart"/>
            <w:r w:rsidRPr="004D4B8A">
              <w:rPr>
                <w:rFonts w:eastAsia="Times New Roman"/>
                <w:b/>
                <w:lang w:val="fr-CH"/>
              </w:rPr>
              <w:t>368</w:t>
            </w:r>
            <w:r w:rsidRPr="004D4B8A">
              <w:rPr>
                <w:rFonts w:eastAsia="Times New Roman"/>
                <w:lang w:val="fr-CH"/>
              </w:rPr>
              <w:t>:</w:t>
            </w:r>
            <w:proofErr w:type="gramEnd"/>
            <w:r w:rsidRPr="004D4B8A">
              <w:rPr>
                <w:rFonts w:eastAsia="Times New Roman"/>
                <w:lang w:val="fr-CH"/>
              </w:rPr>
              <w:t>m689.</w:t>
            </w:r>
            <w:r w:rsidR="00AC1E01" w:rsidRPr="004D4B8A">
              <w:rPr>
                <w:rFonts w:eastAsia="Times New Roman"/>
                <w:lang w:val="fr-CH"/>
              </w:rPr>
              <w:t xml:space="preserve"> [</w:t>
            </w:r>
            <w:proofErr w:type="gramStart"/>
            <w:r w:rsidR="00AC1E01" w:rsidRPr="004D4B8A">
              <w:rPr>
                <w:rFonts w:eastAsia="Times New Roman"/>
                <w:lang w:val="fr-CH"/>
              </w:rPr>
              <w:t>b</w:t>
            </w:r>
            <w:proofErr w:type="gramEnd"/>
            <w:r w:rsidR="00AC1E01" w:rsidRPr="004D4B8A">
              <w:rPr>
                <w:rFonts w:eastAsia="Times New Roman"/>
                <w:lang w:val="fr-CH"/>
              </w:rPr>
              <w:t>-</w:t>
            </w:r>
            <w:proofErr w:type="spellStart"/>
            <w:r w:rsidR="000A49E0" w:rsidRPr="004D4B8A">
              <w:rPr>
                <w:rFonts w:eastAsia="Times New Roman"/>
                <w:lang w:val="fr-CH"/>
              </w:rPr>
              <w:t>Nagendran</w:t>
            </w:r>
            <w:proofErr w:type="spellEnd"/>
            <w:r w:rsidR="000A49E0" w:rsidRPr="004D4B8A">
              <w:rPr>
                <w:rFonts w:eastAsia="Times New Roman"/>
                <w:lang w:val="fr-CH"/>
              </w:rPr>
              <w:t xml:space="preserve"> et al., 2020]</w:t>
            </w:r>
            <w:r w:rsidR="006955B1" w:rsidRPr="004D4B8A">
              <w:rPr>
                <w:rFonts w:eastAsia="Times New Roman"/>
                <w:lang w:val="fr-CH"/>
              </w:rPr>
              <w:t>.</w:t>
            </w:r>
            <w:r w:rsidRPr="004D4B8A">
              <w:rPr>
                <w:rFonts w:eastAsia="Times New Roman"/>
                <w:lang w:val="fr-CH"/>
              </w:rPr>
              <w:t xml:space="preserve"> </w:t>
            </w:r>
            <w:hyperlink r:id="rId78">
              <w:r w:rsidRPr="004D4B8A">
                <w:rPr>
                  <w:rFonts w:eastAsia="Times New Roman"/>
                  <w:color w:val="0000FF"/>
                  <w:u w:val="single"/>
                  <w:lang w:val="fr-CH"/>
                </w:rPr>
                <w:t>http://dx.doi.org/10.1136/bmj.m689</w:t>
              </w:r>
            </w:hyperlink>
            <w:r w:rsidRPr="004D4B8A">
              <w:rPr>
                <w:rFonts w:eastAsia="Times New Roman"/>
                <w:lang w:val="fr-CH"/>
              </w:rPr>
              <w:t xml:space="preserve"> </w:t>
            </w:r>
          </w:p>
        </w:tc>
      </w:tr>
      <w:tr w:rsidR="000F37B9" w:rsidRPr="00AA6C13" w14:paraId="65B88DBB" w14:textId="77777777" w:rsidTr="00DF6BD1">
        <w:trPr>
          <w:jc w:val="center"/>
        </w:trPr>
        <w:tc>
          <w:tcPr>
            <w:tcW w:w="9630" w:type="dxa"/>
          </w:tcPr>
          <w:p w14:paraId="73681F56" w14:textId="5CFE9202" w:rsidR="000F37B9" w:rsidRPr="00AA6C13" w:rsidRDefault="00D53643" w:rsidP="00482D83">
            <w:pPr>
              <w:rPr>
                <w:rFonts w:eastAsia="Times New Roman"/>
                <w:i/>
              </w:rPr>
            </w:pPr>
            <w:r w:rsidRPr="00AA6C13">
              <w:rPr>
                <w:rFonts w:eastAsia="Times New Roman"/>
                <w:i/>
              </w:rPr>
              <w:t>"</w:t>
            </w:r>
            <w:r w:rsidR="000F37B9" w:rsidRPr="00AA6C13">
              <w:rPr>
                <w:rFonts w:eastAsia="Times New Roman"/>
                <w:i/>
              </w:rPr>
              <w:t>Adherence to reporting standards was assessed by using CONSORT (consolidated standards of reporting trials) for randomised studies and TRIPOD (Transparent reporting of a multivariable prediction model for individual prognosis or diagnosis) for nonrandomised studies. Risk of bias was assessed by using the Cochrane risk of bias tool for randomised studies and PROBAST (prediction model risk of bias assessment tool) for non-randomised studies.</w:t>
            </w:r>
            <w:r w:rsidRPr="00AA6C13">
              <w:rPr>
                <w:rFonts w:eastAsia="Times New Roman"/>
                <w:i/>
              </w:rPr>
              <w:t>"</w:t>
            </w:r>
          </w:p>
          <w:p w14:paraId="7C871834" w14:textId="484604AE" w:rsidR="000F37B9" w:rsidRPr="00AA6C13" w:rsidRDefault="00D53643" w:rsidP="00482D83">
            <w:r w:rsidRPr="00AA6C13">
              <w:rPr>
                <w:rFonts w:eastAsia="Times New Roman"/>
                <w:i/>
              </w:rPr>
              <w:t>"</w:t>
            </w:r>
            <w:r w:rsidR="000F37B9" w:rsidRPr="00AA6C13">
              <w:rPr>
                <w:rFonts w:eastAsia="Times New Roman"/>
                <w:i/>
              </w:rPr>
              <w:t>Few prospective deep learning studies and randomised trials exist in medical imaging. Most nonrandomised trials are not prospective, are at high risk of bias, and deviate from existing reporting standards. Data and code availability are lacking in most studies, and human comparator groups are often small. Future studies should diminish risk of bias, enhance real world clinical relevance, improve reporting and transparency, and appropriately temper conclusions.</w:t>
            </w:r>
            <w:r w:rsidRPr="00AA6C13">
              <w:rPr>
                <w:rFonts w:eastAsia="Times New Roman"/>
                <w:i/>
              </w:rPr>
              <w:t>"</w:t>
            </w:r>
          </w:p>
        </w:tc>
      </w:tr>
    </w:tbl>
    <w:p w14:paraId="689571C0" w14:textId="77777777" w:rsidR="000F37B9" w:rsidRPr="00AA6C13" w:rsidRDefault="000F37B9" w:rsidP="000F37B9">
      <w:pPr>
        <w:rPr>
          <w:rFonts w:eastAsia="DengXian"/>
        </w:rPr>
      </w:pPr>
    </w:p>
    <w:tbl>
      <w:tblPr>
        <w:tblStyle w:val="TableGrid"/>
        <w:tblW w:w="9630" w:type="dxa"/>
        <w:jc w:val="center"/>
        <w:tblLook w:val="06A0" w:firstRow="1" w:lastRow="0" w:firstColumn="1" w:lastColumn="0" w:noHBand="1" w:noVBand="1"/>
      </w:tblPr>
      <w:tblGrid>
        <w:gridCol w:w="9630"/>
      </w:tblGrid>
      <w:tr w:rsidR="000F37B9" w:rsidRPr="00AA6C13" w14:paraId="6B1CE64E" w14:textId="77777777" w:rsidTr="00DF6BD1">
        <w:trPr>
          <w:jc w:val="center"/>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7E6E6" w:themeFill="background2"/>
          </w:tcPr>
          <w:p w14:paraId="4839C3E4" w14:textId="77777777" w:rsidR="000F37B9" w:rsidRPr="00AA6C13" w:rsidRDefault="000F37B9" w:rsidP="00482D83">
            <w:pPr>
              <w:rPr>
                <w:rFonts w:eastAsia="Times New Roman"/>
                <w:b/>
                <w:bCs/>
                <w:color w:val="212121"/>
              </w:rPr>
            </w:pPr>
            <w:r w:rsidRPr="00AA6C13">
              <w:rPr>
                <w:rFonts w:eastAsia="Times New Roman"/>
                <w:b/>
                <w:bCs/>
                <w:color w:val="212121"/>
              </w:rPr>
              <w:t>Evaluating artificial intelligence in medicine: phases of clinical research.</w:t>
            </w:r>
          </w:p>
        </w:tc>
      </w:tr>
      <w:tr w:rsidR="000F37B9" w:rsidRPr="007E3BD1" w14:paraId="244E019D" w14:textId="77777777" w:rsidTr="00DF6BD1">
        <w:trPr>
          <w:jc w:val="center"/>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C2E6E" w14:textId="0D06F316" w:rsidR="000F37B9" w:rsidRPr="004D4B8A" w:rsidRDefault="000F37B9" w:rsidP="00482D83">
            <w:pPr>
              <w:rPr>
                <w:lang w:val="fr-CH"/>
              </w:rPr>
            </w:pPr>
            <w:r w:rsidRPr="00AA6C13">
              <w:rPr>
                <w:rFonts w:eastAsia="Times New Roman"/>
                <w:color w:val="212121"/>
              </w:rPr>
              <w:t>Park</w:t>
            </w:r>
            <w:r w:rsidR="009777FE" w:rsidRPr="00AA6C13">
              <w:rPr>
                <w:rFonts w:eastAsia="Times New Roman"/>
                <w:color w:val="212121"/>
              </w:rPr>
              <w:t>,</w:t>
            </w:r>
            <w:r w:rsidRPr="00AA6C13">
              <w:rPr>
                <w:rFonts w:eastAsia="Times New Roman"/>
                <w:color w:val="212121"/>
              </w:rPr>
              <w:t xml:space="preserve"> Y</w:t>
            </w:r>
            <w:r w:rsidR="009777FE" w:rsidRPr="00AA6C13">
              <w:rPr>
                <w:rFonts w:eastAsia="Times New Roman"/>
                <w:color w:val="212121"/>
              </w:rPr>
              <w:t>.</w:t>
            </w:r>
            <w:r w:rsidRPr="00AA6C13">
              <w:rPr>
                <w:rFonts w:eastAsia="Times New Roman"/>
                <w:color w:val="212121"/>
              </w:rPr>
              <w:t>, Jackson</w:t>
            </w:r>
            <w:r w:rsidR="00B83787" w:rsidRPr="00AA6C13">
              <w:rPr>
                <w:rFonts w:eastAsia="Times New Roman"/>
                <w:color w:val="212121"/>
              </w:rPr>
              <w:t>,</w:t>
            </w:r>
            <w:r w:rsidRPr="00AA6C13">
              <w:rPr>
                <w:rFonts w:eastAsia="Times New Roman"/>
                <w:color w:val="212121"/>
              </w:rPr>
              <w:t xml:space="preserve"> G</w:t>
            </w:r>
            <w:r w:rsidR="00B83787" w:rsidRPr="00AA6C13">
              <w:rPr>
                <w:rFonts w:eastAsia="Times New Roman"/>
                <w:color w:val="212121"/>
              </w:rPr>
              <w:t xml:space="preserve">. </w:t>
            </w:r>
            <w:r w:rsidRPr="00AA6C13">
              <w:rPr>
                <w:rFonts w:eastAsia="Times New Roman"/>
                <w:color w:val="212121"/>
              </w:rPr>
              <w:t>P</w:t>
            </w:r>
            <w:r w:rsidR="00B83787" w:rsidRPr="00AA6C13">
              <w:rPr>
                <w:rFonts w:eastAsia="Times New Roman"/>
                <w:color w:val="212121"/>
              </w:rPr>
              <w:t>.</w:t>
            </w:r>
            <w:r w:rsidRPr="00AA6C13">
              <w:rPr>
                <w:rFonts w:eastAsia="Times New Roman"/>
                <w:color w:val="212121"/>
              </w:rPr>
              <w:t>, Foreman</w:t>
            </w:r>
            <w:r w:rsidR="00AF5066" w:rsidRPr="00AA6C13">
              <w:rPr>
                <w:rFonts w:eastAsia="Times New Roman"/>
                <w:color w:val="212121"/>
              </w:rPr>
              <w:t>,</w:t>
            </w:r>
            <w:r w:rsidRPr="00AA6C13">
              <w:rPr>
                <w:rFonts w:eastAsia="Times New Roman"/>
                <w:color w:val="212121"/>
              </w:rPr>
              <w:t xml:space="preserve"> M</w:t>
            </w:r>
            <w:r w:rsidR="00810E73" w:rsidRPr="00AA6C13">
              <w:rPr>
                <w:rFonts w:eastAsia="Times New Roman"/>
                <w:color w:val="212121"/>
              </w:rPr>
              <w:t xml:space="preserve">. </w:t>
            </w:r>
            <w:r w:rsidRPr="00AA6C13">
              <w:rPr>
                <w:rFonts w:eastAsia="Times New Roman"/>
                <w:color w:val="212121"/>
              </w:rPr>
              <w:t>A</w:t>
            </w:r>
            <w:r w:rsidR="00810E73" w:rsidRPr="00AA6C13">
              <w:rPr>
                <w:rFonts w:eastAsia="Times New Roman"/>
                <w:color w:val="212121"/>
              </w:rPr>
              <w:t>.</w:t>
            </w:r>
            <w:r w:rsidRPr="00AA6C13">
              <w:rPr>
                <w:rFonts w:eastAsia="Times New Roman"/>
                <w:color w:val="212121"/>
              </w:rPr>
              <w:t>, Gruen</w:t>
            </w:r>
            <w:r w:rsidR="00B6125B" w:rsidRPr="00AA6C13">
              <w:rPr>
                <w:rFonts w:eastAsia="Times New Roman"/>
                <w:color w:val="212121"/>
              </w:rPr>
              <w:t>,</w:t>
            </w:r>
            <w:r w:rsidRPr="00AA6C13">
              <w:rPr>
                <w:rFonts w:eastAsia="Times New Roman"/>
                <w:color w:val="212121"/>
              </w:rPr>
              <w:t xml:space="preserve"> D</w:t>
            </w:r>
            <w:r w:rsidR="00B6125B" w:rsidRPr="00AA6C13">
              <w:rPr>
                <w:rFonts w:eastAsia="Times New Roman"/>
                <w:color w:val="212121"/>
              </w:rPr>
              <w:t>.</w:t>
            </w:r>
            <w:r w:rsidRPr="00AA6C13">
              <w:rPr>
                <w:rFonts w:eastAsia="Times New Roman"/>
                <w:color w:val="212121"/>
              </w:rPr>
              <w:t>, Hu</w:t>
            </w:r>
            <w:r w:rsidR="004E484F" w:rsidRPr="00AA6C13">
              <w:rPr>
                <w:rFonts w:eastAsia="Times New Roman"/>
                <w:color w:val="212121"/>
              </w:rPr>
              <w:t>,</w:t>
            </w:r>
            <w:r w:rsidRPr="00AA6C13">
              <w:rPr>
                <w:rFonts w:eastAsia="Times New Roman"/>
                <w:color w:val="212121"/>
              </w:rPr>
              <w:t xml:space="preserve"> J</w:t>
            </w:r>
            <w:r w:rsidR="004E484F" w:rsidRPr="00AA6C13">
              <w:rPr>
                <w:rFonts w:eastAsia="Times New Roman"/>
                <w:color w:val="212121"/>
              </w:rPr>
              <w:t>.</w:t>
            </w:r>
            <w:r w:rsidRPr="00AA6C13">
              <w:rPr>
                <w:rFonts w:eastAsia="Times New Roman"/>
                <w:color w:val="212121"/>
              </w:rPr>
              <w:t>, Das</w:t>
            </w:r>
            <w:r w:rsidR="00B85C72" w:rsidRPr="00AA6C13">
              <w:rPr>
                <w:rFonts w:eastAsia="Times New Roman"/>
                <w:color w:val="212121"/>
              </w:rPr>
              <w:t>,</w:t>
            </w:r>
            <w:r w:rsidRPr="00AA6C13">
              <w:rPr>
                <w:rFonts w:eastAsia="Times New Roman"/>
                <w:color w:val="212121"/>
              </w:rPr>
              <w:t xml:space="preserve"> A</w:t>
            </w:r>
            <w:r w:rsidR="00B85C72" w:rsidRPr="00AA6C13">
              <w:rPr>
                <w:rFonts w:eastAsia="Times New Roman"/>
                <w:color w:val="212121"/>
              </w:rPr>
              <w:t xml:space="preserve">. </w:t>
            </w:r>
            <w:r w:rsidRPr="00AA6C13">
              <w:rPr>
                <w:rFonts w:eastAsia="Times New Roman"/>
                <w:color w:val="212121"/>
              </w:rPr>
              <w:t xml:space="preserve">K. (2020). Evaluating artificial intelligence in medicine: phases of clinical research. JAMIA </w:t>
            </w:r>
            <w:r w:rsidR="00BA5428" w:rsidRPr="00AA6C13">
              <w:rPr>
                <w:rFonts w:eastAsia="Times New Roman"/>
                <w:color w:val="212121"/>
              </w:rPr>
              <w:t>o</w:t>
            </w:r>
            <w:r w:rsidRPr="00AA6C13">
              <w:rPr>
                <w:rFonts w:eastAsia="Times New Roman"/>
                <w:color w:val="212121"/>
              </w:rPr>
              <w:t xml:space="preserve">pen </w:t>
            </w:r>
            <w:r w:rsidR="00A75674" w:rsidRPr="00AA6C13">
              <w:rPr>
                <w:rFonts w:eastAsia="Times New Roman"/>
                <w:color w:val="212121"/>
              </w:rPr>
              <w:t xml:space="preserve">Volume </w:t>
            </w:r>
            <w:r w:rsidRPr="00AA6C13">
              <w:rPr>
                <w:rFonts w:eastAsia="Times New Roman"/>
                <w:bCs/>
                <w:color w:val="212121"/>
              </w:rPr>
              <w:t>3</w:t>
            </w:r>
            <w:r w:rsidRPr="00AA6C13">
              <w:rPr>
                <w:rFonts w:eastAsia="Times New Roman"/>
                <w:color w:val="212121"/>
              </w:rPr>
              <w:t>(3)</w:t>
            </w:r>
            <w:r w:rsidR="00565463" w:rsidRPr="00AA6C13">
              <w:rPr>
                <w:rFonts w:eastAsia="Times New Roman"/>
                <w:color w:val="212121"/>
              </w:rPr>
              <w:t xml:space="preserve"> pp</w:t>
            </w:r>
            <w:r w:rsidRPr="00AA6C13">
              <w:rPr>
                <w:rFonts w:eastAsia="Times New Roman"/>
                <w:color w:val="212121"/>
              </w:rPr>
              <w:t xml:space="preserve">326-331. </w:t>
            </w:r>
            <w:r w:rsidR="0076266E" w:rsidRPr="004D4B8A">
              <w:rPr>
                <w:rFonts w:eastAsia="Times New Roman"/>
                <w:color w:val="212121"/>
                <w:lang w:val="fr-CH"/>
              </w:rPr>
              <w:t>[</w:t>
            </w:r>
            <w:proofErr w:type="gramStart"/>
            <w:r w:rsidR="0076266E" w:rsidRPr="004D4B8A">
              <w:rPr>
                <w:rFonts w:eastAsia="Times New Roman"/>
                <w:color w:val="212121"/>
                <w:lang w:val="fr-CH"/>
              </w:rPr>
              <w:t>b</w:t>
            </w:r>
            <w:proofErr w:type="gramEnd"/>
            <w:r w:rsidR="00DF6BD1" w:rsidRPr="004D4B8A">
              <w:rPr>
                <w:rFonts w:eastAsia="Times New Roman"/>
                <w:color w:val="212121"/>
                <w:lang w:val="fr-CH"/>
              </w:rPr>
              <w:noBreakHyphen/>
            </w:r>
            <w:r w:rsidR="0076266E" w:rsidRPr="004D4B8A">
              <w:rPr>
                <w:rFonts w:eastAsia="Times New Roman"/>
                <w:color w:val="212121"/>
                <w:lang w:val="fr-CH"/>
              </w:rPr>
              <w:t xml:space="preserve">Park et al., 2020]. </w:t>
            </w:r>
            <w:hyperlink r:id="rId79" w:history="1">
              <w:r w:rsidR="006435FD" w:rsidRPr="004D4B8A">
                <w:rPr>
                  <w:rStyle w:val="Hyperlink"/>
                  <w:rFonts w:eastAsia="Times New Roman"/>
                  <w:lang w:val="fr-CH"/>
                </w:rPr>
                <w:t>http://dx.doi.org/10.1093/jamiaopen/ooaa033</w:t>
              </w:r>
            </w:hyperlink>
            <w:r w:rsidRPr="004D4B8A">
              <w:rPr>
                <w:rFonts w:eastAsia="Times New Roman"/>
                <w:color w:val="212121"/>
                <w:lang w:val="fr-CH"/>
              </w:rPr>
              <w:t xml:space="preserve"> </w:t>
            </w:r>
          </w:p>
        </w:tc>
      </w:tr>
      <w:tr w:rsidR="000F37B9" w:rsidRPr="00AA6C13" w14:paraId="2F5CE8B4" w14:textId="77777777" w:rsidTr="00DF6BD1">
        <w:trPr>
          <w:jc w:val="center"/>
        </w:trPr>
        <w:tc>
          <w:tcPr>
            <w:tcW w:w="9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A09ABB" w14:textId="2D33CB8A" w:rsidR="000F37B9" w:rsidRPr="00AA6C13" w:rsidRDefault="00D53643" w:rsidP="00482D83">
            <w:pPr>
              <w:rPr>
                <w:i/>
              </w:rPr>
            </w:pPr>
            <w:r w:rsidRPr="00AA6C13">
              <w:rPr>
                <w:rFonts w:eastAsia="Times New Roman"/>
                <w:i/>
              </w:rPr>
              <w:t>"</w:t>
            </w:r>
            <w:r w:rsidR="000F37B9" w:rsidRPr="00AA6C13">
              <w:rPr>
                <w:rFonts w:eastAsia="Times New Roman"/>
                <w:i/>
                <w:color w:val="212121"/>
              </w:rPr>
              <w:t>Increased scrutiny of artificial intelligence (AI) applications in healthcare highlights the need for real-world evaluations for effectiveness and unintended consequences. The complexity of healthcare, compounded by the user- and context-dependent nature of AI applications, calls for a multifaceted approach beyond traditional in silico evaluation of AI. We propose an interdisciplinary, phased research framework for evaluation of AI implementations in healthcare. We draw analogies to and highlight differences from the clinical trial phases for drugs and medical devices, and we present study design and methodological guidance for each stage.</w:t>
            </w:r>
            <w:r w:rsidRPr="00AA6C13">
              <w:rPr>
                <w:rFonts w:eastAsia="Times New Roman"/>
                <w:i/>
              </w:rPr>
              <w:t>"</w:t>
            </w:r>
          </w:p>
        </w:tc>
      </w:tr>
    </w:tbl>
    <w:p w14:paraId="6649E283" w14:textId="77777777" w:rsidR="000F37B9" w:rsidRPr="00AA6C13" w:rsidRDefault="000F37B9" w:rsidP="000F37B9">
      <w:pPr>
        <w:rPr>
          <w:rFonts w:eastAsia="DengXian"/>
        </w:rPr>
      </w:pPr>
    </w:p>
    <w:tbl>
      <w:tblPr>
        <w:tblStyle w:val="TableGrid"/>
        <w:tblW w:w="9630" w:type="dxa"/>
        <w:jc w:val="center"/>
        <w:tblLook w:val="06A0" w:firstRow="1" w:lastRow="0" w:firstColumn="1" w:lastColumn="0" w:noHBand="1" w:noVBand="1"/>
      </w:tblPr>
      <w:tblGrid>
        <w:gridCol w:w="9630"/>
      </w:tblGrid>
      <w:tr w:rsidR="000F37B9" w:rsidRPr="00AA6C13" w14:paraId="45278AAE" w14:textId="77777777" w:rsidTr="00DF6BD1">
        <w:trPr>
          <w:jc w:val="center"/>
        </w:trPr>
        <w:tc>
          <w:tcPr>
            <w:tcW w:w="9630" w:type="dxa"/>
            <w:shd w:val="clear" w:color="auto" w:fill="E7E6E6" w:themeFill="background2"/>
          </w:tcPr>
          <w:p w14:paraId="3B83AA42" w14:textId="77777777" w:rsidR="000F37B9" w:rsidRPr="00AA6C13" w:rsidRDefault="000F37B9" w:rsidP="00DF6BD1">
            <w:pPr>
              <w:keepNext/>
              <w:keepLines/>
              <w:rPr>
                <w:rFonts w:eastAsia="Times New Roman"/>
                <w:b/>
                <w:bCs/>
              </w:rPr>
            </w:pPr>
            <w:r w:rsidRPr="00AA6C13">
              <w:rPr>
                <w:rFonts w:eastAsia="Times New Roman"/>
                <w:b/>
                <w:bCs/>
              </w:rPr>
              <w:lastRenderedPageBreak/>
              <w:t>Common pitfalls and recommendations for using machine learning to detect and prognosticate for COVID-19 using chest radiographs and CT scans.</w:t>
            </w:r>
          </w:p>
        </w:tc>
      </w:tr>
      <w:tr w:rsidR="000F37B9" w:rsidRPr="007E3BD1" w14:paraId="33062F1E" w14:textId="77777777" w:rsidTr="00DF6BD1">
        <w:trPr>
          <w:jc w:val="center"/>
        </w:trPr>
        <w:tc>
          <w:tcPr>
            <w:tcW w:w="9630" w:type="dxa"/>
          </w:tcPr>
          <w:p w14:paraId="190013D9" w14:textId="03DE042A" w:rsidR="000F37B9" w:rsidRPr="004D4B8A" w:rsidRDefault="000F37B9" w:rsidP="00DF6BD1">
            <w:pPr>
              <w:keepNext/>
              <w:keepLines/>
              <w:rPr>
                <w:lang w:val="fr-CH"/>
              </w:rPr>
            </w:pPr>
            <w:r w:rsidRPr="00AA6C13">
              <w:rPr>
                <w:rFonts w:eastAsia="Times New Roman"/>
              </w:rPr>
              <w:t>Roberts, M., Driggs, D., Thorpe, M.</w:t>
            </w:r>
            <w:r w:rsidR="00A76DFC" w:rsidRPr="00AA6C13">
              <w:rPr>
                <w:rFonts w:eastAsia="Times New Roman"/>
              </w:rPr>
              <w:t>,</w:t>
            </w:r>
            <w:r w:rsidRPr="00AA6C13">
              <w:rPr>
                <w:rFonts w:eastAsia="Times New Roman"/>
              </w:rPr>
              <w:t xml:space="preserve"> </w:t>
            </w:r>
            <w:r w:rsidR="007940A4" w:rsidRPr="00AA6C13">
              <w:t xml:space="preserve">Gilbey, J., Yeung, M., Ursprung, S., Aviles-Rivero, A. I., </w:t>
            </w:r>
            <w:proofErr w:type="spellStart"/>
            <w:r w:rsidR="007940A4" w:rsidRPr="00AA6C13">
              <w:t>Etmann</w:t>
            </w:r>
            <w:proofErr w:type="spellEnd"/>
            <w:r w:rsidR="007940A4" w:rsidRPr="00AA6C13">
              <w:t xml:space="preserve">, C., McCague, C., Beer, L., Weir-McCall, J. R., Teng, Z., </w:t>
            </w:r>
            <w:proofErr w:type="spellStart"/>
            <w:r w:rsidR="007940A4" w:rsidRPr="00AA6C13">
              <w:t>Gkrania-Klotsas</w:t>
            </w:r>
            <w:proofErr w:type="spellEnd"/>
            <w:r w:rsidR="007940A4" w:rsidRPr="00AA6C13">
              <w:t xml:space="preserve">, E., AIX-COVNET, Rudd, J. H. F., Sala, E., and </w:t>
            </w:r>
            <w:proofErr w:type="spellStart"/>
            <w:r w:rsidR="007940A4" w:rsidRPr="00AA6C13">
              <w:t>Schönlieb</w:t>
            </w:r>
            <w:proofErr w:type="spellEnd"/>
            <w:r w:rsidR="007940A4" w:rsidRPr="00AA6C13">
              <w:t>, C-B.</w:t>
            </w:r>
            <w:r w:rsidRPr="00AA6C13">
              <w:rPr>
                <w:rFonts w:eastAsia="Times New Roman"/>
              </w:rPr>
              <w:t xml:space="preserve"> (2021). Common pitfalls and recommendations for using machine learning to detect and prognosticate for COVID-19 using chest radiographs and CT scans. </w:t>
            </w:r>
            <w:r w:rsidRPr="004D4B8A">
              <w:rPr>
                <w:rFonts w:eastAsia="Times New Roman"/>
                <w:i/>
                <w:iCs/>
                <w:lang w:val="fr-CH"/>
              </w:rPr>
              <w:t>Nat</w:t>
            </w:r>
            <w:r w:rsidR="00AA2907" w:rsidRPr="004D4B8A">
              <w:rPr>
                <w:rFonts w:eastAsia="Times New Roman"/>
                <w:i/>
                <w:iCs/>
                <w:lang w:val="fr-CH"/>
              </w:rPr>
              <w:t>ure</w:t>
            </w:r>
            <w:r w:rsidRPr="004D4B8A">
              <w:rPr>
                <w:rFonts w:eastAsia="Times New Roman"/>
                <w:i/>
                <w:iCs/>
                <w:lang w:val="fr-CH"/>
              </w:rPr>
              <w:t xml:space="preserve"> </w:t>
            </w:r>
            <w:r w:rsidR="00365D80" w:rsidRPr="004D4B8A">
              <w:rPr>
                <w:rFonts w:eastAsia="Times New Roman"/>
                <w:i/>
                <w:iCs/>
                <w:lang w:val="fr-CH"/>
              </w:rPr>
              <w:t>m</w:t>
            </w:r>
            <w:r w:rsidRPr="004D4B8A">
              <w:rPr>
                <w:rFonts w:eastAsia="Times New Roman"/>
                <w:i/>
                <w:iCs/>
                <w:lang w:val="fr-CH"/>
              </w:rPr>
              <w:t>ach</w:t>
            </w:r>
            <w:r w:rsidR="00AA2907" w:rsidRPr="004D4B8A">
              <w:rPr>
                <w:rFonts w:eastAsia="Times New Roman"/>
                <w:i/>
                <w:iCs/>
                <w:lang w:val="fr-CH"/>
              </w:rPr>
              <w:t>ine</w:t>
            </w:r>
            <w:r w:rsidRPr="004D4B8A">
              <w:rPr>
                <w:rFonts w:eastAsia="Times New Roman"/>
                <w:i/>
                <w:iCs/>
                <w:lang w:val="fr-CH"/>
              </w:rPr>
              <w:t xml:space="preserve"> </w:t>
            </w:r>
            <w:r w:rsidR="00365D80" w:rsidRPr="004D4B8A">
              <w:rPr>
                <w:rFonts w:eastAsia="Times New Roman"/>
                <w:i/>
                <w:iCs/>
                <w:lang w:val="fr-CH"/>
              </w:rPr>
              <w:t>i</w:t>
            </w:r>
            <w:r w:rsidRPr="004D4B8A">
              <w:rPr>
                <w:rFonts w:eastAsia="Times New Roman"/>
                <w:i/>
                <w:iCs/>
                <w:lang w:val="fr-CH"/>
              </w:rPr>
              <w:t>ntell</w:t>
            </w:r>
            <w:r w:rsidR="00AA2907" w:rsidRPr="004D4B8A">
              <w:rPr>
                <w:rFonts w:eastAsia="Times New Roman"/>
                <w:i/>
                <w:iCs/>
                <w:lang w:val="fr-CH"/>
              </w:rPr>
              <w:t>igence</w:t>
            </w:r>
            <w:r w:rsidRPr="004D4B8A">
              <w:rPr>
                <w:rFonts w:eastAsia="Times New Roman"/>
                <w:lang w:val="fr-CH"/>
              </w:rPr>
              <w:t xml:space="preserve"> </w:t>
            </w:r>
            <w:r w:rsidRPr="004D4B8A">
              <w:rPr>
                <w:rFonts w:eastAsia="Times New Roman"/>
                <w:b/>
                <w:bCs/>
                <w:lang w:val="fr-CH"/>
              </w:rPr>
              <w:t xml:space="preserve">3, </w:t>
            </w:r>
            <w:r w:rsidRPr="004D4B8A">
              <w:rPr>
                <w:rFonts w:eastAsia="Times New Roman"/>
                <w:lang w:val="fr-CH"/>
              </w:rPr>
              <w:t>199–217.</w:t>
            </w:r>
            <w:r w:rsidR="006D32C3" w:rsidRPr="004D4B8A">
              <w:rPr>
                <w:rFonts w:eastAsia="Times New Roman"/>
                <w:lang w:val="fr-CH"/>
              </w:rPr>
              <w:t xml:space="preserve"> [</w:t>
            </w:r>
            <w:proofErr w:type="gramStart"/>
            <w:r w:rsidR="006D32C3" w:rsidRPr="004D4B8A">
              <w:rPr>
                <w:rFonts w:eastAsia="Times New Roman"/>
                <w:lang w:val="fr-CH"/>
              </w:rPr>
              <w:t>b</w:t>
            </w:r>
            <w:proofErr w:type="gramEnd"/>
            <w:r w:rsidR="006D32C3" w:rsidRPr="004D4B8A">
              <w:rPr>
                <w:rFonts w:eastAsia="Times New Roman"/>
                <w:lang w:val="fr-CH"/>
              </w:rPr>
              <w:t>-Roberts et al., 2021].</w:t>
            </w:r>
            <w:r w:rsidRPr="004D4B8A">
              <w:rPr>
                <w:rFonts w:eastAsia="Times New Roman"/>
                <w:lang w:val="fr-CH"/>
              </w:rPr>
              <w:t xml:space="preserve"> </w:t>
            </w:r>
            <w:hyperlink r:id="rId80">
              <w:r w:rsidRPr="004D4B8A">
                <w:rPr>
                  <w:rFonts w:eastAsia="Times New Roman"/>
                  <w:color w:val="0000FF"/>
                  <w:u w:val="single"/>
                  <w:lang w:val="fr-CH"/>
                </w:rPr>
                <w:t>https://doi.org/10.1038/s42256-021-00307-0</w:t>
              </w:r>
            </w:hyperlink>
            <w:r w:rsidRPr="004D4B8A">
              <w:rPr>
                <w:rFonts w:eastAsia="Times New Roman"/>
                <w:lang w:val="fr-CH"/>
              </w:rPr>
              <w:t xml:space="preserve"> </w:t>
            </w:r>
          </w:p>
        </w:tc>
      </w:tr>
      <w:tr w:rsidR="000F37B9" w:rsidRPr="00AA6C13" w14:paraId="35BABBD5" w14:textId="77777777" w:rsidTr="00DF6BD1">
        <w:trPr>
          <w:jc w:val="center"/>
        </w:trPr>
        <w:tc>
          <w:tcPr>
            <w:tcW w:w="9630" w:type="dxa"/>
          </w:tcPr>
          <w:p w14:paraId="0F4A7016" w14:textId="1EFF3B20" w:rsidR="000F37B9" w:rsidRPr="00AA6C13" w:rsidRDefault="00D53643" w:rsidP="00DF6BD1">
            <w:pPr>
              <w:keepNext/>
              <w:keepLines/>
              <w:rPr>
                <w:rFonts w:eastAsia="DengXian"/>
                <w:i/>
              </w:rPr>
            </w:pPr>
            <w:r w:rsidRPr="00AA6C13">
              <w:rPr>
                <w:rFonts w:eastAsia="DengXian"/>
                <w:i/>
              </w:rPr>
              <w:t>"</w:t>
            </w:r>
            <w:r w:rsidR="000F37B9" w:rsidRPr="00AA6C13">
              <w:rPr>
                <w:rFonts w:eastAsia="DengXian"/>
                <w:i/>
              </w:rPr>
              <w:t xml:space="preserve">Many papers (16/62) used the pneumonia dataset of </w:t>
            </w:r>
            <w:proofErr w:type="spellStart"/>
            <w:r w:rsidR="000F37B9" w:rsidRPr="00AA6C13">
              <w:rPr>
                <w:rFonts w:eastAsia="DengXian"/>
                <w:i/>
              </w:rPr>
              <w:t>Kermany</w:t>
            </w:r>
            <w:proofErr w:type="spellEnd"/>
            <w:r w:rsidR="000F37B9" w:rsidRPr="00AA6C13">
              <w:rPr>
                <w:rFonts w:eastAsia="DengXian"/>
                <w:i/>
              </w:rPr>
              <w:t xml:space="preserve"> et al. as a control group. They commonly failed to mention that this consists of paediatric patients aged between one and five. Developing a model using adult patients with COVID-19 and very young patients with pneumonia is likely to overperform as it is merely detecting children versus adults.</w:t>
            </w:r>
            <w:r w:rsidRPr="00AA6C13">
              <w:rPr>
                <w:rFonts w:eastAsia="DengXian"/>
                <w:i/>
              </w:rPr>
              <w:t>"</w:t>
            </w:r>
          </w:p>
        </w:tc>
      </w:tr>
      <w:tr w:rsidR="000F37B9" w:rsidRPr="00AA6C13" w14:paraId="1C001A67" w14:textId="77777777" w:rsidTr="00DF6BD1">
        <w:trPr>
          <w:jc w:val="center"/>
        </w:trPr>
        <w:tc>
          <w:tcPr>
            <w:tcW w:w="9630" w:type="dxa"/>
          </w:tcPr>
          <w:p w14:paraId="69B43DA9" w14:textId="77777777" w:rsidR="002E2071" w:rsidRPr="00AA6C13" w:rsidRDefault="000F37B9" w:rsidP="00DF6BD1">
            <w:pPr>
              <w:pStyle w:val="Headingb"/>
              <w:keepLines/>
            </w:pPr>
            <w:r w:rsidRPr="00AA6C13">
              <w:t>Comment:</w:t>
            </w:r>
          </w:p>
          <w:p w14:paraId="2EDE2A0E" w14:textId="254040D5" w:rsidR="000F37B9" w:rsidRPr="00AA6C13" w:rsidRDefault="00DF6BD1" w:rsidP="00DF6BD1">
            <w:pPr>
              <w:pStyle w:val="enumlev1"/>
              <w:keepNext/>
              <w:keepLines/>
              <w:rPr>
                <w:rFonts w:eastAsia="Times New Roman"/>
              </w:rPr>
            </w:pPr>
            <w:r w:rsidRPr="00AA6C13">
              <w:t>–</w:t>
            </w:r>
            <w:r w:rsidRPr="00AA6C13">
              <w:tab/>
            </w:r>
            <w:r w:rsidR="000F37B9" w:rsidRPr="00AA6C13">
              <w:t xml:space="preserve">The </w:t>
            </w:r>
            <w:r w:rsidR="009E7193" w:rsidRPr="00AA6C13">
              <w:t>report</w:t>
            </w:r>
            <w:r w:rsidR="000F37B9" w:rsidRPr="00AA6C13">
              <w:t xml:space="preserve"> deals with biases and confounders in the data and shows how severe this may be.</w:t>
            </w:r>
          </w:p>
        </w:tc>
      </w:tr>
    </w:tbl>
    <w:p w14:paraId="4B01A78D" w14:textId="77777777" w:rsidR="000F37B9" w:rsidRPr="00AA6C13" w:rsidRDefault="000F37B9" w:rsidP="000F37B9">
      <w:pPr>
        <w:rPr>
          <w:rFonts w:eastAsia="DengXian"/>
        </w:rPr>
      </w:pPr>
    </w:p>
    <w:tbl>
      <w:tblPr>
        <w:tblStyle w:val="TableGrid"/>
        <w:tblW w:w="9630" w:type="dxa"/>
        <w:jc w:val="center"/>
        <w:tblLook w:val="06A0" w:firstRow="1" w:lastRow="0" w:firstColumn="1" w:lastColumn="0" w:noHBand="1" w:noVBand="1"/>
      </w:tblPr>
      <w:tblGrid>
        <w:gridCol w:w="9630"/>
      </w:tblGrid>
      <w:tr w:rsidR="000F37B9" w:rsidRPr="00AA6C13" w14:paraId="37578473" w14:textId="77777777" w:rsidTr="00DF6BD1">
        <w:trPr>
          <w:jc w:val="center"/>
        </w:trPr>
        <w:tc>
          <w:tcPr>
            <w:tcW w:w="9630" w:type="dxa"/>
            <w:shd w:val="clear" w:color="auto" w:fill="E7E6E6" w:themeFill="background2"/>
          </w:tcPr>
          <w:p w14:paraId="1985A6AA" w14:textId="77777777" w:rsidR="000F37B9" w:rsidRPr="00AA6C13" w:rsidRDefault="000F37B9" w:rsidP="00482D83">
            <w:pPr>
              <w:rPr>
                <w:rFonts w:eastAsia="Times New Roman"/>
                <w:b/>
                <w:bCs/>
              </w:rPr>
            </w:pPr>
            <w:r w:rsidRPr="00AA6C13">
              <w:rPr>
                <w:rFonts w:eastAsia="Times New Roman"/>
                <w:b/>
              </w:rPr>
              <w:t>Evaluation framework to guide implementation of AI systems into healthcare settings</w:t>
            </w:r>
            <w:r w:rsidRPr="00AA6C13">
              <w:rPr>
                <w:rFonts w:eastAsia="Times New Roman"/>
                <w:b/>
                <w:bCs/>
              </w:rPr>
              <w:t>.</w:t>
            </w:r>
          </w:p>
        </w:tc>
      </w:tr>
      <w:tr w:rsidR="000F37B9" w:rsidRPr="00AA6C13" w14:paraId="79187B88" w14:textId="77777777" w:rsidTr="00DF6BD1">
        <w:trPr>
          <w:jc w:val="center"/>
        </w:trPr>
        <w:tc>
          <w:tcPr>
            <w:tcW w:w="9630" w:type="dxa"/>
          </w:tcPr>
          <w:p w14:paraId="33810E90" w14:textId="2F143E79" w:rsidR="000F37B9" w:rsidRPr="00AA6C13" w:rsidRDefault="000F37B9" w:rsidP="00482D83">
            <w:r w:rsidRPr="00AA6C13">
              <w:rPr>
                <w:rFonts w:eastAsia="Times New Roman"/>
              </w:rPr>
              <w:t>Reddy</w:t>
            </w:r>
            <w:r w:rsidR="002571C4" w:rsidRPr="00AA6C13">
              <w:rPr>
                <w:rFonts w:eastAsia="Times New Roman"/>
              </w:rPr>
              <w:t>,</w:t>
            </w:r>
            <w:r w:rsidRPr="00AA6C13">
              <w:rPr>
                <w:rFonts w:eastAsia="Times New Roman"/>
              </w:rPr>
              <w:t xml:space="preserve"> S., Rogers</w:t>
            </w:r>
            <w:r w:rsidR="005E4231" w:rsidRPr="00AA6C13">
              <w:rPr>
                <w:rFonts w:eastAsia="Times New Roman"/>
              </w:rPr>
              <w:t>,</w:t>
            </w:r>
            <w:r w:rsidRPr="00AA6C13">
              <w:rPr>
                <w:rFonts w:eastAsia="Times New Roman"/>
              </w:rPr>
              <w:t xml:space="preserve"> W., Makinen</w:t>
            </w:r>
            <w:r w:rsidR="00E81AB3" w:rsidRPr="00AA6C13">
              <w:rPr>
                <w:rFonts w:eastAsia="Times New Roman"/>
              </w:rPr>
              <w:t>,</w:t>
            </w:r>
            <w:r w:rsidRPr="00AA6C13">
              <w:rPr>
                <w:rFonts w:eastAsia="Times New Roman"/>
              </w:rPr>
              <w:t xml:space="preserve"> V</w:t>
            </w:r>
            <w:r w:rsidR="00F17DDA" w:rsidRPr="00AA6C13">
              <w:rPr>
                <w:rFonts w:eastAsia="Times New Roman"/>
              </w:rPr>
              <w:t>-</w:t>
            </w:r>
            <w:r w:rsidRPr="00AA6C13">
              <w:rPr>
                <w:rFonts w:eastAsia="Times New Roman"/>
              </w:rPr>
              <w:t xml:space="preserve">P., </w:t>
            </w:r>
            <w:proofErr w:type="spellStart"/>
            <w:r w:rsidRPr="00AA6C13">
              <w:rPr>
                <w:rFonts w:eastAsia="Times New Roman"/>
              </w:rPr>
              <w:t>Coiera</w:t>
            </w:r>
            <w:proofErr w:type="spellEnd"/>
            <w:r w:rsidR="00C513EB" w:rsidRPr="00AA6C13">
              <w:rPr>
                <w:rFonts w:eastAsia="Times New Roman"/>
              </w:rPr>
              <w:t>,</w:t>
            </w:r>
            <w:r w:rsidRPr="00AA6C13">
              <w:rPr>
                <w:rFonts w:eastAsia="Times New Roman"/>
              </w:rPr>
              <w:t xml:space="preserve"> E., Brown</w:t>
            </w:r>
            <w:r w:rsidR="00077B70" w:rsidRPr="00AA6C13">
              <w:rPr>
                <w:rFonts w:eastAsia="Times New Roman"/>
              </w:rPr>
              <w:t>,</w:t>
            </w:r>
            <w:r w:rsidRPr="00AA6C13">
              <w:rPr>
                <w:rFonts w:eastAsia="Times New Roman"/>
              </w:rPr>
              <w:t xml:space="preserve"> P., Wenzel</w:t>
            </w:r>
            <w:r w:rsidR="0091016E" w:rsidRPr="00AA6C13">
              <w:rPr>
                <w:rFonts w:eastAsia="Times New Roman"/>
              </w:rPr>
              <w:t>,</w:t>
            </w:r>
            <w:r w:rsidRPr="00AA6C13">
              <w:rPr>
                <w:rFonts w:eastAsia="Times New Roman"/>
              </w:rPr>
              <w:t xml:space="preserve"> M., </w:t>
            </w:r>
            <w:proofErr w:type="spellStart"/>
            <w:r w:rsidRPr="00AA6C13">
              <w:rPr>
                <w:rFonts w:eastAsia="Times New Roman"/>
              </w:rPr>
              <w:t>Weicken</w:t>
            </w:r>
            <w:proofErr w:type="spellEnd"/>
            <w:r w:rsidR="00951B23" w:rsidRPr="00AA6C13">
              <w:rPr>
                <w:rFonts w:eastAsia="Times New Roman"/>
              </w:rPr>
              <w:t>,</w:t>
            </w:r>
            <w:r w:rsidRPr="00AA6C13">
              <w:rPr>
                <w:rFonts w:eastAsia="Times New Roman"/>
              </w:rPr>
              <w:t xml:space="preserve"> E., Ansari</w:t>
            </w:r>
            <w:r w:rsidR="00A873B0" w:rsidRPr="00AA6C13">
              <w:rPr>
                <w:rFonts w:eastAsia="Times New Roman"/>
              </w:rPr>
              <w:t>,</w:t>
            </w:r>
            <w:r w:rsidRPr="00AA6C13">
              <w:rPr>
                <w:rFonts w:eastAsia="Times New Roman"/>
              </w:rPr>
              <w:t xml:space="preserve"> S., Mathur</w:t>
            </w:r>
            <w:r w:rsidR="00442331" w:rsidRPr="00AA6C13">
              <w:rPr>
                <w:rFonts w:eastAsia="Times New Roman"/>
              </w:rPr>
              <w:t>,</w:t>
            </w:r>
            <w:r w:rsidRPr="00AA6C13">
              <w:rPr>
                <w:rFonts w:eastAsia="Times New Roman"/>
              </w:rPr>
              <w:t xml:space="preserve"> P., Casey</w:t>
            </w:r>
            <w:r w:rsidR="00157C8C" w:rsidRPr="00AA6C13">
              <w:rPr>
                <w:rFonts w:eastAsia="Times New Roman"/>
              </w:rPr>
              <w:t>,</w:t>
            </w:r>
            <w:r w:rsidRPr="00AA6C13">
              <w:rPr>
                <w:rFonts w:eastAsia="Times New Roman"/>
              </w:rPr>
              <w:t xml:space="preserve"> A., </w:t>
            </w:r>
            <w:r w:rsidR="008C49E6" w:rsidRPr="00AA6C13">
              <w:rPr>
                <w:rFonts w:eastAsia="Times New Roman"/>
              </w:rPr>
              <w:t xml:space="preserve">and </w:t>
            </w:r>
            <w:r w:rsidRPr="00AA6C13">
              <w:rPr>
                <w:rFonts w:eastAsia="Times New Roman"/>
              </w:rPr>
              <w:t xml:space="preserve">Kelly B. (2021). Evaluation framework to guide implementation of AI systems into healthcare settings. </w:t>
            </w:r>
            <w:r w:rsidRPr="00AA6C13">
              <w:rPr>
                <w:rFonts w:eastAsia="Times New Roman"/>
                <w:i/>
              </w:rPr>
              <w:t>BMJ health &amp; care informatics</w:t>
            </w:r>
            <w:r w:rsidRPr="00AA6C13">
              <w:rPr>
                <w:rFonts w:eastAsia="Times New Roman"/>
              </w:rPr>
              <w:t xml:space="preserve">, </w:t>
            </w:r>
            <w:r w:rsidR="00CB73DB" w:rsidRPr="00AA6C13">
              <w:rPr>
                <w:rFonts w:eastAsia="Times New Roman"/>
              </w:rPr>
              <w:t xml:space="preserve">Volume </w:t>
            </w:r>
            <w:r w:rsidRPr="00AA6C13">
              <w:rPr>
                <w:rFonts w:eastAsia="Times New Roman"/>
                <w:bCs/>
              </w:rPr>
              <w:t>28</w:t>
            </w:r>
            <w:r w:rsidRPr="00AA6C13">
              <w:rPr>
                <w:rFonts w:eastAsia="Times New Roman"/>
              </w:rPr>
              <w:t xml:space="preserve">(1). </w:t>
            </w:r>
            <w:r w:rsidR="00FD64A1" w:rsidRPr="00AA6C13">
              <w:rPr>
                <w:rFonts w:eastAsia="Times New Roman"/>
              </w:rPr>
              <w:t>[</w:t>
            </w:r>
            <w:r w:rsidR="00C368C4" w:rsidRPr="00AA6C13">
              <w:t xml:space="preserve">b-Reddy S. et al 2021]. </w:t>
            </w:r>
            <w:hyperlink r:id="rId81" w:history="1">
              <w:r w:rsidR="00FD64A1" w:rsidRPr="00AA6C13">
                <w:rPr>
                  <w:rStyle w:val="Hyperlink"/>
                  <w:rFonts w:eastAsia="Times New Roman"/>
                </w:rPr>
                <w:t>http://dx.doi.org/10.1136/bmjhci-2021-100444</w:t>
              </w:r>
            </w:hyperlink>
            <w:r w:rsidRPr="00AA6C13">
              <w:rPr>
                <w:rFonts w:eastAsia="Times New Roman"/>
              </w:rPr>
              <w:t xml:space="preserve"> </w:t>
            </w:r>
          </w:p>
        </w:tc>
      </w:tr>
      <w:tr w:rsidR="000F37B9" w:rsidRPr="00AA6C13" w14:paraId="0EE98DFF" w14:textId="77777777" w:rsidTr="00DF6BD1">
        <w:trPr>
          <w:jc w:val="center"/>
        </w:trPr>
        <w:tc>
          <w:tcPr>
            <w:tcW w:w="9630" w:type="dxa"/>
          </w:tcPr>
          <w:p w14:paraId="3B480CB7" w14:textId="53E9853A" w:rsidR="000F37B9" w:rsidRPr="00AA6C13" w:rsidRDefault="00D53643" w:rsidP="00482D83">
            <w:pPr>
              <w:rPr>
                <w:rFonts w:eastAsia="DengXian"/>
                <w:i/>
              </w:rPr>
            </w:pPr>
            <w:r w:rsidRPr="00AA6C13">
              <w:rPr>
                <w:rFonts w:eastAsia="DengXian"/>
                <w:i/>
              </w:rPr>
              <w:t>"</w:t>
            </w:r>
            <w:r w:rsidR="000F37B9" w:rsidRPr="00AA6C13">
              <w:rPr>
                <w:rFonts w:eastAsia="DengXian"/>
                <w:i/>
              </w:rPr>
              <w:t>[…] many artificial intelligence (AI) systems have been developed in healthcare, but adoption has been limited. This may be due to inappropriate or incomplete evaluation and a lack of internationally recognised AI standards on evaluation. To have confidence in the generalisability of AI systems in healthcare and to enable their integration into workflows, there is a need for a practical yet comprehensive instrument to assess the translational aspects of the available AI systems. Currently available evaluation frameworks for AI in healthcare focus on the reporting and regulatory aspects but have little guidance regarding assessment of the translational aspects of the AI systems like the functional, utility and ethical components.</w:t>
            </w:r>
            <w:r w:rsidRPr="00AA6C13">
              <w:rPr>
                <w:rFonts w:eastAsia="DengXian"/>
                <w:i/>
              </w:rPr>
              <w:t>"</w:t>
            </w:r>
          </w:p>
          <w:p w14:paraId="561C8924" w14:textId="3781D5FE" w:rsidR="000F37B9" w:rsidRPr="00AA6C13" w:rsidRDefault="00D53643" w:rsidP="00482D83">
            <w:pPr>
              <w:rPr>
                <w:rFonts w:eastAsia="DengXian"/>
                <w:i/>
                <w:iCs/>
              </w:rPr>
            </w:pPr>
            <w:r w:rsidRPr="00AA6C13">
              <w:rPr>
                <w:rFonts w:eastAsia="DengXian"/>
                <w:i/>
                <w:iCs/>
              </w:rPr>
              <w:t>"</w:t>
            </w:r>
            <w:r w:rsidR="000F37B9" w:rsidRPr="00AA6C13">
              <w:rPr>
                <w:rFonts w:eastAsia="DengXian"/>
                <w:i/>
                <w:iCs/>
              </w:rPr>
              <w:t xml:space="preserve">To address this gap and create a framework that assesses real-world systems, an international team has developed a translationally focused evaluation framework termed </w:t>
            </w:r>
            <w:r w:rsidRPr="00AA6C13">
              <w:rPr>
                <w:rFonts w:eastAsia="DengXian"/>
                <w:i/>
                <w:iCs/>
              </w:rPr>
              <w:t>'</w:t>
            </w:r>
            <w:r w:rsidR="000F37B9" w:rsidRPr="00AA6C13">
              <w:rPr>
                <w:rFonts w:eastAsia="DengXian"/>
                <w:i/>
                <w:iCs/>
              </w:rPr>
              <w:t xml:space="preserve">Translational </w:t>
            </w:r>
            <w:r w:rsidR="00E72A9D" w:rsidRPr="00AA6C13">
              <w:rPr>
                <w:rFonts w:eastAsia="DengXian"/>
                <w:i/>
                <w:iCs/>
              </w:rPr>
              <w:t>e</w:t>
            </w:r>
            <w:r w:rsidR="000F37B9" w:rsidRPr="00AA6C13">
              <w:rPr>
                <w:rFonts w:eastAsia="DengXian"/>
                <w:i/>
                <w:iCs/>
              </w:rPr>
              <w:t xml:space="preserve">valuation of </w:t>
            </w:r>
            <w:r w:rsidR="00E72A9D" w:rsidRPr="00AA6C13">
              <w:rPr>
                <w:rFonts w:eastAsia="DengXian"/>
                <w:i/>
                <w:iCs/>
              </w:rPr>
              <w:t>h</w:t>
            </w:r>
            <w:r w:rsidR="000F37B9" w:rsidRPr="00AA6C13">
              <w:rPr>
                <w:rFonts w:eastAsia="DengXian"/>
                <w:i/>
                <w:iCs/>
              </w:rPr>
              <w:t>ealthcare AI (TEHAI)</w:t>
            </w:r>
            <w:r w:rsidRPr="00AA6C13">
              <w:rPr>
                <w:rFonts w:eastAsia="DengXian"/>
                <w:i/>
                <w:iCs/>
              </w:rPr>
              <w:t>'</w:t>
            </w:r>
            <w:r w:rsidR="000F37B9" w:rsidRPr="00AA6C13">
              <w:rPr>
                <w:rFonts w:eastAsia="DengXian"/>
                <w:i/>
                <w:iCs/>
              </w:rPr>
              <w:t>. A critical review of literature assessed existing evaluation and reporting frameworks and gaps. Next, using health technology evaluation and translational principles, reporting components were identified for consideration. These were independently reviewed for consensus inclusion in a final framework by an international panel of eight experts.</w:t>
            </w:r>
            <w:r w:rsidRPr="00AA6C13">
              <w:rPr>
                <w:rFonts w:eastAsia="DengXian"/>
                <w:i/>
                <w:iCs/>
              </w:rPr>
              <w:t>"</w:t>
            </w:r>
          </w:p>
          <w:p w14:paraId="1FC620EB" w14:textId="11CC6C5F" w:rsidR="000F37B9" w:rsidRPr="00AA6C13" w:rsidRDefault="00D53643" w:rsidP="00482D83">
            <w:pPr>
              <w:rPr>
                <w:rFonts w:eastAsia="DengXian"/>
              </w:rPr>
            </w:pPr>
            <w:r w:rsidRPr="00AA6C13">
              <w:rPr>
                <w:rFonts w:eastAsia="DengXian"/>
                <w:i/>
              </w:rPr>
              <w:t>"</w:t>
            </w:r>
            <w:r w:rsidR="000F37B9" w:rsidRPr="00AA6C13">
              <w:rPr>
                <w:rFonts w:eastAsia="DengXian"/>
                <w:i/>
              </w:rPr>
              <w:t>TEHAI includes three main components: capability, utility and adoption. The emphasis on translational and ethical features of the model development and deployment distinguishes TEHAI from other evaluation instruments. In specific, the evaluation components can be applied at any stage of the development and deployment of the AI system.</w:t>
            </w:r>
            <w:r w:rsidRPr="00AA6C13">
              <w:rPr>
                <w:rFonts w:eastAsia="DengXian"/>
                <w:i/>
              </w:rPr>
              <w:t>"</w:t>
            </w:r>
          </w:p>
        </w:tc>
      </w:tr>
    </w:tbl>
    <w:p w14:paraId="3C96A25B"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06CDD5F9" w14:textId="77777777" w:rsidTr="00AE14C7">
        <w:trPr>
          <w:jc w:val="center"/>
        </w:trPr>
        <w:tc>
          <w:tcPr>
            <w:tcW w:w="9630" w:type="dxa"/>
            <w:shd w:val="clear" w:color="auto" w:fill="E7E6E6" w:themeFill="background2"/>
          </w:tcPr>
          <w:p w14:paraId="79DF4E5A" w14:textId="68490B61" w:rsidR="000F37B9" w:rsidRPr="00AA6C13" w:rsidRDefault="000F37B9" w:rsidP="00482D83">
            <w:pPr>
              <w:rPr>
                <w:rFonts w:eastAsia="Times New Roman"/>
                <w:b/>
              </w:rPr>
            </w:pPr>
            <w:r w:rsidRPr="00AA6C13">
              <w:rPr>
                <w:rFonts w:eastAsia="Times New Roman"/>
                <w:b/>
              </w:rPr>
              <w:t>Generating evidence for artificial intelligence-based medical devices: a framework for training, validation and evaluation</w:t>
            </w:r>
            <w:r w:rsidR="00612045" w:rsidRPr="00AA6C13">
              <w:rPr>
                <w:rFonts w:eastAsia="Times New Roman"/>
                <w:b/>
              </w:rPr>
              <w:t>.</w:t>
            </w:r>
          </w:p>
        </w:tc>
      </w:tr>
      <w:tr w:rsidR="000F37B9" w:rsidRPr="00AA6C13" w14:paraId="2303E6FB" w14:textId="77777777" w:rsidTr="00AE14C7">
        <w:trPr>
          <w:jc w:val="center"/>
        </w:trPr>
        <w:tc>
          <w:tcPr>
            <w:tcW w:w="9630" w:type="dxa"/>
          </w:tcPr>
          <w:p w14:paraId="21966DED" w14:textId="18BD04FE" w:rsidR="000F37B9" w:rsidRPr="00AA6C13" w:rsidRDefault="000F37B9" w:rsidP="00482D83">
            <w:pPr>
              <w:rPr>
                <w:rFonts w:eastAsia="Times New Roman"/>
              </w:rPr>
            </w:pPr>
            <w:bookmarkStart w:id="203" w:name="citation-article-authors"/>
            <w:bookmarkEnd w:id="203"/>
            <w:r w:rsidRPr="00AA6C13">
              <w:rPr>
                <w:rFonts w:eastAsia="Times New Roman"/>
              </w:rPr>
              <w:t xml:space="preserve">World Health Organization. </w:t>
            </w:r>
            <w:bookmarkStart w:id="204" w:name="citation-article-date"/>
            <w:bookmarkEnd w:id="204"/>
            <w:r w:rsidRPr="00AA6C13">
              <w:rPr>
                <w:rFonts w:eastAsia="Times New Roman"/>
              </w:rPr>
              <w:t xml:space="preserve">(‎2021)‎. </w:t>
            </w:r>
            <w:bookmarkStart w:id="205" w:name="citation-article-title"/>
            <w:bookmarkEnd w:id="205"/>
            <w:r w:rsidRPr="00AA6C13">
              <w:rPr>
                <w:rFonts w:eastAsia="Times New Roman"/>
              </w:rPr>
              <w:t xml:space="preserve">Generating evidence for artificial intelligence-based medical devices: a framework for training, validation and evaluation. </w:t>
            </w:r>
            <w:bookmarkStart w:id="206" w:name="citation-publisher"/>
            <w:bookmarkEnd w:id="206"/>
            <w:r w:rsidRPr="00AA6C13">
              <w:rPr>
                <w:rFonts w:eastAsia="Times New Roman"/>
              </w:rPr>
              <w:t xml:space="preserve">World Health Organization. </w:t>
            </w:r>
            <w:r w:rsidR="002217EC" w:rsidRPr="00AA6C13">
              <w:rPr>
                <w:rFonts w:eastAsia="Times New Roman"/>
              </w:rPr>
              <w:t>[b-WHO 2021]</w:t>
            </w:r>
            <w:r w:rsidR="00B840E1" w:rsidRPr="00AA6C13">
              <w:rPr>
                <w:rFonts w:eastAsia="Times New Roman"/>
              </w:rPr>
              <w:t>.</w:t>
            </w:r>
            <w:r w:rsidR="002217EC" w:rsidRPr="00AA6C13">
              <w:rPr>
                <w:rFonts w:eastAsia="Times New Roman"/>
              </w:rPr>
              <w:t xml:space="preserve"> </w:t>
            </w:r>
            <w:bookmarkStart w:id="207" w:name="citation-article-identifier"/>
            <w:bookmarkEnd w:id="207"/>
            <w:r w:rsidR="002217EC" w:rsidRPr="00AA6C13">
              <w:rPr>
                <w:rFonts w:eastAsia="Times New Roman"/>
                <w:color w:val="0000FF"/>
                <w:u w:val="single"/>
              </w:rPr>
              <w:fldChar w:fldCharType="begin"/>
            </w:r>
            <w:r w:rsidR="002217EC" w:rsidRPr="00AA6C13">
              <w:rPr>
                <w:rFonts w:eastAsia="Times New Roman"/>
                <w:color w:val="0000FF"/>
                <w:u w:val="single"/>
              </w:rPr>
              <w:instrText>HYPERLINK "https://apps.who.int/iris/handle/10665/349093"</w:instrText>
            </w:r>
            <w:r w:rsidR="002217EC" w:rsidRPr="00AA6C13">
              <w:rPr>
                <w:rFonts w:eastAsia="Times New Roman"/>
                <w:color w:val="0000FF"/>
                <w:u w:val="single"/>
              </w:rPr>
            </w:r>
            <w:r w:rsidR="002217EC" w:rsidRPr="00AA6C13">
              <w:rPr>
                <w:rFonts w:eastAsia="Times New Roman"/>
                <w:color w:val="0000FF"/>
                <w:u w:val="single"/>
              </w:rPr>
              <w:fldChar w:fldCharType="separate"/>
            </w:r>
            <w:r w:rsidR="002217EC" w:rsidRPr="00AA6C13">
              <w:rPr>
                <w:rStyle w:val="Hyperlink"/>
                <w:rFonts w:eastAsia="Times New Roman"/>
              </w:rPr>
              <w:t>https://apps.who.int/iris/handle/10665/349093</w:t>
            </w:r>
            <w:r w:rsidR="002217EC" w:rsidRPr="00AA6C13">
              <w:rPr>
                <w:rFonts w:eastAsia="Times New Roman"/>
                <w:color w:val="0000FF"/>
                <w:u w:val="single"/>
              </w:rPr>
              <w:fldChar w:fldCharType="end"/>
            </w:r>
            <w:r w:rsidRPr="00AA6C13">
              <w:rPr>
                <w:rFonts w:eastAsia="Times New Roman"/>
              </w:rPr>
              <w:t>. License: CC BY-NC-SA 3.0 IGO</w:t>
            </w:r>
          </w:p>
        </w:tc>
      </w:tr>
      <w:tr w:rsidR="000F37B9" w:rsidRPr="00AA6C13" w14:paraId="277DD31A" w14:textId="77777777" w:rsidTr="00AE14C7">
        <w:trPr>
          <w:jc w:val="center"/>
        </w:trPr>
        <w:tc>
          <w:tcPr>
            <w:tcW w:w="9630" w:type="dxa"/>
          </w:tcPr>
          <w:p w14:paraId="225AF01F" w14:textId="77777777" w:rsidR="002E2071" w:rsidRPr="00AA6C13" w:rsidRDefault="000F37B9" w:rsidP="00482D83">
            <w:pPr>
              <w:rPr>
                <w:rFonts w:eastAsia="DengXian"/>
                <w:i/>
              </w:rPr>
            </w:pPr>
            <w:r w:rsidRPr="00AA6C13">
              <w:rPr>
                <w:rFonts w:eastAsia="DengXian"/>
              </w:rPr>
              <w:lastRenderedPageBreak/>
              <w:t>From the executive summary:</w:t>
            </w:r>
            <w:r w:rsidRPr="00AA6C13">
              <w:rPr>
                <w:rFonts w:eastAsia="DengXian"/>
                <w:i/>
              </w:rPr>
              <w:t xml:space="preserve"> </w:t>
            </w:r>
            <w:r w:rsidR="00D53643" w:rsidRPr="00AA6C13">
              <w:rPr>
                <w:rFonts w:eastAsia="DengXian"/>
                <w:i/>
              </w:rPr>
              <w:t>"</w:t>
            </w:r>
            <w:r w:rsidRPr="00AA6C13">
              <w:rPr>
                <w:rFonts w:eastAsia="DengXian"/>
                <w:i/>
              </w:rPr>
              <w:t xml:space="preserve">The development of artificial intelligence and machine learning based software as a medical device (we will refer to these as AI-SaMD in this document) is rapidly evolving. However, there is currently a lack of globally recognised benchmarking frameworks to assess evidence generated </w:t>
            </w:r>
            <w:proofErr w:type="gramStart"/>
            <w:r w:rsidRPr="00AA6C13">
              <w:rPr>
                <w:rFonts w:eastAsia="DengXian"/>
                <w:i/>
              </w:rPr>
              <w:t>by the use of</w:t>
            </w:r>
            <w:proofErr w:type="gramEnd"/>
            <w:r w:rsidRPr="00AA6C13">
              <w:rPr>
                <w:rFonts w:eastAsia="DengXian"/>
                <w:i/>
              </w:rPr>
              <w:t xml:space="preserve"> these devices. International regulatory frameworks for digital health products are also evolving. The framework provides an overview of considerations used in evaluating clinical evidence regarding AI-SaMD, aiming to help formulate a consensus for guiding validation, evidence generation and reporting across the total product </w:t>
            </w:r>
            <w:proofErr w:type="gramStart"/>
            <w:r w:rsidRPr="00AA6C13">
              <w:rPr>
                <w:rFonts w:eastAsia="DengXian"/>
                <w:i/>
              </w:rPr>
              <w:t>life-cycle</w:t>
            </w:r>
            <w:proofErr w:type="gramEnd"/>
            <w:r w:rsidRPr="00AA6C13">
              <w:rPr>
                <w:rFonts w:eastAsia="DengXian"/>
                <w:i/>
              </w:rPr>
              <w:t xml:space="preserve"> within a global health context.</w:t>
            </w:r>
            <w:r w:rsidR="00D53643" w:rsidRPr="00AA6C13">
              <w:rPr>
                <w:rFonts w:eastAsia="DengXian"/>
                <w:i/>
              </w:rPr>
              <w:t>"</w:t>
            </w:r>
          </w:p>
          <w:p w14:paraId="6DBA8499" w14:textId="3B360497" w:rsidR="000F37B9" w:rsidRPr="00AA6C13" w:rsidRDefault="00D53643" w:rsidP="00482D83">
            <w:pPr>
              <w:rPr>
                <w:rFonts w:eastAsia="DengXian"/>
                <w:i/>
              </w:rPr>
            </w:pPr>
            <w:r w:rsidRPr="00AA6C13">
              <w:rPr>
                <w:rFonts w:eastAsia="DengXian"/>
                <w:i/>
              </w:rPr>
              <w:t>"</w:t>
            </w:r>
            <w:r w:rsidR="000F37B9" w:rsidRPr="00AA6C13">
              <w:rPr>
                <w:rFonts w:eastAsia="DengXian"/>
                <w:i/>
              </w:rPr>
              <w:t>As well as reviewing the current literature, this framework provides a real-world example in the form of a use-case for AI-SaMD applied to a WHO priority: cervical cancer screening. (Use-case methodology is a systems analysis approach to clarifying product requirements, describing the complete sequence of steps required to reach a specified goal). Several chapters also list minimum standards for different aspects of evidence generation.</w:t>
            </w:r>
            <w:r w:rsidRPr="00AA6C13">
              <w:rPr>
                <w:rFonts w:eastAsia="DengXian"/>
                <w:i/>
              </w:rPr>
              <w:t>"</w:t>
            </w:r>
          </w:p>
        </w:tc>
      </w:tr>
    </w:tbl>
    <w:p w14:paraId="608BAEAC" w14:textId="77777777" w:rsidR="000F37B9" w:rsidRPr="00AA6C13" w:rsidRDefault="000F37B9" w:rsidP="000F37B9"/>
    <w:tbl>
      <w:tblPr>
        <w:tblStyle w:val="TableGrid"/>
        <w:tblW w:w="9630" w:type="dxa"/>
        <w:jc w:val="center"/>
        <w:tblLook w:val="06A0" w:firstRow="1" w:lastRow="0" w:firstColumn="1" w:lastColumn="0" w:noHBand="1" w:noVBand="1"/>
      </w:tblPr>
      <w:tblGrid>
        <w:gridCol w:w="9630"/>
      </w:tblGrid>
      <w:tr w:rsidR="000F37B9" w:rsidRPr="00AA6C13" w14:paraId="76A935CA" w14:textId="77777777" w:rsidTr="00AE14C7">
        <w:trPr>
          <w:jc w:val="center"/>
        </w:trPr>
        <w:tc>
          <w:tcPr>
            <w:tcW w:w="9630" w:type="dxa"/>
            <w:shd w:val="clear" w:color="auto" w:fill="E7E6E6" w:themeFill="background2"/>
          </w:tcPr>
          <w:p w14:paraId="69B8EEAC" w14:textId="4E64A16F" w:rsidR="000F37B9" w:rsidRPr="00AA6C13" w:rsidRDefault="000F37B9" w:rsidP="00482D83">
            <w:pPr>
              <w:rPr>
                <w:b/>
              </w:rPr>
            </w:pPr>
            <w:r w:rsidRPr="00AA6C13">
              <w:rPr>
                <w:b/>
              </w:rPr>
              <w:t>Guidelines and quality criteria for artificial intelligence-based prediction models in healthcare: a scoping review</w:t>
            </w:r>
            <w:r w:rsidR="001E49C8" w:rsidRPr="00AA6C13">
              <w:rPr>
                <w:b/>
              </w:rPr>
              <w:t>.</w:t>
            </w:r>
          </w:p>
        </w:tc>
      </w:tr>
      <w:tr w:rsidR="000F37B9" w:rsidRPr="00AA6C13" w14:paraId="08851546" w14:textId="77777777" w:rsidTr="00AE14C7">
        <w:trPr>
          <w:jc w:val="center"/>
        </w:trPr>
        <w:tc>
          <w:tcPr>
            <w:tcW w:w="9630" w:type="dxa"/>
          </w:tcPr>
          <w:p w14:paraId="54818982" w14:textId="201A652F" w:rsidR="000F37B9" w:rsidRPr="00AA6C13" w:rsidRDefault="000F37B9" w:rsidP="00482D83">
            <w:pPr>
              <w:rPr>
                <w:rFonts w:eastAsia="Times New Roman"/>
              </w:rPr>
            </w:pPr>
            <w:r w:rsidRPr="00AA6C13">
              <w:rPr>
                <w:rFonts w:eastAsia="Times New Roman"/>
              </w:rPr>
              <w:t xml:space="preserve">de </w:t>
            </w:r>
            <w:proofErr w:type="spellStart"/>
            <w:r w:rsidRPr="00AA6C13">
              <w:rPr>
                <w:rFonts w:eastAsia="Times New Roman"/>
              </w:rPr>
              <w:t>Hond</w:t>
            </w:r>
            <w:proofErr w:type="spellEnd"/>
            <w:r w:rsidRPr="00AA6C13">
              <w:rPr>
                <w:rFonts w:eastAsia="Times New Roman"/>
              </w:rPr>
              <w:t xml:space="preserve">, A.A.H., </w:t>
            </w:r>
            <w:proofErr w:type="spellStart"/>
            <w:r w:rsidRPr="00AA6C13">
              <w:rPr>
                <w:rFonts w:eastAsia="Times New Roman"/>
              </w:rPr>
              <w:t>Leeuwenberg</w:t>
            </w:r>
            <w:proofErr w:type="spellEnd"/>
            <w:r w:rsidRPr="00AA6C13">
              <w:rPr>
                <w:rFonts w:eastAsia="Times New Roman"/>
              </w:rPr>
              <w:t>, A.M., Hooft, L</w:t>
            </w:r>
            <w:r w:rsidRPr="00AA6C13">
              <w:rPr>
                <w:rFonts w:eastAsia="Times New Roman"/>
                <w:iCs/>
              </w:rPr>
              <w:t>.</w:t>
            </w:r>
            <w:r w:rsidRPr="00AA6C13">
              <w:rPr>
                <w:rFonts w:eastAsia="Times New Roman"/>
              </w:rPr>
              <w:t xml:space="preserve"> </w:t>
            </w:r>
            <w:r w:rsidR="00FC7DBA" w:rsidRPr="00AA6C13">
              <w:rPr>
                <w:rFonts w:eastAsia="Times New Roman"/>
              </w:rPr>
              <w:t xml:space="preserve">Kant, I. M. J., Nijman, S. W. J., van </w:t>
            </w:r>
            <w:proofErr w:type="spellStart"/>
            <w:r w:rsidR="00FC7DBA" w:rsidRPr="00AA6C13">
              <w:rPr>
                <w:rFonts w:eastAsia="Times New Roman"/>
              </w:rPr>
              <w:t>Os</w:t>
            </w:r>
            <w:proofErr w:type="spellEnd"/>
            <w:r w:rsidR="00FC7DBA" w:rsidRPr="00AA6C13">
              <w:rPr>
                <w:rFonts w:eastAsia="Times New Roman"/>
              </w:rPr>
              <w:t xml:space="preserve">, H. J. A., </w:t>
            </w:r>
            <w:proofErr w:type="spellStart"/>
            <w:r w:rsidR="00FC7DBA" w:rsidRPr="00AA6C13">
              <w:rPr>
                <w:rFonts w:eastAsia="Times New Roman"/>
              </w:rPr>
              <w:t>Aardoom</w:t>
            </w:r>
            <w:proofErr w:type="spellEnd"/>
            <w:r w:rsidR="00FC7DBA" w:rsidRPr="00AA6C13">
              <w:rPr>
                <w:rFonts w:eastAsia="Times New Roman"/>
              </w:rPr>
              <w:t xml:space="preserve">, J. J., Debray, T. P. A., Schuit, E., van Smeden, M., Reitsma, J. B., </w:t>
            </w:r>
            <w:proofErr w:type="spellStart"/>
            <w:r w:rsidR="00FC7DBA" w:rsidRPr="00AA6C13">
              <w:rPr>
                <w:rFonts w:eastAsia="Times New Roman"/>
              </w:rPr>
              <w:t>Steyerberg</w:t>
            </w:r>
            <w:proofErr w:type="spellEnd"/>
            <w:r w:rsidR="00FC7DBA" w:rsidRPr="00AA6C13">
              <w:rPr>
                <w:rFonts w:eastAsia="Times New Roman"/>
              </w:rPr>
              <w:t>, E. W., Chavannes, N. H., and Moons, K. G. M.</w:t>
            </w:r>
            <w:r w:rsidRPr="00AA6C13">
              <w:rPr>
                <w:rFonts w:eastAsia="Times New Roman"/>
              </w:rPr>
              <w:t xml:space="preserve"> (2022). Guidelines and quality criteria for artificial intelligence-based prediction models in healthcare: a scoping review. </w:t>
            </w:r>
            <w:proofErr w:type="spellStart"/>
            <w:r w:rsidRPr="00AA6C13">
              <w:rPr>
                <w:rFonts w:eastAsia="Times New Roman"/>
                <w:i/>
              </w:rPr>
              <w:t>npj</w:t>
            </w:r>
            <w:proofErr w:type="spellEnd"/>
            <w:r w:rsidRPr="00AA6C13">
              <w:rPr>
                <w:rFonts w:eastAsia="Times New Roman"/>
                <w:i/>
              </w:rPr>
              <w:t xml:space="preserve"> Digit</w:t>
            </w:r>
            <w:r w:rsidR="001E5758" w:rsidRPr="00AA6C13">
              <w:rPr>
                <w:rFonts w:eastAsia="Times New Roman"/>
                <w:i/>
              </w:rPr>
              <w:t>al</w:t>
            </w:r>
            <w:r w:rsidRPr="00AA6C13">
              <w:rPr>
                <w:rFonts w:eastAsia="Times New Roman"/>
                <w:i/>
              </w:rPr>
              <w:t xml:space="preserve"> </w:t>
            </w:r>
            <w:r w:rsidR="001E5758" w:rsidRPr="00AA6C13">
              <w:rPr>
                <w:rFonts w:eastAsia="Times New Roman"/>
                <w:i/>
              </w:rPr>
              <w:t>m</w:t>
            </w:r>
            <w:r w:rsidRPr="00AA6C13">
              <w:rPr>
                <w:rFonts w:eastAsia="Times New Roman"/>
                <w:i/>
              </w:rPr>
              <w:t>ed</w:t>
            </w:r>
            <w:r w:rsidR="001E5758" w:rsidRPr="00AA6C13">
              <w:rPr>
                <w:rFonts w:eastAsia="Times New Roman"/>
                <w:i/>
              </w:rPr>
              <w:t>icine</w:t>
            </w:r>
            <w:r w:rsidRPr="00AA6C13">
              <w:rPr>
                <w:rFonts w:eastAsia="Times New Roman"/>
              </w:rPr>
              <w:t xml:space="preserve"> </w:t>
            </w:r>
            <w:r w:rsidRPr="00AA6C13">
              <w:rPr>
                <w:rFonts w:eastAsia="Times New Roman"/>
                <w:b/>
              </w:rPr>
              <w:t xml:space="preserve">5, </w:t>
            </w:r>
            <w:r w:rsidRPr="00AA6C13">
              <w:rPr>
                <w:rFonts w:eastAsia="Times New Roman"/>
              </w:rPr>
              <w:t>2.</w:t>
            </w:r>
            <w:r w:rsidR="008A0DDE" w:rsidRPr="00AA6C13">
              <w:rPr>
                <w:rFonts w:eastAsia="Times New Roman"/>
              </w:rPr>
              <w:t xml:space="preserve"> [b</w:t>
            </w:r>
            <w:r w:rsidR="00AE14C7" w:rsidRPr="00AA6C13">
              <w:rPr>
                <w:rFonts w:eastAsia="Times New Roman"/>
              </w:rPr>
              <w:noBreakHyphen/>
            </w:r>
            <w:r w:rsidR="0079686D" w:rsidRPr="00AA6C13">
              <w:rPr>
                <w:rFonts w:eastAsia="Times New Roman"/>
              </w:rPr>
              <w:t xml:space="preserve">de </w:t>
            </w:r>
            <w:proofErr w:type="spellStart"/>
            <w:r w:rsidR="0079686D" w:rsidRPr="00AA6C13">
              <w:rPr>
                <w:rFonts w:eastAsia="Times New Roman"/>
              </w:rPr>
              <w:t>Hond</w:t>
            </w:r>
            <w:proofErr w:type="spellEnd"/>
            <w:r w:rsidR="0079686D" w:rsidRPr="00AA6C13">
              <w:rPr>
                <w:rFonts w:eastAsia="Times New Roman"/>
              </w:rPr>
              <w:t xml:space="preserve"> et al., 2022].</w:t>
            </w:r>
            <w:r w:rsidRPr="00AA6C13">
              <w:rPr>
                <w:rFonts w:eastAsia="Times New Roman"/>
              </w:rPr>
              <w:t xml:space="preserve"> </w:t>
            </w:r>
            <w:hyperlink r:id="rId82">
              <w:r w:rsidRPr="00AA6C13">
                <w:rPr>
                  <w:rFonts w:eastAsia="Times New Roman"/>
                  <w:color w:val="0000FF"/>
                  <w:u w:val="single"/>
                </w:rPr>
                <w:t>https://doi.org/10.1038/s41746-021-00549-7</w:t>
              </w:r>
            </w:hyperlink>
            <w:r w:rsidRPr="00AA6C13">
              <w:rPr>
                <w:rFonts w:eastAsia="Times New Roman"/>
              </w:rPr>
              <w:t xml:space="preserve"> </w:t>
            </w:r>
          </w:p>
        </w:tc>
      </w:tr>
      <w:tr w:rsidR="000F37B9" w:rsidRPr="00AA6C13" w14:paraId="00A91839" w14:textId="77777777" w:rsidTr="00AE14C7">
        <w:trPr>
          <w:jc w:val="center"/>
        </w:trPr>
        <w:tc>
          <w:tcPr>
            <w:tcW w:w="9630" w:type="dxa"/>
          </w:tcPr>
          <w:p w14:paraId="748DD81F" w14:textId="390AD842" w:rsidR="000F37B9" w:rsidRPr="00AA6C13" w:rsidRDefault="000F37B9" w:rsidP="00482D83">
            <w:pPr>
              <w:rPr>
                <w:rFonts w:eastAsia="DengXian"/>
                <w:i/>
              </w:rPr>
            </w:pPr>
            <w:r w:rsidRPr="00AA6C13">
              <w:rPr>
                <w:rFonts w:eastAsia="DengXian"/>
              </w:rPr>
              <w:t xml:space="preserve">From the abstract: </w:t>
            </w:r>
            <w:r w:rsidR="00D53643" w:rsidRPr="00AA6C13">
              <w:rPr>
                <w:rFonts w:eastAsia="DengXian"/>
                <w:i/>
              </w:rPr>
              <w:t>"</w:t>
            </w:r>
            <w:r w:rsidRPr="00AA6C13">
              <w:rPr>
                <w:rFonts w:eastAsia="DengXian"/>
                <w:i/>
              </w:rPr>
              <w:t>While the opportunities of ML and AI in healthcare are promising, the growth of complex data-driven prediction models requires careful quality and applicability assessment before they are applied and disseminated in daily practice. This scoping review aimed to identify actionable guidance for those closely involved in AI-based prediction model (AIPM) development, evaluation and implementation including software engineers, data scientists, and healthcare professionals and to identify potential gaps in this guidance. We performed a scoping review of the relevant literature providing guidance or quality criteria regarding the development, evaluation, and implementation of AIPMs using a comprehensive multi-stage screening strategy.</w:t>
            </w:r>
            <w:r w:rsidR="00D53643" w:rsidRPr="00AA6C13">
              <w:rPr>
                <w:rFonts w:eastAsia="DengXian"/>
                <w:i/>
              </w:rPr>
              <w:t>"</w:t>
            </w:r>
          </w:p>
        </w:tc>
      </w:tr>
    </w:tbl>
    <w:p w14:paraId="5CFD4E29" w14:textId="77777777" w:rsidR="000F37B9" w:rsidRPr="00AA6C13" w:rsidRDefault="000F37B9" w:rsidP="000F37B9"/>
    <w:tbl>
      <w:tblPr>
        <w:tblStyle w:val="TableGrid"/>
        <w:tblW w:w="0" w:type="auto"/>
        <w:jc w:val="center"/>
        <w:tblLook w:val="04A0" w:firstRow="1" w:lastRow="0" w:firstColumn="1" w:lastColumn="0" w:noHBand="0" w:noVBand="1"/>
      </w:tblPr>
      <w:tblGrid>
        <w:gridCol w:w="9521"/>
      </w:tblGrid>
      <w:tr w:rsidR="000F37B9" w:rsidRPr="00AA6C13" w14:paraId="7A77DF40" w14:textId="77777777" w:rsidTr="00AE14C7">
        <w:trPr>
          <w:jc w:val="center"/>
        </w:trPr>
        <w:tc>
          <w:tcPr>
            <w:tcW w:w="9521" w:type="dxa"/>
            <w:shd w:val="clear" w:color="auto" w:fill="E7E6E6" w:themeFill="background2"/>
          </w:tcPr>
          <w:p w14:paraId="7CAC564E" w14:textId="77777777" w:rsidR="000F37B9" w:rsidRPr="00AA6C13" w:rsidRDefault="000F37B9" w:rsidP="00482D83">
            <w:pPr>
              <w:spacing w:before="0" w:line="259" w:lineRule="auto"/>
              <w:rPr>
                <w:rFonts w:eastAsia="DengXian"/>
                <w:b/>
                <w:bCs/>
              </w:rPr>
            </w:pPr>
            <w:r w:rsidRPr="00AA6C13">
              <w:rPr>
                <w:rFonts w:eastAsia="DengXian"/>
                <w:b/>
                <w:bCs/>
              </w:rPr>
              <w:t>Algorithmic impact assessment: a case study in healthcare</w:t>
            </w:r>
          </w:p>
        </w:tc>
      </w:tr>
      <w:tr w:rsidR="000F37B9" w:rsidRPr="00AA6C13" w14:paraId="53F7377A" w14:textId="77777777" w:rsidTr="00AE14C7">
        <w:trPr>
          <w:jc w:val="center"/>
        </w:trPr>
        <w:tc>
          <w:tcPr>
            <w:tcW w:w="9521" w:type="dxa"/>
          </w:tcPr>
          <w:p w14:paraId="63BC9043" w14:textId="21EB5BD7" w:rsidR="000F37B9" w:rsidRPr="00AA6C13" w:rsidRDefault="00A65D2D" w:rsidP="00482D83">
            <w:pPr>
              <w:spacing w:before="0" w:line="259" w:lineRule="auto"/>
              <w:rPr>
                <w:rFonts w:eastAsia="DengXian"/>
              </w:rPr>
            </w:pPr>
            <w:r w:rsidRPr="00AA6C13">
              <w:rPr>
                <w:rFonts w:eastAsia="DengXian"/>
              </w:rPr>
              <w:t>[b-</w:t>
            </w:r>
            <w:r w:rsidR="000F37B9" w:rsidRPr="00AA6C13">
              <w:rPr>
                <w:rFonts w:eastAsia="DengXian"/>
              </w:rPr>
              <w:t>Ada Lovelace Institute</w:t>
            </w:r>
            <w:r w:rsidR="00C63D9A" w:rsidRPr="00AA6C13">
              <w:rPr>
                <w:rFonts w:eastAsia="DengXian"/>
              </w:rPr>
              <w:t>]</w:t>
            </w:r>
            <w:r w:rsidR="000F37B9" w:rsidRPr="00AA6C13">
              <w:rPr>
                <w:rFonts w:eastAsia="DengXian"/>
              </w:rPr>
              <w:t xml:space="preserve"> (2022). Algorithmic impact assessment: a case study in healthcare. [Online:] </w:t>
            </w:r>
            <w:hyperlink r:id="rId83">
              <w:r w:rsidR="000F37B9" w:rsidRPr="00AA6C13">
                <w:rPr>
                  <w:rFonts w:eastAsia="DengXian"/>
                  <w:color w:val="0000FF"/>
                  <w:u w:val="single"/>
                </w:rPr>
                <w:t>https://www.adalovelaceinstitute.org/report/algorithmic-impact-assessment-case-study-healthcare/</w:t>
              </w:r>
            </w:hyperlink>
            <w:r w:rsidR="000F37B9" w:rsidRPr="00AA6C13">
              <w:rPr>
                <w:rFonts w:eastAsia="DengXian"/>
              </w:rPr>
              <w:t xml:space="preserve"> </w:t>
            </w:r>
          </w:p>
        </w:tc>
      </w:tr>
      <w:tr w:rsidR="000F37B9" w:rsidRPr="00AA6C13" w14:paraId="0CDEAE2F" w14:textId="77777777" w:rsidTr="00AE14C7">
        <w:trPr>
          <w:jc w:val="center"/>
        </w:trPr>
        <w:tc>
          <w:tcPr>
            <w:tcW w:w="9521" w:type="dxa"/>
          </w:tcPr>
          <w:p w14:paraId="4E1814B1" w14:textId="0F9BFBF0" w:rsidR="000F37B9" w:rsidRPr="00AA6C13" w:rsidRDefault="00D53643" w:rsidP="00482D83">
            <w:r w:rsidRPr="00AA6C13">
              <w:t>"</w:t>
            </w:r>
            <w:r w:rsidR="000F37B9" w:rsidRPr="00AA6C13">
              <w:rPr>
                <w:rFonts w:eastAsia="Times New Roman"/>
              </w:rPr>
              <w:t xml:space="preserve">Governments, public bodies and developers of artificial intelligence (AI) systems are becoming interested in algorithmic impact assessments (referred to throughout this report as </w:t>
            </w:r>
            <w:r w:rsidRPr="00AA6C13">
              <w:rPr>
                <w:rFonts w:eastAsia="Times New Roman"/>
              </w:rPr>
              <w:t>'</w:t>
            </w:r>
            <w:r w:rsidR="000F37B9" w:rsidRPr="00AA6C13">
              <w:rPr>
                <w:rFonts w:eastAsia="Times New Roman"/>
              </w:rPr>
              <w:t>AIAs</w:t>
            </w:r>
            <w:r w:rsidRPr="00AA6C13">
              <w:rPr>
                <w:rFonts w:eastAsia="Times New Roman"/>
              </w:rPr>
              <w:t>'</w:t>
            </w:r>
            <w:r w:rsidR="000F37B9" w:rsidRPr="00AA6C13">
              <w:rPr>
                <w:rFonts w:eastAsia="Times New Roman"/>
              </w:rPr>
              <w:t xml:space="preserve">) </w:t>
            </w:r>
            <w:proofErr w:type="gramStart"/>
            <w:r w:rsidR="000F37B9" w:rsidRPr="00AA6C13">
              <w:rPr>
                <w:rFonts w:eastAsia="Times New Roman"/>
              </w:rPr>
              <w:t>as a means to</w:t>
            </w:r>
            <w:proofErr w:type="gramEnd"/>
            <w:r w:rsidR="000F37B9" w:rsidRPr="00AA6C13">
              <w:rPr>
                <w:rFonts w:eastAsia="Times New Roman"/>
              </w:rPr>
              <w:t xml:space="preserve"> create better understanding of and accountability for potential benefits and harms from AI systems. At the same time – as a rapidly growing area of AI research and application – healthcare is recognised as a domain where AI has the potential to bring significant benefits, albeit with wide-ranging implications for people and society. This report offers the first-known detailed proposal for the use of an algorithmic impact assessment for data access in a healthcare context – the UK </w:t>
            </w:r>
            <w:r w:rsidR="00AB54FF" w:rsidRPr="00AA6C13">
              <w:rPr>
                <w:rFonts w:eastAsia="Times New Roman"/>
              </w:rPr>
              <w:t>n</w:t>
            </w:r>
            <w:r w:rsidR="000F37B9" w:rsidRPr="00AA6C13">
              <w:rPr>
                <w:rFonts w:eastAsia="Times New Roman"/>
              </w:rPr>
              <w:t xml:space="preserve">ational </w:t>
            </w:r>
            <w:r w:rsidR="00AB54FF" w:rsidRPr="00AA6C13">
              <w:rPr>
                <w:rFonts w:eastAsia="Times New Roman"/>
              </w:rPr>
              <w:t>h</w:t>
            </w:r>
            <w:r w:rsidR="000F37B9" w:rsidRPr="00AA6C13">
              <w:rPr>
                <w:rFonts w:eastAsia="Times New Roman"/>
              </w:rPr>
              <w:t xml:space="preserve">ealth </w:t>
            </w:r>
            <w:r w:rsidR="00AB54FF" w:rsidRPr="00AA6C13">
              <w:rPr>
                <w:rFonts w:eastAsia="Times New Roman"/>
              </w:rPr>
              <w:t>s</w:t>
            </w:r>
            <w:r w:rsidR="000F37B9" w:rsidRPr="00AA6C13">
              <w:rPr>
                <w:rFonts w:eastAsia="Times New Roman"/>
              </w:rPr>
              <w:t>ervice (NHS)</w:t>
            </w:r>
            <w:r w:rsidRPr="00AA6C13">
              <w:rPr>
                <w:rFonts w:eastAsia="Times New Roman"/>
              </w:rPr>
              <w:t>'</w:t>
            </w:r>
            <w:r w:rsidR="000F37B9" w:rsidRPr="00AA6C13">
              <w:rPr>
                <w:rFonts w:eastAsia="Times New Roman"/>
              </w:rPr>
              <w:t xml:space="preserve">s proposed </w:t>
            </w:r>
            <w:r w:rsidR="002B73E2" w:rsidRPr="00AA6C13">
              <w:rPr>
                <w:rFonts w:eastAsia="Times New Roman"/>
              </w:rPr>
              <w:t>n</w:t>
            </w:r>
            <w:r w:rsidR="000F37B9" w:rsidRPr="00AA6C13">
              <w:rPr>
                <w:rFonts w:eastAsia="Times New Roman"/>
              </w:rPr>
              <w:t xml:space="preserve">ational </w:t>
            </w:r>
            <w:r w:rsidR="002B73E2" w:rsidRPr="00AA6C13">
              <w:rPr>
                <w:rFonts w:eastAsia="Times New Roman"/>
              </w:rPr>
              <w:t>m</w:t>
            </w:r>
            <w:r w:rsidR="000F37B9" w:rsidRPr="00AA6C13">
              <w:rPr>
                <w:rFonts w:eastAsia="Times New Roman"/>
              </w:rPr>
              <w:t xml:space="preserve">edical </w:t>
            </w:r>
            <w:r w:rsidR="002B73E2" w:rsidRPr="00AA6C13">
              <w:rPr>
                <w:rFonts w:eastAsia="Times New Roman"/>
              </w:rPr>
              <w:t>i</w:t>
            </w:r>
            <w:r w:rsidR="000F37B9" w:rsidRPr="00AA6C13">
              <w:rPr>
                <w:rFonts w:eastAsia="Times New Roman"/>
              </w:rPr>
              <w:t xml:space="preserve">maging </w:t>
            </w:r>
            <w:r w:rsidR="002B73E2" w:rsidRPr="00AA6C13">
              <w:rPr>
                <w:rFonts w:eastAsia="Times New Roman"/>
              </w:rPr>
              <w:t>p</w:t>
            </w:r>
            <w:r w:rsidR="000F37B9" w:rsidRPr="00AA6C13">
              <w:rPr>
                <w:rFonts w:eastAsia="Times New Roman"/>
              </w:rPr>
              <w:t>latform (NMIP). It includes actionable steps for the AIA process, alongside more general considerations for the use of AIAs in other public and private-sector contexts.</w:t>
            </w:r>
            <w:r w:rsidRPr="00AA6C13">
              <w:rPr>
                <w:rFonts w:eastAsia="Times New Roman"/>
              </w:rPr>
              <w:t>"</w:t>
            </w:r>
          </w:p>
        </w:tc>
      </w:tr>
    </w:tbl>
    <w:p w14:paraId="33896E7D" w14:textId="77777777" w:rsidR="000F37B9" w:rsidRPr="00AA6C13" w:rsidRDefault="000F37B9" w:rsidP="000F37B9">
      <w:pPr>
        <w:rPr>
          <w:rFonts w:eastAsia="DengXian"/>
        </w:rPr>
      </w:pPr>
    </w:p>
    <w:tbl>
      <w:tblPr>
        <w:tblStyle w:val="TableGrid"/>
        <w:tblW w:w="0" w:type="auto"/>
        <w:tblInd w:w="108" w:type="dxa"/>
        <w:tblLook w:val="04A0" w:firstRow="1" w:lastRow="0" w:firstColumn="1" w:lastColumn="0" w:noHBand="0" w:noVBand="1"/>
      </w:tblPr>
      <w:tblGrid>
        <w:gridCol w:w="9521"/>
      </w:tblGrid>
      <w:tr w:rsidR="000F37B9" w:rsidRPr="00AA6C13" w14:paraId="24D38789" w14:textId="77777777" w:rsidTr="00AE14C7">
        <w:tc>
          <w:tcPr>
            <w:tcW w:w="9521" w:type="dxa"/>
            <w:shd w:val="clear" w:color="auto" w:fill="E7E6E6" w:themeFill="background2"/>
          </w:tcPr>
          <w:p w14:paraId="3A608B7A" w14:textId="77777777" w:rsidR="000F37B9" w:rsidRPr="00AA6C13" w:rsidRDefault="000F37B9" w:rsidP="00AE14C7">
            <w:pPr>
              <w:keepNext/>
              <w:keepLines/>
              <w:spacing w:before="0" w:line="259" w:lineRule="auto"/>
              <w:rPr>
                <w:b/>
                <w:bCs/>
                <w:lang w:bidi="ar-DZ"/>
              </w:rPr>
            </w:pPr>
            <w:r w:rsidRPr="00AA6C13">
              <w:rPr>
                <w:b/>
                <w:bCs/>
                <w:lang w:bidi="ar-DZ"/>
              </w:rPr>
              <w:lastRenderedPageBreak/>
              <w:t>The medical algorithmic audit</w:t>
            </w:r>
          </w:p>
        </w:tc>
      </w:tr>
      <w:tr w:rsidR="000F37B9" w:rsidRPr="00AA6C13" w14:paraId="367EE476" w14:textId="77777777" w:rsidTr="00AE14C7">
        <w:tc>
          <w:tcPr>
            <w:tcW w:w="9521" w:type="dxa"/>
          </w:tcPr>
          <w:p w14:paraId="62035FCB" w14:textId="25D58F76" w:rsidR="000F37B9" w:rsidRPr="00AA6C13" w:rsidRDefault="000F37B9" w:rsidP="00AE14C7">
            <w:pPr>
              <w:keepNext/>
              <w:keepLines/>
              <w:spacing w:before="0" w:line="259" w:lineRule="auto"/>
              <w:rPr>
                <w:rFonts w:eastAsia="DengXian"/>
              </w:rPr>
            </w:pPr>
            <w:r w:rsidRPr="00AA6C13">
              <w:rPr>
                <w:rFonts w:eastAsia="DengXian"/>
              </w:rPr>
              <w:t xml:space="preserve">Liu, X., Glocker, B., </w:t>
            </w:r>
            <w:proofErr w:type="spellStart"/>
            <w:r w:rsidRPr="00AA6C13">
              <w:rPr>
                <w:rFonts w:eastAsia="DengXian"/>
              </w:rPr>
              <w:t>McCradden</w:t>
            </w:r>
            <w:proofErr w:type="spellEnd"/>
            <w:r w:rsidRPr="00AA6C13">
              <w:rPr>
                <w:rFonts w:eastAsia="DengXian"/>
              </w:rPr>
              <w:t xml:space="preserve">, M. M., Ghassemi, M., Denniston, A. K., </w:t>
            </w:r>
            <w:r w:rsidR="00EA3630" w:rsidRPr="00AA6C13">
              <w:rPr>
                <w:rFonts w:eastAsia="DengXian"/>
              </w:rPr>
              <w:t>and</w:t>
            </w:r>
            <w:r w:rsidRPr="00AA6C13">
              <w:rPr>
                <w:rFonts w:eastAsia="DengXian"/>
              </w:rPr>
              <w:t xml:space="preserve"> Oakden-Rayner, L. (2022). The medical algorithmic audit. </w:t>
            </w:r>
            <w:r w:rsidRPr="00AA6C13">
              <w:rPr>
                <w:rFonts w:eastAsia="DengXian"/>
                <w:i/>
              </w:rPr>
              <w:t xml:space="preserve">The </w:t>
            </w:r>
            <w:r w:rsidR="0021446C" w:rsidRPr="00AA6C13">
              <w:rPr>
                <w:rFonts w:eastAsia="DengXian"/>
                <w:i/>
              </w:rPr>
              <w:t>l</w:t>
            </w:r>
            <w:r w:rsidRPr="00AA6C13">
              <w:rPr>
                <w:rFonts w:eastAsia="DengXian"/>
                <w:i/>
              </w:rPr>
              <w:t xml:space="preserve">ancet </w:t>
            </w:r>
            <w:r w:rsidR="0021446C" w:rsidRPr="00AA6C13">
              <w:rPr>
                <w:rFonts w:eastAsia="DengXian"/>
                <w:i/>
              </w:rPr>
              <w:t>d</w:t>
            </w:r>
            <w:r w:rsidRPr="00AA6C13">
              <w:rPr>
                <w:rFonts w:eastAsia="DengXian"/>
                <w:i/>
              </w:rPr>
              <w:t xml:space="preserve">igital </w:t>
            </w:r>
            <w:r w:rsidR="0021446C" w:rsidRPr="00AA6C13">
              <w:rPr>
                <w:rFonts w:eastAsia="DengXian"/>
                <w:i/>
              </w:rPr>
              <w:t>h</w:t>
            </w:r>
            <w:r w:rsidRPr="00AA6C13">
              <w:rPr>
                <w:rFonts w:eastAsia="DengXian"/>
                <w:i/>
              </w:rPr>
              <w:t>ealth</w:t>
            </w:r>
            <w:r w:rsidRPr="00AA6C13">
              <w:rPr>
                <w:rFonts w:eastAsia="DengXian"/>
              </w:rPr>
              <w:t xml:space="preserve">. </w:t>
            </w:r>
            <w:r w:rsidR="00137FBA" w:rsidRPr="00AA6C13">
              <w:rPr>
                <w:rFonts w:eastAsia="DengXian"/>
                <w:lang w:eastAsia="en-US"/>
              </w:rPr>
              <w:t>[b-Liu et al., 2022]</w:t>
            </w:r>
            <w:r w:rsidR="00ED2490" w:rsidRPr="00AA6C13">
              <w:rPr>
                <w:rFonts w:eastAsia="DengXian"/>
                <w:lang w:eastAsia="en-US"/>
              </w:rPr>
              <w:t>.</w:t>
            </w:r>
            <w:r w:rsidR="00137FBA" w:rsidRPr="00AA6C13">
              <w:rPr>
                <w:rFonts w:eastAsia="DengXian"/>
                <w:lang w:eastAsia="en-US"/>
              </w:rPr>
              <w:t xml:space="preserve"> </w:t>
            </w:r>
            <w:hyperlink r:id="rId84" w:history="1">
              <w:r w:rsidR="00ED2490" w:rsidRPr="00AA6C13">
                <w:rPr>
                  <w:rStyle w:val="Hyperlink"/>
                  <w:rFonts w:eastAsia="DengXian"/>
                </w:rPr>
                <w:t>https://doi.org/10.1016/S2589-7500(22)00003-6</w:t>
              </w:r>
            </w:hyperlink>
            <w:r w:rsidRPr="00AA6C13">
              <w:rPr>
                <w:rFonts w:eastAsia="DengXian"/>
              </w:rPr>
              <w:t xml:space="preserve"> </w:t>
            </w:r>
          </w:p>
        </w:tc>
      </w:tr>
      <w:tr w:rsidR="000F37B9" w:rsidRPr="00AA6C13" w14:paraId="0DB2A7FA" w14:textId="77777777" w:rsidTr="00AE14C7">
        <w:tc>
          <w:tcPr>
            <w:tcW w:w="9521" w:type="dxa"/>
          </w:tcPr>
          <w:p w14:paraId="3D0F440E" w14:textId="4544EF3E" w:rsidR="000F37B9" w:rsidRPr="00AA6C13" w:rsidRDefault="00D53643" w:rsidP="00AE14C7">
            <w:pPr>
              <w:keepNext/>
              <w:keepLines/>
              <w:spacing w:before="0"/>
              <w:rPr>
                <w:rFonts w:eastAsia="DengXian"/>
              </w:rPr>
            </w:pPr>
            <w:r w:rsidRPr="00AA6C13">
              <w:t>"</w:t>
            </w:r>
            <w:r w:rsidR="000F37B9" w:rsidRPr="00AA6C13">
              <w:rPr>
                <w:rFonts w:eastAsia="Times New Roman"/>
              </w:rPr>
              <w:t>Artificial intelligence systems for health care, like any other medical device, have the potential to fail. However, specific qualities of artificial intelligence systems, such as the tendency to learn spurious correlates in training data, poor generalisability to new deployment settings, and a paucity of reliable explainability mechanisms, mean they can yield unpredictable errors that might be entirely missed without proactive investigation. We propose a medical algorithmic audit framework that guides the auditor through a process of considering potential algorithmic errors in the context of a clinical task, mapping the components that might contribute to the occurrence of errors, and anticipating their potential consequences. We suggest several approaches for testing algorithmic errors, including exploratory error analysis, subgroup testing, and adversarial testing, and provide examples from our own work and previous studies. The medical algorithmic audit is a tool that can be used to better understand the weaknesses of an artificial intelligence system and put in place mechanisms to mitigate their impact.</w:t>
            </w:r>
            <w:r w:rsidRPr="00AA6C13">
              <w:rPr>
                <w:rFonts w:eastAsia="Times New Roman"/>
              </w:rPr>
              <w:t>"</w:t>
            </w:r>
          </w:p>
        </w:tc>
      </w:tr>
    </w:tbl>
    <w:p w14:paraId="0C970912" w14:textId="77777777" w:rsidR="000F37B9" w:rsidRPr="00AA6C13" w:rsidRDefault="000F37B9" w:rsidP="000F37B9">
      <w:pPr>
        <w:rPr>
          <w:rFonts w:eastAsia="DengXian"/>
        </w:rPr>
      </w:pPr>
    </w:p>
    <w:tbl>
      <w:tblPr>
        <w:tblStyle w:val="TableGrid"/>
        <w:tblW w:w="0" w:type="auto"/>
        <w:jc w:val="center"/>
        <w:tblLook w:val="04A0" w:firstRow="1" w:lastRow="0" w:firstColumn="1" w:lastColumn="0" w:noHBand="0" w:noVBand="1"/>
      </w:tblPr>
      <w:tblGrid>
        <w:gridCol w:w="9629"/>
      </w:tblGrid>
      <w:tr w:rsidR="000F37B9" w:rsidRPr="00AA6C13" w14:paraId="5604331B" w14:textId="77777777" w:rsidTr="00AE14C7">
        <w:trPr>
          <w:jc w:val="center"/>
        </w:trPr>
        <w:tc>
          <w:tcPr>
            <w:tcW w:w="9629" w:type="dxa"/>
            <w:shd w:val="clear" w:color="auto" w:fill="E7E6E6" w:themeFill="background2"/>
          </w:tcPr>
          <w:p w14:paraId="1943B85B" w14:textId="0CED6D2C" w:rsidR="000F37B9" w:rsidRPr="00AA6C13" w:rsidRDefault="000F37B9" w:rsidP="00482D83">
            <w:pPr>
              <w:spacing w:before="0" w:line="259" w:lineRule="auto"/>
              <w:rPr>
                <w:rFonts w:eastAsia="DengXian"/>
                <w:b/>
                <w:bCs/>
              </w:rPr>
            </w:pPr>
            <w:r w:rsidRPr="00AA6C13">
              <w:rPr>
                <w:rFonts w:eastAsia="DengXian"/>
                <w:b/>
                <w:bCs/>
              </w:rPr>
              <w:t xml:space="preserve">The importance of being external. </w:t>
            </w:r>
            <w:r w:rsidR="00485B1E" w:rsidRPr="00AA6C13">
              <w:rPr>
                <w:rFonts w:eastAsia="DengXian"/>
                <w:b/>
                <w:bCs/>
              </w:rPr>
              <w:t>m</w:t>
            </w:r>
            <w:r w:rsidRPr="00AA6C13">
              <w:rPr>
                <w:rFonts w:eastAsia="DengXian"/>
                <w:b/>
                <w:bCs/>
              </w:rPr>
              <w:t>ethodological insights for the external validation of machine learning models in medicine</w:t>
            </w:r>
          </w:p>
        </w:tc>
      </w:tr>
      <w:tr w:rsidR="000F37B9" w:rsidRPr="00AA6C13" w14:paraId="217676C6" w14:textId="77777777" w:rsidTr="00AE14C7">
        <w:trPr>
          <w:jc w:val="center"/>
        </w:trPr>
        <w:tc>
          <w:tcPr>
            <w:tcW w:w="9629" w:type="dxa"/>
          </w:tcPr>
          <w:p w14:paraId="7A29678D" w14:textId="7E38EAE1" w:rsidR="000F37B9" w:rsidRPr="00AA6C13" w:rsidRDefault="000F37B9" w:rsidP="00482D83">
            <w:pPr>
              <w:spacing w:before="0" w:line="259" w:lineRule="auto"/>
              <w:rPr>
                <w:rFonts w:eastAsia="DengXian"/>
              </w:rPr>
            </w:pPr>
            <w:r w:rsidRPr="004D4B8A">
              <w:rPr>
                <w:rFonts w:eastAsia="DengXian"/>
                <w:lang w:val="it-IT"/>
              </w:rPr>
              <w:t xml:space="preserve">Cabitza, F., Campagner, A., Soares, F., de Guadiana-Romualdo, L. G., Challa, F., Sulejmani, A., </w:t>
            </w:r>
            <w:r w:rsidR="00E76C6D" w:rsidRPr="004D4B8A">
              <w:rPr>
                <w:rFonts w:eastAsia="DengXian"/>
                <w:lang w:val="it-IT"/>
              </w:rPr>
              <w:t>Seghezzi, M., and</w:t>
            </w:r>
            <w:r w:rsidRPr="004D4B8A">
              <w:rPr>
                <w:rFonts w:eastAsia="DengXian"/>
                <w:lang w:val="it-IT"/>
              </w:rPr>
              <w:t xml:space="preserve"> Carobene, A. (2021). </w:t>
            </w:r>
            <w:r w:rsidRPr="00AA6C13">
              <w:rPr>
                <w:rFonts w:eastAsia="DengXian"/>
              </w:rPr>
              <w:t xml:space="preserve">The importance of being external. Methodological insights for the external validation of machine learning models in medicine. </w:t>
            </w:r>
            <w:r w:rsidRPr="00AA6C13">
              <w:rPr>
                <w:rFonts w:eastAsia="DengXian"/>
                <w:i/>
              </w:rPr>
              <w:t xml:space="preserve">Computer </w:t>
            </w:r>
            <w:r w:rsidR="001C1DB3" w:rsidRPr="00AA6C13">
              <w:rPr>
                <w:rFonts w:eastAsia="DengXian"/>
                <w:i/>
              </w:rPr>
              <w:t>m</w:t>
            </w:r>
            <w:r w:rsidRPr="00AA6C13">
              <w:rPr>
                <w:rFonts w:eastAsia="DengXian"/>
                <w:i/>
              </w:rPr>
              <w:t xml:space="preserve">ethods and </w:t>
            </w:r>
            <w:r w:rsidR="00610FD4" w:rsidRPr="00AA6C13">
              <w:rPr>
                <w:rFonts w:eastAsia="DengXian"/>
                <w:i/>
              </w:rPr>
              <w:t>p</w:t>
            </w:r>
            <w:r w:rsidRPr="00AA6C13">
              <w:rPr>
                <w:rFonts w:eastAsia="DengXian"/>
                <w:i/>
              </w:rPr>
              <w:t xml:space="preserve">rograms in </w:t>
            </w:r>
            <w:r w:rsidR="00610FD4" w:rsidRPr="00AA6C13">
              <w:rPr>
                <w:rFonts w:eastAsia="DengXian"/>
                <w:i/>
              </w:rPr>
              <w:t>b</w:t>
            </w:r>
            <w:r w:rsidRPr="00AA6C13">
              <w:rPr>
                <w:rFonts w:eastAsia="DengXian"/>
                <w:i/>
              </w:rPr>
              <w:t>iomedicine</w:t>
            </w:r>
            <w:r w:rsidRPr="00AA6C13">
              <w:rPr>
                <w:rFonts w:eastAsia="DengXian"/>
              </w:rPr>
              <w:t xml:space="preserve">, </w:t>
            </w:r>
            <w:r w:rsidR="00A37FE5" w:rsidRPr="00AA6C13">
              <w:rPr>
                <w:rFonts w:eastAsia="DengXian"/>
              </w:rPr>
              <w:t xml:space="preserve">Volume </w:t>
            </w:r>
            <w:r w:rsidRPr="00AA6C13">
              <w:rPr>
                <w:rFonts w:eastAsia="DengXian"/>
                <w:bCs/>
              </w:rPr>
              <w:t>208</w:t>
            </w:r>
            <w:r w:rsidRPr="00AA6C13">
              <w:rPr>
                <w:rFonts w:eastAsia="DengXian"/>
              </w:rPr>
              <w:t>, 106288.</w:t>
            </w:r>
            <w:r w:rsidR="00224FC9" w:rsidRPr="00AA6C13">
              <w:rPr>
                <w:rFonts w:eastAsia="DengXian"/>
              </w:rPr>
              <w:t xml:space="preserve"> </w:t>
            </w:r>
            <w:r w:rsidR="00B3280C" w:rsidRPr="00AA6C13">
              <w:rPr>
                <w:rFonts w:eastAsia="DengXian"/>
              </w:rPr>
              <w:t>[</w:t>
            </w:r>
            <w:r w:rsidR="00224FC9" w:rsidRPr="00AA6C13">
              <w:rPr>
                <w:rFonts w:eastAsia="Times New Roman"/>
                <w:lang w:eastAsia="en-US"/>
              </w:rPr>
              <w:t>b-</w:t>
            </w:r>
            <w:proofErr w:type="spellStart"/>
            <w:r w:rsidR="00224FC9" w:rsidRPr="00AA6C13">
              <w:rPr>
                <w:rFonts w:eastAsia="Times New Roman"/>
                <w:lang w:eastAsia="en-US"/>
              </w:rPr>
              <w:t>Cabitza</w:t>
            </w:r>
            <w:proofErr w:type="spellEnd"/>
            <w:r w:rsidR="00224FC9" w:rsidRPr="00AA6C13">
              <w:rPr>
                <w:rFonts w:eastAsia="Times New Roman"/>
                <w:lang w:eastAsia="en-US"/>
              </w:rPr>
              <w:t xml:space="preserve"> et al., 2021]</w:t>
            </w:r>
            <w:r w:rsidR="00A46A0C" w:rsidRPr="00AA6C13">
              <w:rPr>
                <w:rFonts w:eastAsia="Times New Roman"/>
                <w:lang w:eastAsia="en-US"/>
              </w:rPr>
              <w:t>.</w:t>
            </w:r>
            <w:r w:rsidRPr="00AA6C13">
              <w:rPr>
                <w:rFonts w:eastAsia="DengXian"/>
              </w:rPr>
              <w:t xml:space="preserve"> </w:t>
            </w:r>
            <w:hyperlink r:id="rId85">
              <w:r w:rsidRPr="00AA6C13">
                <w:rPr>
                  <w:rFonts w:eastAsia="DengXian"/>
                  <w:color w:val="0000FF"/>
                  <w:u w:val="single"/>
                </w:rPr>
                <w:t>https://doi.org/10.1016/j.cmpb.2021.106288</w:t>
              </w:r>
            </w:hyperlink>
            <w:r w:rsidRPr="00AA6C13">
              <w:rPr>
                <w:rFonts w:eastAsia="DengXian"/>
              </w:rPr>
              <w:t xml:space="preserve"> </w:t>
            </w:r>
          </w:p>
        </w:tc>
      </w:tr>
      <w:tr w:rsidR="000F37B9" w:rsidRPr="00AA6C13" w14:paraId="2BC24D74" w14:textId="77777777" w:rsidTr="00AE14C7">
        <w:trPr>
          <w:jc w:val="center"/>
        </w:trPr>
        <w:tc>
          <w:tcPr>
            <w:tcW w:w="9629" w:type="dxa"/>
          </w:tcPr>
          <w:p w14:paraId="58B748CB" w14:textId="6897B3B8" w:rsidR="000F37B9" w:rsidRPr="00AA6C13" w:rsidRDefault="00D53643" w:rsidP="00482D83">
            <w:pPr>
              <w:spacing w:before="0"/>
              <w:rPr>
                <w:i/>
                <w:iCs/>
              </w:rPr>
            </w:pPr>
            <w:r w:rsidRPr="00AA6C13">
              <w:rPr>
                <w:i/>
                <w:iCs/>
              </w:rPr>
              <w:t>"</w:t>
            </w:r>
            <w:r w:rsidR="000F37B9" w:rsidRPr="00AA6C13">
              <w:rPr>
                <w:i/>
                <w:iCs/>
              </w:rPr>
              <w:t xml:space="preserve">Background and </w:t>
            </w:r>
            <w:r w:rsidR="00AB5786" w:rsidRPr="00AA6C13">
              <w:rPr>
                <w:i/>
                <w:iCs/>
              </w:rPr>
              <w:t>o</w:t>
            </w:r>
            <w:r w:rsidR="000F37B9" w:rsidRPr="00AA6C13">
              <w:rPr>
                <w:i/>
                <w:iCs/>
              </w:rPr>
              <w:t>bjective: Medical machine learning (ML) models tend to perform better on data from the same cohort than on new data, often due to overfitting, or co-variate shifts. For these reasons, external validation (EV) is a necessary practice in the evaluation of medical ML. However, there is still a gap in the literature on how to interpret EV results and hence assess the robustness of ML models.</w:t>
            </w:r>
          </w:p>
          <w:p w14:paraId="0A707CCD" w14:textId="77777777" w:rsidR="000F37B9" w:rsidRPr="00AA6C13" w:rsidRDefault="000F37B9" w:rsidP="00482D83">
            <w:pPr>
              <w:spacing w:before="0"/>
              <w:rPr>
                <w:i/>
                <w:iCs/>
              </w:rPr>
            </w:pPr>
            <w:r w:rsidRPr="00AA6C13">
              <w:rPr>
                <w:i/>
                <w:iCs/>
              </w:rPr>
              <w:t>Methods: We fill this gap by proposing a meta-validation method, to assess the soundness of EV procedures. In doing so, we complement the usual way to assess EV by considering both dataset cardinality, and the similarity of the EV dataset with respect to the training set. We then investigate how the notions of cardinality and similarity can be used to inform on the reliability of a validation procedure, by integrating them into two summative data visualizations. [...]</w:t>
            </w:r>
          </w:p>
          <w:p w14:paraId="18706AEA" w14:textId="2837232C" w:rsidR="000F37B9" w:rsidRPr="00AA6C13" w:rsidRDefault="000F37B9" w:rsidP="00482D83">
            <w:pPr>
              <w:spacing w:before="0"/>
              <w:rPr>
                <w:i/>
                <w:iCs/>
              </w:rPr>
            </w:pPr>
            <w:r w:rsidRPr="00AA6C13">
              <w:rPr>
                <w:i/>
                <w:iCs/>
              </w:rPr>
              <w:t xml:space="preserve">Conclusions: In this paper, we propose a novel, lean methodology </w:t>
            </w:r>
            <w:proofErr w:type="gramStart"/>
            <w:r w:rsidRPr="00AA6C13">
              <w:rPr>
                <w:i/>
                <w:iCs/>
              </w:rPr>
              <w:t>to:</w:t>
            </w:r>
            <w:proofErr w:type="gramEnd"/>
            <w:r w:rsidRPr="00AA6C13">
              <w:rPr>
                <w:i/>
                <w:iCs/>
              </w:rPr>
              <w:t>1) study how the similarity between training and validation sets impacts the generalizability of a</w:t>
            </w:r>
            <w:r w:rsidR="001B6C3C" w:rsidRPr="00AA6C13">
              <w:rPr>
                <w:i/>
                <w:iCs/>
              </w:rPr>
              <w:t>n</w:t>
            </w:r>
            <w:r w:rsidRPr="00AA6C13">
              <w:rPr>
                <w:i/>
                <w:iCs/>
              </w:rPr>
              <w:t xml:space="preserve"> ML model; 2) assess the soundness of EV evaluations along three complementary performance dimensions: discrimination, utility and calibration; 3) draw conclusions on the robustness of the model under validation. We applied this methodology to a state-of-the-art model for the diagnosis of COVID-19 from routine blood tests and showed how to interpret the results </w:t>
            </w:r>
            <w:proofErr w:type="gramStart"/>
            <w:r w:rsidRPr="00AA6C13">
              <w:rPr>
                <w:i/>
                <w:iCs/>
              </w:rPr>
              <w:t>in light of</w:t>
            </w:r>
            <w:proofErr w:type="gramEnd"/>
            <w:r w:rsidRPr="00AA6C13">
              <w:rPr>
                <w:i/>
                <w:iCs/>
              </w:rPr>
              <w:t xml:space="preserve"> the presented framework.</w:t>
            </w:r>
            <w:r w:rsidR="00D53643" w:rsidRPr="00AA6C13">
              <w:rPr>
                <w:i/>
                <w:iCs/>
              </w:rPr>
              <w:t>"</w:t>
            </w:r>
          </w:p>
        </w:tc>
      </w:tr>
    </w:tbl>
    <w:p w14:paraId="12F69EE2" w14:textId="77777777" w:rsidR="000F37B9" w:rsidRPr="00AA6C13" w:rsidRDefault="000F37B9" w:rsidP="000F37B9">
      <w:pPr>
        <w:rPr>
          <w:rFonts w:eastAsia="DengXian"/>
        </w:rPr>
      </w:pPr>
    </w:p>
    <w:p w14:paraId="1A39FB40" w14:textId="5EAECFB4" w:rsidR="000F37B9" w:rsidRPr="00AA6C13" w:rsidRDefault="000F37B9" w:rsidP="000F37B9">
      <w:pPr>
        <w:rPr>
          <w:lang w:bidi="ar-DZ"/>
        </w:rPr>
      </w:pPr>
      <w:r w:rsidRPr="00AA6C13">
        <w:t xml:space="preserve">Many more publications can be added to this </w:t>
      </w:r>
      <w:r w:rsidRPr="00AA6C13">
        <w:rPr>
          <w:lang w:bidi="ar-DZ"/>
        </w:rPr>
        <w:t>non-comprehensive collection of best practices. Examples include</w:t>
      </w:r>
      <w:r w:rsidRPr="00AA6C13">
        <w:t xml:space="preserve"> [</w:t>
      </w:r>
      <w:r w:rsidR="00324EDA" w:rsidRPr="00AA6C13">
        <w:t>b-</w:t>
      </w:r>
      <w:r w:rsidRPr="00AA6C13">
        <w:t>Dustler 2020], [</w:t>
      </w:r>
      <w:r w:rsidR="009A00CE" w:rsidRPr="00AA6C13">
        <w:t>b-</w:t>
      </w:r>
      <w:r w:rsidRPr="00AA6C13">
        <w:t xml:space="preserve">Kim et al., 2020], </w:t>
      </w:r>
      <w:r w:rsidR="00005EDB" w:rsidRPr="00AA6C13">
        <w:t>[b-</w:t>
      </w:r>
      <w:r w:rsidRPr="00AA6C13">
        <w:t>McKinney at al., 2020], [</w:t>
      </w:r>
      <w:r w:rsidR="00110D1A" w:rsidRPr="00AA6C13">
        <w:t>b-</w:t>
      </w:r>
      <w:r w:rsidRPr="00AA6C13">
        <w:t xml:space="preserve">Talmon et al, 2009], </w:t>
      </w:r>
      <w:r w:rsidR="00EA55CD" w:rsidRPr="00AA6C13">
        <w:t>(</w:t>
      </w:r>
      <w:r w:rsidRPr="00AA6C13">
        <w:t>The English National Institute for Health and Care Excellence, 2019</w:t>
      </w:r>
      <w:r w:rsidR="00A8457F" w:rsidRPr="00AA6C13">
        <w:t xml:space="preserve"> </w:t>
      </w:r>
      <w:r w:rsidR="00EA55CD" w:rsidRPr="00AA6C13">
        <w:t>[b-NICE</w:t>
      </w:r>
      <w:r w:rsidRPr="00AA6C13">
        <w:t>]</w:t>
      </w:r>
      <w:r w:rsidR="00EA55CD" w:rsidRPr="00AA6C13">
        <w:t>)</w:t>
      </w:r>
      <w:r w:rsidRPr="00AA6C13">
        <w:t>, [</w:t>
      </w:r>
      <w:r w:rsidR="007E3E5C" w:rsidRPr="00AA6C13">
        <w:t>b</w:t>
      </w:r>
      <w:r w:rsidR="00AE14C7" w:rsidRPr="00AA6C13">
        <w:noBreakHyphen/>
      </w:r>
      <w:r w:rsidRPr="00AA6C13">
        <w:t>Van</w:t>
      </w:r>
      <w:r w:rsidR="00AE14C7" w:rsidRPr="00AA6C13">
        <w:t> </w:t>
      </w:r>
      <w:proofErr w:type="spellStart"/>
      <w:r w:rsidRPr="00AA6C13">
        <w:t>Calster</w:t>
      </w:r>
      <w:proofErr w:type="spellEnd"/>
      <w:r w:rsidRPr="00AA6C13">
        <w:t xml:space="preserve"> et al., 2019], [</w:t>
      </w:r>
      <w:r w:rsidR="008A1DE6" w:rsidRPr="00AA6C13">
        <w:t>b-</w:t>
      </w:r>
      <w:r w:rsidRPr="00AA6C13">
        <w:t>Gerke et al., 2020] [</w:t>
      </w:r>
      <w:r w:rsidR="00CB66F1" w:rsidRPr="00AA6C13">
        <w:t>b-</w:t>
      </w:r>
      <w:r w:rsidRPr="00AA6C13">
        <w:t>Reinke et al., 2022], [</w:t>
      </w:r>
      <w:r w:rsidR="00D81ED0" w:rsidRPr="00AA6C13">
        <w:t>b-</w:t>
      </w:r>
      <w:r w:rsidRPr="00AA6C13">
        <w:t>Brundage et al., 2020], [</w:t>
      </w:r>
      <w:r w:rsidR="00D31FED" w:rsidRPr="00AA6C13">
        <w:t>b-</w:t>
      </w:r>
      <w:r w:rsidRPr="00AA6C13">
        <w:t>Ada Lovelace Institute, 202</w:t>
      </w:r>
      <w:r w:rsidR="004418C4" w:rsidRPr="00AA6C13">
        <w:t>0</w:t>
      </w:r>
      <w:r w:rsidRPr="00AA6C13">
        <w:t>], [</w:t>
      </w:r>
      <w:r w:rsidR="009032B0" w:rsidRPr="00AA6C13">
        <w:t>b-</w:t>
      </w:r>
      <w:r w:rsidRPr="00AA6C13">
        <w:t>McGregor, 202</w:t>
      </w:r>
      <w:r w:rsidR="00123821" w:rsidRPr="00AA6C13">
        <w:t>0</w:t>
      </w:r>
      <w:r w:rsidRPr="00AA6C13">
        <w:t>], and [</w:t>
      </w:r>
      <w:r w:rsidR="0043347B" w:rsidRPr="00AA6C13">
        <w:t>b-</w:t>
      </w:r>
      <w:r w:rsidRPr="00AA6C13">
        <w:t>Mincu et al, 2022]</w:t>
      </w:r>
      <w:r w:rsidRPr="00AA6C13">
        <w:rPr>
          <w:lang w:bidi="ar-DZ"/>
        </w:rPr>
        <w:t>.</w:t>
      </w:r>
    </w:p>
    <w:p w14:paraId="397F0BE7" w14:textId="77777777" w:rsidR="00752C4E" w:rsidRPr="00AA6C13" w:rsidRDefault="00752C4E" w:rsidP="000F37B9">
      <w:pPr>
        <w:rPr>
          <w:lang w:bidi="ar-DZ"/>
        </w:rPr>
      </w:pPr>
    </w:p>
    <w:p w14:paraId="5CC03A8D" w14:textId="77777777" w:rsidR="00752C4E" w:rsidRPr="00AA6C13" w:rsidRDefault="00752C4E" w:rsidP="00752C4E">
      <w:r w:rsidRPr="00AA6C13">
        <w:br w:type="page"/>
      </w:r>
    </w:p>
    <w:p w14:paraId="3D68941A" w14:textId="263F12C8" w:rsidR="000F37B9" w:rsidRPr="00AA6C13" w:rsidRDefault="000F37B9" w:rsidP="00AE14C7">
      <w:pPr>
        <w:pStyle w:val="AppendixNoTitle0"/>
        <w:rPr>
          <w:lang w:bidi="ar-DZ"/>
        </w:rPr>
      </w:pPr>
      <w:bookmarkStart w:id="208" w:name="_Toc155950657"/>
      <w:bookmarkStart w:id="209" w:name="_Toc155950823"/>
      <w:r w:rsidRPr="00AA6C13">
        <w:rPr>
          <w:lang w:bidi="ar-DZ"/>
        </w:rPr>
        <w:lastRenderedPageBreak/>
        <w:t>Bibliography</w:t>
      </w:r>
      <w:bookmarkEnd w:id="208"/>
      <w:bookmarkEnd w:id="209"/>
    </w:p>
    <w:p w14:paraId="1B682088" w14:textId="1A9F4673" w:rsidR="002E2071" w:rsidRPr="00AA6C13" w:rsidRDefault="007E5835" w:rsidP="0006232B">
      <w:pPr>
        <w:ind w:left="3400" w:hanging="3400"/>
      </w:pPr>
      <w:r w:rsidRPr="00AA6C13">
        <w:t>[b-Ada Lovelace Institute, 202</w:t>
      </w:r>
      <w:r w:rsidR="004F58CE" w:rsidRPr="00AA6C13">
        <w:t>0</w:t>
      </w:r>
      <w:r w:rsidR="00064DA6" w:rsidRPr="00AA6C13">
        <w:t>]</w:t>
      </w:r>
      <w:r w:rsidR="009C7898" w:rsidRPr="00AA6C13">
        <w:tab/>
      </w:r>
      <w:r w:rsidR="000F37B9" w:rsidRPr="00AA6C13">
        <w:t>Ada Lovelace Institute (202</w:t>
      </w:r>
      <w:r w:rsidR="008F55C8" w:rsidRPr="00AA6C13">
        <w:t>0</w:t>
      </w:r>
      <w:r w:rsidR="000F37B9" w:rsidRPr="00AA6C13">
        <w:t>)</w:t>
      </w:r>
      <w:r w:rsidR="00024B28" w:rsidRPr="00AA6C13">
        <w:t>,</w:t>
      </w:r>
      <w:r w:rsidR="000F37B9" w:rsidRPr="00AA6C13">
        <w:t xml:space="preserve"> </w:t>
      </w:r>
      <w:r w:rsidR="000F37B9" w:rsidRPr="00AA6C13">
        <w:rPr>
          <w:i/>
          <w:iCs/>
        </w:rPr>
        <w:t>Examining the Black Box: Tools for assessing algorithmic systems</w:t>
      </w:r>
      <w:r w:rsidR="000F37B9" w:rsidRPr="00AA6C13">
        <w:t xml:space="preserve">. </w:t>
      </w:r>
      <w:hyperlink r:id="rId86" w:history="1">
        <w:r w:rsidR="009171C4" w:rsidRPr="00AA6C13">
          <w:rPr>
            <w:rStyle w:val="Hyperlink"/>
            <w:rFonts w:ascii="Arial" w:hAnsi="Arial" w:cs="Arial"/>
            <w:sz w:val="18"/>
            <w:szCs w:val="18"/>
          </w:rPr>
          <w:t>https://www.adalovelaceinstitute.org/report/examining-the-black-box-tools-for-assessing-algorithmic-systems/</w:t>
        </w:r>
      </w:hyperlink>
    </w:p>
    <w:p w14:paraId="760C0E5F" w14:textId="62467307" w:rsidR="002E2071" w:rsidRPr="00AA6C13" w:rsidRDefault="00A11F51" w:rsidP="0006232B">
      <w:pPr>
        <w:ind w:left="3400" w:hanging="3400"/>
      </w:pPr>
      <w:r w:rsidRPr="00AA6C13">
        <w:rPr>
          <w:rFonts w:eastAsia="DengXian"/>
        </w:rPr>
        <w:t>[b-Ada Lovelace Institute</w:t>
      </w:r>
      <w:r w:rsidRPr="00AA6C13">
        <w:t>]</w:t>
      </w:r>
      <w:r w:rsidRPr="00AA6C13">
        <w:tab/>
      </w:r>
      <w:r w:rsidRPr="00AA6C13">
        <w:tab/>
        <w:t>Ada Lovelace Institute (2022)</w:t>
      </w:r>
      <w:r w:rsidR="00514A99" w:rsidRPr="00AA6C13">
        <w:t>,</w:t>
      </w:r>
      <w:r w:rsidRPr="00AA6C13">
        <w:t xml:space="preserve"> </w:t>
      </w:r>
      <w:r w:rsidRPr="00AA6C13">
        <w:rPr>
          <w:i/>
          <w:iCs/>
        </w:rPr>
        <w:t>Algorithmic impact assessment: a case study in healthcare</w:t>
      </w:r>
      <w:r w:rsidRPr="00AA6C13">
        <w:t xml:space="preserve">. [Online:] </w:t>
      </w:r>
      <w:hyperlink r:id="rId87" w:history="1">
        <w:r w:rsidRPr="00AA6C13">
          <w:rPr>
            <w:rStyle w:val="Hyperlink"/>
            <w:rFonts w:ascii="Arial" w:hAnsi="Arial" w:cs="Arial"/>
            <w:sz w:val="18"/>
            <w:szCs w:val="18"/>
          </w:rPr>
          <w:t>https://www.adalovelaceinstitute.org/report/algorithmic-impact-assessment-case-study-healthcare/</w:t>
        </w:r>
      </w:hyperlink>
    </w:p>
    <w:p w14:paraId="7026AD91" w14:textId="5771716E" w:rsidR="00C17105" w:rsidRPr="00AA6C13" w:rsidRDefault="009170D1">
      <w:pPr>
        <w:ind w:left="3400" w:hanging="3400"/>
      </w:pPr>
      <w:r w:rsidRPr="00AA6C13">
        <w:t>[b-Arras et al., 2019]</w:t>
      </w:r>
      <w:r w:rsidR="00365C88" w:rsidRPr="00AA6C13">
        <w:tab/>
      </w:r>
      <w:r w:rsidR="006E2A97" w:rsidRPr="00AA6C13">
        <w:tab/>
      </w:r>
      <w:r w:rsidR="000F37B9" w:rsidRPr="00AA6C13">
        <w:t>Arras, L., Osman, A., Müller, K</w:t>
      </w:r>
      <w:r w:rsidR="008D376D" w:rsidRPr="00AA6C13">
        <w:t>-</w:t>
      </w:r>
      <w:r w:rsidR="000F37B9" w:rsidRPr="00AA6C13">
        <w:t xml:space="preserve">R., </w:t>
      </w:r>
      <w:r w:rsidR="00E847EE" w:rsidRPr="00AA6C13">
        <w:t>and</w:t>
      </w:r>
      <w:r w:rsidR="000F37B9" w:rsidRPr="00AA6C13">
        <w:t xml:space="preserve"> Samek, W. (2019)</w:t>
      </w:r>
      <w:r w:rsidR="00FA6E0A" w:rsidRPr="00AA6C13">
        <w:t>,</w:t>
      </w:r>
      <w:r w:rsidR="000F37B9" w:rsidRPr="00AA6C13">
        <w:t xml:space="preserve"> </w:t>
      </w:r>
      <w:r w:rsidR="000F37B9" w:rsidRPr="00AA6C13">
        <w:rPr>
          <w:i/>
          <w:iCs/>
        </w:rPr>
        <w:t>Evaluating recurrent neural network explanations</w:t>
      </w:r>
      <w:r w:rsidR="000F37B9" w:rsidRPr="00AA6C13">
        <w:t xml:space="preserve">. </w:t>
      </w:r>
      <w:proofErr w:type="spellStart"/>
      <w:r w:rsidR="000F37B9" w:rsidRPr="00AA6C13">
        <w:rPr>
          <w:iCs/>
        </w:rPr>
        <w:t>arXiv</w:t>
      </w:r>
      <w:proofErr w:type="spellEnd"/>
      <w:r w:rsidR="000F37B9" w:rsidRPr="00AA6C13">
        <w:rPr>
          <w:iCs/>
        </w:rPr>
        <w:t xml:space="preserve"> preprint</w:t>
      </w:r>
      <w:r w:rsidR="000F37B9" w:rsidRPr="00AA6C13">
        <w:t xml:space="preserve"> arXiv:1904.11829. </w:t>
      </w:r>
    </w:p>
    <w:p w14:paraId="6D04874E" w14:textId="6879CB44" w:rsidR="000F37B9" w:rsidRPr="00AA6C13" w:rsidRDefault="00A8457F" w:rsidP="00AE14C7">
      <w:pPr>
        <w:spacing w:before="0"/>
        <w:ind w:left="3400"/>
      </w:pPr>
      <w:hyperlink r:id="rId88" w:history="1">
        <w:r w:rsidRPr="00AA6C13">
          <w:rPr>
            <w:rStyle w:val="Hyperlink"/>
            <w:rFonts w:ascii="Arial" w:hAnsi="Arial" w:cs="Arial"/>
            <w:sz w:val="18"/>
            <w:szCs w:val="18"/>
          </w:rPr>
          <w:t>https://arxiv.org/abs/1904.11829</w:t>
        </w:r>
      </w:hyperlink>
    </w:p>
    <w:p w14:paraId="2FD0FBD7" w14:textId="065CB0A7" w:rsidR="002E2071" w:rsidRPr="00AA6C13" w:rsidRDefault="008A146C" w:rsidP="0006232B">
      <w:pPr>
        <w:ind w:left="3400" w:hanging="3400"/>
      </w:pPr>
      <w:r w:rsidRPr="00AA6C13">
        <w:t>[b-Arras et al., 2022]</w:t>
      </w:r>
      <w:r w:rsidR="00604934" w:rsidRPr="00AA6C13">
        <w:tab/>
      </w:r>
      <w:r w:rsidR="007B53EB" w:rsidRPr="00AA6C13">
        <w:tab/>
      </w:r>
      <w:r w:rsidR="000F37B9" w:rsidRPr="00AA6C13">
        <w:t xml:space="preserve">Arras, L., Osman, A., </w:t>
      </w:r>
      <w:r w:rsidR="00EB7436" w:rsidRPr="00AA6C13">
        <w:t>and</w:t>
      </w:r>
      <w:r w:rsidR="000F37B9" w:rsidRPr="00AA6C13">
        <w:t xml:space="preserve"> Samek, W. (2022)</w:t>
      </w:r>
      <w:r w:rsidR="008B1A2F" w:rsidRPr="00AA6C13">
        <w:t>,</w:t>
      </w:r>
      <w:r w:rsidR="000F37B9" w:rsidRPr="00AA6C13">
        <w:t xml:space="preserve"> </w:t>
      </w:r>
      <w:r w:rsidR="000F37B9" w:rsidRPr="00AA6C13">
        <w:rPr>
          <w:i/>
          <w:iCs/>
        </w:rPr>
        <w:t xml:space="preserve">CLEVR-XAI: </w:t>
      </w:r>
      <w:r w:rsidR="00CC3017" w:rsidRPr="00AA6C13">
        <w:rPr>
          <w:i/>
          <w:iCs/>
        </w:rPr>
        <w:t>A</w:t>
      </w:r>
      <w:r w:rsidR="000F37B9" w:rsidRPr="00AA6C13">
        <w:rPr>
          <w:i/>
          <w:iCs/>
        </w:rPr>
        <w:t xml:space="preserve"> benchmark dataset for the ground truth evaluation of neural network explanations</w:t>
      </w:r>
      <w:r w:rsidR="000F37B9" w:rsidRPr="00AA6C13">
        <w:t xml:space="preserve">. </w:t>
      </w:r>
      <w:r w:rsidR="000F37B9" w:rsidRPr="00AA6C13">
        <w:rPr>
          <w:iCs/>
        </w:rPr>
        <w:t>Information Fusion</w:t>
      </w:r>
      <w:r w:rsidR="000F37B9" w:rsidRPr="00AA6C13">
        <w:t xml:space="preserve">, </w:t>
      </w:r>
      <w:r w:rsidR="000B6AC8" w:rsidRPr="00AA6C13">
        <w:t xml:space="preserve">Volume </w:t>
      </w:r>
      <w:r w:rsidR="000F37B9" w:rsidRPr="00AA6C13">
        <w:rPr>
          <w:bCs/>
        </w:rPr>
        <w:t>81</w:t>
      </w:r>
      <w:r w:rsidR="000F37B9" w:rsidRPr="00AA6C13">
        <w:t xml:space="preserve">, 14-40. </w:t>
      </w:r>
      <w:hyperlink r:id="rId89" w:history="1">
        <w:r w:rsidR="009171C4" w:rsidRPr="00AA6C13">
          <w:rPr>
            <w:rStyle w:val="Hyperlink"/>
            <w:rFonts w:ascii="Arial" w:hAnsi="Arial" w:cs="Arial"/>
            <w:sz w:val="18"/>
            <w:szCs w:val="18"/>
          </w:rPr>
          <w:t>https://doi.org/10.1016/j.inffus.2021.11.008</w:t>
        </w:r>
      </w:hyperlink>
    </w:p>
    <w:p w14:paraId="40770949" w14:textId="6D14551F" w:rsidR="002E2071" w:rsidRPr="00AA6C13" w:rsidRDefault="00331638" w:rsidP="0006232B">
      <w:pPr>
        <w:ind w:left="3400" w:hanging="3400"/>
      </w:pPr>
      <w:r w:rsidRPr="00AA6C13">
        <w:t>[b-Brundage et al., 2020</w:t>
      </w:r>
      <w:r w:rsidR="000772A7" w:rsidRPr="00AA6C13">
        <w:t>]</w:t>
      </w:r>
      <w:r w:rsidR="00486622" w:rsidRPr="00AA6C13">
        <w:tab/>
      </w:r>
      <w:r w:rsidR="00F43D8A" w:rsidRPr="00AA6C13">
        <w:tab/>
      </w:r>
      <w:r w:rsidR="000F37B9" w:rsidRPr="00AA6C13">
        <w:t xml:space="preserve">Brundage, M., Avin, S., Wang, J., Belfield, H., Krueger, G., Hadfield, G., </w:t>
      </w:r>
      <w:proofErr w:type="spellStart"/>
      <w:r w:rsidR="009343B9" w:rsidRPr="00AA6C13">
        <w:t>Khlaaf</w:t>
      </w:r>
      <w:proofErr w:type="spellEnd"/>
      <w:r w:rsidR="009343B9" w:rsidRPr="00AA6C13">
        <w:t xml:space="preserve">, </w:t>
      </w:r>
      <w:r w:rsidR="00C516E6" w:rsidRPr="00AA6C13">
        <w:t xml:space="preserve">H., Yang, J., Toner, H., Fong, R., Maharaj, T., Koh, P. W., Hooker, S., Leung, J., Trask, A., Bluemke, E., </w:t>
      </w:r>
      <w:proofErr w:type="spellStart"/>
      <w:r w:rsidR="00C516E6" w:rsidRPr="00AA6C13">
        <w:t>Lebensold</w:t>
      </w:r>
      <w:proofErr w:type="spellEnd"/>
      <w:r w:rsidR="00C516E6" w:rsidRPr="00AA6C13">
        <w:t>, J., O'</w:t>
      </w:r>
      <w:r w:rsidR="0072073F" w:rsidRPr="00AA6C13">
        <w:t xml:space="preserve">Keefe, </w:t>
      </w:r>
      <w:r w:rsidR="00276186" w:rsidRPr="00AA6C13">
        <w:t xml:space="preserve">C., Koren, M., </w:t>
      </w:r>
      <w:proofErr w:type="spellStart"/>
      <w:r w:rsidR="00276186" w:rsidRPr="00AA6C13">
        <w:t>Ryffel</w:t>
      </w:r>
      <w:proofErr w:type="spellEnd"/>
      <w:r w:rsidR="00276186" w:rsidRPr="00AA6C13">
        <w:t xml:space="preserve">, T., </w:t>
      </w:r>
      <w:proofErr w:type="spellStart"/>
      <w:r w:rsidR="00276186" w:rsidRPr="00AA6C13">
        <w:t>Rubinovitz</w:t>
      </w:r>
      <w:proofErr w:type="spellEnd"/>
      <w:r w:rsidR="00276186" w:rsidRPr="00AA6C13">
        <w:t xml:space="preserve">, J., Besiroglu, T., </w:t>
      </w:r>
      <w:proofErr w:type="spellStart"/>
      <w:r w:rsidR="00276186" w:rsidRPr="00AA6C13">
        <w:t>Carugati</w:t>
      </w:r>
      <w:proofErr w:type="spellEnd"/>
      <w:r w:rsidR="00276186" w:rsidRPr="00AA6C13">
        <w:t xml:space="preserve">, F., Clark, J., Eckersley, P., de Hass, S., Johnson, M., Laurie, B., Ingerman, A., Krawczuk, I., Askell, A., Cammarota, R., Lohn, A., Krueger, D., Stix, C., Henderson, P., Graham, L., Prunkl, C., Martin, B., Seger, E., Zilberman, N., </w:t>
      </w:r>
      <w:proofErr w:type="spellStart"/>
      <w:r w:rsidR="00276186" w:rsidRPr="00AA6C13">
        <w:t>hÉigear</w:t>
      </w:r>
      <w:r w:rsidR="0097268F" w:rsidRPr="00AA6C13">
        <w:t>taigh</w:t>
      </w:r>
      <w:proofErr w:type="spellEnd"/>
      <w:r w:rsidR="0097268F" w:rsidRPr="00AA6C13">
        <w:t>, S. Ó</w:t>
      </w:r>
      <w:r w:rsidR="00897716" w:rsidRPr="00AA6C13">
        <w:t xml:space="preserve">., Kroeger, F., Sastry, G., Kagan, R., Weller, A., Tse, B., Barnes, E., Dafoe, A., </w:t>
      </w:r>
      <w:proofErr w:type="spellStart"/>
      <w:r w:rsidR="00897716" w:rsidRPr="00AA6C13">
        <w:t>Scharre</w:t>
      </w:r>
      <w:proofErr w:type="spellEnd"/>
      <w:r w:rsidR="00897716" w:rsidRPr="00AA6C13">
        <w:t xml:space="preserve">, P., Herbert-Voss, A., </w:t>
      </w:r>
      <w:r w:rsidR="000645BC" w:rsidRPr="00AA6C13">
        <w:t xml:space="preserve">Rasser, M., </w:t>
      </w:r>
      <w:proofErr w:type="spellStart"/>
      <w:r w:rsidR="000645BC" w:rsidRPr="00AA6C13">
        <w:t>Sodhani</w:t>
      </w:r>
      <w:proofErr w:type="spellEnd"/>
      <w:r w:rsidR="000645BC" w:rsidRPr="00AA6C13">
        <w:t xml:space="preserve">, S., Flynn, C., Gilbert, T. K., </w:t>
      </w:r>
      <w:r w:rsidR="007C5287" w:rsidRPr="00AA6C13">
        <w:t>Dyer, L., Khan, S., Bengio, Y.,</w:t>
      </w:r>
      <w:r w:rsidR="00907855" w:rsidRPr="00AA6C13">
        <w:t xml:space="preserve"> </w:t>
      </w:r>
      <w:r w:rsidR="007C5287" w:rsidRPr="00AA6C13">
        <w:t>and</w:t>
      </w:r>
      <w:r w:rsidR="000F37B9" w:rsidRPr="00AA6C13">
        <w:t xml:space="preserve"> </w:t>
      </w:r>
      <w:proofErr w:type="spellStart"/>
      <w:r w:rsidR="000F37B9" w:rsidRPr="00AA6C13">
        <w:t>Anderljung</w:t>
      </w:r>
      <w:proofErr w:type="spellEnd"/>
      <w:r w:rsidR="000F37B9" w:rsidRPr="00AA6C13">
        <w:t>, M. (2020)</w:t>
      </w:r>
      <w:r w:rsidR="003613A9" w:rsidRPr="00AA6C13">
        <w:t>,</w:t>
      </w:r>
      <w:r w:rsidR="000F37B9" w:rsidRPr="00AA6C13">
        <w:t xml:space="preserve"> </w:t>
      </w:r>
      <w:r w:rsidR="000F37B9" w:rsidRPr="00AA6C13">
        <w:rPr>
          <w:i/>
          <w:iCs/>
        </w:rPr>
        <w:t>Toward trustworthy AI development: mechanisms for supporting verifiable claims</w:t>
      </w:r>
      <w:r w:rsidR="000F37B9" w:rsidRPr="00AA6C13">
        <w:t xml:space="preserve">. </w:t>
      </w:r>
      <w:proofErr w:type="spellStart"/>
      <w:r w:rsidR="000F37B9" w:rsidRPr="00AA6C13">
        <w:t>arXiv</w:t>
      </w:r>
      <w:proofErr w:type="spellEnd"/>
      <w:r w:rsidR="000F37B9" w:rsidRPr="00AA6C13">
        <w:t xml:space="preserve"> preprint arXiv:2004.07213</w:t>
      </w:r>
      <w:r w:rsidR="000F37B9" w:rsidRPr="00AA6C13">
        <w:rPr>
          <w:i/>
          <w:iCs/>
        </w:rPr>
        <w:t>.</w:t>
      </w:r>
      <w:r w:rsidR="000F37B9" w:rsidRPr="00AA6C13">
        <w:t xml:space="preserve"> </w:t>
      </w:r>
      <w:hyperlink r:id="rId90" w:history="1">
        <w:r w:rsidR="009171C4" w:rsidRPr="00AA6C13">
          <w:rPr>
            <w:rStyle w:val="Hyperlink"/>
            <w:rFonts w:ascii="Arial" w:hAnsi="Arial" w:cs="Arial"/>
            <w:sz w:val="18"/>
            <w:szCs w:val="18"/>
          </w:rPr>
          <w:t>https://arxiv.org/abs/2004.07213</w:t>
        </w:r>
      </w:hyperlink>
    </w:p>
    <w:p w14:paraId="61A506B2" w14:textId="7F28AF72" w:rsidR="00DA492F" w:rsidRPr="00AA6C13" w:rsidRDefault="007E1C40">
      <w:pPr>
        <w:ind w:left="3400" w:hanging="3400"/>
        <w:rPr>
          <w:rFonts w:eastAsia="Times New Roman"/>
        </w:rPr>
      </w:pPr>
      <w:r w:rsidRPr="00AA6C13">
        <w:rPr>
          <w:rFonts w:eastAsia="Times New Roman"/>
        </w:rPr>
        <w:t>[</w:t>
      </w:r>
      <w:r w:rsidR="00BD5139" w:rsidRPr="00AA6C13">
        <w:rPr>
          <w:rFonts w:eastAsia="Times New Roman"/>
        </w:rPr>
        <w:t>b-</w:t>
      </w:r>
      <w:proofErr w:type="spellStart"/>
      <w:r w:rsidRPr="00AA6C13">
        <w:rPr>
          <w:rFonts w:eastAsia="Times New Roman"/>
        </w:rPr>
        <w:t>Cabitza</w:t>
      </w:r>
      <w:proofErr w:type="spellEnd"/>
      <w:r w:rsidRPr="00AA6C13">
        <w:rPr>
          <w:rFonts w:eastAsia="Times New Roman"/>
        </w:rPr>
        <w:t xml:space="preserve"> et al., 2021]</w:t>
      </w:r>
      <w:r w:rsidR="000A11A9" w:rsidRPr="00AA6C13">
        <w:rPr>
          <w:rFonts w:eastAsia="Times New Roman"/>
        </w:rPr>
        <w:tab/>
      </w:r>
      <w:r w:rsidR="0010330D" w:rsidRPr="00AA6C13">
        <w:rPr>
          <w:rFonts w:eastAsia="Times New Roman"/>
        </w:rPr>
        <w:tab/>
      </w:r>
      <w:proofErr w:type="spellStart"/>
      <w:r w:rsidR="000F37B9" w:rsidRPr="00AA6C13">
        <w:rPr>
          <w:rFonts w:eastAsia="Times New Roman"/>
        </w:rPr>
        <w:t>Cabitza</w:t>
      </w:r>
      <w:proofErr w:type="spellEnd"/>
      <w:r w:rsidR="000F37B9" w:rsidRPr="00AA6C13">
        <w:rPr>
          <w:rFonts w:eastAsia="Times New Roman"/>
        </w:rPr>
        <w:t xml:space="preserve">, F., </w:t>
      </w:r>
      <w:proofErr w:type="spellStart"/>
      <w:r w:rsidR="000F37B9" w:rsidRPr="00AA6C13">
        <w:rPr>
          <w:rFonts w:eastAsia="Times New Roman"/>
        </w:rPr>
        <w:t>Campagner</w:t>
      </w:r>
      <w:proofErr w:type="spellEnd"/>
      <w:r w:rsidR="000F37B9" w:rsidRPr="00AA6C13">
        <w:rPr>
          <w:rFonts w:eastAsia="Times New Roman"/>
        </w:rPr>
        <w:t xml:space="preserve">, A., Soares, F., de Guadiana-Romualdo, L. G., Challa, F., Sulejmani, A., </w:t>
      </w:r>
      <w:proofErr w:type="spellStart"/>
      <w:r w:rsidR="00057010" w:rsidRPr="00AA6C13">
        <w:rPr>
          <w:rFonts w:eastAsia="Times New Roman"/>
        </w:rPr>
        <w:t>Seghezzi</w:t>
      </w:r>
      <w:proofErr w:type="spellEnd"/>
      <w:r w:rsidR="00057010" w:rsidRPr="00AA6C13">
        <w:rPr>
          <w:rFonts w:eastAsia="Times New Roman"/>
        </w:rPr>
        <w:t>, M.,</w:t>
      </w:r>
      <w:r w:rsidR="000F37B9" w:rsidRPr="00AA6C13">
        <w:rPr>
          <w:rFonts w:eastAsia="Times New Roman"/>
        </w:rPr>
        <w:t xml:space="preserve"> </w:t>
      </w:r>
      <w:proofErr w:type="spellStart"/>
      <w:r w:rsidR="000F37B9" w:rsidRPr="00AA6C13">
        <w:rPr>
          <w:rFonts w:eastAsia="Times New Roman"/>
        </w:rPr>
        <w:t>Carobene</w:t>
      </w:r>
      <w:proofErr w:type="spellEnd"/>
      <w:r w:rsidR="000F37B9" w:rsidRPr="00AA6C13">
        <w:rPr>
          <w:rFonts w:eastAsia="Times New Roman"/>
        </w:rPr>
        <w:t>, A. (2021)</w:t>
      </w:r>
      <w:r w:rsidR="0009024E" w:rsidRPr="00AA6C13">
        <w:rPr>
          <w:rFonts w:eastAsia="Times New Roman"/>
        </w:rPr>
        <w:t>,</w:t>
      </w:r>
      <w:r w:rsidR="000F37B9" w:rsidRPr="00AA6C13">
        <w:rPr>
          <w:rFonts w:eastAsia="Times New Roman"/>
        </w:rPr>
        <w:t xml:space="preserve"> </w:t>
      </w:r>
      <w:r w:rsidR="000F37B9" w:rsidRPr="00AA6C13">
        <w:rPr>
          <w:rFonts w:eastAsia="Times New Roman"/>
          <w:i/>
          <w:iCs/>
        </w:rPr>
        <w:t xml:space="preserve">The importance of being external. </w:t>
      </w:r>
      <w:r w:rsidR="008058D1" w:rsidRPr="00AA6C13">
        <w:rPr>
          <w:rFonts w:eastAsia="Times New Roman"/>
          <w:i/>
          <w:iCs/>
        </w:rPr>
        <w:t>m</w:t>
      </w:r>
      <w:r w:rsidR="000F37B9" w:rsidRPr="00AA6C13">
        <w:rPr>
          <w:rFonts w:eastAsia="Times New Roman"/>
          <w:i/>
          <w:iCs/>
        </w:rPr>
        <w:t>ethodological insights for the external validation of machine learning models in medicine</w:t>
      </w:r>
      <w:r w:rsidR="000F37B9" w:rsidRPr="00AA6C13">
        <w:rPr>
          <w:rFonts w:eastAsia="Times New Roman"/>
        </w:rPr>
        <w:t xml:space="preserve">. </w:t>
      </w:r>
      <w:r w:rsidR="000F37B9" w:rsidRPr="00AA6C13">
        <w:rPr>
          <w:rFonts w:eastAsia="Times New Roman"/>
          <w:iCs/>
        </w:rPr>
        <w:t xml:space="preserve">Computer </w:t>
      </w:r>
      <w:r w:rsidR="00860402" w:rsidRPr="00AA6C13">
        <w:rPr>
          <w:rFonts w:eastAsia="Times New Roman"/>
          <w:iCs/>
        </w:rPr>
        <w:t>m</w:t>
      </w:r>
      <w:r w:rsidR="000F37B9" w:rsidRPr="00AA6C13">
        <w:rPr>
          <w:rFonts w:eastAsia="Times New Roman"/>
          <w:iCs/>
        </w:rPr>
        <w:t xml:space="preserve">ethods and </w:t>
      </w:r>
      <w:r w:rsidR="00860402" w:rsidRPr="00AA6C13">
        <w:rPr>
          <w:rFonts w:eastAsia="Times New Roman"/>
          <w:iCs/>
        </w:rPr>
        <w:t>p</w:t>
      </w:r>
      <w:r w:rsidR="000F37B9" w:rsidRPr="00AA6C13">
        <w:rPr>
          <w:rFonts w:eastAsia="Times New Roman"/>
          <w:iCs/>
        </w:rPr>
        <w:t xml:space="preserve">rograms in </w:t>
      </w:r>
      <w:r w:rsidR="00B66E61" w:rsidRPr="00AA6C13">
        <w:rPr>
          <w:rFonts w:eastAsia="Times New Roman"/>
          <w:iCs/>
        </w:rPr>
        <w:t>b</w:t>
      </w:r>
      <w:r w:rsidR="000F37B9" w:rsidRPr="00AA6C13">
        <w:rPr>
          <w:rFonts w:eastAsia="Times New Roman"/>
          <w:iCs/>
        </w:rPr>
        <w:t>iomedicine</w:t>
      </w:r>
      <w:r w:rsidR="000F37B9" w:rsidRPr="00AA6C13">
        <w:rPr>
          <w:rFonts w:eastAsia="Times New Roman"/>
        </w:rPr>
        <w:t xml:space="preserve">, </w:t>
      </w:r>
      <w:r w:rsidR="000B6AC8" w:rsidRPr="00AA6C13">
        <w:rPr>
          <w:rFonts w:eastAsia="Times New Roman"/>
        </w:rPr>
        <w:t>Volume s</w:t>
      </w:r>
      <w:r w:rsidR="000F37B9" w:rsidRPr="00AA6C13">
        <w:rPr>
          <w:rFonts w:eastAsia="Times New Roman"/>
        </w:rPr>
        <w:t xml:space="preserve">208, 106288. </w:t>
      </w:r>
    </w:p>
    <w:p w14:paraId="07DD1DDB" w14:textId="3F7ACD84" w:rsidR="002E2071" w:rsidRPr="00AA6C13" w:rsidRDefault="00A37FE5" w:rsidP="00AE14C7">
      <w:pPr>
        <w:spacing w:before="0"/>
        <w:ind w:left="3400"/>
        <w:rPr>
          <w:rFonts w:eastAsia="Times New Roman"/>
        </w:rPr>
      </w:pPr>
      <w:hyperlink r:id="rId91" w:history="1">
        <w:r w:rsidRPr="00AA6C13">
          <w:rPr>
            <w:rStyle w:val="Hyperlink"/>
            <w:rFonts w:ascii="Arial" w:hAnsi="Arial" w:cs="Arial"/>
            <w:sz w:val="18"/>
            <w:szCs w:val="18"/>
          </w:rPr>
          <w:t>https://doi.org/10.1016/j.cmpb.2021.106288</w:t>
        </w:r>
      </w:hyperlink>
    </w:p>
    <w:p w14:paraId="7310526F" w14:textId="61A1DFA2" w:rsidR="005F49EF" w:rsidRPr="00AA6C13" w:rsidRDefault="00AE0CF8">
      <w:pPr>
        <w:ind w:left="3400" w:hanging="3400"/>
      </w:pPr>
      <w:r w:rsidRPr="00AA6C13">
        <w:t>[</w:t>
      </w:r>
      <w:r w:rsidR="00F71448" w:rsidRPr="00AA6C13">
        <w:t>b-Collins G. S. et al., 2015</w:t>
      </w:r>
      <w:r w:rsidRPr="00AA6C13">
        <w:t>]</w:t>
      </w:r>
      <w:r w:rsidR="001B3D04" w:rsidRPr="00AA6C13">
        <w:tab/>
      </w:r>
      <w:r w:rsidR="00B507D0" w:rsidRPr="00AA6C13">
        <w:tab/>
      </w:r>
      <w:r w:rsidR="001B3D04" w:rsidRPr="00AA6C13">
        <w:t>Collins, G. S., Reitsma, J. B., Altman, D. G., Moons, K. G. M.</w:t>
      </w:r>
      <w:r w:rsidR="00BC5D89" w:rsidRPr="00AA6C13">
        <w:t xml:space="preserve"> (2015),</w:t>
      </w:r>
      <w:r w:rsidR="001B3D04" w:rsidRPr="00AA6C13">
        <w:t xml:space="preserve"> </w:t>
      </w:r>
      <w:r w:rsidR="001B3D04" w:rsidRPr="00AA6C13">
        <w:rPr>
          <w:i/>
          <w:iCs/>
        </w:rPr>
        <w:t>Transparent reporting of a multivariable prediction model for individual prognosis or diagnosis (TRIPOD): the TRIPOD statement</w:t>
      </w:r>
      <w:r w:rsidR="001B3D04" w:rsidRPr="00AA6C13">
        <w:t>. BMJ</w:t>
      </w:r>
      <w:r w:rsidR="00010DCA" w:rsidRPr="00AA6C13">
        <w:t xml:space="preserve">. </w:t>
      </w:r>
    </w:p>
    <w:p w14:paraId="257E3599" w14:textId="129278F0" w:rsidR="00F71448" w:rsidRPr="00AA6C13" w:rsidRDefault="00DA492F" w:rsidP="00AE14C7">
      <w:pPr>
        <w:spacing w:before="0"/>
        <w:ind w:left="3400"/>
      </w:pPr>
      <w:hyperlink r:id="rId92" w:history="1">
        <w:r w:rsidRPr="00AA6C13">
          <w:rPr>
            <w:rStyle w:val="Hyperlink"/>
            <w:rFonts w:ascii="Arial" w:hAnsi="Arial" w:cs="Arial"/>
            <w:sz w:val="18"/>
            <w:szCs w:val="18"/>
          </w:rPr>
          <w:t>https://pubmed.ncbi.nlm.nih.gov/25569120/</w:t>
        </w:r>
      </w:hyperlink>
    </w:p>
    <w:p w14:paraId="52297764" w14:textId="0BDD83ED" w:rsidR="004E4595" w:rsidRPr="00AA6C13" w:rsidRDefault="00197CCF">
      <w:pPr>
        <w:ind w:left="3400" w:hanging="3400"/>
        <w:rPr>
          <w:rFonts w:eastAsia="Times New Roman"/>
        </w:rPr>
      </w:pPr>
      <w:r w:rsidRPr="00AA6C13">
        <w:t>[</w:t>
      </w:r>
      <w:r w:rsidR="0049585D" w:rsidRPr="00AA6C13">
        <w:t>b-Collins et al., 2019</w:t>
      </w:r>
      <w:r w:rsidRPr="00AA6C13">
        <w:t>]</w:t>
      </w:r>
      <w:r w:rsidR="00C35DC8" w:rsidRPr="00AA6C13">
        <w:tab/>
      </w:r>
      <w:r w:rsidR="00E472DB" w:rsidRPr="00AA6C13">
        <w:tab/>
      </w:r>
      <w:r w:rsidR="000F37B9" w:rsidRPr="00AA6C13">
        <w:rPr>
          <w:rFonts w:eastAsia="Times New Roman"/>
        </w:rPr>
        <w:t xml:space="preserve">Collins, G. S., </w:t>
      </w:r>
      <w:r w:rsidR="00FF086F" w:rsidRPr="00AA6C13">
        <w:rPr>
          <w:rFonts w:eastAsia="Times New Roman"/>
        </w:rPr>
        <w:t>and</w:t>
      </w:r>
      <w:r w:rsidR="000F37B9" w:rsidRPr="00AA6C13">
        <w:rPr>
          <w:rFonts w:eastAsia="Times New Roman"/>
        </w:rPr>
        <w:t xml:space="preserve"> Moons, K. G. </w:t>
      </w:r>
      <w:r w:rsidR="00F21B6C" w:rsidRPr="00AA6C13">
        <w:rPr>
          <w:rFonts w:eastAsia="Times New Roman"/>
        </w:rPr>
        <w:t xml:space="preserve">M. </w:t>
      </w:r>
      <w:r w:rsidR="000F37B9" w:rsidRPr="00AA6C13">
        <w:rPr>
          <w:rFonts w:eastAsia="Times New Roman"/>
        </w:rPr>
        <w:t>(2019)</w:t>
      </w:r>
      <w:r w:rsidR="00140D2A" w:rsidRPr="00AA6C13">
        <w:rPr>
          <w:rFonts w:eastAsia="Times New Roman"/>
        </w:rPr>
        <w:t>,</w:t>
      </w:r>
      <w:r w:rsidR="000F37B9" w:rsidRPr="00AA6C13">
        <w:rPr>
          <w:rFonts w:eastAsia="Times New Roman"/>
        </w:rPr>
        <w:t xml:space="preserve"> </w:t>
      </w:r>
      <w:r w:rsidR="000F37B9" w:rsidRPr="00AA6C13">
        <w:rPr>
          <w:rFonts w:eastAsia="Times New Roman"/>
          <w:i/>
          <w:iCs/>
        </w:rPr>
        <w:t>Reporting of artificial intelligence prediction models</w:t>
      </w:r>
      <w:r w:rsidR="000F37B9" w:rsidRPr="00AA6C13">
        <w:rPr>
          <w:rFonts w:eastAsia="Times New Roman"/>
        </w:rPr>
        <w:t xml:space="preserve">. The Lancet, </w:t>
      </w:r>
      <w:r w:rsidR="00D25AD3" w:rsidRPr="00AA6C13">
        <w:rPr>
          <w:rFonts w:eastAsia="Times New Roman"/>
        </w:rPr>
        <w:t xml:space="preserve">Volume </w:t>
      </w:r>
      <w:r w:rsidR="000F37B9" w:rsidRPr="00AA6C13">
        <w:rPr>
          <w:rFonts w:eastAsia="Times New Roman"/>
        </w:rPr>
        <w:t>393</w:t>
      </w:r>
      <w:r w:rsidR="00D25AD3" w:rsidRPr="00AA6C13">
        <w:rPr>
          <w:rFonts w:eastAsia="Times New Roman"/>
        </w:rPr>
        <w:t xml:space="preserve">, Issue </w:t>
      </w:r>
      <w:r w:rsidR="000F37B9" w:rsidRPr="00AA6C13">
        <w:rPr>
          <w:rFonts w:eastAsia="Times New Roman"/>
        </w:rPr>
        <w:t xml:space="preserve">10181, </w:t>
      </w:r>
      <w:r w:rsidR="00457634" w:rsidRPr="00AA6C13">
        <w:rPr>
          <w:rFonts w:eastAsia="Times New Roman"/>
        </w:rPr>
        <w:t>pp</w:t>
      </w:r>
      <w:r w:rsidR="000F37B9" w:rsidRPr="00AA6C13">
        <w:rPr>
          <w:rFonts w:eastAsia="Times New Roman"/>
        </w:rPr>
        <w:t xml:space="preserve">1577-1579. </w:t>
      </w:r>
    </w:p>
    <w:p w14:paraId="309BB3F4" w14:textId="76ED470C" w:rsidR="002E2071" w:rsidRPr="00AA6C13" w:rsidRDefault="00D654ED" w:rsidP="00AE14C7">
      <w:pPr>
        <w:spacing w:before="0"/>
        <w:ind w:left="3400"/>
        <w:rPr>
          <w:rFonts w:eastAsia="Times New Roman"/>
        </w:rPr>
      </w:pPr>
      <w:hyperlink r:id="rId93" w:history="1">
        <w:r w:rsidRPr="00AA6C13">
          <w:rPr>
            <w:rStyle w:val="Hyperlink"/>
            <w:rFonts w:ascii="Arial" w:hAnsi="Arial" w:cs="Arial"/>
            <w:sz w:val="18"/>
            <w:szCs w:val="18"/>
          </w:rPr>
          <w:t>https://doi.org/10.1016/S0140-6736(19)30037-6</w:t>
        </w:r>
      </w:hyperlink>
    </w:p>
    <w:p w14:paraId="1FB4C6BB" w14:textId="51371006" w:rsidR="009822CF" w:rsidRPr="00AA6C13" w:rsidRDefault="00997B0D" w:rsidP="00391442">
      <w:pPr>
        <w:ind w:left="3402" w:hanging="3400"/>
        <w:rPr>
          <w:rFonts w:eastAsia="Calibri"/>
        </w:rPr>
      </w:pPr>
      <w:r w:rsidRPr="00AA6C13">
        <w:rPr>
          <w:rFonts w:eastAsia="Times New Roman"/>
        </w:rPr>
        <w:t>[</w:t>
      </w:r>
      <w:r w:rsidR="009822CF" w:rsidRPr="00AA6C13">
        <w:rPr>
          <w:rFonts w:eastAsia="Times New Roman"/>
        </w:rPr>
        <w:t>b-Castro et al., 2020</w:t>
      </w:r>
      <w:r w:rsidRPr="00AA6C13">
        <w:rPr>
          <w:rFonts w:eastAsia="Times New Roman"/>
        </w:rPr>
        <w:t>]</w:t>
      </w:r>
      <w:r w:rsidR="00DD5F6A" w:rsidRPr="00AA6C13">
        <w:rPr>
          <w:rFonts w:eastAsia="Times New Roman"/>
        </w:rPr>
        <w:tab/>
      </w:r>
      <w:r w:rsidR="0012576B" w:rsidRPr="00AA6C13">
        <w:rPr>
          <w:rFonts w:eastAsia="Times New Roman"/>
        </w:rPr>
        <w:t>Castro, D. C., Walker, I.</w:t>
      </w:r>
      <w:r w:rsidR="00451750" w:rsidRPr="00AA6C13">
        <w:rPr>
          <w:rFonts w:eastAsia="Times New Roman"/>
        </w:rPr>
        <w:t>,</w:t>
      </w:r>
      <w:r w:rsidR="0012576B" w:rsidRPr="00AA6C13">
        <w:rPr>
          <w:rFonts w:eastAsia="Times New Roman"/>
        </w:rPr>
        <w:t xml:space="preserve"> and Glocker, B. (2020)</w:t>
      </w:r>
      <w:r w:rsidR="0073563F" w:rsidRPr="00AA6C13">
        <w:rPr>
          <w:rFonts w:eastAsia="Times New Roman"/>
        </w:rPr>
        <w:t>,</w:t>
      </w:r>
      <w:r w:rsidR="0012576B" w:rsidRPr="00AA6C13">
        <w:rPr>
          <w:rFonts w:eastAsia="Times New Roman"/>
        </w:rPr>
        <w:t xml:space="preserve"> </w:t>
      </w:r>
      <w:r w:rsidR="0012576B" w:rsidRPr="00AA6C13">
        <w:rPr>
          <w:rFonts w:eastAsia="Times New Roman"/>
          <w:i/>
          <w:iCs/>
        </w:rPr>
        <w:t>Causality matters in medical imaging</w:t>
      </w:r>
      <w:r w:rsidR="0012576B" w:rsidRPr="00AA6C13">
        <w:rPr>
          <w:rFonts w:eastAsia="Times New Roman"/>
        </w:rPr>
        <w:t>. Nat</w:t>
      </w:r>
      <w:r w:rsidR="00371CE5" w:rsidRPr="00AA6C13">
        <w:rPr>
          <w:rFonts w:eastAsia="Times New Roman"/>
        </w:rPr>
        <w:t>ure</w:t>
      </w:r>
      <w:r w:rsidR="0012576B" w:rsidRPr="00AA6C13">
        <w:rPr>
          <w:rFonts w:eastAsia="Times New Roman"/>
        </w:rPr>
        <w:t xml:space="preserve"> Commun</w:t>
      </w:r>
      <w:r w:rsidR="00371CE5" w:rsidRPr="00AA6C13">
        <w:rPr>
          <w:rFonts w:eastAsia="Times New Roman"/>
        </w:rPr>
        <w:t>ications</w:t>
      </w:r>
      <w:r w:rsidR="00F458A7" w:rsidRPr="00AA6C13">
        <w:rPr>
          <w:rFonts w:eastAsia="Times New Roman"/>
        </w:rPr>
        <w:t>.</w:t>
      </w:r>
      <w:r w:rsidR="0012576B" w:rsidRPr="00AA6C13">
        <w:rPr>
          <w:rFonts w:eastAsia="Times New Roman"/>
        </w:rPr>
        <w:t xml:space="preserve"> 11, 3673</w:t>
      </w:r>
      <w:r w:rsidR="00844ECB" w:rsidRPr="00AA6C13">
        <w:rPr>
          <w:rFonts w:eastAsia="Times New Roman"/>
        </w:rPr>
        <w:t>.</w:t>
      </w:r>
      <w:r w:rsidR="0012576B" w:rsidRPr="00AA6C13">
        <w:rPr>
          <w:rFonts w:eastAsia="Times New Roman"/>
        </w:rPr>
        <w:t xml:space="preserve"> </w:t>
      </w:r>
      <w:hyperlink r:id="rId94">
        <w:r w:rsidR="0012576B" w:rsidRPr="00AA6C13">
          <w:rPr>
            <w:rFonts w:ascii="Arial" w:eastAsia="Times New Roman" w:hAnsi="Arial" w:cs="Arial"/>
            <w:color w:val="0000FF"/>
            <w:sz w:val="18"/>
            <w:szCs w:val="18"/>
            <w:u w:val="single"/>
          </w:rPr>
          <w:t>https://doi.org/10.1038/s41467-020-17478-w</w:t>
        </w:r>
      </w:hyperlink>
    </w:p>
    <w:p w14:paraId="21DF2528" w14:textId="37A43D3A" w:rsidR="00D63F9F" w:rsidRPr="00AA6C13" w:rsidRDefault="006D6A29">
      <w:pPr>
        <w:ind w:left="3402" w:hanging="3400"/>
        <w:rPr>
          <w:rFonts w:eastAsia="Times New Roman"/>
        </w:rPr>
      </w:pPr>
      <w:r w:rsidRPr="00AA6C13">
        <w:rPr>
          <w:rFonts w:eastAsia="Calibri"/>
        </w:rPr>
        <w:lastRenderedPageBreak/>
        <w:t>[</w:t>
      </w:r>
      <w:r w:rsidR="00752831" w:rsidRPr="00AA6C13">
        <w:rPr>
          <w:rFonts w:eastAsia="Calibri"/>
        </w:rPr>
        <w:t xml:space="preserve">b-DECIDE-AI </w:t>
      </w:r>
      <w:r w:rsidR="00170120" w:rsidRPr="00AA6C13">
        <w:rPr>
          <w:rFonts w:eastAsia="Calibri"/>
        </w:rPr>
        <w:t>s</w:t>
      </w:r>
      <w:r w:rsidR="00752831" w:rsidRPr="00AA6C13">
        <w:rPr>
          <w:rFonts w:eastAsia="Calibri"/>
        </w:rPr>
        <w:t xml:space="preserve">teering </w:t>
      </w:r>
      <w:r w:rsidR="00170120" w:rsidRPr="00AA6C13">
        <w:rPr>
          <w:rFonts w:eastAsia="Calibri"/>
        </w:rPr>
        <w:t>g</w:t>
      </w:r>
      <w:r w:rsidR="00752831" w:rsidRPr="00AA6C13">
        <w:rPr>
          <w:rFonts w:eastAsia="Calibri"/>
        </w:rPr>
        <w:t>roup</w:t>
      </w:r>
      <w:r w:rsidR="00162869" w:rsidRPr="00AA6C13">
        <w:rPr>
          <w:rFonts w:eastAsia="Times New Roman"/>
        </w:rPr>
        <w:t>]</w:t>
      </w:r>
      <w:r w:rsidR="004D3F61" w:rsidRPr="00AA6C13">
        <w:rPr>
          <w:rFonts w:eastAsia="Times New Roman"/>
        </w:rPr>
        <w:tab/>
      </w:r>
      <w:r w:rsidR="000F37B9" w:rsidRPr="00AA6C13">
        <w:rPr>
          <w:rFonts w:eastAsia="Times New Roman"/>
        </w:rPr>
        <w:t>DECIDE-AI Steering Group. (2021)</w:t>
      </w:r>
      <w:r w:rsidR="004D3F61" w:rsidRPr="00AA6C13">
        <w:rPr>
          <w:rFonts w:eastAsia="Times New Roman"/>
        </w:rPr>
        <w:t>,</w:t>
      </w:r>
      <w:r w:rsidR="000F37B9" w:rsidRPr="00AA6C13">
        <w:rPr>
          <w:rFonts w:eastAsia="Times New Roman"/>
        </w:rPr>
        <w:t xml:space="preserve"> </w:t>
      </w:r>
      <w:r w:rsidR="000F37B9" w:rsidRPr="00AA6C13">
        <w:rPr>
          <w:rFonts w:eastAsia="Times New Roman"/>
          <w:i/>
          <w:iCs/>
        </w:rPr>
        <w:t>DECIDE-AI: new reporting guidelines to bridge the development-to-implementation gap in clinical artificial intelligence</w:t>
      </w:r>
      <w:r w:rsidR="000F37B9" w:rsidRPr="00AA6C13">
        <w:rPr>
          <w:rFonts w:eastAsia="Times New Roman"/>
        </w:rPr>
        <w:t>. Nat</w:t>
      </w:r>
      <w:r w:rsidR="00CF2CB2" w:rsidRPr="00AA6C13">
        <w:rPr>
          <w:rFonts w:eastAsia="Times New Roman"/>
        </w:rPr>
        <w:t>ure</w:t>
      </w:r>
      <w:r w:rsidR="000F37B9" w:rsidRPr="00AA6C13">
        <w:rPr>
          <w:rFonts w:eastAsia="Times New Roman"/>
        </w:rPr>
        <w:t xml:space="preserve"> Med</w:t>
      </w:r>
      <w:r w:rsidR="00CF2CB2" w:rsidRPr="00AA6C13">
        <w:rPr>
          <w:rFonts w:eastAsia="Times New Roman"/>
        </w:rPr>
        <w:t>icine</w:t>
      </w:r>
      <w:r w:rsidR="000F37B9" w:rsidRPr="00AA6C13">
        <w:rPr>
          <w:rFonts w:eastAsia="Times New Roman"/>
        </w:rPr>
        <w:t>.</w:t>
      </w:r>
      <w:r w:rsidR="000F37B9" w:rsidRPr="00AA6C13">
        <w:rPr>
          <w:rFonts w:eastAsia="Times New Roman"/>
          <w:i/>
          <w:iCs/>
        </w:rPr>
        <w:t xml:space="preserve"> </w:t>
      </w:r>
      <w:r w:rsidR="000F37B9" w:rsidRPr="00AA6C13">
        <w:rPr>
          <w:rFonts w:eastAsia="Times New Roman"/>
          <w:b/>
          <w:bCs/>
        </w:rPr>
        <w:t>27</w:t>
      </w:r>
      <w:r w:rsidR="008454A4" w:rsidRPr="00AA6C13">
        <w:rPr>
          <w:rFonts w:eastAsia="Times New Roman"/>
        </w:rPr>
        <w:t xml:space="preserve"> pp</w:t>
      </w:r>
      <w:r w:rsidR="00AE14C7" w:rsidRPr="00AA6C13">
        <w:rPr>
          <w:rFonts w:eastAsia="Times New Roman"/>
        </w:rPr>
        <w:t xml:space="preserve">. </w:t>
      </w:r>
      <w:r w:rsidR="000F37B9" w:rsidRPr="00AA6C13">
        <w:rPr>
          <w:rFonts w:eastAsia="Times New Roman"/>
        </w:rPr>
        <w:t xml:space="preserve">186-187. </w:t>
      </w:r>
    </w:p>
    <w:p w14:paraId="2A7D9B3A" w14:textId="356B0489" w:rsidR="002E2071" w:rsidRPr="00AA6C13" w:rsidRDefault="008454A4" w:rsidP="00AE14C7">
      <w:pPr>
        <w:spacing w:before="0"/>
        <w:ind w:left="3402" w:hanging="2"/>
        <w:rPr>
          <w:rFonts w:eastAsia="Times New Roman"/>
        </w:rPr>
      </w:pPr>
      <w:hyperlink r:id="rId95" w:history="1">
        <w:r w:rsidRPr="00AA6C13">
          <w:rPr>
            <w:rStyle w:val="Hyperlink"/>
            <w:rFonts w:ascii="Arial" w:hAnsi="Arial" w:cs="Arial"/>
            <w:sz w:val="18"/>
            <w:szCs w:val="18"/>
          </w:rPr>
          <w:t>https://doi.org/10.1038/s41591-021-01229-5</w:t>
        </w:r>
      </w:hyperlink>
    </w:p>
    <w:p w14:paraId="48C72F37" w14:textId="3302905D" w:rsidR="002E2071" w:rsidRPr="00AA6C13" w:rsidRDefault="00BA2559" w:rsidP="0006232B">
      <w:pPr>
        <w:ind w:left="3400" w:hanging="3400"/>
        <w:rPr>
          <w:rFonts w:eastAsia="Times New Roman"/>
        </w:rPr>
      </w:pPr>
      <w:r w:rsidRPr="00AA6C13">
        <w:t>[b-</w:t>
      </w:r>
      <w:r w:rsidR="00745EC7" w:rsidRPr="00AA6C13">
        <w:t>Dustler 2020]</w:t>
      </w:r>
      <w:r w:rsidR="00EB6FC0" w:rsidRPr="00AA6C13">
        <w:tab/>
      </w:r>
      <w:r w:rsidR="000301CF" w:rsidRPr="00AA6C13">
        <w:tab/>
      </w:r>
      <w:r w:rsidR="000F37B9" w:rsidRPr="00AA6C13">
        <w:rPr>
          <w:rFonts w:eastAsia="Times New Roman"/>
        </w:rPr>
        <w:t>Dustler, M. (2020)</w:t>
      </w:r>
      <w:r w:rsidR="00334F4C" w:rsidRPr="00AA6C13">
        <w:rPr>
          <w:rFonts w:eastAsia="Times New Roman"/>
        </w:rPr>
        <w:t>,</w:t>
      </w:r>
      <w:r w:rsidR="000F37B9" w:rsidRPr="00AA6C13">
        <w:rPr>
          <w:rFonts w:eastAsia="Times New Roman"/>
        </w:rPr>
        <w:t xml:space="preserve"> </w:t>
      </w:r>
      <w:r w:rsidR="000F37B9" w:rsidRPr="00AA6C13">
        <w:rPr>
          <w:rFonts w:eastAsia="Times New Roman"/>
          <w:i/>
          <w:iCs/>
        </w:rPr>
        <w:t>Evaluating AI in breast cancer screening: a complex task</w:t>
      </w:r>
      <w:r w:rsidR="000F37B9" w:rsidRPr="00AA6C13">
        <w:rPr>
          <w:rFonts w:eastAsia="Times New Roman"/>
        </w:rPr>
        <w:t xml:space="preserve">. </w:t>
      </w:r>
      <w:r w:rsidR="000F37B9" w:rsidRPr="00AA6C13">
        <w:rPr>
          <w:rFonts w:eastAsia="Times New Roman"/>
          <w:iCs/>
        </w:rPr>
        <w:t>The Lancet Digital Health</w:t>
      </w:r>
      <w:r w:rsidR="000F37B9" w:rsidRPr="00AA6C13">
        <w:rPr>
          <w:rFonts w:eastAsia="Times New Roman"/>
        </w:rPr>
        <w:t xml:space="preserve">. </w:t>
      </w:r>
      <w:hyperlink r:id="rId96" w:history="1">
        <w:r w:rsidR="009171C4" w:rsidRPr="00AA6C13">
          <w:rPr>
            <w:rStyle w:val="Hyperlink"/>
            <w:rFonts w:ascii="Arial" w:hAnsi="Arial" w:cs="Arial"/>
            <w:sz w:val="18"/>
            <w:szCs w:val="18"/>
          </w:rPr>
          <w:t>https://doi.org/10.1016/S2589-7500(20)30019-4</w:t>
        </w:r>
      </w:hyperlink>
    </w:p>
    <w:p w14:paraId="6BB52D57" w14:textId="2CE66505" w:rsidR="00D33B38" w:rsidRPr="00AA6C13" w:rsidRDefault="00DE6734" w:rsidP="00691132">
      <w:pPr>
        <w:ind w:left="3400" w:hanging="3400"/>
        <w:rPr>
          <w:rFonts w:eastAsia="Times New Roman"/>
        </w:rPr>
      </w:pPr>
      <w:r w:rsidRPr="00AA6C13">
        <w:rPr>
          <w:rFonts w:eastAsia="Times New Roman"/>
        </w:rPr>
        <w:t xml:space="preserve">[b-de </w:t>
      </w:r>
      <w:proofErr w:type="spellStart"/>
      <w:r w:rsidRPr="00AA6C13">
        <w:rPr>
          <w:rFonts w:eastAsia="Times New Roman"/>
        </w:rPr>
        <w:t>Hond</w:t>
      </w:r>
      <w:proofErr w:type="spellEnd"/>
      <w:r w:rsidRPr="00AA6C13">
        <w:rPr>
          <w:rFonts w:eastAsia="Times New Roman"/>
        </w:rPr>
        <w:t xml:space="preserve"> et al., 2022]</w:t>
      </w:r>
      <w:r w:rsidR="001E2C3F" w:rsidRPr="00AA6C13">
        <w:rPr>
          <w:rFonts w:eastAsia="Times New Roman"/>
        </w:rPr>
        <w:tab/>
      </w:r>
      <w:r w:rsidR="00703499" w:rsidRPr="00AA6C13">
        <w:rPr>
          <w:rFonts w:eastAsia="Times New Roman"/>
        </w:rPr>
        <w:t xml:space="preserve">de </w:t>
      </w:r>
      <w:proofErr w:type="spellStart"/>
      <w:r w:rsidR="00703499" w:rsidRPr="00AA6C13">
        <w:rPr>
          <w:rFonts w:eastAsia="Times New Roman"/>
        </w:rPr>
        <w:t>Hond</w:t>
      </w:r>
      <w:proofErr w:type="spellEnd"/>
      <w:r w:rsidR="00703499" w:rsidRPr="00AA6C13">
        <w:rPr>
          <w:rFonts w:eastAsia="Times New Roman"/>
        </w:rPr>
        <w:t>, A.</w:t>
      </w:r>
      <w:r w:rsidR="000C6E6E" w:rsidRPr="00AA6C13">
        <w:rPr>
          <w:rFonts w:eastAsia="Times New Roman"/>
        </w:rPr>
        <w:t xml:space="preserve"> </w:t>
      </w:r>
      <w:r w:rsidR="00703499" w:rsidRPr="00AA6C13">
        <w:rPr>
          <w:rFonts w:eastAsia="Times New Roman"/>
        </w:rPr>
        <w:t>A.</w:t>
      </w:r>
      <w:r w:rsidR="000C6E6E" w:rsidRPr="00AA6C13">
        <w:rPr>
          <w:rFonts w:eastAsia="Times New Roman"/>
        </w:rPr>
        <w:t xml:space="preserve"> </w:t>
      </w:r>
      <w:r w:rsidR="00703499" w:rsidRPr="00AA6C13">
        <w:rPr>
          <w:rFonts w:eastAsia="Times New Roman"/>
        </w:rPr>
        <w:t xml:space="preserve">H., </w:t>
      </w:r>
      <w:proofErr w:type="spellStart"/>
      <w:r w:rsidR="00703499" w:rsidRPr="00AA6C13">
        <w:rPr>
          <w:rFonts w:eastAsia="Times New Roman"/>
        </w:rPr>
        <w:t>Leeuwenberg</w:t>
      </w:r>
      <w:proofErr w:type="spellEnd"/>
      <w:r w:rsidR="00703499" w:rsidRPr="00AA6C13">
        <w:rPr>
          <w:rFonts w:eastAsia="Times New Roman"/>
        </w:rPr>
        <w:t>, A.</w:t>
      </w:r>
      <w:r w:rsidR="001B7CE4" w:rsidRPr="00AA6C13">
        <w:rPr>
          <w:rFonts w:eastAsia="Times New Roman"/>
        </w:rPr>
        <w:t xml:space="preserve"> </w:t>
      </w:r>
      <w:r w:rsidR="00703499" w:rsidRPr="00AA6C13">
        <w:rPr>
          <w:rFonts w:eastAsia="Times New Roman"/>
        </w:rPr>
        <w:t>M., Hooft, L.</w:t>
      </w:r>
      <w:r w:rsidR="00B51055" w:rsidRPr="00AA6C13">
        <w:rPr>
          <w:rFonts w:eastAsia="Times New Roman"/>
        </w:rPr>
        <w:t xml:space="preserve"> </w:t>
      </w:r>
      <w:r w:rsidR="00AF27FB" w:rsidRPr="00AA6C13">
        <w:rPr>
          <w:rFonts w:eastAsia="Times New Roman"/>
        </w:rPr>
        <w:t xml:space="preserve">Kant, I. M. J., </w:t>
      </w:r>
      <w:r w:rsidR="004915F0" w:rsidRPr="00AA6C13">
        <w:rPr>
          <w:rFonts w:eastAsia="Times New Roman"/>
        </w:rPr>
        <w:t xml:space="preserve">Nijman, S. W. J., van </w:t>
      </w:r>
      <w:proofErr w:type="spellStart"/>
      <w:r w:rsidR="004915F0" w:rsidRPr="00AA6C13">
        <w:rPr>
          <w:rFonts w:eastAsia="Times New Roman"/>
        </w:rPr>
        <w:t>Os</w:t>
      </w:r>
      <w:proofErr w:type="spellEnd"/>
      <w:r w:rsidR="004915F0" w:rsidRPr="00AA6C13">
        <w:rPr>
          <w:rFonts w:eastAsia="Times New Roman"/>
        </w:rPr>
        <w:t xml:space="preserve">, H. J. A., </w:t>
      </w:r>
      <w:proofErr w:type="spellStart"/>
      <w:r w:rsidR="004915F0" w:rsidRPr="00AA6C13">
        <w:rPr>
          <w:rFonts w:eastAsia="Times New Roman"/>
        </w:rPr>
        <w:t>Aardoom</w:t>
      </w:r>
      <w:proofErr w:type="spellEnd"/>
      <w:r w:rsidR="004915F0" w:rsidRPr="00AA6C13">
        <w:rPr>
          <w:rFonts w:eastAsia="Times New Roman"/>
        </w:rPr>
        <w:t xml:space="preserve">, J. J., Debray, T. P. A., </w:t>
      </w:r>
      <w:r w:rsidR="00A2702A" w:rsidRPr="00AA6C13">
        <w:rPr>
          <w:rFonts w:eastAsia="Times New Roman"/>
        </w:rPr>
        <w:t xml:space="preserve">Schuit, E., van Smeden, M., Reitsma, J. B., </w:t>
      </w:r>
      <w:proofErr w:type="spellStart"/>
      <w:r w:rsidR="00A2702A" w:rsidRPr="00AA6C13">
        <w:rPr>
          <w:rFonts w:eastAsia="Times New Roman"/>
        </w:rPr>
        <w:t>Steyerberg</w:t>
      </w:r>
      <w:proofErr w:type="spellEnd"/>
      <w:r w:rsidR="00A2702A" w:rsidRPr="00AA6C13">
        <w:rPr>
          <w:rFonts w:eastAsia="Times New Roman"/>
        </w:rPr>
        <w:t xml:space="preserve">, E. W., Chavannes, N. H., and Moons, K. G. M. </w:t>
      </w:r>
      <w:r w:rsidR="00703499" w:rsidRPr="00AA6C13">
        <w:rPr>
          <w:rFonts w:eastAsia="Times New Roman"/>
        </w:rPr>
        <w:t>(2022)</w:t>
      </w:r>
      <w:r w:rsidR="0037190A" w:rsidRPr="00AA6C13">
        <w:rPr>
          <w:rFonts w:eastAsia="Times New Roman"/>
        </w:rPr>
        <w:t>,</w:t>
      </w:r>
      <w:r w:rsidR="00703499" w:rsidRPr="00AA6C13">
        <w:rPr>
          <w:rFonts w:eastAsia="Times New Roman"/>
        </w:rPr>
        <w:t xml:space="preserve"> </w:t>
      </w:r>
      <w:r w:rsidR="00703499" w:rsidRPr="00AA6C13">
        <w:rPr>
          <w:rFonts w:eastAsia="Times New Roman"/>
          <w:i/>
          <w:iCs/>
        </w:rPr>
        <w:t>Guidelines and quality criteria for artificial intelligence-based prediction models in healthcare: a scoping review</w:t>
      </w:r>
      <w:r w:rsidR="00703499" w:rsidRPr="00AA6C13">
        <w:rPr>
          <w:rFonts w:eastAsia="Times New Roman"/>
        </w:rPr>
        <w:t xml:space="preserve">. </w:t>
      </w:r>
      <w:proofErr w:type="spellStart"/>
      <w:r w:rsidR="00703499" w:rsidRPr="00AA6C13">
        <w:rPr>
          <w:rFonts w:eastAsia="Times New Roman"/>
          <w:iCs/>
        </w:rPr>
        <w:t>npj</w:t>
      </w:r>
      <w:proofErr w:type="spellEnd"/>
      <w:r w:rsidR="00703499" w:rsidRPr="00AA6C13">
        <w:rPr>
          <w:rFonts w:eastAsia="Times New Roman"/>
          <w:iCs/>
        </w:rPr>
        <w:t xml:space="preserve"> Digit</w:t>
      </w:r>
      <w:r w:rsidR="005B3374" w:rsidRPr="00AA6C13">
        <w:rPr>
          <w:rFonts w:eastAsia="Times New Roman"/>
          <w:iCs/>
        </w:rPr>
        <w:t>al</w:t>
      </w:r>
      <w:r w:rsidR="00703499" w:rsidRPr="00AA6C13">
        <w:rPr>
          <w:rFonts w:eastAsia="Times New Roman"/>
          <w:iCs/>
        </w:rPr>
        <w:t xml:space="preserve"> Med</w:t>
      </w:r>
      <w:r w:rsidR="005B3374" w:rsidRPr="00AA6C13">
        <w:rPr>
          <w:rFonts w:eastAsia="Times New Roman"/>
          <w:iCs/>
        </w:rPr>
        <w:t>icine</w:t>
      </w:r>
      <w:r w:rsidR="00703499" w:rsidRPr="00AA6C13">
        <w:rPr>
          <w:rFonts w:eastAsia="Times New Roman"/>
          <w:i/>
        </w:rPr>
        <w:t>.</w:t>
      </w:r>
      <w:r w:rsidR="00703499" w:rsidRPr="00AA6C13">
        <w:rPr>
          <w:rFonts w:eastAsia="Times New Roman"/>
        </w:rPr>
        <w:t xml:space="preserve"> </w:t>
      </w:r>
      <w:r w:rsidR="00703499" w:rsidRPr="00AA6C13">
        <w:rPr>
          <w:rFonts w:eastAsia="Times New Roman"/>
          <w:b/>
        </w:rPr>
        <w:t xml:space="preserve">5, </w:t>
      </w:r>
      <w:r w:rsidR="00703499" w:rsidRPr="00AA6C13">
        <w:rPr>
          <w:rFonts w:eastAsia="Times New Roman"/>
        </w:rPr>
        <w:t xml:space="preserve">2. </w:t>
      </w:r>
    </w:p>
    <w:p w14:paraId="6317D49C" w14:textId="5FEEE320" w:rsidR="00703499" w:rsidRPr="00AA6C13" w:rsidRDefault="00BC5D89" w:rsidP="0006232B">
      <w:pPr>
        <w:ind w:left="3400"/>
        <w:rPr>
          <w:rFonts w:eastAsia="Times New Roman"/>
        </w:rPr>
      </w:pPr>
      <w:hyperlink r:id="rId97" w:history="1">
        <w:r w:rsidRPr="00AA6C13">
          <w:rPr>
            <w:rStyle w:val="Hyperlink"/>
            <w:rFonts w:ascii="Arial" w:hAnsi="Arial" w:cs="Arial"/>
            <w:sz w:val="18"/>
            <w:szCs w:val="18"/>
          </w:rPr>
          <w:t>https://doi.org/10.1038/s41746-021-00549-7</w:t>
        </w:r>
      </w:hyperlink>
    </w:p>
    <w:p w14:paraId="053ED779" w14:textId="77777777" w:rsidR="005A750D" w:rsidRPr="00AA6C13" w:rsidRDefault="00051822">
      <w:pPr>
        <w:ind w:left="3400" w:hanging="3400"/>
      </w:pPr>
      <w:r w:rsidRPr="00AA6C13">
        <w:t xml:space="preserve">[b-EU Regulation] </w:t>
      </w:r>
      <w:r w:rsidR="003A129B" w:rsidRPr="00AA6C13">
        <w:tab/>
      </w:r>
      <w:r w:rsidR="003A129B" w:rsidRPr="00AA6C13">
        <w:tab/>
      </w:r>
      <w:r w:rsidR="00E571ED" w:rsidRPr="00AA6C13">
        <w:t>Regulation (EU) 2017/745 of the European Parliament and of the Council of 5 April 2017 on medical devices, amending Directive 2001/83/EC, Regulation (EC) No 178/2002 and Regulation (EC) No 1223/2009 and repealing Council Directives 90/385/EEC and 93/42/EEC (Text with EEA relevance)</w:t>
      </w:r>
      <w:r w:rsidR="005A750D" w:rsidRPr="00AA6C13">
        <w:t xml:space="preserve">. </w:t>
      </w:r>
    </w:p>
    <w:p w14:paraId="6ACD3A02" w14:textId="7C8B40B8" w:rsidR="00E571ED" w:rsidRPr="004D4B8A" w:rsidRDefault="00E571ED" w:rsidP="00AE14C7">
      <w:pPr>
        <w:spacing w:before="0"/>
        <w:ind w:left="3400"/>
        <w:rPr>
          <w:rFonts w:eastAsia="Times New Roman"/>
          <w:lang w:val="it-IT"/>
        </w:rPr>
      </w:pPr>
      <w:r w:rsidRPr="004D4B8A">
        <w:rPr>
          <w:lang w:val="it-IT"/>
        </w:rPr>
        <w:t xml:space="preserve">ELI: </w:t>
      </w:r>
      <w:hyperlink r:id="rId98" w:tgtFrame="Gives access to this document through its ELI URI.">
        <w:r w:rsidRPr="004D4B8A">
          <w:rPr>
            <w:rFonts w:ascii="Arial" w:hAnsi="Arial" w:cs="Arial"/>
            <w:color w:val="0000FF"/>
            <w:sz w:val="18"/>
            <w:szCs w:val="18"/>
            <w:u w:val="single"/>
            <w:lang w:val="it-IT"/>
          </w:rPr>
          <w:t>http://data.europa.eu/eli/reg/2017/745/2017-05-05</w:t>
        </w:r>
      </w:hyperlink>
    </w:p>
    <w:p w14:paraId="168F46FA" w14:textId="00C400D6" w:rsidR="002E2071" w:rsidRPr="00AA6C13" w:rsidRDefault="00491CF1" w:rsidP="0006232B">
      <w:pPr>
        <w:ind w:left="3400" w:hanging="3400"/>
        <w:rPr>
          <w:rFonts w:eastAsia="Times New Roman"/>
        </w:rPr>
      </w:pPr>
      <w:r w:rsidRPr="00AA6C13">
        <w:rPr>
          <w:rFonts w:eastAsia="Times New Roman"/>
        </w:rPr>
        <w:t>[b-FDA]</w:t>
      </w:r>
      <w:r w:rsidR="00AC28BA" w:rsidRPr="00AA6C13">
        <w:rPr>
          <w:rFonts w:eastAsia="Times New Roman"/>
        </w:rPr>
        <w:tab/>
      </w:r>
      <w:r w:rsidR="00B51B04" w:rsidRPr="00AA6C13">
        <w:rPr>
          <w:rFonts w:eastAsia="Times New Roman"/>
        </w:rPr>
        <w:tab/>
      </w:r>
      <w:r w:rsidR="00AE14C7" w:rsidRPr="00AA6C13">
        <w:rPr>
          <w:rFonts w:eastAsia="Times New Roman"/>
        </w:rPr>
        <w:tab/>
      </w:r>
      <w:r w:rsidR="00AE14C7" w:rsidRPr="00AA6C13">
        <w:rPr>
          <w:rFonts w:eastAsia="Times New Roman"/>
        </w:rPr>
        <w:tab/>
      </w:r>
      <w:r w:rsidR="000F37B9" w:rsidRPr="00AA6C13">
        <w:rPr>
          <w:rFonts w:eastAsia="Times New Roman"/>
        </w:rPr>
        <w:t>FDA (2021)</w:t>
      </w:r>
      <w:r w:rsidR="00AC0BDF" w:rsidRPr="00AA6C13">
        <w:rPr>
          <w:rFonts w:eastAsia="Times New Roman"/>
        </w:rPr>
        <w:t>,</w:t>
      </w:r>
      <w:r w:rsidR="000F37B9" w:rsidRPr="00AA6C13">
        <w:rPr>
          <w:rFonts w:eastAsia="Times New Roman"/>
        </w:rPr>
        <w:t xml:space="preserve"> </w:t>
      </w:r>
      <w:r w:rsidR="000F37B9" w:rsidRPr="00AA6C13">
        <w:rPr>
          <w:rFonts w:eastAsia="Times New Roman"/>
          <w:i/>
          <w:iCs/>
        </w:rPr>
        <w:t>Artificial Intelligence/Machine Learning (AI/ML)-Based Software as a Medical Device (SaMD) Action Plan</w:t>
      </w:r>
      <w:r w:rsidR="000F37B9" w:rsidRPr="00AA6C13">
        <w:rPr>
          <w:rFonts w:eastAsia="Times New Roman"/>
        </w:rPr>
        <w:t xml:space="preserve">. </w:t>
      </w:r>
      <w:hyperlink r:id="rId99" w:history="1">
        <w:r w:rsidR="009171C4" w:rsidRPr="00AA6C13">
          <w:rPr>
            <w:rStyle w:val="Hyperlink"/>
            <w:rFonts w:ascii="Arial" w:hAnsi="Arial" w:cs="Arial"/>
            <w:sz w:val="18"/>
            <w:szCs w:val="18"/>
          </w:rPr>
          <w:t>https://www.fda.gov/media/145022/download</w:t>
        </w:r>
      </w:hyperlink>
    </w:p>
    <w:p w14:paraId="123B193B" w14:textId="72007FF0" w:rsidR="00894E0C" w:rsidRPr="00AA6C13" w:rsidRDefault="00F1648C">
      <w:pPr>
        <w:ind w:left="3400" w:hanging="3400"/>
        <w:rPr>
          <w:rFonts w:eastAsia="Times New Roman"/>
        </w:rPr>
      </w:pPr>
      <w:r w:rsidRPr="00AA6C13">
        <w:rPr>
          <w:rFonts w:eastAsia="Times New Roman"/>
        </w:rPr>
        <w:t>[b-</w:t>
      </w:r>
      <w:r w:rsidRPr="00AA6C13">
        <w:t>Gerke et al., 2020]</w:t>
      </w:r>
      <w:r w:rsidR="00927298" w:rsidRPr="00AA6C13">
        <w:tab/>
      </w:r>
      <w:r w:rsidR="00EF4641" w:rsidRPr="00AA6C13">
        <w:tab/>
      </w:r>
      <w:r w:rsidR="000F37B9" w:rsidRPr="00AA6C13">
        <w:rPr>
          <w:rFonts w:eastAsia="Times New Roman"/>
        </w:rPr>
        <w:t xml:space="preserve">Gerke, S., Babic, B., </w:t>
      </w:r>
      <w:proofErr w:type="spellStart"/>
      <w:r w:rsidR="000F37B9" w:rsidRPr="00AA6C13">
        <w:rPr>
          <w:rFonts w:eastAsia="Times New Roman"/>
        </w:rPr>
        <w:t>Evgeniou</w:t>
      </w:r>
      <w:proofErr w:type="spellEnd"/>
      <w:r w:rsidR="000F37B9" w:rsidRPr="00AA6C13">
        <w:rPr>
          <w:rFonts w:eastAsia="Times New Roman"/>
        </w:rPr>
        <w:t xml:space="preserve">, T. </w:t>
      </w:r>
      <w:r w:rsidR="0031379B" w:rsidRPr="00AA6C13">
        <w:rPr>
          <w:rFonts w:eastAsia="Times New Roman"/>
        </w:rPr>
        <w:t>and Cohen, G. I.</w:t>
      </w:r>
      <w:r w:rsidR="000F37B9" w:rsidRPr="00AA6C13">
        <w:rPr>
          <w:rFonts w:eastAsia="Times New Roman"/>
        </w:rPr>
        <w:t xml:space="preserve"> (2020)</w:t>
      </w:r>
      <w:r w:rsidR="0036231E" w:rsidRPr="00AA6C13">
        <w:rPr>
          <w:rFonts w:eastAsia="Times New Roman"/>
        </w:rPr>
        <w:t>,</w:t>
      </w:r>
      <w:r w:rsidR="000F37B9" w:rsidRPr="00AA6C13">
        <w:rPr>
          <w:rFonts w:eastAsia="Times New Roman"/>
        </w:rPr>
        <w:t xml:space="preserve"> </w:t>
      </w:r>
      <w:r w:rsidR="000F37B9" w:rsidRPr="00AA6C13">
        <w:rPr>
          <w:rFonts w:eastAsia="Times New Roman"/>
          <w:i/>
          <w:iCs/>
        </w:rPr>
        <w:t>The need for a system view to regulate artificial intelligence/machine learning-based software as medical device</w:t>
      </w:r>
      <w:r w:rsidR="000F37B9" w:rsidRPr="00AA6C13">
        <w:rPr>
          <w:rFonts w:eastAsia="Times New Roman"/>
        </w:rPr>
        <w:t xml:space="preserve">. </w:t>
      </w:r>
      <w:proofErr w:type="spellStart"/>
      <w:r w:rsidR="000F37B9" w:rsidRPr="00AA6C13">
        <w:rPr>
          <w:rFonts w:eastAsia="Times New Roman"/>
        </w:rPr>
        <w:t>npj</w:t>
      </w:r>
      <w:proofErr w:type="spellEnd"/>
      <w:r w:rsidR="000F37B9" w:rsidRPr="00AA6C13">
        <w:rPr>
          <w:rFonts w:eastAsia="Times New Roman"/>
        </w:rPr>
        <w:t xml:space="preserve"> Digit. Med. 3, 53. </w:t>
      </w:r>
    </w:p>
    <w:p w14:paraId="6B890EA1" w14:textId="4B5A1867" w:rsidR="002E2071" w:rsidRPr="00AA6C13" w:rsidRDefault="005B3374" w:rsidP="00AE14C7">
      <w:pPr>
        <w:spacing w:before="0"/>
        <w:ind w:left="3400"/>
        <w:rPr>
          <w:rFonts w:eastAsia="Times New Roman"/>
        </w:rPr>
      </w:pPr>
      <w:hyperlink r:id="rId100" w:history="1">
        <w:r w:rsidRPr="00AA6C13">
          <w:rPr>
            <w:rStyle w:val="Hyperlink"/>
            <w:rFonts w:ascii="Arial" w:hAnsi="Arial" w:cs="Arial"/>
            <w:sz w:val="18"/>
            <w:szCs w:val="18"/>
          </w:rPr>
          <w:t>https://doi.org/10.1038/s41746-020-0262-2</w:t>
        </w:r>
      </w:hyperlink>
    </w:p>
    <w:p w14:paraId="62CB4DC3" w14:textId="4AC6821B" w:rsidR="002267A8" w:rsidRPr="00AA6C13" w:rsidRDefault="00855DF9">
      <w:pPr>
        <w:ind w:left="3400" w:hanging="3400"/>
        <w:rPr>
          <w:rFonts w:eastAsia="Times New Roman"/>
        </w:rPr>
      </w:pPr>
      <w:r w:rsidRPr="00AA6C13">
        <w:rPr>
          <w:rFonts w:eastAsia="Times New Roman"/>
        </w:rPr>
        <w:t>[</w:t>
      </w:r>
      <w:r w:rsidRPr="00AA6C13">
        <w:t>b-Hedström et al., 2022]</w:t>
      </w:r>
      <w:r w:rsidR="00BE78BA" w:rsidRPr="00AA6C13">
        <w:tab/>
      </w:r>
      <w:r w:rsidR="003F0A5A" w:rsidRPr="00AA6C13">
        <w:tab/>
      </w:r>
      <w:r w:rsidR="000F37B9" w:rsidRPr="00AA6C13">
        <w:rPr>
          <w:rFonts w:eastAsia="Times New Roman"/>
        </w:rPr>
        <w:t xml:space="preserve">Hedström, A., Weber, L., </w:t>
      </w:r>
      <w:proofErr w:type="spellStart"/>
      <w:r w:rsidR="000F37B9" w:rsidRPr="00AA6C13">
        <w:rPr>
          <w:rFonts w:eastAsia="Times New Roman"/>
        </w:rPr>
        <w:t>Bareeva</w:t>
      </w:r>
      <w:proofErr w:type="spellEnd"/>
      <w:r w:rsidR="000F37B9" w:rsidRPr="00AA6C13">
        <w:rPr>
          <w:rFonts w:eastAsia="Times New Roman"/>
        </w:rPr>
        <w:t xml:space="preserve">, D., </w:t>
      </w:r>
      <w:proofErr w:type="spellStart"/>
      <w:r w:rsidR="001E3934" w:rsidRPr="00AA6C13">
        <w:rPr>
          <w:rFonts w:eastAsia="Times New Roman"/>
        </w:rPr>
        <w:t>Krakowczyk</w:t>
      </w:r>
      <w:proofErr w:type="spellEnd"/>
      <w:r w:rsidR="001E3934" w:rsidRPr="00AA6C13">
        <w:rPr>
          <w:rFonts w:eastAsia="Times New Roman"/>
        </w:rPr>
        <w:t xml:space="preserve">, D., </w:t>
      </w:r>
      <w:r w:rsidR="000F37B9" w:rsidRPr="00AA6C13">
        <w:rPr>
          <w:rFonts w:eastAsia="Times New Roman"/>
        </w:rPr>
        <w:t xml:space="preserve">Motzkus, F., Samek, W., </w:t>
      </w:r>
      <w:proofErr w:type="spellStart"/>
      <w:r w:rsidR="000F37B9" w:rsidRPr="00AA6C13">
        <w:rPr>
          <w:rFonts w:eastAsia="Times New Roman"/>
        </w:rPr>
        <w:t>Lapuschkin</w:t>
      </w:r>
      <w:proofErr w:type="spellEnd"/>
      <w:r w:rsidR="000F37B9" w:rsidRPr="00AA6C13">
        <w:rPr>
          <w:rFonts w:eastAsia="Times New Roman"/>
        </w:rPr>
        <w:t xml:space="preserve">, S., </w:t>
      </w:r>
      <w:r w:rsidR="002A58D8" w:rsidRPr="00AA6C13">
        <w:rPr>
          <w:rFonts w:eastAsia="Times New Roman"/>
        </w:rPr>
        <w:t>and</w:t>
      </w:r>
      <w:r w:rsidR="000F37B9" w:rsidRPr="00AA6C13">
        <w:rPr>
          <w:rFonts w:eastAsia="Times New Roman"/>
        </w:rPr>
        <w:t xml:space="preserve"> Höhne, M. M</w:t>
      </w:r>
      <w:r w:rsidR="00565462" w:rsidRPr="00AA6C13">
        <w:rPr>
          <w:rFonts w:eastAsia="Times New Roman"/>
        </w:rPr>
        <w:t>-</w:t>
      </w:r>
      <w:r w:rsidR="000F37B9" w:rsidRPr="00AA6C13">
        <w:rPr>
          <w:rFonts w:eastAsia="Times New Roman"/>
        </w:rPr>
        <w:t>C. (2022)</w:t>
      </w:r>
      <w:r w:rsidR="00556950" w:rsidRPr="00AA6C13">
        <w:rPr>
          <w:rFonts w:eastAsia="Times New Roman"/>
        </w:rPr>
        <w:t>,</w:t>
      </w:r>
      <w:r w:rsidR="000F37B9" w:rsidRPr="00AA6C13">
        <w:rPr>
          <w:rFonts w:eastAsia="Times New Roman"/>
        </w:rPr>
        <w:t xml:space="preserve"> </w:t>
      </w:r>
      <w:proofErr w:type="spellStart"/>
      <w:r w:rsidR="000F37B9" w:rsidRPr="00AA6C13">
        <w:rPr>
          <w:rFonts w:eastAsia="Times New Roman"/>
          <w:i/>
          <w:iCs/>
        </w:rPr>
        <w:t>Quantus</w:t>
      </w:r>
      <w:proofErr w:type="spellEnd"/>
      <w:r w:rsidR="000F37B9" w:rsidRPr="00AA6C13">
        <w:rPr>
          <w:rFonts w:eastAsia="Times New Roman"/>
          <w:i/>
          <w:iCs/>
        </w:rPr>
        <w:t xml:space="preserve">: </w:t>
      </w:r>
      <w:r w:rsidR="0018106B" w:rsidRPr="00AA6C13">
        <w:rPr>
          <w:rFonts w:eastAsia="Times New Roman"/>
          <w:i/>
          <w:iCs/>
        </w:rPr>
        <w:t>A</w:t>
      </w:r>
      <w:r w:rsidR="000F37B9" w:rsidRPr="00AA6C13">
        <w:rPr>
          <w:rFonts w:eastAsia="Times New Roman"/>
          <w:i/>
          <w:iCs/>
        </w:rPr>
        <w:t>n explainable AI toolkit for responsible evaluation of neural network explanations</w:t>
      </w:r>
      <w:r w:rsidR="00141776" w:rsidRPr="00AA6C13">
        <w:rPr>
          <w:rFonts w:eastAsia="Times New Roman"/>
          <w:i/>
          <w:iCs/>
        </w:rPr>
        <w:t xml:space="preserve"> and beyond</w:t>
      </w:r>
      <w:r w:rsidR="000F37B9" w:rsidRPr="00AA6C13">
        <w:rPr>
          <w:rFonts w:eastAsia="Times New Roman"/>
        </w:rPr>
        <w:t xml:space="preserve">. </w:t>
      </w:r>
      <w:proofErr w:type="spellStart"/>
      <w:r w:rsidR="000F37B9" w:rsidRPr="00AA6C13">
        <w:rPr>
          <w:rFonts w:eastAsia="Times New Roman"/>
          <w:iCs/>
        </w:rPr>
        <w:t>arXiv</w:t>
      </w:r>
      <w:proofErr w:type="spellEnd"/>
      <w:r w:rsidR="000F37B9" w:rsidRPr="00AA6C13">
        <w:rPr>
          <w:rFonts w:eastAsia="Times New Roman"/>
          <w:iCs/>
        </w:rPr>
        <w:t xml:space="preserve"> preprint </w:t>
      </w:r>
      <w:r w:rsidR="000F37B9" w:rsidRPr="00AA6C13">
        <w:rPr>
          <w:rFonts w:eastAsia="Times New Roman"/>
        </w:rPr>
        <w:t xml:space="preserve">arXiv:2202.06861. </w:t>
      </w:r>
    </w:p>
    <w:p w14:paraId="2B43A5D8" w14:textId="5DF3A494" w:rsidR="002E2071" w:rsidRPr="00AA6C13" w:rsidRDefault="00894E0C" w:rsidP="00AE14C7">
      <w:pPr>
        <w:spacing w:before="0"/>
        <w:ind w:left="3400"/>
        <w:rPr>
          <w:rFonts w:eastAsia="Times New Roman"/>
        </w:rPr>
      </w:pPr>
      <w:hyperlink r:id="rId101" w:history="1">
        <w:r w:rsidRPr="00AA6C13">
          <w:rPr>
            <w:rStyle w:val="Hyperlink"/>
            <w:rFonts w:ascii="Arial" w:hAnsi="Arial" w:cs="Arial"/>
            <w:sz w:val="18"/>
            <w:szCs w:val="18"/>
          </w:rPr>
          <w:t>https://arxiv.org/abs/2202.06861</w:t>
        </w:r>
      </w:hyperlink>
    </w:p>
    <w:p w14:paraId="51886AC3" w14:textId="36B4F71A" w:rsidR="002E2071" w:rsidRPr="00AA6C13" w:rsidRDefault="009361E0" w:rsidP="0006232B">
      <w:pPr>
        <w:ind w:left="3402" w:hanging="3400"/>
        <w:rPr>
          <w:rFonts w:eastAsia="Times New Roman"/>
        </w:rPr>
      </w:pPr>
      <w:r w:rsidRPr="00AA6C13">
        <w:t>[</w:t>
      </w:r>
      <w:r w:rsidR="00E61E05" w:rsidRPr="00AA6C13">
        <w:t>b-Hernandez-B</w:t>
      </w:r>
      <w:r w:rsidR="006016F7" w:rsidRPr="00AA6C13">
        <w:t>.</w:t>
      </w:r>
      <w:r w:rsidR="00E61E05" w:rsidRPr="00AA6C13">
        <w:t xml:space="preserve"> et at., 2020</w:t>
      </w:r>
      <w:r w:rsidR="00046A8E" w:rsidRPr="00AA6C13">
        <w:t>]</w:t>
      </w:r>
      <w:r w:rsidR="003477A2" w:rsidRPr="00AA6C13">
        <w:t xml:space="preserve"> </w:t>
      </w:r>
      <w:r w:rsidR="003C5F2C" w:rsidRPr="00AA6C13">
        <w:tab/>
      </w:r>
      <w:r w:rsidR="000F37B9" w:rsidRPr="00AA6C13">
        <w:rPr>
          <w:rFonts w:eastAsia="Times New Roman"/>
        </w:rPr>
        <w:t>Hernandez-</w:t>
      </w:r>
      <w:proofErr w:type="spellStart"/>
      <w:r w:rsidR="000F37B9" w:rsidRPr="00AA6C13">
        <w:rPr>
          <w:rFonts w:eastAsia="Times New Roman"/>
        </w:rPr>
        <w:t>Boussard</w:t>
      </w:r>
      <w:proofErr w:type="spellEnd"/>
      <w:r w:rsidR="000F37B9" w:rsidRPr="00AA6C13">
        <w:rPr>
          <w:rFonts w:eastAsia="Times New Roman"/>
        </w:rPr>
        <w:t>, T., Bozkurt, S., Ioannidis, J. P.</w:t>
      </w:r>
      <w:r w:rsidR="002F6159" w:rsidRPr="00AA6C13">
        <w:rPr>
          <w:rFonts w:eastAsia="Times New Roman"/>
        </w:rPr>
        <w:t xml:space="preserve"> A.</w:t>
      </w:r>
      <w:r w:rsidR="000F37B9" w:rsidRPr="00AA6C13">
        <w:rPr>
          <w:rFonts w:eastAsia="Times New Roman"/>
        </w:rPr>
        <w:t xml:space="preserve">, </w:t>
      </w:r>
      <w:r w:rsidR="00F11223" w:rsidRPr="00AA6C13">
        <w:rPr>
          <w:rFonts w:eastAsia="Times New Roman"/>
        </w:rPr>
        <w:t>and</w:t>
      </w:r>
      <w:r w:rsidR="000F37B9" w:rsidRPr="00AA6C13">
        <w:rPr>
          <w:rFonts w:eastAsia="Times New Roman"/>
        </w:rPr>
        <w:t xml:space="preserve"> Shah, N. H. (2020)</w:t>
      </w:r>
      <w:r w:rsidR="00376C68" w:rsidRPr="00AA6C13">
        <w:rPr>
          <w:rFonts w:eastAsia="Times New Roman"/>
        </w:rPr>
        <w:t>,</w:t>
      </w:r>
      <w:r w:rsidR="000F37B9" w:rsidRPr="00AA6C13">
        <w:rPr>
          <w:rFonts w:eastAsia="Times New Roman"/>
        </w:rPr>
        <w:t xml:space="preserve"> </w:t>
      </w:r>
      <w:r w:rsidR="000F37B9" w:rsidRPr="00AA6C13">
        <w:rPr>
          <w:rFonts w:eastAsia="Times New Roman"/>
          <w:i/>
          <w:iCs/>
        </w:rPr>
        <w:t>MINIMAR (</w:t>
      </w:r>
      <w:proofErr w:type="spellStart"/>
      <w:r w:rsidR="000F37B9" w:rsidRPr="00AA6C13">
        <w:rPr>
          <w:rFonts w:eastAsia="Times New Roman"/>
          <w:i/>
          <w:iCs/>
        </w:rPr>
        <w:t>MINimum</w:t>
      </w:r>
      <w:proofErr w:type="spellEnd"/>
      <w:r w:rsidR="000F37B9" w:rsidRPr="00AA6C13">
        <w:rPr>
          <w:rFonts w:eastAsia="Times New Roman"/>
          <w:i/>
          <w:iCs/>
        </w:rPr>
        <w:t xml:space="preserve"> Information for Medical AI Reporting): Developing reporting standards for artificial intelligence in health care</w:t>
      </w:r>
      <w:r w:rsidR="000F37B9" w:rsidRPr="00AA6C13">
        <w:rPr>
          <w:rFonts w:eastAsia="Times New Roman"/>
        </w:rPr>
        <w:t xml:space="preserve">. </w:t>
      </w:r>
      <w:r w:rsidR="000F37B9" w:rsidRPr="00AA6C13">
        <w:rPr>
          <w:rFonts w:eastAsia="Times New Roman"/>
          <w:iCs/>
        </w:rPr>
        <w:t>Journal of the American Medical Informatics Association</w:t>
      </w:r>
      <w:r w:rsidR="000F37B9" w:rsidRPr="00AA6C13">
        <w:rPr>
          <w:rFonts w:eastAsia="Times New Roman"/>
        </w:rPr>
        <w:t xml:space="preserve">, 27(12). </w:t>
      </w:r>
      <w:hyperlink r:id="rId102" w:history="1">
        <w:r w:rsidR="009171C4" w:rsidRPr="00AA6C13">
          <w:rPr>
            <w:rStyle w:val="Hyperlink"/>
            <w:rFonts w:ascii="Arial" w:hAnsi="Arial" w:cs="Arial"/>
            <w:sz w:val="18"/>
            <w:szCs w:val="18"/>
          </w:rPr>
          <w:t>https://doi.org/10.1093/jamia/ocaa088</w:t>
        </w:r>
      </w:hyperlink>
    </w:p>
    <w:p w14:paraId="77DAAE58" w14:textId="2BCCE2DF" w:rsidR="00DC1BCC" w:rsidRPr="00AA6C13" w:rsidRDefault="00DC1BCC" w:rsidP="0006232B">
      <w:pPr>
        <w:ind w:left="3400" w:hanging="3400"/>
      </w:pPr>
      <w:r w:rsidRPr="00AA6C13">
        <w:rPr>
          <w:lang w:bidi="ar-DZ"/>
        </w:rPr>
        <w:t>[b-IMDRF</w:t>
      </w:r>
      <w:r w:rsidR="009E3206" w:rsidRPr="00AA6C13">
        <w:rPr>
          <w:lang w:bidi="ar-DZ"/>
        </w:rPr>
        <w:t>]</w:t>
      </w:r>
      <w:r w:rsidR="00F47357" w:rsidRPr="00AA6C13">
        <w:rPr>
          <w:lang w:bidi="ar-DZ"/>
        </w:rPr>
        <w:tab/>
      </w:r>
      <w:r w:rsidR="008E02D5" w:rsidRPr="00AA6C13">
        <w:rPr>
          <w:lang w:bidi="ar-DZ"/>
        </w:rPr>
        <w:tab/>
      </w:r>
      <w:r w:rsidR="00AE14C7" w:rsidRPr="00AA6C13">
        <w:rPr>
          <w:lang w:bidi="ar-DZ"/>
        </w:rPr>
        <w:tab/>
      </w:r>
      <w:r w:rsidR="00AE14C7" w:rsidRPr="00AA6C13">
        <w:rPr>
          <w:lang w:bidi="ar-DZ"/>
        </w:rPr>
        <w:tab/>
      </w:r>
      <w:r w:rsidR="002F071E" w:rsidRPr="00AA6C13">
        <w:rPr>
          <w:lang w:bidi="ar-DZ"/>
        </w:rPr>
        <w:t>IMDRF/SaMD</w:t>
      </w:r>
      <w:r w:rsidR="00625BB9" w:rsidRPr="00AA6C13">
        <w:rPr>
          <w:lang w:bidi="ar-DZ"/>
        </w:rPr>
        <w:t xml:space="preserve"> WG/N41FINAL</w:t>
      </w:r>
      <w:r w:rsidR="00887453" w:rsidRPr="00AA6C13">
        <w:rPr>
          <w:lang w:bidi="ar-DZ"/>
        </w:rPr>
        <w:t>:2017</w:t>
      </w:r>
      <w:r w:rsidR="00855DEA" w:rsidRPr="00AA6C13">
        <w:rPr>
          <w:lang w:bidi="ar-DZ"/>
        </w:rPr>
        <w:t xml:space="preserve">, </w:t>
      </w:r>
      <w:r w:rsidR="00A807B6" w:rsidRPr="00AA6C13">
        <w:rPr>
          <w:i/>
          <w:iCs/>
          <w:lang w:bidi="ar-DZ"/>
        </w:rPr>
        <w:t>Software as a Medical Device</w:t>
      </w:r>
      <w:r w:rsidR="00851E0E" w:rsidRPr="00AA6C13">
        <w:rPr>
          <w:i/>
          <w:iCs/>
          <w:lang w:bidi="ar-DZ"/>
        </w:rPr>
        <w:t xml:space="preserve"> (SaMD)</w:t>
      </w:r>
      <w:r w:rsidR="002C779C" w:rsidRPr="00AA6C13">
        <w:rPr>
          <w:i/>
          <w:iCs/>
          <w:lang w:bidi="ar-DZ"/>
        </w:rPr>
        <w:t>: Clinical Evaluation</w:t>
      </w:r>
      <w:r w:rsidR="005754DC" w:rsidRPr="00AA6C13">
        <w:rPr>
          <w:lang w:bidi="ar-DZ"/>
        </w:rPr>
        <w:t xml:space="preserve">. </w:t>
      </w:r>
      <w:r w:rsidR="00F5674C" w:rsidRPr="00AA6C13">
        <w:rPr>
          <w:lang w:bidi="ar-DZ"/>
        </w:rPr>
        <w:t>Software as a Medical Device Working Group.</w:t>
      </w:r>
      <w:r w:rsidR="00A07494" w:rsidRPr="00AA6C13">
        <w:rPr>
          <w:lang w:bidi="ar-DZ"/>
        </w:rPr>
        <w:t xml:space="preserve"> </w:t>
      </w:r>
      <w:hyperlink r:id="rId103" w:history="1">
        <w:r w:rsidR="00A07494" w:rsidRPr="00AA6C13">
          <w:rPr>
            <w:rStyle w:val="Hyperlink"/>
            <w:rFonts w:ascii="Arial" w:hAnsi="Arial" w:cs="Arial"/>
            <w:sz w:val="18"/>
            <w:szCs w:val="18"/>
          </w:rPr>
          <w:t>https://www.imdrf.org/sites/default/files/docs/imdrf/final/technical/imdrf-tech-170921-samd-n41-clinical-evaluation_1.pdf</w:t>
        </w:r>
      </w:hyperlink>
    </w:p>
    <w:p w14:paraId="64A0F611" w14:textId="714AFFB5" w:rsidR="00BF38EE" w:rsidRPr="00AA6C13" w:rsidRDefault="0093339C">
      <w:pPr>
        <w:ind w:left="3400" w:hanging="3400"/>
        <w:rPr>
          <w:rFonts w:eastAsia="Times New Roman"/>
          <w:lang w:eastAsia="de-DE"/>
        </w:rPr>
      </w:pPr>
      <w:r w:rsidRPr="00AA6C13">
        <w:t>[b-Juuti et al, 2019</w:t>
      </w:r>
      <w:r w:rsidR="00117258" w:rsidRPr="00AA6C13">
        <w:t>]</w:t>
      </w:r>
      <w:r w:rsidR="0016529F" w:rsidRPr="00AA6C13">
        <w:tab/>
      </w:r>
      <w:r w:rsidR="004C2981" w:rsidRPr="00AA6C13">
        <w:tab/>
      </w:r>
      <w:r w:rsidR="000F37B9" w:rsidRPr="00AA6C13">
        <w:rPr>
          <w:rFonts w:eastAsia="Times New Roman"/>
          <w:lang w:eastAsia="de-DE"/>
        </w:rPr>
        <w:t xml:space="preserve">Juuti, M., </w:t>
      </w:r>
      <w:proofErr w:type="spellStart"/>
      <w:r w:rsidR="000F37B9" w:rsidRPr="00AA6C13">
        <w:rPr>
          <w:rFonts w:eastAsia="Times New Roman"/>
          <w:lang w:eastAsia="de-DE"/>
        </w:rPr>
        <w:t>Szyller</w:t>
      </w:r>
      <w:proofErr w:type="spellEnd"/>
      <w:r w:rsidR="000F37B9" w:rsidRPr="00AA6C13">
        <w:rPr>
          <w:rFonts w:eastAsia="Times New Roman"/>
          <w:lang w:eastAsia="de-DE"/>
        </w:rPr>
        <w:t xml:space="preserve">, S., Marchal, S., </w:t>
      </w:r>
      <w:r w:rsidR="008D79BF" w:rsidRPr="00AA6C13">
        <w:rPr>
          <w:rFonts w:eastAsia="Times New Roman"/>
          <w:lang w:eastAsia="de-DE"/>
        </w:rPr>
        <w:t>and</w:t>
      </w:r>
      <w:r w:rsidR="000F37B9" w:rsidRPr="00AA6C13">
        <w:rPr>
          <w:rFonts w:eastAsia="Times New Roman"/>
          <w:lang w:eastAsia="de-DE"/>
        </w:rPr>
        <w:t xml:space="preserve"> Asokan, N. (2019)</w:t>
      </w:r>
      <w:r w:rsidR="006705E7" w:rsidRPr="00AA6C13">
        <w:rPr>
          <w:rFonts w:eastAsia="Times New Roman"/>
          <w:lang w:eastAsia="de-DE"/>
        </w:rPr>
        <w:t>,</w:t>
      </w:r>
      <w:r w:rsidR="000F37B9" w:rsidRPr="00AA6C13">
        <w:rPr>
          <w:rFonts w:eastAsia="Times New Roman"/>
          <w:lang w:eastAsia="de-DE"/>
        </w:rPr>
        <w:t xml:space="preserve"> </w:t>
      </w:r>
      <w:r w:rsidR="000F37B9" w:rsidRPr="00AA6C13">
        <w:rPr>
          <w:rFonts w:eastAsia="Times New Roman"/>
          <w:i/>
          <w:iCs/>
          <w:lang w:eastAsia="de-DE"/>
        </w:rPr>
        <w:t xml:space="preserve">PRADA: </w:t>
      </w:r>
      <w:r w:rsidR="00AE0497" w:rsidRPr="00AA6C13">
        <w:rPr>
          <w:rFonts w:eastAsia="Times New Roman"/>
          <w:i/>
          <w:iCs/>
          <w:lang w:eastAsia="de-DE"/>
        </w:rPr>
        <w:t>P</w:t>
      </w:r>
      <w:r w:rsidR="000F37B9" w:rsidRPr="00AA6C13">
        <w:rPr>
          <w:rFonts w:eastAsia="Times New Roman"/>
          <w:i/>
          <w:iCs/>
          <w:lang w:eastAsia="de-DE"/>
        </w:rPr>
        <w:t>rotecting against DNN model stealing attacks</w:t>
      </w:r>
      <w:r w:rsidR="000F37B9" w:rsidRPr="00AA6C13">
        <w:rPr>
          <w:rFonts w:eastAsia="Times New Roman"/>
          <w:lang w:eastAsia="de-DE"/>
        </w:rPr>
        <w:t>. 2019 IEEE European Symposium on Security and Privacy (</w:t>
      </w:r>
      <w:proofErr w:type="spellStart"/>
      <w:r w:rsidR="000F37B9" w:rsidRPr="00AA6C13">
        <w:rPr>
          <w:rFonts w:eastAsia="Times New Roman"/>
          <w:lang w:eastAsia="de-DE"/>
        </w:rPr>
        <w:t>EuroS&amp;P</w:t>
      </w:r>
      <w:proofErr w:type="spellEnd"/>
      <w:r w:rsidR="000F37B9" w:rsidRPr="00AA6C13">
        <w:rPr>
          <w:rFonts w:eastAsia="Times New Roman"/>
          <w:lang w:eastAsia="de-DE"/>
        </w:rPr>
        <w:t xml:space="preserve">). IEEE. </w:t>
      </w:r>
    </w:p>
    <w:p w14:paraId="330B860F" w14:textId="57F2054E" w:rsidR="002E2071" w:rsidRPr="00AA6C13" w:rsidRDefault="00D33B38" w:rsidP="00AE14C7">
      <w:pPr>
        <w:spacing w:before="0"/>
        <w:ind w:left="3400"/>
        <w:rPr>
          <w:rFonts w:eastAsia="Times New Roman"/>
          <w:lang w:eastAsia="de-DE"/>
        </w:rPr>
      </w:pPr>
      <w:hyperlink r:id="rId104" w:history="1">
        <w:r w:rsidRPr="00AA6C13">
          <w:rPr>
            <w:rStyle w:val="Hyperlink"/>
            <w:rFonts w:ascii="Arial" w:hAnsi="Arial" w:cs="Arial"/>
            <w:sz w:val="18"/>
            <w:szCs w:val="18"/>
          </w:rPr>
          <w:t>https://doi.org/10.1109/EuroSP.2019.00044</w:t>
        </w:r>
      </w:hyperlink>
    </w:p>
    <w:p w14:paraId="403A3639" w14:textId="3E2C8D10" w:rsidR="0000161B" w:rsidRPr="00AA6C13" w:rsidRDefault="00C60090">
      <w:pPr>
        <w:ind w:left="3400" w:hanging="3400"/>
        <w:rPr>
          <w:rFonts w:eastAsia="Times New Roman"/>
        </w:rPr>
      </w:pPr>
      <w:r w:rsidRPr="00AA6C13">
        <w:rPr>
          <w:rFonts w:eastAsia="Times New Roman"/>
        </w:rPr>
        <w:lastRenderedPageBreak/>
        <w:t>[</w:t>
      </w:r>
      <w:r w:rsidRPr="00AA6C13">
        <w:t>b-Kim et al., 2020]</w:t>
      </w:r>
      <w:r w:rsidR="00EC4F28" w:rsidRPr="00AA6C13">
        <w:tab/>
      </w:r>
      <w:r w:rsidR="00F62127" w:rsidRPr="00AA6C13">
        <w:tab/>
      </w:r>
      <w:r w:rsidR="000F37B9" w:rsidRPr="00AA6C13">
        <w:rPr>
          <w:rFonts w:eastAsia="Times New Roman"/>
        </w:rPr>
        <w:t xml:space="preserve">Kim, H. E., Kim, H. H., Han, B. K., Kim, K. H., Han, K., Nam, H., </w:t>
      </w:r>
      <w:r w:rsidR="00265C6E" w:rsidRPr="00AA6C13">
        <w:rPr>
          <w:rFonts w:eastAsia="Times New Roman"/>
        </w:rPr>
        <w:t>Lee, E. H.</w:t>
      </w:r>
      <w:r w:rsidR="004F171B" w:rsidRPr="00AA6C13">
        <w:rPr>
          <w:rFonts w:eastAsia="Times New Roman"/>
        </w:rPr>
        <w:t>,</w:t>
      </w:r>
      <w:r w:rsidR="000F37B9" w:rsidRPr="00AA6C13">
        <w:rPr>
          <w:rFonts w:eastAsia="Times New Roman"/>
        </w:rPr>
        <w:t xml:space="preserve"> </w:t>
      </w:r>
      <w:r w:rsidR="00265C6E" w:rsidRPr="00AA6C13">
        <w:rPr>
          <w:rFonts w:eastAsia="Times New Roman"/>
        </w:rPr>
        <w:t>and</w:t>
      </w:r>
      <w:r w:rsidR="000F37B9" w:rsidRPr="00AA6C13">
        <w:rPr>
          <w:rFonts w:eastAsia="Times New Roman"/>
        </w:rPr>
        <w:t xml:space="preserve"> Kim, E. K. (2020)</w:t>
      </w:r>
      <w:r w:rsidR="00EA7826" w:rsidRPr="00AA6C13">
        <w:rPr>
          <w:rFonts w:eastAsia="Times New Roman"/>
        </w:rPr>
        <w:t>,</w:t>
      </w:r>
      <w:r w:rsidR="000F37B9" w:rsidRPr="00AA6C13">
        <w:rPr>
          <w:rFonts w:eastAsia="Times New Roman"/>
        </w:rPr>
        <w:t xml:space="preserve"> </w:t>
      </w:r>
      <w:r w:rsidR="000F37B9" w:rsidRPr="00AA6C13">
        <w:rPr>
          <w:rFonts w:eastAsia="Times New Roman"/>
          <w:i/>
          <w:iCs/>
        </w:rPr>
        <w:t xml:space="preserve">Changes in cancer detection and false-positive recall in mammography using artificial intelligence: a retrospective, </w:t>
      </w:r>
      <w:proofErr w:type="spellStart"/>
      <w:r w:rsidR="000F37B9" w:rsidRPr="00AA6C13">
        <w:rPr>
          <w:rFonts w:eastAsia="Times New Roman"/>
          <w:i/>
          <w:iCs/>
        </w:rPr>
        <w:t>multireader</w:t>
      </w:r>
      <w:proofErr w:type="spellEnd"/>
      <w:r w:rsidR="000F37B9" w:rsidRPr="00AA6C13">
        <w:rPr>
          <w:rFonts w:eastAsia="Times New Roman"/>
          <w:i/>
          <w:iCs/>
        </w:rPr>
        <w:t xml:space="preserve"> study</w:t>
      </w:r>
      <w:r w:rsidR="000F37B9" w:rsidRPr="00AA6C13">
        <w:rPr>
          <w:rFonts w:eastAsia="Times New Roman"/>
        </w:rPr>
        <w:t xml:space="preserve">. </w:t>
      </w:r>
      <w:r w:rsidR="000F37B9" w:rsidRPr="00AA6C13">
        <w:rPr>
          <w:rFonts w:eastAsia="Times New Roman"/>
          <w:iCs/>
        </w:rPr>
        <w:t>The Lancet Digital Health</w:t>
      </w:r>
      <w:r w:rsidR="000F37B9" w:rsidRPr="00AA6C13">
        <w:rPr>
          <w:rFonts w:eastAsia="Times New Roman"/>
        </w:rPr>
        <w:t xml:space="preserve">. </w:t>
      </w:r>
    </w:p>
    <w:p w14:paraId="0F239074" w14:textId="1B6E5BB1" w:rsidR="002E2071" w:rsidRPr="00AA6C13" w:rsidRDefault="008A47B7" w:rsidP="00AE14C7">
      <w:pPr>
        <w:spacing w:before="0"/>
        <w:ind w:left="3400"/>
        <w:rPr>
          <w:rFonts w:eastAsia="Times New Roman"/>
        </w:rPr>
      </w:pPr>
      <w:hyperlink r:id="rId105" w:history="1">
        <w:r w:rsidRPr="00AA6C13">
          <w:rPr>
            <w:rStyle w:val="Hyperlink"/>
            <w:rFonts w:ascii="Arial" w:hAnsi="Arial" w:cs="Arial"/>
            <w:sz w:val="18"/>
            <w:szCs w:val="18"/>
          </w:rPr>
          <w:t>https://doi.org/10.1016/S2589-7500(20)30003-0</w:t>
        </w:r>
      </w:hyperlink>
    </w:p>
    <w:p w14:paraId="2E80BE36" w14:textId="199681EE" w:rsidR="00EE7865" w:rsidRPr="00AA6C13" w:rsidRDefault="00E72642">
      <w:pPr>
        <w:ind w:left="3400" w:hanging="3400"/>
        <w:rPr>
          <w:rFonts w:eastAsia="Times New Roman"/>
        </w:rPr>
      </w:pPr>
      <w:r w:rsidRPr="00AA6C13">
        <w:rPr>
          <w:rFonts w:eastAsia="Times New Roman"/>
        </w:rPr>
        <w:t>[</w:t>
      </w:r>
      <w:r w:rsidRPr="00AA6C13">
        <w:t>b-Liu X</w:t>
      </w:r>
      <w:r w:rsidR="00244B1F" w:rsidRPr="00AA6C13">
        <w:t>.</w:t>
      </w:r>
      <w:r w:rsidRPr="00AA6C13">
        <w:t xml:space="preserve"> et al, 2019]</w:t>
      </w:r>
      <w:r w:rsidR="0099559A" w:rsidRPr="00AA6C13">
        <w:tab/>
      </w:r>
      <w:r w:rsidR="009343C8" w:rsidRPr="00AA6C13">
        <w:tab/>
      </w:r>
      <w:r w:rsidR="000F37B9" w:rsidRPr="00AA6C13">
        <w:rPr>
          <w:rFonts w:eastAsia="Times New Roman"/>
        </w:rPr>
        <w:t xml:space="preserve">Liu, X., </w:t>
      </w:r>
      <w:proofErr w:type="spellStart"/>
      <w:r w:rsidR="000F37B9" w:rsidRPr="00AA6C13">
        <w:rPr>
          <w:rFonts w:eastAsia="Times New Roman"/>
        </w:rPr>
        <w:t>Faes</w:t>
      </w:r>
      <w:proofErr w:type="spellEnd"/>
      <w:r w:rsidR="000F37B9" w:rsidRPr="00AA6C13">
        <w:rPr>
          <w:rFonts w:eastAsia="Times New Roman"/>
        </w:rPr>
        <w:t xml:space="preserve">, L., Calvert, M. J., </w:t>
      </w:r>
      <w:r w:rsidR="004004EC" w:rsidRPr="00AA6C13">
        <w:rPr>
          <w:rFonts w:eastAsia="Times New Roman"/>
        </w:rPr>
        <w:t>and</w:t>
      </w:r>
      <w:r w:rsidR="000F37B9" w:rsidRPr="00AA6C13">
        <w:rPr>
          <w:rFonts w:eastAsia="Times New Roman"/>
        </w:rPr>
        <w:t xml:space="preserve"> Denniston, A. K. (2019)</w:t>
      </w:r>
      <w:r w:rsidR="00FC18B1" w:rsidRPr="00AA6C13">
        <w:rPr>
          <w:rFonts w:eastAsia="Times New Roman"/>
        </w:rPr>
        <w:t>,</w:t>
      </w:r>
      <w:r w:rsidR="000F37B9" w:rsidRPr="00AA6C13">
        <w:rPr>
          <w:rFonts w:eastAsia="Times New Roman"/>
        </w:rPr>
        <w:t xml:space="preserve"> </w:t>
      </w:r>
      <w:r w:rsidR="000F37B9" w:rsidRPr="00AA6C13">
        <w:rPr>
          <w:rFonts w:eastAsia="Times New Roman"/>
          <w:i/>
          <w:iCs/>
        </w:rPr>
        <w:t>Extension of the CONSORT and SPIRIT statements</w:t>
      </w:r>
      <w:r w:rsidR="000F37B9" w:rsidRPr="00AA6C13">
        <w:rPr>
          <w:rFonts w:eastAsia="Times New Roman"/>
        </w:rPr>
        <w:t xml:space="preserve">. The Lancet, 394(10205), 1225. </w:t>
      </w:r>
    </w:p>
    <w:p w14:paraId="3969B653" w14:textId="7D7A2BD3" w:rsidR="002E2071" w:rsidRPr="00AA6C13" w:rsidRDefault="0000161B" w:rsidP="00AE14C7">
      <w:pPr>
        <w:spacing w:before="0"/>
        <w:ind w:left="3400"/>
        <w:rPr>
          <w:rFonts w:eastAsia="Times New Roman"/>
        </w:rPr>
      </w:pPr>
      <w:hyperlink r:id="rId106" w:history="1">
        <w:r w:rsidRPr="00AA6C13">
          <w:rPr>
            <w:rStyle w:val="Hyperlink"/>
            <w:rFonts w:ascii="Arial" w:hAnsi="Arial" w:cs="Arial"/>
            <w:sz w:val="18"/>
            <w:szCs w:val="18"/>
          </w:rPr>
          <w:t>https://doi.org/10.1016/S0140-6736(19)31819-7</w:t>
        </w:r>
      </w:hyperlink>
    </w:p>
    <w:p w14:paraId="753305A4" w14:textId="7E10F8AE" w:rsidR="002E2071" w:rsidRPr="00AA6C13" w:rsidRDefault="00972C59" w:rsidP="0006232B">
      <w:pPr>
        <w:ind w:left="3400" w:hanging="3400"/>
        <w:rPr>
          <w:rFonts w:eastAsia="Times New Roman"/>
          <w:lang w:eastAsia="de-DE"/>
        </w:rPr>
      </w:pPr>
      <w:r w:rsidRPr="00AA6C13">
        <w:rPr>
          <w:rFonts w:eastAsia="Times New Roman"/>
          <w:lang w:eastAsia="de-DE"/>
        </w:rPr>
        <w:t>[b-Liu et al., 2019]</w:t>
      </w:r>
      <w:r w:rsidR="00950FE1" w:rsidRPr="00AA6C13">
        <w:rPr>
          <w:rFonts w:eastAsia="Times New Roman"/>
          <w:lang w:eastAsia="de-DE"/>
        </w:rPr>
        <w:tab/>
      </w:r>
      <w:r w:rsidR="00CE4922" w:rsidRPr="00AA6C13">
        <w:rPr>
          <w:rFonts w:eastAsia="Times New Roman"/>
          <w:lang w:eastAsia="de-DE"/>
        </w:rPr>
        <w:tab/>
      </w:r>
      <w:r w:rsidR="000F37B9" w:rsidRPr="00AA6C13">
        <w:rPr>
          <w:rFonts w:eastAsia="Times New Roman"/>
          <w:lang w:eastAsia="de-DE"/>
        </w:rPr>
        <w:t xml:space="preserve">Liu, X., Rivera, S.C., </w:t>
      </w:r>
      <w:proofErr w:type="spellStart"/>
      <w:r w:rsidR="000F37B9" w:rsidRPr="00AA6C13">
        <w:rPr>
          <w:rFonts w:eastAsia="Times New Roman"/>
          <w:lang w:eastAsia="de-DE"/>
        </w:rPr>
        <w:t>Faes</w:t>
      </w:r>
      <w:proofErr w:type="spellEnd"/>
      <w:r w:rsidR="000F37B9" w:rsidRPr="00AA6C13">
        <w:rPr>
          <w:rFonts w:eastAsia="Times New Roman"/>
          <w:lang w:eastAsia="de-DE"/>
        </w:rPr>
        <w:t>, L.</w:t>
      </w:r>
      <w:r w:rsidR="00453205" w:rsidRPr="00AA6C13">
        <w:rPr>
          <w:rFonts w:eastAsia="Times New Roman"/>
          <w:lang w:eastAsia="de-DE"/>
        </w:rPr>
        <w:t xml:space="preserve">, di </w:t>
      </w:r>
      <w:proofErr w:type="spellStart"/>
      <w:r w:rsidR="00453205" w:rsidRPr="00AA6C13">
        <w:rPr>
          <w:rFonts w:eastAsia="Times New Roman"/>
          <w:lang w:eastAsia="de-DE"/>
        </w:rPr>
        <w:t>Ruffano</w:t>
      </w:r>
      <w:proofErr w:type="spellEnd"/>
      <w:r w:rsidR="00453205" w:rsidRPr="00AA6C13">
        <w:rPr>
          <w:rFonts w:eastAsia="Times New Roman"/>
          <w:lang w:eastAsia="de-DE"/>
        </w:rPr>
        <w:t xml:space="preserve">, L. F., Yao, C., Keane, P. A., </w:t>
      </w:r>
      <w:proofErr w:type="spellStart"/>
      <w:r w:rsidR="00453205" w:rsidRPr="00AA6C13">
        <w:rPr>
          <w:rFonts w:eastAsia="Times New Roman"/>
          <w:lang w:eastAsia="de-DE"/>
        </w:rPr>
        <w:t>Ashrafian</w:t>
      </w:r>
      <w:proofErr w:type="spellEnd"/>
      <w:r w:rsidR="00453205" w:rsidRPr="00AA6C13">
        <w:rPr>
          <w:rFonts w:eastAsia="Times New Roman"/>
          <w:lang w:eastAsia="de-DE"/>
        </w:rPr>
        <w:t>, H., Darzi, A., Vollmer, S. J., Deeks, J., Bachmann, L., Holmes, C., Chan, A. W., Moher, D., Calvert, M. J., and Denniston, A, K. (2019),</w:t>
      </w:r>
      <w:r w:rsidR="000F37B9" w:rsidRPr="00AA6C13">
        <w:rPr>
          <w:rFonts w:eastAsia="Times New Roman"/>
          <w:lang w:eastAsia="de-DE"/>
        </w:rPr>
        <w:t xml:space="preserve"> </w:t>
      </w:r>
      <w:r w:rsidR="000F37B9" w:rsidRPr="00AA6C13">
        <w:rPr>
          <w:rFonts w:eastAsia="Times New Roman"/>
          <w:i/>
          <w:iCs/>
          <w:lang w:eastAsia="de-DE"/>
        </w:rPr>
        <w:t>Reporting guidelines for clinical trials evaluating artificial intelligence interventions are needed</w:t>
      </w:r>
      <w:r w:rsidR="000F37B9" w:rsidRPr="00AA6C13">
        <w:rPr>
          <w:rFonts w:eastAsia="Times New Roman"/>
          <w:lang w:eastAsia="de-DE"/>
        </w:rPr>
        <w:t>. Nat</w:t>
      </w:r>
      <w:r w:rsidR="00281988" w:rsidRPr="00AA6C13">
        <w:rPr>
          <w:rFonts w:eastAsia="Times New Roman"/>
          <w:lang w:eastAsia="de-DE"/>
        </w:rPr>
        <w:t>ure</w:t>
      </w:r>
      <w:r w:rsidR="000F37B9" w:rsidRPr="00AA6C13">
        <w:rPr>
          <w:rFonts w:eastAsia="Times New Roman"/>
          <w:lang w:eastAsia="de-DE"/>
        </w:rPr>
        <w:t xml:space="preserve"> Med</w:t>
      </w:r>
      <w:r w:rsidR="00281988" w:rsidRPr="00AA6C13">
        <w:rPr>
          <w:rFonts w:eastAsia="Times New Roman"/>
          <w:lang w:eastAsia="de-DE"/>
        </w:rPr>
        <w:t>icine</w:t>
      </w:r>
      <w:r w:rsidR="000F37B9" w:rsidRPr="00AA6C13">
        <w:rPr>
          <w:rFonts w:eastAsia="Times New Roman"/>
          <w:i/>
          <w:iCs/>
          <w:lang w:eastAsia="de-DE"/>
        </w:rPr>
        <w:t xml:space="preserve"> 25</w:t>
      </w:r>
      <w:r w:rsidR="000F37B9" w:rsidRPr="00AA6C13">
        <w:rPr>
          <w:rFonts w:eastAsia="Times New Roman"/>
          <w:lang w:eastAsia="de-DE"/>
        </w:rPr>
        <w:t xml:space="preserve">, 1467–1468 (2019). </w:t>
      </w:r>
      <w:hyperlink r:id="rId107" w:history="1">
        <w:r w:rsidR="009171C4" w:rsidRPr="00AA6C13">
          <w:rPr>
            <w:rStyle w:val="Hyperlink"/>
            <w:rFonts w:ascii="Arial" w:hAnsi="Arial" w:cs="Arial"/>
            <w:sz w:val="18"/>
            <w:szCs w:val="18"/>
          </w:rPr>
          <w:t>https://doi.org/10.1038/s41591-019-0603-3</w:t>
        </w:r>
      </w:hyperlink>
    </w:p>
    <w:p w14:paraId="33F3519A" w14:textId="0D1E3CF7" w:rsidR="009E1ED4" w:rsidRPr="00AA6C13" w:rsidRDefault="0068425F">
      <w:pPr>
        <w:ind w:left="3400" w:hanging="3400"/>
        <w:rPr>
          <w:rFonts w:eastAsia="Times New Roman"/>
        </w:rPr>
      </w:pPr>
      <w:r w:rsidRPr="00AA6C13">
        <w:rPr>
          <w:rFonts w:eastAsia="Times New Roman"/>
        </w:rPr>
        <w:t>[b-Liu et al., 2020]</w:t>
      </w:r>
      <w:r w:rsidR="00C15FB7" w:rsidRPr="00AA6C13">
        <w:rPr>
          <w:rFonts w:eastAsia="Times New Roman"/>
        </w:rPr>
        <w:tab/>
      </w:r>
      <w:r w:rsidR="005C18EE" w:rsidRPr="00AA6C13">
        <w:rPr>
          <w:rFonts w:eastAsia="Times New Roman"/>
        </w:rPr>
        <w:tab/>
      </w:r>
      <w:r w:rsidR="000F37B9" w:rsidRPr="00AA6C13">
        <w:rPr>
          <w:rFonts w:eastAsia="Times New Roman"/>
        </w:rPr>
        <w:t>Liu, X., Rivera, S. C., Moher, D., Calvert, M. J., Denniston, A. K.</w:t>
      </w:r>
      <w:r w:rsidR="0040253E" w:rsidRPr="00AA6C13">
        <w:rPr>
          <w:rFonts w:eastAsia="Times New Roman"/>
        </w:rPr>
        <w:t xml:space="preserve"> and </w:t>
      </w:r>
      <w:proofErr w:type="gramStart"/>
      <w:r w:rsidR="0040253E" w:rsidRPr="00AA6C13">
        <w:rPr>
          <w:rFonts w:eastAsia="Times New Roman"/>
        </w:rPr>
        <w:t>The</w:t>
      </w:r>
      <w:proofErr w:type="gramEnd"/>
      <w:r w:rsidR="0040253E" w:rsidRPr="00AA6C13">
        <w:rPr>
          <w:rFonts w:eastAsia="Times New Roman"/>
        </w:rPr>
        <w:t xml:space="preserve"> SPIRIT-AI and CONSORT-AI Working Group</w:t>
      </w:r>
      <w:r w:rsidR="009F6ECF" w:rsidRPr="00AA6C13">
        <w:rPr>
          <w:rFonts w:eastAsia="Times New Roman"/>
        </w:rPr>
        <w:t>.</w:t>
      </w:r>
      <w:r w:rsidR="000F37B9" w:rsidRPr="00AA6C13">
        <w:rPr>
          <w:rFonts w:eastAsia="Times New Roman"/>
        </w:rPr>
        <w:t xml:space="preserve"> (2020)</w:t>
      </w:r>
      <w:r w:rsidR="0093541A" w:rsidRPr="00AA6C13">
        <w:rPr>
          <w:rFonts w:eastAsia="Times New Roman"/>
        </w:rPr>
        <w:t>,</w:t>
      </w:r>
      <w:r w:rsidR="000F37B9" w:rsidRPr="00AA6C13">
        <w:rPr>
          <w:rFonts w:eastAsia="Times New Roman"/>
        </w:rPr>
        <w:t xml:space="preserve"> </w:t>
      </w:r>
      <w:r w:rsidR="000F37B9" w:rsidRPr="00AA6C13">
        <w:rPr>
          <w:rFonts w:eastAsia="Times New Roman"/>
          <w:i/>
          <w:iCs/>
        </w:rPr>
        <w:t>Reporting guidelines for clinical trial reports for interventions involving artificial intelligence: the CONSORT-AI extension</w:t>
      </w:r>
      <w:r w:rsidR="000F37B9" w:rsidRPr="00AA6C13">
        <w:rPr>
          <w:rFonts w:eastAsia="Times New Roman"/>
        </w:rPr>
        <w:t xml:space="preserve">. </w:t>
      </w:r>
      <w:r w:rsidR="000F37B9" w:rsidRPr="00AA6C13">
        <w:rPr>
          <w:rFonts w:eastAsia="Times New Roman"/>
          <w:iCs/>
        </w:rPr>
        <w:t>BMJ</w:t>
      </w:r>
      <w:r w:rsidR="000F37B9" w:rsidRPr="00AA6C13">
        <w:rPr>
          <w:rFonts w:eastAsia="Times New Roman"/>
        </w:rPr>
        <w:t xml:space="preserve">. </w:t>
      </w:r>
    </w:p>
    <w:p w14:paraId="08EEB66D" w14:textId="4D6621C7" w:rsidR="002E2071" w:rsidRPr="00AA6C13" w:rsidRDefault="00281988" w:rsidP="00AE14C7">
      <w:pPr>
        <w:spacing w:before="0"/>
        <w:ind w:left="3400"/>
        <w:rPr>
          <w:rFonts w:eastAsia="Times New Roman"/>
        </w:rPr>
      </w:pPr>
      <w:hyperlink r:id="rId108" w:history="1">
        <w:r w:rsidRPr="00AA6C13">
          <w:rPr>
            <w:rStyle w:val="Hyperlink"/>
            <w:rFonts w:ascii="Arial" w:hAnsi="Arial" w:cs="Arial"/>
            <w:sz w:val="18"/>
            <w:szCs w:val="18"/>
          </w:rPr>
          <w:t>https://www.nature.com/articles/s41591-020-1034-x</w:t>
        </w:r>
      </w:hyperlink>
    </w:p>
    <w:p w14:paraId="1E24126C" w14:textId="0551CB98" w:rsidR="00C91C25" w:rsidRPr="00AA6C13" w:rsidRDefault="00C91C25" w:rsidP="0006232B">
      <w:pPr>
        <w:ind w:left="3400" w:hanging="3400"/>
        <w:rPr>
          <w:rFonts w:eastAsia="DengXian"/>
        </w:rPr>
      </w:pPr>
      <w:r w:rsidRPr="00AA6C13">
        <w:rPr>
          <w:rFonts w:eastAsia="DengXian"/>
        </w:rPr>
        <w:t>[b-Liu et al., 2022]</w:t>
      </w:r>
      <w:r w:rsidRPr="00AA6C13">
        <w:rPr>
          <w:rFonts w:eastAsia="DengXian"/>
        </w:rPr>
        <w:tab/>
      </w:r>
      <w:r w:rsidR="00265D18" w:rsidRPr="00AA6C13">
        <w:rPr>
          <w:rFonts w:eastAsia="DengXian"/>
        </w:rPr>
        <w:tab/>
      </w:r>
      <w:r w:rsidRPr="00AA6C13">
        <w:rPr>
          <w:rFonts w:eastAsia="DengXian"/>
        </w:rPr>
        <w:t xml:space="preserve">Liu, X., Glocker, B., </w:t>
      </w:r>
      <w:proofErr w:type="spellStart"/>
      <w:r w:rsidRPr="00AA6C13">
        <w:rPr>
          <w:rFonts w:eastAsia="DengXian"/>
        </w:rPr>
        <w:t>McCradden</w:t>
      </w:r>
      <w:proofErr w:type="spellEnd"/>
      <w:r w:rsidRPr="00AA6C13">
        <w:rPr>
          <w:rFonts w:eastAsia="DengXian"/>
        </w:rPr>
        <w:t xml:space="preserve">, M. M., Ghassemi, M., Denniston, A. K., and Oakden-Rayner, L. (2022), </w:t>
      </w:r>
      <w:r w:rsidRPr="00AA6C13">
        <w:rPr>
          <w:rFonts w:eastAsia="DengXian"/>
          <w:i/>
          <w:iCs/>
        </w:rPr>
        <w:t>The medical algorithmic audit</w:t>
      </w:r>
      <w:r w:rsidRPr="00AA6C13">
        <w:rPr>
          <w:rFonts w:eastAsia="DengXian"/>
        </w:rPr>
        <w:t xml:space="preserve">. </w:t>
      </w:r>
      <w:r w:rsidRPr="00AA6C13">
        <w:rPr>
          <w:rFonts w:eastAsia="DengXian"/>
          <w:iCs/>
        </w:rPr>
        <w:t>The Lancet Digital Health</w:t>
      </w:r>
      <w:r w:rsidRPr="00AA6C13">
        <w:rPr>
          <w:rFonts w:eastAsia="DengXian"/>
        </w:rPr>
        <w:t xml:space="preserve">. </w:t>
      </w:r>
      <w:hyperlink r:id="rId109" w:history="1">
        <w:r w:rsidRPr="00AA6C13">
          <w:rPr>
            <w:rStyle w:val="Hyperlink"/>
            <w:rFonts w:ascii="Arial" w:hAnsi="Arial" w:cs="Arial"/>
            <w:sz w:val="18"/>
            <w:szCs w:val="18"/>
          </w:rPr>
          <w:t>https://doi.org/10.1016/S2589-7500(22)00003-6</w:t>
        </w:r>
      </w:hyperlink>
    </w:p>
    <w:p w14:paraId="2B334327" w14:textId="353731A3" w:rsidR="002E2071" w:rsidRPr="00AA6C13" w:rsidRDefault="00280F5C" w:rsidP="0006232B">
      <w:pPr>
        <w:ind w:left="3400" w:hanging="3400"/>
      </w:pPr>
      <w:r w:rsidRPr="00AA6C13">
        <w:t>[b-Maier-Hein et al., 2018</w:t>
      </w:r>
      <w:r w:rsidR="0086440A" w:rsidRPr="00AA6C13">
        <w:t>]</w:t>
      </w:r>
      <w:r w:rsidR="00856149" w:rsidRPr="00AA6C13">
        <w:tab/>
      </w:r>
      <w:r w:rsidR="002C55AE" w:rsidRPr="00AA6C13">
        <w:tab/>
      </w:r>
      <w:r w:rsidR="000F37B9" w:rsidRPr="00AA6C13">
        <w:t>Maier-Hein</w:t>
      </w:r>
      <w:r w:rsidR="00556385" w:rsidRPr="00AA6C13">
        <w:t xml:space="preserve">, L., Eisenmann, M., Reinke, A., </w:t>
      </w:r>
      <w:proofErr w:type="spellStart"/>
      <w:r w:rsidR="00556385" w:rsidRPr="00AA6C13">
        <w:t>Onogur</w:t>
      </w:r>
      <w:proofErr w:type="spellEnd"/>
      <w:r w:rsidR="00556385" w:rsidRPr="00AA6C13">
        <w:t xml:space="preserve">, S. Stankovic, M., Scholz, P., Arbel, T., </w:t>
      </w:r>
      <w:proofErr w:type="spellStart"/>
      <w:r w:rsidR="00556385" w:rsidRPr="00AA6C13">
        <w:t>Bogunovic</w:t>
      </w:r>
      <w:proofErr w:type="spellEnd"/>
      <w:r w:rsidR="00556385" w:rsidRPr="00AA6C13">
        <w:t xml:space="preserve">, H., Bradley, A. P., </w:t>
      </w:r>
      <w:proofErr w:type="spellStart"/>
      <w:r w:rsidR="00556385" w:rsidRPr="00AA6C13">
        <w:t>Carass</w:t>
      </w:r>
      <w:proofErr w:type="spellEnd"/>
      <w:r w:rsidR="00556385" w:rsidRPr="00AA6C13">
        <w:t xml:space="preserve">, A., Feldmann, C., </w:t>
      </w:r>
      <w:proofErr w:type="spellStart"/>
      <w:r w:rsidR="00556385" w:rsidRPr="00AA6C13">
        <w:t>Frangi</w:t>
      </w:r>
      <w:proofErr w:type="spellEnd"/>
      <w:r w:rsidR="00556385" w:rsidRPr="00AA6C13">
        <w:t xml:space="preserve">, A. F., Full, P. M., Ginneken, B. V., Hanbury, A., </w:t>
      </w:r>
      <w:proofErr w:type="spellStart"/>
      <w:r w:rsidR="00556385" w:rsidRPr="00AA6C13">
        <w:t>Honauer</w:t>
      </w:r>
      <w:proofErr w:type="spellEnd"/>
      <w:r w:rsidR="00556385" w:rsidRPr="00AA6C13">
        <w:t xml:space="preserve">, K., </w:t>
      </w:r>
      <w:proofErr w:type="spellStart"/>
      <w:r w:rsidR="00556385" w:rsidRPr="00AA6C13">
        <w:t>Kozubek</w:t>
      </w:r>
      <w:proofErr w:type="spellEnd"/>
      <w:r w:rsidR="00556385" w:rsidRPr="00AA6C13">
        <w:t xml:space="preserve">, M., Landman, B. A., März, K., Maier, O., Maier-Hein, K., Menze, B., H., Müller, H., Neher, P. F., Niessen, W., Rajpoot, N., Sharp, G. C., </w:t>
      </w:r>
      <w:proofErr w:type="spellStart"/>
      <w:r w:rsidR="00556385" w:rsidRPr="00AA6C13">
        <w:t>Sirinukunwattana</w:t>
      </w:r>
      <w:proofErr w:type="spellEnd"/>
      <w:r w:rsidR="00556385" w:rsidRPr="00AA6C13">
        <w:t xml:space="preserve">, K., Speidel, S., Stock, C., Stoyanov, D., Taha, A. A., </w:t>
      </w:r>
      <w:proofErr w:type="spellStart"/>
      <w:r w:rsidR="00556385" w:rsidRPr="00AA6C13">
        <w:t>Sommen</w:t>
      </w:r>
      <w:proofErr w:type="spellEnd"/>
      <w:r w:rsidR="00556385" w:rsidRPr="00AA6C13">
        <w:t xml:space="preserve">, F. V. D., Wang, C-W., Weber, M-A., Zheng, G., </w:t>
      </w:r>
      <w:proofErr w:type="spellStart"/>
      <w:r w:rsidR="00556385" w:rsidRPr="00AA6C13">
        <w:t>Jannin</w:t>
      </w:r>
      <w:proofErr w:type="spellEnd"/>
      <w:r w:rsidR="00556385" w:rsidRPr="00AA6C13">
        <w:t>, P.</w:t>
      </w:r>
      <w:r w:rsidR="00672263" w:rsidRPr="00AA6C13">
        <w:t>,</w:t>
      </w:r>
      <w:r w:rsidR="00556385" w:rsidRPr="00AA6C13">
        <w:t xml:space="preserve"> and </w:t>
      </w:r>
      <w:r w:rsidR="00672263" w:rsidRPr="00AA6C13">
        <w:t>Kopp-Schneider, A</w:t>
      </w:r>
      <w:r w:rsidR="000F37B9" w:rsidRPr="00AA6C13">
        <w:t>. (2018)</w:t>
      </w:r>
      <w:r w:rsidR="00457C0A" w:rsidRPr="00AA6C13">
        <w:t>,</w:t>
      </w:r>
      <w:r w:rsidR="000F37B9" w:rsidRPr="00AA6C13">
        <w:t xml:space="preserve"> </w:t>
      </w:r>
      <w:r w:rsidR="000F37B9" w:rsidRPr="00AA6C13">
        <w:rPr>
          <w:i/>
          <w:iCs/>
        </w:rPr>
        <w:t>Why rankings of biomedical image analysis competitions should be interpreted with care</w:t>
      </w:r>
      <w:r w:rsidR="000F37B9" w:rsidRPr="00AA6C13">
        <w:t xml:space="preserve">. Nature communications, 9, 5217. </w:t>
      </w:r>
      <w:hyperlink r:id="rId110" w:history="1">
        <w:r w:rsidR="009171C4" w:rsidRPr="00AA6C13">
          <w:rPr>
            <w:rStyle w:val="Hyperlink"/>
            <w:rFonts w:ascii="Arial" w:hAnsi="Arial" w:cs="Arial"/>
            <w:sz w:val="18"/>
            <w:szCs w:val="18"/>
          </w:rPr>
          <w:t>https://doi.org/10.1038/s41467-018-07619-7</w:t>
        </w:r>
      </w:hyperlink>
    </w:p>
    <w:p w14:paraId="22F8A54C" w14:textId="217807B1" w:rsidR="00610EE4" w:rsidRPr="00AA6C13" w:rsidRDefault="002F448D">
      <w:pPr>
        <w:ind w:left="3400" w:hanging="3400"/>
        <w:rPr>
          <w:rFonts w:eastAsia="Times New Roman"/>
        </w:rPr>
      </w:pPr>
      <w:r w:rsidRPr="00AA6C13">
        <w:rPr>
          <w:rFonts w:eastAsia="Times New Roman"/>
          <w:lang w:eastAsia="de-DE"/>
        </w:rPr>
        <w:t>[b-Maier-Hein</w:t>
      </w:r>
      <w:r w:rsidR="00A26337" w:rsidRPr="00AA6C13">
        <w:rPr>
          <w:rFonts w:eastAsia="Times New Roman"/>
          <w:lang w:eastAsia="de-DE"/>
        </w:rPr>
        <w:t xml:space="preserve"> et al., 2020</w:t>
      </w:r>
      <w:r w:rsidRPr="00AA6C13">
        <w:rPr>
          <w:rFonts w:eastAsia="Times New Roman"/>
          <w:lang w:eastAsia="de-DE"/>
        </w:rPr>
        <w:t>]</w:t>
      </w:r>
      <w:r w:rsidR="00A26337" w:rsidRPr="00AA6C13">
        <w:rPr>
          <w:rFonts w:eastAsia="Times New Roman"/>
          <w:lang w:eastAsia="de-DE"/>
        </w:rPr>
        <w:tab/>
      </w:r>
      <w:r w:rsidR="00A26337" w:rsidRPr="00AA6C13">
        <w:rPr>
          <w:rFonts w:eastAsia="Times New Roman"/>
          <w:lang w:eastAsia="de-DE"/>
        </w:rPr>
        <w:tab/>
      </w:r>
      <w:r w:rsidR="000F37B9" w:rsidRPr="00AA6C13">
        <w:rPr>
          <w:rFonts w:eastAsia="Times New Roman"/>
          <w:lang w:eastAsia="de-DE"/>
        </w:rPr>
        <w:t xml:space="preserve">Maier-Hein, L., Reinke, A., </w:t>
      </w:r>
      <w:proofErr w:type="spellStart"/>
      <w:r w:rsidR="000F37B9" w:rsidRPr="00AA6C13">
        <w:rPr>
          <w:rFonts w:eastAsia="Times New Roman"/>
          <w:lang w:eastAsia="de-DE"/>
        </w:rPr>
        <w:t>Kozubek</w:t>
      </w:r>
      <w:proofErr w:type="spellEnd"/>
      <w:r w:rsidR="000F37B9" w:rsidRPr="00AA6C13">
        <w:rPr>
          <w:rFonts w:eastAsia="Times New Roman"/>
          <w:lang w:eastAsia="de-DE"/>
        </w:rPr>
        <w:t xml:space="preserve">, M., Martel, A. L., Arbel, T., Eisenmann, M., </w:t>
      </w:r>
      <w:r w:rsidR="00BD4015" w:rsidRPr="00AA6C13">
        <w:rPr>
          <w:rFonts w:eastAsia="Times New Roman"/>
          <w:lang w:eastAsia="de-DE"/>
        </w:rPr>
        <w:t xml:space="preserve">Hanbury, A., </w:t>
      </w:r>
      <w:proofErr w:type="spellStart"/>
      <w:r w:rsidR="00BD4015" w:rsidRPr="00AA6C13">
        <w:rPr>
          <w:rFonts w:eastAsia="Times New Roman"/>
          <w:lang w:eastAsia="de-DE"/>
        </w:rPr>
        <w:t>Jannin</w:t>
      </w:r>
      <w:proofErr w:type="spellEnd"/>
      <w:r w:rsidR="00BD4015" w:rsidRPr="00AA6C13">
        <w:rPr>
          <w:rFonts w:eastAsia="Times New Roman"/>
          <w:lang w:eastAsia="de-DE"/>
        </w:rPr>
        <w:t xml:space="preserve">, P., Müller, H., </w:t>
      </w:r>
      <w:proofErr w:type="spellStart"/>
      <w:r w:rsidR="00BD4015" w:rsidRPr="00AA6C13">
        <w:rPr>
          <w:rFonts w:eastAsia="Times New Roman"/>
          <w:lang w:eastAsia="de-DE"/>
        </w:rPr>
        <w:t>Onogur</w:t>
      </w:r>
      <w:proofErr w:type="spellEnd"/>
      <w:r w:rsidR="00BD4015" w:rsidRPr="00AA6C13">
        <w:rPr>
          <w:rFonts w:eastAsia="Times New Roman"/>
          <w:lang w:eastAsia="de-DE"/>
        </w:rPr>
        <w:t>, S., Saez-Rodriguez, J., van Ginneken, B., Kopp-Schneider, A., Landman, B. A. (2020)</w:t>
      </w:r>
      <w:r w:rsidR="00F0273F" w:rsidRPr="00AA6C13">
        <w:rPr>
          <w:rFonts w:eastAsia="Times New Roman"/>
          <w:lang w:eastAsia="de-DE"/>
        </w:rPr>
        <w:t>,</w:t>
      </w:r>
      <w:r w:rsidR="000F37B9" w:rsidRPr="00AA6C13">
        <w:rPr>
          <w:rFonts w:eastAsia="Times New Roman"/>
          <w:lang w:eastAsia="de-DE"/>
        </w:rPr>
        <w:t xml:space="preserve"> </w:t>
      </w:r>
      <w:r w:rsidR="000F37B9" w:rsidRPr="00AA6C13">
        <w:rPr>
          <w:rFonts w:eastAsia="Times New Roman"/>
          <w:i/>
          <w:iCs/>
          <w:lang w:eastAsia="de-DE"/>
        </w:rPr>
        <w:t>BIAS: Transparent reporting of biomedical image analysis challenges</w:t>
      </w:r>
      <w:r w:rsidR="000F37B9" w:rsidRPr="00AA6C13">
        <w:rPr>
          <w:rFonts w:eastAsia="Times New Roman"/>
          <w:lang w:eastAsia="de-DE"/>
        </w:rPr>
        <w:t xml:space="preserve">. </w:t>
      </w:r>
      <w:r w:rsidR="00610EE4" w:rsidRPr="00AA6C13">
        <w:rPr>
          <w:rFonts w:eastAsia="Times New Roman"/>
        </w:rPr>
        <w:t>Medical image analysis, Volume 66, 101796</w:t>
      </w:r>
      <w:r w:rsidR="0007540D" w:rsidRPr="00AA6C13">
        <w:rPr>
          <w:rFonts w:eastAsia="Times New Roman"/>
        </w:rPr>
        <w:t>.</w:t>
      </w:r>
    </w:p>
    <w:p w14:paraId="3E3FE52D" w14:textId="56838051" w:rsidR="002E2071" w:rsidRPr="00AA6C13" w:rsidRDefault="002A5D89" w:rsidP="00AE14C7">
      <w:pPr>
        <w:spacing w:before="0"/>
        <w:ind w:left="2833" w:firstLine="567"/>
      </w:pPr>
      <w:hyperlink r:id="rId111" w:history="1">
        <w:r w:rsidRPr="00AA6C13">
          <w:rPr>
            <w:rStyle w:val="Hyperlink"/>
            <w:rFonts w:ascii="Arial" w:hAnsi="Arial" w:cs="Arial"/>
            <w:sz w:val="18"/>
            <w:szCs w:val="18"/>
          </w:rPr>
          <w:t>https://doi.org/10.1016/j.media.2020.101796</w:t>
        </w:r>
      </w:hyperlink>
    </w:p>
    <w:p w14:paraId="1A7FE1D6" w14:textId="3ABEDC88" w:rsidR="00066B5E" w:rsidRPr="00AA6C13" w:rsidRDefault="00796EE3">
      <w:pPr>
        <w:ind w:left="3400" w:hanging="3400"/>
      </w:pPr>
      <w:r w:rsidRPr="00AA6C13">
        <w:t>[</w:t>
      </w:r>
      <w:r w:rsidR="004C0B54" w:rsidRPr="00AA6C13">
        <w:t>b-</w:t>
      </w:r>
      <w:r w:rsidRPr="00AA6C13">
        <w:t>Mathews et al, 2019]</w:t>
      </w:r>
      <w:r w:rsidR="0081215B" w:rsidRPr="00AA6C13">
        <w:tab/>
      </w:r>
      <w:r w:rsidR="00DC0421" w:rsidRPr="00AA6C13">
        <w:tab/>
      </w:r>
      <w:r w:rsidR="000F37B9" w:rsidRPr="00AA6C13">
        <w:t xml:space="preserve">Mathews, S. C., McShea, M. J., Hanley, C. L., Ravitz, A., </w:t>
      </w:r>
      <w:proofErr w:type="spellStart"/>
      <w:r w:rsidR="000F37B9" w:rsidRPr="00AA6C13">
        <w:t>Labrique</w:t>
      </w:r>
      <w:proofErr w:type="spellEnd"/>
      <w:r w:rsidR="000F37B9" w:rsidRPr="00AA6C13">
        <w:t xml:space="preserve">, A. B., </w:t>
      </w:r>
      <w:r w:rsidR="00C27436" w:rsidRPr="00AA6C13">
        <w:t>and</w:t>
      </w:r>
      <w:r w:rsidR="000F37B9" w:rsidRPr="00AA6C13">
        <w:t xml:space="preserve"> Cohen, A. B. (2019)</w:t>
      </w:r>
      <w:r w:rsidR="00647969" w:rsidRPr="00AA6C13">
        <w:t>,</w:t>
      </w:r>
      <w:r w:rsidR="000F37B9" w:rsidRPr="00AA6C13">
        <w:t xml:space="preserve"> </w:t>
      </w:r>
      <w:r w:rsidR="000F37B9" w:rsidRPr="00AA6C13">
        <w:rPr>
          <w:i/>
          <w:iCs/>
        </w:rPr>
        <w:t>Digital health: a path to validation</w:t>
      </w:r>
      <w:r w:rsidR="000F37B9" w:rsidRPr="00AA6C13">
        <w:t xml:space="preserve">. </w:t>
      </w:r>
      <w:proofErr w:type="spellStart"/>
      <w:r w:rsidR="00D7303A" w:rsidRPr="00AA6C13">
        <w:t>npj</w:t>
      </w:r>
      <w:proofErr w:type="spellEnd"/>
      <w:r w:rsidR="000F37B9" w:rsidRPr="00AA6C13">
        <w:t xml:space="preserve"> Digital Medicine, 2. </w:t>
      </w:r>
    </w:p>
    <w:p w14:paraId="3E762DB9" w14:textId="2ADA1EEA" w:rsidR="002E2071" w:rsidRPr="00AA6C13" w:rsidRDefault="0032703C" w:rsidP="00AE14C7">
      <w:pPr>
        <w:spacing w:before="0"/>
        <w:ind w:left="3400"/>
      </w:pPr>
      <w:hyperlink r:id="rId112" w:history="1">
        <w:r w:rsidRPr="00AA6C13">
          <w:rPr>
            <w:rStyle w:val="Hyperlink"/>
            <w:rFonts w:ascii="Arial" w:hAnsi="Arial" w:cs="Arial"/>
            <w:sz w:val="18"/>
            <w:szCs w:val="18"/>
          </w:rPr>
          <w:t>https://doi.org/10.1038/s41746-019-0111-3</w:t>
        </w:r>
      </w:hyperlink>
    </w:p>
    <w:p w14:paraId="369E8792" w14:textId="16262478" w:rsidR="002F262D" w:rsidRPr="00AA6C13" w:rsidRDefault="008D4353">
      <w:pPr>
        <w:ind w:left="3400" w:hanging="3400"/>
      </w:pPr>
      <w:r w:rsidRPr="00AA6C13">
        <w:lastRenderedPageBreak/>
        <w:t>[b-McGregor, 202</w:t>
      </w:r>
      <w:r w:rsidR="000D56F6" w:rsidRPr="00AA6C13">
        <w:t>0</w:t>
      </w:r>
      <w:r w:rsidR="00656348" w:rsidRPr="00AA6C13">
        <w:t>]</w:t>
      </w:r>
      <w:r w:rsidR="008B67A3" w:rsidRPr="00AA6C13">
        <w:tab/>
      </w:r>
      <w:r w:rsidR="00AC6CC1" w:rsidRPr="00AA6C13">
        <w:tab/>
      </w:r>
      <w:r w:rsidR="000F37B9" w:rsidRPr="00AA6C13">
        <w:t>McGregor, S. (202</w:t>
      </w:r>
      <w:r w:rsidR="00A229EB" w:rsidRPr="00AA6C13">
        <w:t>0</w:t>
      </w:r>
      <w:r w:rsidR="000F37B9" w:rsidRPr="00AA6C13">
        <w:t>)</w:t>
      </w:r>
      <w:r w:rsidR="00C31648" w:rsidRPr="00AA6C13">
        <w:t>,</w:t>
      </w:r>
      <w:r w:rsidR="000F37B9" w:rsidRPr="00AA6C13">
        <w:t xml:space="preserve"> </w:t>
      </w:r>
      <w:r w:rsidR="000F37B9" w:rsidRPr="00AA6C13">
        <w:rPr>
          <w:i/>
          <w:iCs/>
        </w:rPr>
        <w:t xml:space="preserve">Preventing repeated real world AI failures by </w:t>
      </w:r>
      <w:proofErr w:type="spellStart"/>
      <w:r w:rsidR="000F37B9" w:rsidRPr="00AA6C13">
        <w:rPr>
          <w:i/>
          <w:iCs/>
        </w:rPr>
        <w:t>cataloging</w:t>
      </w:r>
      <w:proofErr w:type="spellEnd"/>
      <w:r w:rsidR="000F37B9" w:rsidRPr="00AA6C13">
        <w:rPr>
          <w:i/>
          <w:iCs/>
        </w:rPr>
        <w:t xml:space="preserve"> incidents: The AI incident database</w:t>
      </w:r>
      <w:r w:rsidR="000F37B9" w:rsidRPr="00AA6C13">
        <w:t>. In Proceedings of the AAAI Conference on Artificial Intelligence (Vol. 35, No.</w:t>
      </w:r>
      <w:r w:rsidR="00AE14C7" w:rsidRPr="00AA6C13">
        <w:t> </w:t>
      </w:r>
      <w:r w:rsidR="000F37B9" w:rsidRPr="00AA6C13">
        <w:t xml:space="preserve">17, pp. 15458-15463). </w:t>
      </w:r>
    </w:p>
    <w:p w14:paraId="1609A12A" w14:textId="2F1D02C8" w:rsidR="002E2071" w:rsidRPr="00AA6C13" w:rsidRDefault="00737829" w:rsidP="00AE14C7">
      <w:pPr>
        <w:spacing w:before="0"/>
        <w:ind w:left="3400" w:firstLine="2"/>
      </w:pPr>
      <w:hyperlink r:id="rId113" w:history="1">
        <w:r w:rsidRPr="00AA6C13">
          <w:rPr>
            <w:rStyle w:val="Hyperlink"/>
            <w:rFonts w:ascii="Arial" w:hAnsi="Arial" w:cs="Arial"/>
            <w:sz w:val="18"/>
            <w:szCs w:val="18"/>
          </w:rPr>
          <w:t>https://arxiv.org/abs/2011.08512</w:t>
        </w:r>
      </w:hyperlink>
    </w:p>
    <w:p w14:paraId="38051CB8" w14:textId="097E63F7" w:rsidR="00B97529" w:rsidRPr="00AA6C13" w:rsidRDefault="000961EC">
      <w:pPr>
        <w:ind w:left="3400" w:hanging="3400"/>
        <w:rPr>
          <w:lang w:bidi="ar-DZ"/>
        </w:rPr>
      </w:pPr>
      <w:r w:rsidRPr="00AA6C13">
        <w:rPr>
          <w:lang w:bidi="ar-DZ"/>
        </w:rPr>
        <w:t>[</w:t>
      </w:r>
      <w:r w:rsidRPr="00AA6C13">
        <w:t>b-McKinney at al., 2020]</w:t>
      </w:r>
      <w:r w:rsidR="00787AC1" w:rsidRPr="00AA6C13">
        <w:tab/>
      </w:r>
      <w:r w:rsidR="00AC6CC1" w:rsidRPr="00AA6C13">
        <w:tab/>
      </w:r>
      <w:r w:rsidR="000F37B9" w:rsidRPr="00AA6C13">
        <w:rPr>
          <w:lang w:bidi="ar-DZ"/>
        </w:rPr>
        <w:t>McKinney</w:t>
      </w:r>
      <w:r w:rsidR="003F69DD" w:rsidRPr="00AA6C13">
        <w:rPr>
          <w:lang w:bidi="ar-DZ"/>
        </w:rPr>
        <w:t xml:space="preserve">, S. M., </w:t>
      </w:r>
      <w:proofErr w:type="spellStart"/>
      <w:r w:rsidR="008C07EB" w:rsidRPr="00AA6C13">
        <w:rPr>
          <w:lang w:bidi="ar-DZ"/>
        </w:rPr>
        <w:t>Sieniek</w:t>
      </w:r>
      <w:proofErr w:type="spellEnd"/>
      <w:r w:rsidR="008C07EB" w:rsidRPr="00AA6C13">
        <w:rPr>
          <w:lang w:bidi="ar-DZ"/>
        </w:rPr>
        <w:t xml:space="preserve">, M., Godbole, V., Godwin, J., </w:t>
      </w:r>
      <w:proofErr w:type="spellStart"/>
      <w:r w:rsidR="008C07EB" w:rsidRPr="00AA6C13">
        <w:rPr>
          <w:lang w:bidi="ar-DZ"/>
        </w:rPr>
        <w:t>Antropova</w:t>
      </w:r>
      <w:proofErr w:type="spellEnd"/>
      <w:r w:rsidR="008C07EB" w:rsidRPr="00AA6C13">
        <w:rPr>
          <w:lang w:bidi="ar-DZ"/>
        </w:rPr>
        <w:t xml:space="preserve">, N., </w:t>
      </w:r>
      <w:proofErr w:type="spellStart"/>
      <w:r w:rsidR="008C07EB" w:rsidRPr="00AA6C13">
        <w:rPr>
          <w:lang w:bidi="ar-DZ"/>
        </w:rPr>
        <w:t>Ashrafian</w:t>
      </w:r>
      <w:proofErr w:type="spellEnd"/>
      <w:r w:rsidR="008C07EB" w:rsidRPr="00AA6C13">
        <w:rPr>
          <w:lang w:bidi="ar-DZ"/>
        </w:rPr>
        <w:t xml:space="preserve">, H., Back, T., </w:t>
      </w:r>
      <w:proofErr w:type="spellStart"/>
      <w:r w:rsidR="008C07EB" w:rsidRPr="00AA6C13">
        <w:rPr>
          <w:lang w:bidi="ar-DZ"/>
        </w:rPr>
        <w:t>Chesus</w:t>
      </w:r>
      <w:proofErr w:type="spellEnd"/>
      <w:r w:rsidR="008C07EB" w:rsidRPr="00AA6C13">
        <w:rPr>
          <w:lang w:bidi="ar-DZ"/>
        </w:rPr>
        <w:t xml:space="preserve">, M., Corrado, G. S., Darzi, A., Etemadi, M., Garcia-Vicente, F., Gilbert, F. J., </w:t>
      </w:r>
      <w:r w:rsidR="00CA1167" w:rsidRPr="00AA6C13">
        <w:rPr>
          <w:lang w:bidi="ar-DZ"/>
        </w:rPr>
        <w:t xml:space="preserve">Halling-Brown, M., Hassabis, D., Jansen, S., </w:t>
      </w:r>
      <w:proofErr w:type="spellStart"/>
      <w:r w:rsidR="00CA1167" w:rsidRPr="00AA6C13">
        <w:rPr>
          <w:lang w:bidi="ar-DZ"/>
        </w:rPr>
        <w:t>Karthike</w:t>
      </w:r>
      <w:r w:rsidR="00BC34D7" w:rsidRPr="00AA6C13">
        <w:rPr>
          <w:lang w:bidi="ar-DZ"/>
        </w:rPr>
        <w:t>salingam</w:t>
      </w:r>
      <w:proofErr w:type="spellEnd"/>
      <w:r w:rsidR="00BC34D7" w:rsidRPr="00AA6C13">
        <w:rPr>
          <w:lang w:bidi="ar-DZ"/>
        </w:rPr>
        <w:t xml:space="preserve">, </w:t>
      </w:r>
      <w:r w:rsidR="007D39C8" w:rsidRPr="00AA6C13">
        <w:rPr>
          <w:lang w:bidi="ar-DZ"/>
        </w:rPr>
        <w:t xml:space="preserve">A., Kelly, C. J., </w:t>
      </w:r>
      <w:r w:rsidR="006C4721" w:rsidRPr="00AA6C13">
        <w:rPr>
          <w:lang w:bidi="ar-DZ"/>
        </w:rPr>
        <w:t xml:space="preserve">King, D., </w:t>
      </w:r>
      <w:proofErr w:type="spellStart"/>
      <w:r w:rsidR="006C4721" w:rsidRPr="00AA6C13">
        <w:rPr>
          <w:lang w:bidi="ar-DZ"/>
        </w:rPr>
        <w:t>Ledsam</w:t>
      </w:r>
      <w:proofErr w:type="spellEnd"/>
      <w:r w:rsidR="006C4721" w:rsidRPr="00AA6C13">
        <w:rPr>
          <w:lang w:bidi="ar-DZ"/>
        </w:rPr>
        <w:t xml:space="preserve">, J. R., </w:t>
      </w:r>
      <w:r w:rsidR="000A6496" w:rsidRPr="00AA6C13">
        <w:rPr>
          <w:lang w:bidi="ar-DZ"/>
        </w:rPr>
        <w:t xml:space="preserve">Melnick, D., Mostofi, H., Peng, L., Reicher, J. J., </w:t>
      </w:r>
      <w:r w:rsidR="00B75A78" w:rsidRPr="00AA6C13">
        <w:rPr>
          <w:lang w:bidi="ar-DZ"/>
        </w:rPr>
        <w:t xml:space="preserve">Romera-Paredes, B., Sidebottom, R., Suleyman, M., Tse, D., Young, K. C., </w:t>
      </w:r>
      <w:proofErr w:type="spellStart"/>
      <w:r w:rsidR="00B75A78" w:rsidRPr="00AA6C13">
        <w:rPr>
          <w:lang w:bidi="ar-DZ"/>
        </w:rPr>
        <w:t>Fauw</w:t>
      </w:r>
      <w:proofErr w:type="spellEnd"/>
      <w:r w:rsidR="00B75A78" w:rsidRPr="00AA6C13">
        <w:rPr>
          <w:lang w:bidi="ar-DZ"/>
        </w:rPr>
        <w:t>, J. D., and Shetty, S</w:t>
      </w:r>
      <w:r w:rsidR="000F37B9" w:rsidRPr="00AA6C13">
        <w:rPr>
          <w:lang w:bidi="ar-DZ"/>
        </w:rPr>
        <w:t>. (2020)</w:t>
      </w:r>
      <w:r w:rsidR="00EC079B" w:rsidRPr="00AA6C13">
        <w:rPr>
          <w:lang w:bidi="ar-DZ"/>
        </w:rPr>
        <w:t>,</w:t>
      </w:r>
      <w:r w:rsidR="000F37B9" w:rsidRPr="00AA6C13">
        <w:rPr>
          <w:lang w:bidi="ar-DZ"/>
        </w:rPr>
        <w:t xml:space="preserve"> </w:t>
      </w:r>
      <w:r w:rsidR="000F37B9" w:rsidRPr="00AA6C13">
        <w:rPr>
          <w:i/>
          <w:iCs/>
          <w:lang w:bidi="ar-DZ"/>
        </w:rPr>
        <w:t>International evaluation of an AI system for breast cancer screening</w:t>
      </w:r>
      <w:r w:rsidR="000F37B9" w:rsidRPr="00AA6C13">
        <w:rPr>
          <w:lang w:bidi="ar-DZ"/>
        </w:rPr>
        <w:t xml:space="preserve">. </w:t>
      </w:r>
      <w:r w:rsidR="000F37B9" w:rsidRPr="00AA6C13">
        <w:rPr>
          <w:iCs/>
          <w:lang w:bidi="ar-DZ"/>
        </w:rPr>
        <w:t>Nature</w:t>
      </w:r>
      <w:r w:rsidR="0046005F" w:rsidRPr="00AA6C13">
        <w:rPr>
          <w:iCs/>
          <w:lang w:bidi="ar-DZ"/>
        </w:rPr>
        <w:t xml:space="preserve"> 577, 89-94</w:t>
      </w:r>
      <w:r w:rsidR="000F37B9" w:rsidRPr="00AA6C13">
        <w:rPr>
          <w:lang w:bidi="ar-DZ"/>
        </w:rPr>
        <w:t xml:space="preserve">. </w:t>
      </w:r>
    </w:p>
    <w:p w14:paraId="6A314D49" w14:textId="315B5F11" w:rsidR="002E2071" w:rsidRPr="00AA6C13" w:rsidRDefault="002F262D" w:rsidP="00AE14C7">
      <w:pPr>
        <w:spacing w:before="0"/>
        <w:ind w:left="3400" w:firstLine="2"/>
        <w:rPr>
          <w:lang w:bidi="ar-DZ"/>
        </w:rPr>
      </w:pPr>
      <w:hyperlink r:id="rId114" w:history="1">
        <w:r w:rsidRPr="00AA6C13">
          <w:rPr>
            <w:rStyle w:val="Hyperlink"/>
            <w:rFonts w:ascii="Arial" w:hAnsi="Arial" w:cs="Arial"/>
            <w:sz w:val="18"/>
            <w:szCs w:val="18"/>
          </w:rPr>
          <w:t>https://doi.org/10.1038/s41586-019-1799-6</w:t>
        </w:r>
      </w:hyperlink>
    </w:p>
    <w:p w14:paraId="745F763A" w14:textId="115FF7FB" w:rsidR="00F95D3D" w:rsidRPr="00AA6C13" w:rsidRDefault="00C1016F">
      <w:pPr>
        <w:ind w:left="3400" w:hanging="3400"/>
        <w:rPr>
          <w:rFonts w:eastAsia="Times New Roman"/>
        </w:rPr>
      </w:pPr>
      <w:r w:rsidRPr="00AA6C13">
        <w:rPr>
          <w:rFonts w:eastAsia="Times New Roman"/>
        </w:rPr>
        <w:t>[b-Mongan et al., 2020]</w:t>
      </w:r>
      <w:r w:rsidR="00B7275A" w:rsidRPr="00AA6C13">
        <w:rPr>
          <w:rFonts w:eastAsia="Times New Roman"/>
        </w:rPr>
        <w:tab/>
      </w:r>
      <w:r w:rsidR="00AC6CC1" w:rsidRPr="00AA6C13">
        <w:rPr>
          <w:rFonts w:eastAsia="Times New Roman"/>
        </w:rPr>
        <w:tab/>
      </w:r>
      <w:r w:rsidR="00280A02" w:rsidRPr="00AA6C13">
        <w:rPr>
          <w:rFonts w:eastAsia="Times New Roman"/>
        </w:rPr>
        <w:t xml:space="preserve">Mongan, J., Moy, L., </w:t>
      </w:r>
      <w:r w:rsidR="0069332C" w:rsidRPr="00AA6C13">
        <w:rPr>
          <w:rFonts w:eastAsia="Times New Roman"/>
        </w:rPr>
        <w:t>and</w:t>
      </w:r>
      <w:r w:rsidR="00280A02" w:rsidRPr="00AA6C13">
        <w:rPr>
          <w:rFonts w:eastAsia="Times New Roman"/>
        </w:rPr>
        <w:t xml:space="preserve"> Kahn Jr, C. E. (2020)</w:t>
      </w:r>
      <w:r w:rsidR="00A01A8B" w:rsidRPr="00AA6C13">
        <w:rPr>
          <w:rFonts w:eastAsia="Times New Roman"/>
        </w:rPr>
        <w:t>,</w:t>
      </w:r>
      <w:r w:rsidR="00280A02" w:rsidRPr="00AA6C13">
        <w:rPr>
          <w:rFonts w:eastAsia="Times New Roman"/>
        </w:rPr>
        <w:t xml:space="preserve"> </w:t>
      </w:r>
      <w:r w:rsidR="00280A02" w:rsidRPr="00AA6C13">
        <w:rPr>
          <w:rFonts w:eastAsia="Times New Roman"/>
          <w:i/>
          <w:iCs/>
        </w:rPr>
        <w:t>Checklist for artificial intelligence in medical imaging (CLAIM): a guide for authors and reviewers</w:t>
      </w:r>
      <w:r w:rsidR="00280A02" w:rsidRPr="00AA6C13">
        <w:rPr>
          <w:rFonts w:eastAsia="Times New Roman"/>
        </w:rPr>
        <w:t xml:space="preserve">. Radiology: Artificial Intelligence, </w:t>
      </w:r>
      <w:r w:rsidR="00B30A2F" w:rsidRPr="00AA6C13">
        <w:rPr>
          <w:rFonts w:eastAsia="Times New Roman"/>
        </w:rPr>
        <w:t xml:space="preserve">Volume </w:t>
      </w:r>
      <w:r w:rsidR="00280A02" w:rsidRPr="00AA6C13">
        <w:rPr>
          <w:rFonts w:eastAsia="Times New Roman"/>
        </w:rPr>
        <w:t>2</w:t>
      </w:r>
      <w:r w:rsidR="00866662" w:rsidRPr="00AA6C13">
        <w:rPr>
          <w:rFonts w:eastAsia="Times New Roman"/>
        </w:rPr>
        <w:t>, No.</w:t>
      </w:r>
      <w:r w:rsidR="00AE14C7" w:rsidRPr="00AA6C13">
        <w:rPr>
          <w:rFonts w:eastAsia="Times New Roman"/>
        </w:rPr>
        <w:t> </w:t>
      </w:r>
      <w:r w:rsidR="00280A02" w:rsidRPr="00AA6C13">
        <w:rPr>
          <w:rFonts w:eastAsia="Times New Roman"/>
        </w:rPr>
        <w:t xml:space="preserve">2. </w:t>
      </w:r>
    </w:p>
    <w:p w14:paraId="607490B4" w14:textId="718A31B9" w:rsidR="00280A02" w:rsidRPr="00AA6C13" w:rsidRDefault="00647969" w:rsidP="00AE14C7">
      <w:pPr>
        <w:spacing w:before="0"/>
        <w:ind w:left="3400"/>
      </w:pPr>
      <w:hyperlink r:id="rId115" w:history="1">
        <w:r w:rsidRPr="00AA6C13">
          <w:rPr>
            <w:rStyle w:val="Hyperlink"/>
            <w:rFonts w:ascii="Arial" w:hAnsi="Arial" w:cs="Arial"/>
            <w:sz w:val="18"/>
            <w:szCs w:val="18"/>
          </w:rPr>
          <w:t>https://doi.org/10.1148/ryai.2020200029</w:t>
        </w:r>
      </w:hyperlink>
    </w:p>
    <w:p w14:paraId="673B578D" w14:textId="25F88DC2" w:rsidR="00665257" w:rsidRPr="00AA6C13" w:rsidRDefault="00084CB2">
      <w:pPr>
        <w:ind w:left="3400" w:hanging="3400"/>
      </w:pPr>
      <w:r w:rsidRPr="00AA6C13">
        <w:t>[b-Mincu et al, 2022]</w:t>
      </w:r>
      <w:r w:rsidR="00955826" w:rsidRPr="00AA6C13">
        <w:tab/>
      </w:r>
      <w:r w:rsidR="00955826" w:rsidRPr="00AA6C13">
        <w:tab/>
      </w:r>
      <w:r w:rsidR="000F37B9" w:rsidRPr="00AA6C13">
        <w:t xml:space="preserve">Mincu, D., </w:t>
      </w:r>
      <w:r w:rsidR="009350C9" w:rsidRPr="00AA6C13">
        <w:t xml:space="preserve">and </w:t>
      </w:r>
      <w:r w:rsidR="000F37B9" w:rsidRPr="00AA6C13">
        <w:t xml:space="preserve">Roy, S. </w:t>
      </w:r>
      <w:r w:rsidR="00525ED0" w:rsidRPr="00AA6C13">
        <w:t xml:space="preserve">(2022), </w:t>
      </w:r>
      <w:r w:rsidR="000F37B9" w:rsidRPr="00AA6C13">
        <w:rPr>
          <w:i/>
          <w:iCs/>
        </w:rPr>
        <w:t>Developing robust benchmarks for driving forward AI innovation in healthcare</w:t>
      </w:r>
      <w:r w:rsidR="000F37B9" w:rsidRPr="00AA6C13">
        <w:t xml:space="preserve">. </w:t>
      </w:r>
      <w:r w:rsidR="000F37B9" w:rsidRPr="00AA6C13">
        <w:rPr>
          <w:iCs/>
        </w:rPr>
        <w:t>Nat</w:t>
      </w:r>
      <w:r w:rsidR="005459B1" w:rsidRPr="00AA6C13">
        <w:rPr>
          <w:iCs/>
        </w:rPr>
        <w:t>ure</w:t>
      </w:r>
      <w:r w:rsidR="000F37B9" w:rsidRPr="00AA6C13">
        <w:rPr>
          <w:iCs/>
        </w:rPr>
        <w:t xml:space="preserve"> Mach</w:t>
      </w:r>
      <w:r w:rsidR="00A8222E" w:rsidRPr="00AA6C13">
        <w:rPr>
          <w:iCs/>
        </w:rPr>
        <w:t>ine</w:t>
      </w:r>
      <w:r w:rsidR="000F37B9" w:rsidRPr="00AA6C13">
        <w:rPr>
          <w:iCs/>
        </w:rPr>
        <w:t xml:space="preserve"> Intell</w:t>
      </w:r>
      <w:r w:rsidR="00A8222E" w:rsidRPr="00AA6C13">
        <w:rPr>
          <w:iCs/>
        </w:rPr>
        <w:t>igence</w:t>
      </w:r>
      <w:r w:rsidR="000F37B9" w:rsidRPr="00AA6C13">
        <w:rPr>
          <w:iCs/>
        </w:rPr>
        <w:t xml:space="preserve"> </w:t>
      </w:r>
      <w:r w:rsidR="000F37B9" w:rsidRPr="00AA6C13">
        <w:rPr>
          <w:bCs/>
        </w:rPr>
        <w:t>4</w:t>
      </w:r>
      <w:r w:rsidR="000F37B9" w:rsidRPr="00AA6C13">
        <w:t xml:space="preserve">, 916–921. </w:t>
      </w:r>
    </w:p>
    <w:p w14:paraId="4E981F49" w14:textId="2CFD8024" w:rsidR="002E2071" w:rsidRPr="00AA6C13" w:rsidRDefault="00440EF0" w:rsidP="00AE14C7">
      <w:pPr>
        <w:spacing w:before="0"/>
        <w:ind w:left="3400"/>
      </w:pPr>
      <w:hyperlink r:id="rId116" w:history="1">
        <w:r w:rsidRPr="00AA6C13">
          <w:rPr>
            <w:rStyle w:val="Hyperlink"/>
            <w:rFonts w:ascii="Arial" w:hAnsi="Arial" w:cs="Arial"/>
            <w:sz w:val="18"/>
            <w:szCs w:val="18"/>
          </w:rPr>
          <w:t>https://doi.org/10.1038/s42256-022-00559-4</w:t>
        </w:r>
      </w:hyperlink>
    </w:p>
    <w:p w14:paraId="4204EC7D" w14:textId="355A6786" w:rsidR="002E2071" w:rsidRPr="00AA6C13" w:rsidRDefault="006955B1" w:rsidP="0006232B">
      <w:pPr>
        <w:ind w:left="3400" w:hanging="3400"/>
        <w:rPr>
          <w:rFonts w:eastAsia="Times New Roman"/>
        </w:rPr>
      </w:pPr>
      <w:r w:rsidRPr="00AA6C13">
        <w:rPr>
          <w:rFonts w:eastAsia="Times New Roman"/>
        </w:rPr>
        <w:t>[b-Nagendran et al., 2020]</w:t>
      </w:r>
      <w:r w:rsidR="005E057C" w:rsidRPr="00AA6C13">
        <w:rPr>
          <w:rFonts w:eastAsia="Times New Roman"/>
        </w:rPr>
        <w:tab/>
      </w:r>
      <w:r w:rsidR="005E057C" w:rsidRPr="00AA6C13">
        <w:rPr>
          <w:rFonts w:eastAsia="Times New Roman"/>
        </w:rPr>
        <w:tab/>
      </w:r>
      <w:r w:rsidR="000F37B9" w:rsidRPr="00AA6C13">
        <w:rPr>
          <w:rFonts w:eastAsia="Times New Roman"/>
        </w:rPr>
        <w:t>Nagendran</w:t>
      </w:r>
      <w:r w:rsidR="00115AD2" w:rsidRPr="00AA6C13">
        <w:rPr>
          <w:rFonts w:eastAsia="Times New Roman"/>
        </w:rPr>
        <w:t>,</w:t>
      </w:r>
      <w:r w:rsidR="000F37B9" w:rsidRPr="00AA6C13">
        <w:rPr>
          <w:rFonts w:eastAsia="Times New Roman"/>
        </w:rPr>
        <w:t xml:space="preserve"> M</w:t>
      </w:r>
      <w:r w:rsidR="00151E2A" w:rsidRPr="00AA6C13">
        <w:rPr>
          <w:rFonts w:eastAsia="Times New Roman"/>
        </w:rPr>
        <w:t>.</w:t>
      </w:r>
      <w:r w:rsidR="000F37B9" w:rsidRPr="00AA6C13">
        <w:rPr>
          <w:rFonts w:eastAsia="Times New Roman"/>
        </w:rPr>
        <w:t>, Chen</w:t>
      </w:r>
      <w:r w:rsidR="0078597B" w:rsidRPr="00AA6C13">
        <w:rPr>
          <w:rFonts w:eastAsia="Times New Roman"/>
        </w:rPr>
        <w:t>,</w:t>
      </w:r>
      <w:r w:rsidR="000F37B9" w:rsidRPr="00AA6C13">
        <w:rPr>
          <w:rFonts w:eastAsia="Times New Roman"/>
        </w:rPr>
        <w:t xml:space="preserve"> Y</w:t>
      </w:r>
      <w:r w:rsidR="009236D9" w:rsidRPr="00AA6C13">
        <w:rPr>
          <w:rFonts w:eastAsia="Times New Roman"/>
        </w:rPr>
        <w:t>.</w:t>
      </w:r>
      <w:r w:rsidR="000F37B9" w:rsidRPr="00AA6C13">
        <w:rPr>
          <w:rFonts w:eastAsia="Times New Roman"/>
        </w:rPr>
        <w:t>, Lovejoy</w:t>
      </w:r>
      <w:r w:rsidR="0025044A" w:rsidRPr="00AA6C13">
        <w:rPr>
          <w:rFonts w:eastAsia="Times New Roman"/>
        </w:rPr>
        <w:t>,</w:t>
      </w:r>
      <w:r w:rsidR="000F37B9" w:rsidRPr="00AA6C13">
        <w:rPr>
          <w:rFonts w:eastAsia="Times New Roman"/>
        </w:rPr>
        <w:t xml:space="preserve"> C</w:t>
      </w:r>
      <w:r w:rsidR="0025044A" w:rsidRPr="00AA6C13">
        <w:rPr>
          <w:rFonts w:eastAsia="Times New Roman"/>
        </w:rPr>
        <w:t>.</w:t>
      </w:r>
      <w:r w:rsidR="000F37B9" w:rsidRPr="00AA6C13">
        <w:rPr>
          <w:rFonts w:eastAsia="Times New Roman"/>
        </w:rPr>
        <w:t xml:space="preserve"> A</w:t>
      </w:r>
      <w:r w:rsidR="0025044A" w:rsidRPr="00AA6C13">
        <w:rPr>
          <w:rFonts w:eastAsia="Times New Roman"/>
        </w:rPr>
        <w:t>.</w:t>
      </w:r>
      <w:r w:rsidR="000F37B9" w:rsidRPr="00AA6C13">
        <w:rPr>
          <w:rFonts w:eastAsia="Times New Roman"/>
        </w:rPr>
        <w:t>, Gordon</w:t>
      </w:r>
      <w:r w:rsidR="009D3255" w:rsidRPr="00AA6C13">
        <w:rPr>
          <w:rFonts w:eastAsia="Times New Roman"/>
        </w:rPr>
        <w:t>,</w:t>
      </w:r>
      <w:r w:rsidR="000F37B9" w:rsidRPr="00AA6C13">
        <w:rPr>
          <w:rFonts w:eastAsia="Times New Roman"/>
        </w:rPr>
        <w:t xml:space="preserve"> A</w:t>
      </w:r>
      <w:r w:rsidR="00973946" w:rsidRPr="00AA6C13">
        <w:rPr>
          <w:rFonts w:eastAsia="Times New Roman"/>
        </w:rPr>
        <w:t>.</w:t>
      </w:r>
      <w:r w:rsidR="000F37B9" w:rsidRPr="00AA6C13">
        <w:rPr>
          <w:rFonts w:eastAsia="Times New Roman"/>
        </w:rPr>
        <w:t xml:space="preserve"> C</w:t>
      </w:r>
      <w:r w:rsidR="00973946" w:rsidRPr="00AA6C13">
        <w:rPr>
          <w:rFonts w:eastAsia="Times New Roman"/>
        </w:rPr>
        <w:t>.</w:t>
      </w:r>
      <w:r w:rsidR="000F37B9" w:rsidRPr="00AA6C13">
        <w:rPr>
          <w:rFonts w:eastAsia="Times New Roman"/>
        </w:rPr>
        <w:t>, Komorowski</w:t>
      </w:r>
      <w:r w:rsidR="00A52036" w:rsidRPr="00AA6C13">
        <w:rPr>
          <w:rFonts w:eastAsia="Times New Roman"/>
        </w:rPr>
        <w:t>,</w:t>
      </w:r>
      <w:r w:rsidR="000F37B9" w:rsidRPr="00AA6C13">
        <w:rPr>
          <w:rFonts w:eastAsia="Times New Roman"/>
        </w:rPr>
        <w:t xml:space="preserve"> M</w:t>
      </w:r>
      <w:r w:rsidR="00A52036" w:rsidRPr="00AA6C13">
        <w:rPr>
          <w:rFonts w:eastAsia="Times New Roman"/>
        </w:rPr>
        <w:t>.</w:t>
      </w:r>
      <w:r w:rsidR="000F37B9" w:rsidRPr="00AA6C13">
        <w:rPr>
          <w:rFonts w:eastAsia="Times New Roman"/>
        </w:rPr>
        <w:t>, Harvey</w:t>
      </w:r>
      <w:r w:rsidR="00CC74D7" w:rsidRPr="00AA6C13">
        <w:rPr>
          <w:rFonts w:eastAsia="Times New Roman"/>
        </w:rPr>
        <w:t>,</w:t>
      </w:r>
      <w:r w:rsidR="000F37B9" w:rsidRPr="00AA6C13">
        <w:rPr>
          <w:rFonts w:eastAsia="Times New Roman"/>
        </w:rPr>
        <w:t xml:space="preserve"> H</w:t>
      </w:r>
      <w:r w:rsidR="00CC74D7" w:rsidRPr="00AA6C13">
        <w:rPr>
          <w:rFonts w:eastAsia="Times New Roman"/>
        </w:rPr>
        <w:t>.</w:t>
      </w:r>
      <w:r w:rsidR="000F37B9" w:rsidRPr="00AA6C13">
        <w:rPr>
          <w:rFonts w:eastAsia="Times New Roman"/>
        </w:rPr>
        <w:t xml:space="preserve"> </w:t>
      </w:r>
      <w:r w:rsidR="008D0EB9" w:rsidRPr="00AA6C13">
        <w:rPr>
          <w:rFonts w:eastAsia="Times New Roman"/>
        </w:rPr>
        <w:t>Topol</w:t>
      </w:r>
      <w:r w:rsidR="009B0851" w:rsidRPr="00AA6C13">
        <w:rPr>
          <w:rFonts w:eastAsia="Times New Roman"/>
        </w:rPr>
        <w:t xml:space="preserve">, E. J., </w:t>
      </w:r>
      <w:r w:rsidR="00045B35" w:rsidRPr="00AA6C13">
        <w:rPr>
          <w:rFonts w:eastAsia="Times New Roman"/>
        </w:rPr>
        <w:t>Ioannidis</w:t>
      </w:r>
      <w:r w:rsidR="008C161B" w:rsidRPr="00AA6C13">
        <w:rPr>
          <w:rFonts w:eastAsia="Times New Roman"/>
        </w:rPr>
        <w:t>,</w:t>
      </w:r>
      <w:r w:rsidR="0092746D" w:rsidRPr="00AA6C13">
        <w:rPr>
          <w:rFonts w:eastAsia="Times New Roman"/>
        </w:rPr>
        <w:t xml:space="preserve"> J. P. A.</w:t>
      </w:r>
      <w:r w:rsidR="00DD760D" w:rsidRPr="00AA6C13">
        <w:rPr>
          <w:rFonts w:eastAsia="Times New Roman"/>
        </w:rPr>
        <w:t>,</w:t>
      </w:r>
      <w:r w:rsidR="000C065D" w:rsidRPr="00AA6C13">
        <w:rPr>
          <w:rFonts w:eastAsia="Times New Roman"/>
        </w:rPr>
        <w:t xml:space="preserve"> </w:t>
      </w:r>
      <w:r w:rsidR="00DD760D" w:rsidRPr="00AA6C13">
        <w:rPr>
          <w:rFonts w:eastAsia="Times New Roman"/>
        </w:rPr>
        <w:t xml:space="preserve">Collins, G. S., </w:t>
      </w:r>
      <w:proofErr w:type="spellStart"/>
      <w:r w:rsidR="00750D5F" w:rsidRPr="00AA6C13">
        <w:rPr>
          <w:rFonts w:eastAsia="Times New Roman"/>
        </w:rPr>
        <w:t>Maruthappu</w:t>
      </w:r>
      <w:proofErr w:type="spellEnd"/>
      <w:r w:rsidR="00750D5F" w:rsidRPr="00AA6C13">
        <w:rPr>
          <w:rFonts w:eastAsia="Times New Roman"/>
        </w:rPr>
        <w:t>, M</w:t>
      </w:r>
      <w:r w:rsidR="000F37B9" w:rsidRPr="00AA6C13">
        <w:rPr>
          <w:rFonts w:eastAsia="Times New Roman"/>
        </w:rPr>
        <w:t>. (2020)</w:t>
      </w:r>
      <w:r w:rsidR="00A07446" w:rsidRPr="00AA6C13">
        <w:rPr>
          <w:rFonts w:eastAsia="Times New Roman"/>
        </w:rPr>
        <w:t>,</w:t>
      </w:r>
      <w:r w:rsidR="000F37B9" w:rsidRPr="00AA6C13">
        <w:rPr>
          <w:rFonts w:eastAsia="Times New Roman"/>
        </w:rPr>
        <w:t xml:space="preserve"> </w:t>
      </w:r>
      <w:r w:rsidR="000F37B9" w:rsidRPr="00AA6C13">
        <w:rPr>
          <w:rFonts w:eastAsia="Times New Roman"/>
          <w:i/>
          <w:iCs/>
        </w:rPr>
        <w:t>Artificial intelligence versus clinicians: systematic review of design, reporting standards, and claims of deep learning studies</w:t>
      </w:r>
      <w:r w:rsidR="006859D7" w:rsidRPr="00AA6C13">
        <w:rPr>
          <w:rFonts w:eastAsia="Times New Roman"/>
        </w:rPr>
        <w:t>.</w:t>
      </w:r>
      <w:r w:rsidR="000F37B9" w:rsidRPr="00AA6C13">
        <w:rPr>
          <w:rFonts w:eastAsia="Times New Roman"/>
        </w:rPr>
        <w:t xml:space="preserve"> </w:t>
      </w:r>
      <w:r w:rsidR="000F37B9" w:rsidRPr="00AA6C13">
        <w:rPr>
          <w:rFonts w:eastAsia="Times New Roman"/>
          <w:iCs/>
        </w:rPr>
        <w:t>BMJ</w:t>
      </w:r>
      <w:r w:rsidR="000F37B9" w:rsidRPr="00AA6C13">
        <w:rPr>
          <w:rFonts w:eastAsia="Times New Roman"/>
          <w:i/>
        </w:rPr>
        <w:t>,</w:t>
      </w:r>
      <w:r w:rsidR="000F37B9" w:rsidRPr="00AA6C13">
        <w:rPr>
          <w:rFonts w:eastAsia="Times New Roman"/>
        </w:rPr>
        <w:t xml:space="preserve"> </w:t>
      </w:r>
      <w:r w:rsidR="000F37B9" w:rsidRPr="00AA6C13">
        <w:rPr>
          <w:rFonts w:eastAsia="Times New Roman"/>
          <w:b/>
        </w:rPr>
        <w:t>368</w:t>
      </w:r>
      <w:r w:rsidR="000F37B9" w:rsidRPr="00AA6C13">
        <w:rPr>
          <w:rFonts w:eastAsia="Times New Roman"/>
        </w:rPr>
        <w:t xml:space="preserve">:m689. </w:t>
      </w:r>
      <w:hyperlink r:id="rId117" w:history="1">
        <w:r w:rsidR="009171C4" w:rsidRPr="00AA6C13">
          <w:rPr>
            <w:rStyle w:val="Hyperlink"/>
            <w:rFonts w:ascii="Arial" w:hAnsi="Arial" w:cs="Arial"/>
            <w:sz w:val="18"/>
            <w:szCs w:val="18"/>
          </w:rPr>
          <w:t>http://dx.doi.org/10.1136/bmj.m689</w:t>
        </w:r>
      </w:hyperlink>
    </w:p>
    <w:p w14:paraId="286B07C0" w14:textId="74349821" w:rsidR="00C5426E" w:rsidRPr="00AA6C13" w:rsidRDefault="000B4943">
      <w:pPr>
        <w:ind w:left="3400" w:hanging="3400"/>
        <w:rPr>
          <w:rFonts w:eastAsia="Times New Roman"/>
        </w:rPr>
      </w:pPr>
      <w:r w:rsidRPr="00AA6C13">
        <w:t>[b-</w:t>
      </w:r>
      <w:proofErr w:type="spellStart"/>
      <w:r w:rsidRPr="00AA6C13">
        <w:t>Norgeot</w:t>
      </w:r>
      <w:proofErr w:type="spellEnd"/>
      <w:r w:rsidRPr="00AA6C13">
        <w:t xml:space="preserve">] </w:t>
      </w:r>
      <w:r w:rsidR="000809FD" w:rsidRPr="00AA6C13">
        <w:tab/>
      </w:r>
      <w:r w:rsidR="000809FD" w:rsidRPr="00AA6C13">
        <w:tab/>
      </w:r>
      <w:r w:rsidR="00AE14C7" w:rsidRPr="00AA6C13">
        <w:tab/>
      </w:r>
      <w:proofErr w:type="spellStart"/>
      <w:r w:rsidR="000F37B9" w:rsidRPr="00AA6C13">
        <w:rPr>
          <w:rFonts w:eastAsia="Times New Roman"/>
        </w:rPr>
        <w:t>Norgeot</w:t>
      </w:r>
      <w:proofErr w:type="spellEnd"/>
      <w:r w:rsidR="000F37B9" w:rsidRPr="00AA6C13">
        <w:rPr>
          <w:rFonts w:eastAsia="Times New Roman"/>
        </w:rPr>
        <w:t xml:space="preserve">, B., </w:t>
      </w:r>
      <w:proofErr w:type="spellStart"/>
      <w:r w:rsidR="000F37B9" w:rsidRPr="00AA6C13">
        <w:rPr>
          <w:rFonts w:eastAsia="Times New Roman"/>
        </w:rPr>
        <w:t>Quer</w:t>
      </w:r>
      <w:proofErr w:type="spellEnd"/>
      <w:r w:rsidR="000F37B9" w:rsidRPr="00AA6C13">
        <w:rPr>
          <w:rFonts w:eastAsia="Times New Roman"/>
        </w:rPr>
        <w:t xml:space="preserve">, G., Beaulieu-Jones, B. K., Torkamani, A., Dias, R., Gianfrancesco, M., </w:t>
      </w:r>
      <w:r w:rsidR="001E3214" w:rsidRPr="00AA6C13">
        <w:rPr>
          <w:rFonts w:eastAsia="Times New Roman"/>
        </w:rPr>
        <w:t xml:space="preserve">Arnaout, R., </w:t>
      </w:r>
      <w:proofErr w:type="spellStart"/>
      <w:r w:rsidR="001E3214" w:rsidRPr="00AA6C13">
        <w:rPr>
          <w:rFonts w:eastAsia="Times New Roman"/>
        </w:rPr>
        <w:t>Kohane</w:t>
      </w:r>
      <w:proofErr w:type="spellEnd"/>
      <w:r w:rsidR="001E3214" w:rsidRPr="00AA6C13">
        <w:rPr>
          <w:rFonts w:eastAsia="Times New Roman"/>
        </w:rPr>
        <w:t>, I. S.</w:t>
      </w:r>
      <w:r w:rsidR="00B1075D" w:rsidRPr="00AA6C13">
        <w:rPr>
          <w:rFonts w:eastAsia="Times New Roman"/>
        </w:rPr>
        <w:t>, Saria, S., Topol, E., Obermeyer, Z., Yu, B., and</w:t>
      </w:r>
      <w:r w:rsidR="000F37B9" w:rsidRPr="00AA6C13">
        <w:rPr>
          <w:rFonts w:eastAsia="Times New Roman"/>
        </w:rPr>
        <w:t xml:space="preserve"> </w:t>
      </w:r>
      <w:r w:rsidR="00B1075D" w:rsidRPr="00AA6C13">
        <w:rPr>
          <w:rFonts w:eastAsia="Times New Roman"/>
        </w:rPr>
        <w:t>Butte, A. J</w:t>
      </w:r>
      <w:r w:rsidR="000F37B9" w:rsidRPr="00AA6C13">
        <w:rPr>
          <w:rFonts w:eastAsia="Times New Roman"/>
        </w:rPr>
        <w:t>. (2020)</w:t>
      </w:r>
      <w:r w:rsidR="00A5775A" w:rsidRPr="00AA6C13">
        <w:rPr>
          <w:rFonts w:eastAsia="Times New Roman"/>
        </w:rPr>
        <w:t>,</w:t>
      </w:r>
      <w:r w:rsidR="000F37B9" w:rsidRPr="00AA6C13">
        <w:rPr>
          <w:rFonts w:eastAsia="Times New Roman"/>
        </w:rPr>
        <w:t xml:space="preserve"> </w:t>
      </w:r>
      <w:r w:rsidR="000F37B9" w:rsidRPr="00AA6C13">
        <w:rPr>
          <w:rFonts w:eastAsia="Times New Roman"/>
          <w:i/>
          <w:iCs/>
        </w:rPr>
        <w:t xml:space="preserve">Minimum information about clinical artificial intelligence </w:t>
      </w:r>
      <w:proofErr w:type="spellStart"/>
      <w:r w:rsidR="000F37B9" w:rsidRPr="00AA6C13">
        <w:rPr>
          <w:rFonts w:eastAsia="Times New Roman"/>
          <w:i/>
          <w:iCs/>
        </w:rPr>
        <w:t>modeling</w:t>
      </w:r>
      <w:proofErr w:type="spellEnd"/>
      <w:r w:rsidR="000F37B9" w:rsidRPr="00AA6C13">
        <w:rPr>
          <w:rFonts w:eastAsia="Times New Roman"/>
          <w:i/>
          <w:iCs/>
        </w:rPr>
        <w:t>: the MI-CLAIM checklist</w:t>
      </w:r>
      <w:r w:rsidR="000F37B9" w:rsidRPr="00AA6C13">
        <w:rPr>
          <w:rFonts w:eastAsia="Times New Roman"/>
        </w:rPr>
        <w:t xml:space="preserve">. </w:t>
      </w:r>
      <w:r w:rsidR="000F37B9" w:rsidRPr="00AA6C13">
        <w:rPr>
          <w:rFonts w:eastAsia="Times New Roman"/>
          <w:iCs/>
        </w:rPr>
        <w:t>Nature medicine</w:t>
      </w:r>
      <w:r w:rsidR="000F37B9" w:rsidRPr="00AA6C13">
        <w:rPr>
          <w:rFonts w:eastAsia="Times New Roman"/>
        </w:rPr>
        <w:t xml:space="preserve">, </w:t>
      </w:r>
      <w:r w:rsidR="000F37B9" w:rsidRPr="00AA6C13">
        <w:rPr>
          <w:rFonts w:eastAsia="Times New Roman"/>
          <w:b/>
        </w:rPr>
        <w:t>26</w:t>
      </w:r>
      <w:r w:rsidR="000F37B9" w:rsidRPr="00AA6C13">
        <w:rPr>
          <w:rFonts w:eastAsia="Times New Roman"/>
        </w:rPr>
        <w:t>, 1320</w:t>
      </w:r>
      <w:r w:rsidR="00AE14C7" w:rsidRPr="00AA6C13">
        <w:rPr>
          <w:rFonts w:eastAsia="Times New Roman"/>
        </w:rPr>
        <w:noBreakHyphen/>
      </w:r>
      <w:r w:rsidR="000F37B9" w:rsidRPr="00AA6C13">
        <w:rPr>
          <w:rFonts w:eastAsia="Times New Roman"/>
        </w:rPr>
        <w:t xml:space="preserve">1324. </w:t>
      </w:r>
    </w:p>
    <w:p w14:paraId="2DF2FE5E" w14:textId="5560ABC6" w:rsidR="002E2071" w:rsidRPr="00AA6C13" w:rsidRDefault="00665257" w:rsidP="00AE14C7">
      <w:pPr>
        <w:spacing w:before="0"/>
        <w:ind w:left="3400"/>
        <w:rPr>
          <w:rFonts w:eastAsia="Times New Roman"/>
        </w:rPr>
      </w:pPr>
      <w:hyperlink r:id="rId118" w:history="1">
        <w:r w:rsidRPr="00AA6C13">
          <w:rPr>
            <w:rStyle w:val="Hyperlink"/>
            <w:rFonts w:ascii="Arial" w:hAnsi="Arial" w:cs="Arial"/>
            <w:sz w:val="18"/>
            <w:szCs w:val="18"/>
          </w:rPr>
          <w:t>https://www.nature.com/articles/s41591-020-1041-y</w:t>
        </w:r>
      </w:hyperlink>
    </w:p>
    <w:p w14:paraId="3F99021B" w14:textId="400FAE13" w:rsidR="003B1DF9" w:rsidRPr="00AA6C13" w:rsidRDefault="00E44151">
      <w:pPr>
        <w:ind w:left="3400" w:hanging="3400"/>
        <w:rPr>
          <w:rFonts w:eastAsia="DengXian"/>
        </w:rPr>
      </w:pPr>
      <w:r w:rsidRPr="00AA6C13">
        <w:rPr>
          <w:rFonts w:eastAsia="Times New Roman"/>
        </w:rPr>
        <w:t>[b-</w:t>
      </w:r>
      <w:proofErr w:type="spellStart"/>
      <w:r w:rsidRPr="00AA6C13">
        <w:rPr>
          <w:rFonts w:eastAsia="Times New Roman"/>
        </w:rPr>
        <w:t>Omoumi</w:t>
      </w:r>
      <w:proofErr w:type="spellEnd"/>
      <w:r w:rsidRPr="00AA6C13">
        <w:rPr>
          <w:rFonts w:eastAsia="Times New Roman"/>
        </w:rPr>
        <w:t xml:space="preserve"> et al. 2021]</w:t>
      </w:r>
      <w:r w:rsidR="000F3088" w:rsidRPr="00AA6C13">
        <w:rPr>
          <w:rFonts w:eastAsia="Times New Roman"/>
        </w:rPr>
        <w:tab/>
      </w:r>
      <w:r w:rsidR="000F3088" w:rsidRPr="00AA6C13">
        <w:rPr>
          <w:rFonts w:eastAsia="Times New Roman"/>
        </w:rPr>
        <w:tab/>
      </w:r>
      <w:proofErr w:type="spellStart"/>
      <w:r w:rsidR="000F37B9" w:rsidRPr="00AA6C13">
        <w:rPr>
          <w:rFonts w:eastAsia="DengXian"/>
        </w:rPr>
        <w:t>Omoumi</w:t>
      </w:r>
      <w:proofErr w:type="spellEnd"/>
      <w:r w:rsidR="000F37B9" w:rsidRPr="00AA6C13">
        <w:rPr>
          <w:rFonts w:eastAsia="DengXian"/>
        </w:rPr>
        <w:t>, P., Ducarouge, A., Tournier, A.</w:t>
      </w:r>
      <w:r w:rsidR="001766AB" w:rsidRPr="00AA6C13">
        <w:rPr>
          <w:rFonts w:eastAsia="Times New Roman"/>
        </w:rPr>
        <w:t xml:space="preserve">, Harvey, H., Kahn Jr., C. E., Louvet-de </w:t>
      </w:r>
      <w:proofErr w:type="spellStart"/>
      <w:r w:rsidR="001766AB" w:rsidRPr="00AA6C13">
        <w:rPr>
          <w:rFonts w:eastAsia="Times New Roman"/>
        </w:rPr>
        <w:t>Verchère</w:t>
      </w:r>
      <w:proofErr w:type="spellEnd"/>
      <w:r w:rsidR="001766AB" w:rsidRPr="00AA6C13">
        <w:rPr>
          <w:rFonts w:eastAsia="Times New Roman"/>
        </w:rPr>
        <w:t xml:space="preserve">, F., Santos, D. P. D., Kober, T., and </w:t>
      </w:r>
      <w:proofErr w:type="spellStart"/>
      <w:r w:rsidR="001766AB" w:rsidRPr="00AA6C13">
        <w:rPr>
          <w:rFonts w:eastAsia="Times New Roman"/>
        </w:rPr>
        <w:t>Richiardi</w:t>
      </w:r>
      <w:proofErr w:type="spellEnd"/>
      <w:r w:rsidR="001766AB" w:rsidRPr="00AA6C13">
        <w:rPr>
          <w:rFonts w:eastAsia="Times New Roman"/>
        </w:rPr>
        <w:t>, J</w:t>
      </w:r>
      <w:r w:rsidR="000F37B9" w:rsidRPr="00AA6C13">
        <w:rPr>
          <w:rFonts w:eastAsia="DengXian"/>
        </w:rPr>
        <w:t xml:space="preserve">. </w:t>
      </w:r>
      <w:r w:rsidR="0077719A" w:rsidRPr="00AA6C13">
        <w:rPr>
          <w:rFonts w:eastAsia="DengXian"/>
        </w:rPr>
        <w:t xml:space="preserve">(2021), </w:t>
      </w:r>
      <w:r w:rsidR="000F37B9" w:rsidRPr="00AA6C13">
        <w:rPr>
          <w:rFonts w:eastAsia="DengXian"/>
          <w:i/>
          <w:iCs/>
        </w:rPr>
        <w:t>To buy or not to buy—evaluating commercial AI solutions in radiology (the ECLAIR guidelines)</w:t>
      </w:r>
      <w:r w:rsidR="000F37B9" w:rsidRPr="00AA6C13">
        <w:rPr>
          <w:rFonts w:eastAsia="DengXian"/>
        </w:rPr>
        <w:t xml:space="preserve">. </w:t>
      </w:r>
      <w:r w:rsidR="000F37B9" w:rsidRPr="00AA6C13">
        <w:rPr>
          <w:rFonts w:eastAsia="DengXian"/>
          <w:iCs/>
        </w:rPr>
        <w:t>Eur</w:t>
      </w:r>
      <w:r w:rsidR="007E05D7" w:rsidRPr="00AA6C13">
        <w:rPr>
          <w:rFonts w:eastAsia="DengXian"/>
          <w:iCs/>
        </w:rPr>
        <w:t>opean</w:t>
      </w:r>
      <w:r w:rsidR="000F37B9" w:rsidRPr="00AA6C13">
        <w:rPr>
          <w:rFonts w:eastAsia="DengXian"/>
          <w:iCs/>
        </w:rPr>
        <w:t xml:space="preserve"> Radiol</w:t>
      </w:r>
      <w:r w:rsidR="007E05D7" w:rsidRPr="00AA6C13">
        <w:rPr>
          <w:rFonts w:eastAsia="DengXian"/>
          <w:iCs/>
        </w:rPr>
        <w:t>ogy</w:t>
      </w:r>
      <w:r w:rsidR="000F37B9" w:rsidRPr="00AA6C13">
        <w:rPr>
          <w:rFonts w:eastAsia="DengXian"/>
        </w:rPr>
        <w:t xml:space="preserve"> </w:t>
      </w:r>
      <w:r w:rsidR="000F37B9" w:rsidRPr="00AA6C13">
        <w:rPr>
          <w:rFonts w:eastAsia="DengXian"/>
          <w:bCs/>
        </w:rPr>
        <w:t>31</w:t>
      </w:r>
      <w:r w:rsidR="000F37B9" w:rsidRPr="00AA6C13">
        <w:rPr>
          <w:rFonts w:eastAsia="DengXian"/>
        </w:rPr>
        <w:t xml:space="preserve">, 3786–3796. </w:t>
      </w:r>
    </w:p>
    <w:p w14:paraId="1B176244" w14:textId="783A23D6" w:rsidR="002E2071" w:rsidRPr="00AA6C13" w:rsidRDefault="00C5426E" w:rsidP="00AE14C7">
      <w:pPr>
        <w:spacing w:before="0"/>
        <w:ind w:left="3400"/>
        <w:rPr>
          <w:rFonts w:eastAsia="DengXian"/>
        </w:rPr>
      </w:pPr>
      <w:hyperlink r:id="rId119" w:history="1">
        <w:r w:rsidRPr="00AA6C13">
          <w:rPr>
            <w:rStyle w:val="Hyperlink"/>
            <w:rFonts w:ascii="Arial" w:hAnsi="Arial" w:cs="Arial"/>
            <w:sz w:val="18"/>
            <w:szCs w:val="18"/>
          </w:rPr>
          <w:t>https://doi.org/10.1007/s00330-020-07684-x</w:t>
        </w:r>
      </w:hyperlink>
    </w:p>
    <w:p w14:paraId="15D303E7" w14:textId="2DD341D5" w:rsidR="0078567D" w:rsidRPr="00AA6C13" w:rsidRDefault="00C80133">
      <w:pPr>
        <w:ind w:left="3400" w:hanging="3400"/>
        <w:rPr>
          <w:rFonts w:eastAsia="Times New Roman"/>
        </w:rPr>
      </w:pPr>
      <w:r w:rsidRPr="00AA6C13">
        <w:rPr>
          <w:rFonts w:eastAsia="Times New Roman"/>
          <w:color w:val="212121"/>
        </w:rPr>
        <w:t>[</w:t>
      </w:r>
      <w:r w:rsidR="006435FD" w:rsidRPr="00AA6C13">
        <w:rPr>
          <w:rFonts w:eastAsia="Times New Roman"/>
          <w:color w:val="212121"/>
        </w:rPr>
        <w:t>b-Park et al., 2020]</w:t>
      </w:r>
      <w:r w:rsidR="0030090C" w:rsidRPr="00AA6C13">
        <w:rPr>
          <w:rFonts w:eastAsia="Times New Roman"/>
          <w:color w:val="212121"/>
        </w:rPr>
        <w:tab/>
      </w:r>
      <w:r w:rsidR="0030090C" w:rsidRPr="00AA6C13">
        <w:rPr>
          <w:rFonts w:eastAsia="Times New Roman"/>
          <w:color w:val="212121"/>
        </w:rPr>
        <w:tab/>
      </w:r>
      <w:r w:rsidR="000F37B9" w:rsidRPr="00AA6C13">
        <w:rPr>
          <w:rFonts w:eastAsia="Times New Roman"/>
        </w:rPr>
        <w:t>Park</w:t>
      </w:r>
      <w:r w:rsidR="002621EC" w:rsidRPr="00AA6C13">
        <w:rPr>
          <w:rFonts w:eastAsia="Times New Roman"/>
        </w:rPr>
        <w:t>,</w:t>
      </w:r>
      <w:r w:rsidR="000F37B9" w:rsidRPr="00AA6C13">
        <w:rPr>
          <w:rFonts w:eastAsia="Times New Roman"/>
        </w:rPr>
        <w:t xml:space="preserve"> Y</w:t>
      </w:r>
      <w:r w:rsidR="002621EC" w:rsidRPr="00AA6C13">
        <w:rPr>
          <w:rFonts w:eastAsia="Times New Roman"/>
        </w:rPr>
        <w:t>.</w:t>
      </w:r>
      <w:r w:rsidR="000F37B9" w:rsidRPr="00AA6C13">
        <w:rPr>
          <w:rFonts w:eastAsia="Times New Roman"/>
        </w:rPr>
        <w:t>, Jackson</w:t>
      </w:r>
      <w:r w:rsidR="00172024" w:rsidRPr="00AA6C13">
        <w:rPr>
          <w:rFonts w:eastAsia="Times New Roman"/>
        </w:rPr>
        <w:t>,</w:t>
      </w:r>
      <w:r w:rsidR="000F37B9" w:rsidRPr="00AA6C13">
        <w:rPr>
          <w:rFonts w:eastAsia="Times New Roman"/>
        </w:rPr>
        <w:t xml:space="preserve"> G</w:t>
      </w:r>
      <w:r w:rsidR="008466CF" w:rsidRPr="00AA6C13">
        <w:rPr>
          <w:rFonts w:eastAsia="Times New Roman"/>
        </w:rPr>
        <w:t xml:space="preserve">. </w:t>
      </w:r>
      <w:r w:rsidR="000F37B9" w:rsidRPr="00AA6C13">
        <w:rPr>
          <w:rFonts w:eastAsia="Times New Roman"/>
        </w:rPr>
        <w:t>P</w:t>
      </w:r>
      <w:r w:rsidR="008466CF" w:rsidRPr="00AA6C13">
        <w:rPr>
          <w:rFonts w:eastAsia="Times New Roman"/>
        </w:rPr>
        <w:t>.</w:t>
      </w:r>
      <w:r w:rsidR="000F37B9" w:rsidRPr="00AA6C13">
        <w:rPr>
          <w:rFonts w:eastAsia="Times New Roman"/>
        </w:rPr>
        <w:t>, Foreman</w:t>
      </w:r>
      <w:r w:rsidR="00863B60" w:rsidRPr="00AA6C13">
        <w:rPr>
          <w:rFonts w:eastAsia="Times New Roman"/>
        </w:rPr>
        <w:t>,</w:t>
      </w:r>
      <w:r w:rsidR="000F37B9" w:rsidRPr="00AA6C13">
        <w:rPr>
          <w:rFonts w:eastAsia="Times New Roman"/>
        </w:rPr>
        <w:t xml:space="preserve"> M</w:t>
      </w:r>
      <w:r w:rsidR="006D60AB" w:rsidRPr="00AA6C13">
        <w:rPr>
          <w:rFonts w:eastAsia="Times New Roman"/>
        </w:rPr>
        <w:t xml:space="preserve">. </w:t>
      </w:r>
      <w:r w:rsidR="000F37B9" w:rsidRPr="00AA6C13">
        <w:rPr>
          <w:rFonts w:eastAsia="Times New Roman"/>
        </w:rPr>
        <w:t>A</w:t>
      </w:r>
      <w:r w:rsidR="006D60AB" w:rsidRPr="00AA6C13">
        <w:rPr>
          <w:rFonts w:eastAsia="Times New Roman"/>
        </w:rPr>
        <w:t>.</w:t>
      </w:r>
      <w:r w:rsidR="000F37B9" w:rsidRPr="00AA6C13">
        <w:rPr>
          <w:rFonts w:eastAsia="Times New Roman"/>
        </w:rPr>
        <w:t>, Gruen</w:t>
      </w:r>
      <w:r w:rsidR="00AE079E" w:rsidRPr="00AA6C13">
        <w:rPr>
          <w:rFonts w:eastAsia="Times New Roman"/>
        </w:rPr>
        <w:t>,</w:t>
      </w:r>
      <w:r w:rsidR="000F37B9" w:rsidRPr="00AA6C13">
        <w:rPr>
          <w:rFonts w:eastAsia="Times New Roman"/>
        </w:rPr>
        <w:t xml:space="preserve"> D</w:t>
      </w:r>
      <w:r w:rsidR="00AE079E" w:rsidRPr="00AA6C13">
        <w:rPr>
          <w:rFonts w:eastAsia="Times New Roman"/>
        </w:rPr>
        <w:t>.</w:t>
      </w:r>
      <w:r w:rsidR="000F37B9" w:rsidRPr="00AA6C13">
        <w:rPr>
          <w:rFonts w:eastAsia="Times New Roman"/>
        </w:rPr>
        <w:t>, Hu</w:t>
      </w:r>
      <w:r w:rsidR="005F39CD" w:rsidRPr="00AA6C13">
        <w:rPr>
          <w:rFonts w:eastAsia="Times New Roman"/>
        </w:rPr>
        <w:t>,</w:t>
      </w:r>
      <w:r w:rsidR="000F37B9" w:rsidRPr="00AA6C13">
        <w:rPr>
          <w:rFonts w:eastAsia="Times New Roman"/>
        </w:rPr>
        <w:t xml:space="preserve"> J</w:t>
      </w:r>
      <w:r w:rsidR="002025CB" w:rsidRPr="00AA6C13">
        <w:rPr>
          <w:rFonts w:eastAsia="Times New Roman"/>
        </w:rPr>
        <w:t>.</w:t>
      </w:r>
      <w:r w:rsidR="000F37B9" w:rsidRPr="00AA6C13">
        <w:rPr>
          <w:rFonts w:eastAsia="Times New Roman"/>
        </w:rPr>
        <w:t>, Das</w:t>
      </w:r>
      <w:r w:rsidR="003E09F8" w:rsidRPr="00AA6C13">
        <w:rPr>
          <w:rFonts w:eastAsia="Times New Roman"/>
        </w:rPr>
        <w:t>,</w:t>
      </w:r>
      <w:r w:rsidR="000F37B9" w:rsidRPr="00AA6C13">
        <w:rPr>
          <w:rFonts w:eastAsia="Times New Roman"/>
        </w:rPr>
        <w:t xml:space="preserve"> A</w:t>
      </w:r>
      <w:r w:rsidR="007E6C5E" w:rsidRPr="00AA6C13">
        <w:rPr>
          <w:rFonts w:eastAsia="Times New Roman"/>
        </w:rPr>
        <w:t xml:space="preserve">. </w:t>
      </w:r>
      <w:r w:rsidR="000F37B9" w:rsidRPr="00AA6C13">
        <w:rPr>
          <w:rFonts w:eastAsia="Times New Roman"/>
        </w:rPr>
        <w:t>K. (2020)</w:t>
      </w:r>
      <w:r w:rsidR="00B56E31" w:rsidRPr="00AA6C13">
        <w:rPr>
          <w:rFonts w:eastAsia="Times New Roman"/>
        </w:rPr>
        <w:t>,</w:t>
      </w:r>
      <w:r w:rsidR="000F37B9" w:rsidRPr="00AA6C13">
        <w:rPr>
          <w:rFonts w:eastAsia="Times New Roman"/>
        </w:rPr>
        <w:t xml:space="preserve"> </w:t>
      </w:r>
      <w:r w:rsidR="000F37B9" w:rsidRPr="00AA6C13">
        <w:rPr>
          <w:rFonts w:eastAsia="Times New Roman"/>
          <w:i/>
          <w:iCs/>
        </w:rPr>
        <w:t>Evaluating artificial intelligence in medicine: phases of clinical research</w:t>
      </w:r>
      <w:r w:rsidR="000F37B9" w:rsidRPr="00AA6C13">
        <w:rPr>
          <w:rFonts w:eastAsia="Times New Roman"/>
        </w:rPr>
        <w:t>.</w:t>
      </w:r>
      <w:r w:rsidR="000F37B9" w:rsidRPr="00AA6C13">
        <w:rPr>
          <w:rFonts w:eastAsia="Times New Roman"/>
          <w:i/>
        </w:rPr>
        <w:t xml:space="preserve"> </w:t>
      </w:r>
      <w:r w:rsidR="000F37B9" w:rsidRPr="00AA6C13">
        <w:rPr>
          <w:rFonts w:eastAsia="Times New Roman"/>
          <w:iCs/>
        </w:rPr>
        <w:t>JAMIA Open</w:t>
      </w:r>
      <w:r w:rsidR="00ED2542" w:rsidRPr="00AA6C13">
        <w:rPr>
          <w:rFonts w:eastAsia="Times New Roman"/>
          <w:iCs/>
        </w:rPr>
        <w:t>,</w:t>
      </w:r>
      <w:r w:rsidR="000F37B9" w:rsidRPr="00AA6C13">
        <w:rPr>
          <w:rFonts w:eastAsia="Times New Roman"/>
        </w:rPr>
        <w:t xml:space="preserve"> </w:t>
      </w:r>
      <w:r w:rsidR="00955572" w:rsidRPr="00AA6C13">
        <w:rPr>
          <w:rFonts w:eastAsia="Times New Roman"/>
        </w:rPr>
        <w:t xml:space="preserve">Volume </w:t>
      </w:r>
      <w:r w:rsidR="000F37B9" w:rsidRPr="00AA6C13">
        <w:rPr>
          <w:rFonts w:eastAsia="Times New Roman"/>
          <w:bCs/>
        </w:rPr>
        <w:t>3</w:t>
      </w:r>
      <w:r w:rsidR="000F37B9" w:rsidRPr="00AA6C13">
        <w:rPr>
          <w:rFonts w:eastAsia="Times New Roman"/>
        </w:rPr>
        <w:t>(3)</w:t>
      </w:r>
      <w:r w:rsidR="00ED7773" w:rsidRPr="00AA6C13">
        <w:rPr>
          <w:rFonts w:eastAsia="Times New Roman"/>
        </w:rPr>
        <w:t xml:space="preserve"> pp</w:t>
      </w:r>
      <w:r w:rsidR="00AE14C7" w:rsidRPr="00AA6C13">
        <w:rPr>
          <w:rFonts w:eastAsia="Times New Roman"/>
        </w:rPr>
        <w:t>. </w:t>
      </w:r>
      <w:r w:rsidR="000F37B9" w:rsidRPr="00AA6C13">
        <w:rPr>
          <w:rFonts w:eastAsia="Times New Roman"/>
        </w:rPr>
        <w:t>326</w:t>
      </w:r>
      <w:r w:rsidR="00AE14C7" w:rsidRPr="00AA6C13">
        <w:rPr>
          <w:rFonts w:eastAsia="Times New Roman"/>
        </w:rPr>
        <w:noBreakHyphen/>
      </w:r>
      <w:r w:rsidR="000F37B9" w:rsidRPr="00AA6C13">
        <w:rPr>
          <w:rFonts w:eastAsia="Times New Roman"/>
        </w:rPr>
        <w:t xml:space="preserve">331. </w:t>
      </w:r>
    </w:p>
    <w:p w14:paraId="3B9D89B0" w14:textId="519791CF" w:rsidR="002E2071" w:rsidRPr="00AA6C13" w:rsidRDefault="00ED2542" w:rsidP="00AE14C7">
      <w:pPr>
        <w:spacing w:before="0"/>
        <w:ind w:left="3400"/>
        <w:rPr>
          <w:rFonts w:eastAsia="Times New Roman"/>
        </w:rPr>
      </w:pPr>
      <w:hyperlink r:id="rId120" w:history="1">
        <w:r w:rsidRPr="00AA6C13">
          <w:rPr>
            <w:rStyle w:val="Hyperlink"/>
            <w:rFonts w:ascii="Arial" w:hAnsi="Arial" w:cs="Arial"/>
            <w:sz w:val="18"/>
            <w:szCs w:val="18"/>
          </w:rPr>
          <w:t>http://dx.doi.org/10.1093/jamiaopen/ooaa033</w:t>
        </w:r>
      </w:hyperlink>
    </w:p>
    <w:p w14:paraId="7448AE90" w14:textId="5980BCF0" w:rsidR="008267D6" w:rsidRPr="00AA6C13" w:rsidRDefault="00464968" w:rsidP="00AE14C7">
      <w:pPr>
        <w:keepNext/>
        <w:keepLines/>
        <w:ind w:left="3402" w:hanging="3402"/>
      </w:pPr>
      <w:r w:rsidRPr="00AA6C13">
        <w:rPr>
          <w:rFonts w:eastAsia="Calibri"/>
        </w:rPr>
        <w:lastRenderedPageBreak/>
        <w:t>[b-Reddy et al., 2020</w:t>
      </w:r>
      <w:r w:rsidR="00073D2F" w:rsidRPr="00AA6C13">
        <w:rPr>
          <w:rFonts w:eastAsia="Calibri"/>
        </w:rPr>
        <w:t>]</w:t>
      </w:r>
      <w:r w:rsidR="005C3899" w:rsidRPr="00AA6C13">
        <w:rPr>
          <w:rFonts w:eastAsia="Calibri"/>
        </w:rPr>
        <w:tab/>
      </w:r>
      <w:r w:rsidR="005C3899" w:rsidRPr="00AA6C13">
        <w:rPr>
          <w:rFonts w:eastAsia="Calibri"/>
        </w:rPr>
        <w:tab/>
      </w:r>
      <w:r w:rsidR="000F37B9" w:rsidRPr="00AA6C13">
        <w:t>Reddy</w:t>
      </w:r>
      <w:r w:rsidR="00287244" w:rsidRPr="00AA6C13">
        <w:t>,</w:t>
      </w:r>
      <w:r w:rsidR="000F37B9" w:rsidRPr="00AA6C13">
        <w:t xml:space="preserve"> S</w:t>
      </w:r>
      <w:r w:rsidR="00287244" w:rsidRPr="00AA6C13">
        <w:t>.</w:t>
      </w:r>
      <w:r w:rsidR="000F37B9" w:rsidRPr="00AA6C13">
        <w:t>, Allan</w:t>
      </w:r>
      <w:r w:rsidR="004A3158" w:rsidRPr="00AA6C13">
        <w:t>,</w:t>
      </w:r>
      <w:r w:rsidR="000F37B9" w:rsidRPr="00AA6C13">
        <w:t xml:space="preserve"> S</w:t>
      </w:r>
      <w:r w:rsidR="0060419A" w:rsidRPr="00AA6C13">
        <w:t>.</w:t>
      </w:r>
      <w:r w:rsidR="000F37B9" w:rsidRPr="00AA6C13">
        <w:t>, Coghlan</w:t>
      </w:r>
      <w:r w:rsidR="00EC19A0" w:rsidRPr="00AA6C13">
        <w:t>,</w:t>
      </w:r>
      <w:r w:rsidR="000F37B9" w:rsidRPr="00AA6C13">
        <w:t xml:space="preserve"> S</w:t>
      </w:r>
      <w:r w:rsidR="00EC19A0" w:rsidRPr="00AA6C13">
        <w:t>.</w:t>
      </w:r>
      <w:r w:rsidR="000F37B9" w:rsidRPr="00AA6C13">
        <w:t>, Cooper</w:t>
      </w:r>
      <w:r w:rsidR="00796F1A" w:rsidRPr="00AA6C13">
        <w:t>,</w:t>
      </w:r>
      <w:r w:rsidR="000F37B9" w:rsidRPr="00AA6C13">
        <w:t xml:space="preserve"> P. (2020)</w:t>
      </w:r>
      <w:r w:rsidR="00522585" w:rsidRPr="00AA6C13">
        <w:t>,</w:t>
      </w:r>
      <w:r w:rsidR="000F37B9" w:rsidRPr="00AA6C13">
        <w:t xml:space="preserve"> </w:t>
      </w:r>
      <w:r w:rsidR="000F37B9" w:rsidRPr="00AA6C13">
        <w:rPr>
          <w:i/>
          <w:iCs/>
        </w:rPr>
        <w:t>A governance model for the application of AI in health care</w:t>
      </w:r>
      <w:r w:rsidR="000F37B9" w:rsidRPr="00AA6C13">
        <w:t xml:space="preserve">. </w:t>
      </w:r>
      <w:r w:rsidR="000F37B9" w:rsidRPr="00AA6C13">
        <w:rPr>
          <w:iCs/>
        </w:rPr>
        <w:t>J</w:t>
      </w:r>
      <w:r w:rsidR="00C03E34" w:rsidRPr="00AA6C13">
        <w:rPr>
          <w:iCs/>
        </w:rPr>
        <w:t>ournal of the</w:t>
      </w:r>
      <w:r w:rsidR="000F37B9" w:rsidRPr="00AA6C13">
        <w:rPr>
          <w:iCs/>
        </w:rPr>
        <w:t xml:space="preserve"> Am</w:t>
      </w:r>
      <w:r w:rsidR="00C03E34" w:rsidRPr="00AA6C13">
        <w:rPr>
          <w:iCs/>
        </w:rPr>
        <w:t>erican</w:t>
      </w:r>
      <w:r w:rsidR="000F37B9" w:rsidRPr="00AA6C13">
        <w:rPr>
          <w:iCs/>
        </w:rPr>
        <w:t xml:space="preserve"> Med</w:t>
      </w:r>
      <w:r w:rsidR="00C03E34" w:rsidRPr="00AA6C13">
        <w:rPr>
          <w:iCs/>
        </w:rPr>
        <w:t>ical</w:t>
      </w:r>
      <w:r w:rsidR="000F37B9" w:rsidRPr="00AA6C13">
        <w:rPr>
          <w:iCs/>
        </w:rPr>
        <w:t xml:space="preserve"> Inform</w:t>
      </w:r>
      <w:r w:rsidR="00C03E34" w:rsidRPr="00AA6C13">
        <w:rPr>
          <w:iCs/>
        </w:rPr>
        <w:t>atics</w:t>
      </w:r>
      <w:r w:rsidR="000F37B9" w:rsidRPr="00AA6C13">
        <w:rPr>
          <w:iCs/>
        </w:rPr>
        <w:t xml:space="preserve"> Assoc</w:t>
      </w:r>
      <w:r w:rsidR="00C03E34" w:rsidRPr="00AA6C13">
        <w:rPr>
          <w:iCs/>
        </w:rPr>
        <w:t>iation</w:t>
      </w:r>
      <w:r w:rsidR="000F37B9" w:rsidRPr="00AA6C13">
        <w:rPr>
          <w:i/>
        </w:rPr>
        <w:t>.</w:t>
      </w:r>
      <w:r w:rsidR="000F37B9" w:rsidRPr="00AA6C13">
        <w:rPr>
          <w:b/>
        </w:rPr>
        <w:t xml:space="preserve"> </w:t>
      </w:r>
      <w:r w:rsidR="003B7C4E" w:rsidRPr="00AA6C13">
        <w:rPr>
          <w:bCs/>
        </w:rPr>
        <w:t xml:space="preserve">Volume </w:t>
      </w:r>
      <w:r w:rsidR="000F37B9" w:rsidRPr="00AA6C13">
        <w:rPr>
          <w:bCs/>
        </w:rPr>
        <w:t>27</w:t>
      </w:r>
      <w:r w:rsidR="000F37B9" w:rsidRPr="00AA6C13">
        <w:t>(3)</w:t>
      </w:r>
      <w:r w:rsidR="003B7C4E" w:rsidRPr="00AA6C13">
        <w:t xml:space="preserve"> pp</w:t>
      </w:r>
      <w:r w:rsidR="00AE14C7" w:rsidRPr="00AA6C13">
        <w:t>. </w:t>
      </w:r>
      <w:r w:rsidR="000F37B9" w:rsidRPr="00AA6C13">
        <w:t xml:space="preserve">491-497. </w:t>
      </w:r>
    </w:p>
    <w:p w14:paraId="16EE5F33" w14:textId="5FC4D7A8" w:rsidR="002E2071" w:rsidRPr="00AA6C13" w:rsidRDefault="00955572" w:rsidP="00AE14C7">
      <w:pPr>
        <w:spacing w:before="0"/>
        <w:ind w:left="3400"/>
      </w:pPr>
      <w:hyperlink r:id="rId121" w:history="1">
        <w:r w:rsidRPr="00AA6C13">
          <w:rPr>
            <w:rStyle w:val="Hyperlink"/>
            <w:rFonts w:ascii="Arial" w:hAnsi="Arial" w:cs="Arial"/>
            <w:sz w:val="18"/>
            <w:szCs w:val="18"/>
          </w:rPr>
          <w:t>https://doi.org/10.1093/jamia/ocz192</w:t>
        </w:r>
      </w:hyperlink>
    </w:p>
    <w:p w14:paraId="69CB3C79" w14:textId="647FCEF6" w:rsidR="00022E87" w:rsidRPr="00AA6C13" w:rsidRDefault="005C190A">
      <w:pPr>
        <w:ind w:left="3400" w:hanging="3400"/>
      </w:pPr>
      <w:r w:rsidRPr="00AA6C13">
        <w:t>[</w:t>
      </w:r>
      <w:r w:rsidR="003D21E4" w:rsidRPr="00AA6C13">
        <w:t>b-Reddy S. et al 2021]</w:t>
      </w:r>
      <w:r w:rsidR="00E03380" w:rsidRPr="00AA6C13">
        <w:tab/>
      </w:r>
      <w:r w:rsidR="00E03380" w:rsidRPr="00AA6C13">
        <w:tab/>
      </w:r>
      <w:r w:rsidR="000F37B9" w:rsidRPr="00AA6C13">
        <w:t>Reddy</w:t>
      </w:r>
      <w:r w:rsidR="00C67CAE" w:rsidRPr="00AA6C13">
        <w:t>,</w:t>
      </w:r>
      <w:r w:rsidR="000F37B9" w:rsidRPr="00AA6C13">
        <w:t xml:space="preserve"> S., Rogers</w:t>
      </w:r>
      <w:r w:rsidR="0095746F" w:rsidRPr="00AA6C13">
        <w:t>,</w:t>
      </w:r>
      <w:r w:rsidR="000F37B9" w:rsidRPr="00AA6C13">
        <w:t xml:space="preserve"> W., Makinen</w:t>
      </w:r>
      <w:r w:rsidR="00E44174" w:rsidRPr="00AA6C13">
        <w:t>,</w:t>
      </w:r>
      <w:r w:rsidR="000F37B9" w:rsidRPr="00AA6C13">
        <w:t xml:space="preserve"> V</w:t>
      </w:r>
      <w:r w:rsidR="005344EB" w:rsidRPr="00AA6C13">
        <w:t>-</w:t>
      </w:r>
      <w:r w:rsidR="000F37B9" w:rsidRPr="00AA6C13">
        <w:t xml:space="preserve">P., </w:t>
      </w:r>
      <w:proofErr w:type="spellStart"/>
      <w:r w:rsidR="000F37B9" w:rsidRPr="00AA6C13">
        <w:t>Coiera</w:t>
      </w:r>
      <w:proofErr w:type="spellEnd"/>
      <w:r w:rsidR="00675BB8" w:rsidRPr="00AA6C13">
        <w:t>,</w:t>
      </w:r>
      <w:r w:rsidR="000F37B9" w:rsidRPr="00AA6C13">
        <w:t xml:space="preserve"> E., Brown</w:t>
      </w:r>
      <w:r w:rsidR="00FA3688" w:rsidRPr="00AA6C13">
        <w:t>,</w:t>
      </w:r>
      <w:r w:rsidR="000F37B9" w:rsidRPr="00AA6C13">
        <w:t xml:space="preserve"> P., Wenzel</w:t>
      </w:r>
      <w:r w:rsidR="00D2139B" w:rsidRPr="00AA6C13">
        <w:t>,</w:t>
      </w:r>
      <w:r w:rsidR="000F37B9" w:rsidRPr="00AA6C13">
        <w:t xml:space="preserve"> M., </w:t>
      </w:r>
      <w:proofErr w:type="spellStart"/>
      <w:r w:rsidR="000F37B9" w:rsidRPr="00AA6C13">
        <w:t>Weicken</w:t>
      </w:r>
      <w:proofErr w:type="spellEnd"/>
      <w:r w:rsidR="00645C98" w:rsidRPr="00AA6C13">
        <w:t>,</w:t>
      </w:r>
      <w:r w:rsidR="000F37B9" w:rsidRPr="00AA6C13">
        <w:t xml:space="preserve"> E., Ansari</w:t>
      </w:r>
      <w:r w:rsidR="00FB7DC6" w:rsidRPr="00AA6C13">
        <w:t>,</w:t>
      </w:r>
      <w:r w:rsidR="000F37B9" w:rsidRPr="00AA6C13">
        <w:t xml:space="preserve"> S., Mathur</w:t>
      </w:r>
      <w:r w:rsidR="00816883" w:rsidRPr="00AA6C13">
        <w:t>,</w:t>
      </w:r>
      <w:r w:rsidR="000F37B9" w:rsidRPr="00AA6C13">
        <w:t xml:space="preserve"> P., Casey</w:t>
      </w:r>
      <w:r w:rsidR="0018314D" w:rsidRPr="00AA6C13">
        <w:t>,</w:t>
      </w:r>
      <w:r w:rsidR="000F37B9" w:rsidRPr="00AA6C13">
        <w:t xml:space="preserve"> A., Kelly</w:t>
      </w:r>
      <w:r w:rsidR="00014F30" w:rsidRPr="00AA6C13">
        <w:t>,</w:t>
      </w:r>
      <w:r w:rsidR="000F37B9" w:rsidRPr="00AA6C13">
        <w:t xml:space="preserve"> B. (2021)</w:t>
      </w:r>
      <w:r w:rsidR="00A753F1" w:rsidRPr="00AA6C13">
        <w:t>,</w:t>
      </w:r>
      <w:r w:rsidR="000F37B9" w:rsidRPr="00AA6C13">
        <w:t xml:space="preserve"> </w:t>
      </w:r>
      <w:r w:rsidR="000F37B9" w:rsidRPr="00AA6C13">
        <w:rPr>
          <w:i/>
          <w:iCs/>
        </w:rPr>
        <w:t>Evaluation framework to guide implementation of AI systems into healthcare settings</w:t>
      </w:r>
      <w:r w:rsidR="000F37B9" w:rsidRPr="00AA6C13">
        <w:t xml:space="preserve">. </w:t>
      </w:r>
      <w:r w:rsidR="000F37B9" w:rsidRPr="00AA6C13">
        <w:rPr>
          <w:iCs/>
        </w:rPr>
        <w:t>BMJ health &amp; care informatics</w:t>
      </w:r>
      <w:r w:rsidR="000F37B9" w:rsidRPr="00AA6C13">
        <w:t xml:space="preserve">, </w:t>
      </w:r>
      <w:r w:rsidR="006043CE" w:rsidRPr="00AA6C13">
        <w:t xml:space="preserve">Volume </w:t>
      </w:r>
      <w:r w:rsidR="000F37B9" w:rsidRPr="00AA6C13">
        <w:rPr>
          <w:bCs/>
        </w:rPr>
        <w:t>28</w:t>
      </w:r>
      <w:r w:rsidR="000F37B9" w:rsidRPr="00AA6C13">
        <w:t xml:space="preserve">(1). </w:t>
      </w:r>
    </w:p>
    <w:p w14:paraId="63C0E2F3" w14:textId="4FBD8504" w:rsidR="002E2071" w:rsidRPr="00AA6C13" w:rsidRDefault="006043CE" w:rsidP="00AE14C7">
      <w:pPr>
        <w:spacing w:before="0"/>
        <w:ind w:left="3400"/>
      </w:pPr>
      <w:hyperlink r:id="rId122" w:history="1">
        <w:r w:rsidRPr="00AA6C13">
          <w:rPr>
            <w:rStyle w:val="Hyperlink"/>
            <w:rFonts w:ascii="Arial" w:hAnsi="Arial" w:cs="Arial"/>
            <w:sz w:val="18"/>
            <w:szCs w:val="18"/>
          </w:rPr>
          <w:t>http://dx.doi.org/10.1136/bmjhci-2021-100444</w:t>
        </w:r>
      </w:hyperlink>
    </w:p>
    <w:p w14:paraId="6D357361" w14:textId="4A3D923C" w:rsidR="00BB17E9" w:rsidRPr="00AA6C13" w:rsidRDefault="005C41C0">
      <w:pPr>
        <w:ind w:left="3400" w:hanging="3400"/>
      </w:pPr>
      <w:r w:rsidRPr="00AA6C13">
        <w:t>[b-Reinke et al., 2018]</w:t>
      </w:r>
      <w:r w:rsidR="00177D57" w:rsidRPr="00AA6C13">
        <w:tab/>
      </w:r>
      <w:r w:rsidR="002E7D36" w:rsidRPr="00AA6C13">
        <w:tab/>
      </w:r>
      <w:r w:rsidR="000F37B9" w:rsidRPr="00AA6C13">
        <w:t>Reinke</w:t>
      </w:r>
      <w:r w:rsidR="000262B5" w:rsidRPr="00AA6C13">
        <w:t xml:space="preserve">, </w:t>
      </w:r>
      <w:r w:rsidR="008C6957" w:rsidRPr="00AA6C13">
        <w:t xml:space="preserve">A., Eisenmann, M., </w:t>
      </w:r>
      <w:proofErr w:type="spellStart"/>
      <w:r w:rsidR="008C6957" w:rsidRPr="00AA6C13">
        <w:t>Onogur</w:t>
      </w:r>
      <w:proofErr w:type="spellEnd"/>
      <w:r w:rsidR="008C6957" w:rsidRPr="00AA6C13">
        <w:t xml:space="preserve">, S., Stankovic, M., Scholz, P., Full, P. M., </w:t>
      </w:r>
      <w:proofErr w:type="spellStart"/>
      <w:r w:rsidR="008C6957" w:rsidRPr="00AA6C13">
        <w:t>Bogunovic</w:t>
      </w:r>
      <w:proofErr w:type="spellEnd"/>
      <w:r w:rsidR="008C6957" w:rsidRPr="00AA6C13">
        <w:t xml:space="preserve">, H., Landman, B. A., </w:t>
      </w:r>
      <w:r w:rsidR="00B852F8" w:rsidRPr="00AA6C13">
        <w:t xml:space="preserve">Maier, O., Menze, B., Sharp, G. C., </w:t>
      </w:r>
      <w:proofErr w:type="spellStart"/>
      <w:r w:rsidR="00B852F8" w:rsidRPr="00AA6C13">
        <w:t>Sirinukunwattana</w:t>
      </w:r>
      <w:proofErr w:type="spellEnd"/>
      <w:r w:rsidR="00B852F8" w:rsidRPr="00AA6C13">
        <w:t xml:space="preserve">, K., Speidel, S., </w:t>
      </w:r>
      <w:proofErr w:type="spellStart"/>
      <w:r w:rsidR="00B852F8" w:rsidRPr="00AA6C13">
        <w:t>Sommen</w:t>
      </w:r>
      <w:proofErr w:type="spellEnd"/>
      <w:r w:rsidR="00B852F8" w:rsidRPr="00AA6C13">
        <w:t>, F. V. D., Zheng, G., Mü</w:t>
      </w:r>
      <w:r w:rsidR="0011490D" w:rsidRPr="00AA6C13">
        <w:t xml:space="preserve">ller, H., </w:t>
      </w:r>
      <w:proofErr w:type="spellStart"/>
      <w:r w:rsidR="0011490D" w:rsidRPr="00AA6C13">
        <w:t>Kozubek</w:t>
      </w:r>
      <w:proofErr w:type="spellEnd"/>
      <w:r w:rsidR="0011490D" w:rsidRPr="00AA6C13">
        <w:t xml:space="preserve">, M., Arbel, T., Bradley, A P., </w:t>
      </w:r>
      <w:proofErr w:type="spellStart"/>
      <w:r w:rsidR="0011490D" w:rsidRPr="00AA6C13">
        <w:t>Jannin</w:t>
      </w:r>
      <w:proofErr w:type="spellEnd"/>
      <w:r w:rsidR="0011490D" w:rsidRPr="00AA6C13">
        <w:t>, P., Kopp-Schneider, A., and Maier-Hein, L</w:t>
      </w:r>
      <w:r w:rsidR="000F37B9" w:rsidRPr="00AA6C13">
        <w:t>. (2018)</w:t>
      </w:r>
      <w:r w:rsidR="009B3F3C" w:rsidRPr="00AA6C13">
        <w:t>,</w:t>
      </w:r>
      <w:r w:rsidR="000F37B9" w:rsidRPr="00AA6C13">
        <w:t xml:space="preserve"> </w:t>
      </w:r>
      <w:r w:rsidR="000F37B9" w:rsidRPr="00AA6C13">
        <w:rPr>
          <w:i/>
          <w:iCs/>
        </w:rPr>
        <w:t>How to exploit weaknesses in biomedical challenge design and organization</w:t>
      </w:r>
      <w:r w:rsidR="000F37B9" w:rsidRPr="00AA6C13">
        <w:t xml:space="preserve">. International Conference on Medical Image Computing and Computer-Assisted Intervention (pp. 388-395). Springer, Cham. </w:t>
      </w:r>
    </w:p>
    <w:p w14:paraId="45B44200" w14:textId="6DC1B623" w:rsidR="002E2071" w:rsidRPr="00AA6C13" w:rsidRDefault="00022E87" w:rsidP="00AE14C7">
      <w:pPr>
        <w:spacing w:before="0"/>
        <w:ind w:left="3400"/>
      </w:pPr>
      <w:hyperlink r:id="rId123" w:history="1">
        <w:r w:rsidRPr="00AA6C13">
          <w:rPr>
            <w:rStyle w:val="Hyperlink"/>
            <w:rFonts w:ascii="Arial" w:hAnsi="Arial" w:cs="Arial"/>
            <w:sz w:val="18"/>
            <w:szCs w:val="18"/>
          </w:rPr>
          <w:t>https://doi.org/10.1007/978-3-030-00937-3_45</w:t>
        </w:r>
      </w:hyperlink>
    </w:p>
    <w:p w14:paraId="7F4D8B22" w14:textId="5AB317D2" w:rsidR="00D45422" w:rsidRPr="00AA6C13" w:rsidRDefault="005A7D5F">
      <w:pPr>
        <w:ind w:left="3400" w:hanging="3400"/>
      </w:pPr>
      <w:r w:rsidRPr="00AA6C13">
        <w:rPr>
          <w:rFonts w:eastAsia="Times New Roman"/>
        </w:rPr>
        <w:t>[</w:t>
      </w:r>
      <w:r w:rsidR="009B06A3" w:rsidRPr="00AA6C13">
        <w:rPr>
          <w:rFonts w:eastAsia="Times New Roman"/>
        </w:rPr>
        <w:t>b-Reinke et al., 2021</w:t>
      </w:r>
      <w:r w:rsidR="00C12690" w:rsidRPr="00AA6C13">
        <w:rPr>
          <w:rFonts w:eastAsia="Times New Roman"/>
        </w:rPr>
        <w:t>]</w:t>
      </w:r>
      <w:r w:rsidR="00FF34EA" w:rsidRPr="00AA6C13">
        <w:rPr>
          <w:rFonts w:eastAsia="Times New Roman"/>
        </w:rPr>
        <w:tab/>
      </w:r>
      <w:r w:rsidR="00FF34EA" w:rsidRPr="00AA6C13">
        <w:rPr>
          <w:rFonts w:eastAsia="Times New Roman"/>
        </w:rPr>
        <w:tab/>
      </w:r>
      <w:r w:rsidR="000F37B9" w:rsidRPr="00AA6C13">
        <w:t xml:space="preserve">Reinke, A., </w:t>
      </w:r>
      <w:proofErr w:type="spellStart"/>
      <w:r w:rsidR="00113163" w:rsidRPr="00AA6C13">
        <w:t>Tizabi</w:t>
      </w:r>
      <w:proofErr w:type="spellEnd"/>
      <w:r w:rsidR="00113163" w:rsidRPr="00AA6C13">
        <w:t xml:space="preserve">, M. D., </w:t>
      </w:r>
      <w:proofErr w:type="spellStart"/>
      <w:r w:rsidR="001A27DC" w:rsidRPr="00AA6C13">
        <w:t>Sudre</w:t>
      </w:r>
      <w:proofErr w:type="spellEnd"/>
      <w:r w:rsidR="001A27DC" w:rsidRPr="00AA6C13">
        <w:t xml:space="preserve">, C. H., </w:t>
      </w:r>
      <w:r w:rsidR="009D237B" w:rsidRPr="00AA6C13">
        <w:t xml:space="preserve">Eisenmann, M., </w:t>
      </w:r>
      <w:proofErr w:type="spellStart"/>
      <w:r w:rsidR="009D237B" w:rsidRPr="00AA6C13">
        <w:t>Rädsch</w:t>
      </w:r>
      <w:proofErr w:type="spellEnd"/>
      <w:r w:rsidR="003C2F53" w:rsidRPr="00AA6C13">
        <w:t xml:space="preserve">, Baumgartner, </w:t>
      </w:r>
      <w:r w:rsidR="00E43AAD" w:rsidRPr="00AA6C13">
        <w:t xml:space="preserve">M., </w:t>
      </w:r>
      <w:proofErr w:type="spellStart"/>
      <w:r w:rsidR="00E43AAD" w:rsidRPr="00AA6C13">
        <w:t>Acion</w:t>
      </w:r>
      <w:proofErr w:type="spellEnd"/>
      <w:r w:rsidR="00E43AAD" w:rsidRPr="00AA6C13">
        <w:t xml:space="preserve">, L., Antonelli, M., Arbel, T., Bakas, S., Bankhead, </w:t>
      </w:r>
      <w:r w:rsidR="00914510" w:rsidRPr="00AA6C13">
        <w:t>P., Benis, A., Blaschko, M., Büttner, Cardosa, M. J.</w:t>
      </w:r>
      <w:r w:rsidR="00EF4D94" w:rsidRPr="00AA6C13">
        <w:t xml:space="preserve">, Chen, J., </w:t>
      </w:r>
      <w:proofErr w:type="spellStart"/>
      <w:r w:rsidR="00EF4D94" w:rsidRPr="00AA6C13">
        <w:t>Cheplygina</w:t>
      </w:r>
      <w:proofErr w:type="spellEnd"/>
      <w:r w:rsidR="00EF4D94" w:rsidRPr="00AA6C13">
        <w:t xml:space="preserve">, V., </w:t>
      </w:r>
      <w:r w:rsidR="00AD2BDD" w:rsidRPr="00AA6C13">
        <w:t>Christodoulou</w:t>
      </w:r>
      <w:r w:rsidR="00A47DF1" w:rsidRPr="00AA6C13">
        <w:t xml:space="preserve">, E., Cimini, B., Collins, G. S., </w:t>
      </w:r>
      <w:r w:rsidR="00784DE9" w:rsidRPr="00AA6C13">
        <w:t xml:space="preserve">Engelhardt, S., Farahani, K., Ferrer, L., </w:t>
      </w:r>
      <w:proofErr w:type="spellStart"/>
      <w:r w:rsidR="00784DE9" w:rsidRPr="00AA6C13">
        <w:t>Galdran</w:t>
      </w:r>
      <w:proofErr w:type="spellEnd"/>
      <w:r w:rsidR="00784DE9" w:rsidRPr="00AA6C13">
        <w:t xml:space="preserve">, A., van Ginneken, B., Glocker, B., Godau, P., Haase, R., </w:t>
      </w:r>
      <w:proofErr w:type="spellStart"/>
      <w:r w:rsidR="00784DE9" w:rsidRPr="00AA6C13">
        <w:t>Hamprecht</w:t>
      </w:r>
      <w:proofErr w:type="spellEnd"/>
      <w:r w:rsidR="00784DE9" w:rsidRPr="00AA6C13">
        <w:t xml:space="preserve">, </w:t>
      </w:r>
      <w:r w:rsidR="00242C6C" w:rsidRPr="00AA6C13">
        <w:t xml:space="preserve">F., Hashimoto, D. A., </w:t>
      </w:r>
      <w:r w:rsidR="00017E24" w:rsidRPr="00AA6C13">
        <w:t>Heckmann-</w:t>
      </w:r>
      <w:proofErr w:type="spellStart"/>
      <w:r w:rsidR="00017E24" w:rsidRPr="00AA6C13">
        <w:t>Nötzel</w:t>
      </w:r>
      <w:proofErr w:type="spellEnd"/>
      <w:r w:rsidR="00017E24" w:rsidRPr="00AA6C13">
        <w:t>,</w:t>
      </w:r>
      <w:r w:rsidR="00FA15EA" w:rsidRPr="00AA6C13">
        <w:t xml:space="preserve"> D., </w:t>
      </w:r>
      <w:r w:rsidR="00300FF1" w:rsidRPr="00AA6C13">
        <w:t xml:space="preserve">Hirsch, P., Hoffman, M. M., </w:t>
      </w:r>
      <w:r w:rsidR="00964EDF" w:rsidRPr="00AA6C13">
        <w:t>Huis</w:t>
      </w:r>
      <w:r w:rsidR="008F53AB" w:rsidRPr="00AA6C13">
        <w:t xml:space="preserve">man, </w:t>
      </w:r>
      <w:r w:rsidR="00023F0A" w:rsidRPr="00AA6C13">
        <w:t xml:space="preserve">M., </w:t>
      </w:r>
      <w:r w:rsidR="001B4507" w:rsidRPr="00AA6C13">
        <w:t xml:space="preserve">Isensee, </w:t>
      </w:r>
      <w:r w:rsidR="00882E6C" w:rsidRPr="00AA6C13">
        <w:t xml:space="preserve">F., </w:t>
      </w:r>
      <w:proofErr w:type="spellStart"/>
      <w:r w:rsidR="000566DD" w:rsidRPr="00AA6C13">
        <w:t>Jannin</w:t>
      </w:r>
      <w:proofErr w:type="spellEnd"/>
      <w:r w:rsidR="000566DD" w:rsidRPr="00AA6C13">
        <w:t xml:space="preserve">, P., </w:t>
      </w:r>
      <w:r w:rsidR="0002391E" w:rsidRPr="00AA6C13">
        <w:t xml:space="preserve">Kahn, C. E., </w:t>
      </w:r>
      <w:proofErr w:type="spellStart"/>
      <w:r w:rsidR="00277C01" w:rsidRPr="00AA6C13">
        <w:t>Kainmueller</w:t>
      </w:r>
      <w:proofErr w:type="spellEnd"/>
      <w:r w:rsidR="00277C01" w:rsidRPr="00AA6C13">
        <w:t xml:space="preserve">, D., Kainz, B., </w:t>
      </w:r>
      <w:proofErr w:type="spellStart"/>
      <w:r w:rsidR="00277C01" w:rsidRPr="00AA6C13">
        <w:t>Karargyris</w:t>
      </w:r>
      <w:proofErr w:type="spellEnd"/>
      <w:r w:rsidR="00277C01" w:rsidRPr="00AA6C13">
        <w:t xml:space="preserve">, </w:t>
      </w:r>
      <w:r w:rsidR="00FC0682" w:rsidRPr="00AA6C13">
        <w:t xml:space="preserve">A., </w:t>
      </w:r>
      <w:proofErr w:type="spellStart"/>
      <w:r w:rsidR="00FC0682" w:rsidRPr="00AA6C13">
        <w:t>Karthikesalingam</w:t>
      </w:r>
      <w:proofErr w:type="spellEnd"/>
      <w:r w:rsidR="00FC0682" w:rsidRPr="00AA6C13">
        <w:t xml:space="preserve">, A., </w:t>
      </w:r>
      <w:proofErr w:type="spellStart"/>
      <w:r w:rsidR="00FC0682" w:rsidRPr="00AA6C13">
        <w:t>Kavur</w:t>
      </w:r>
      <w:proofErr w:type="spellEnd"/>
      <w:r w:rsidR="00FC0682" w:rsidRPr="00AA6C13">
        <w:t xml:space="preserve">, A. E., </w:t>
      </w:r>
      <w:r w:rsidR="008B43C0" w:rsidRPr="00AA6C13">
        <w:t xml:space="preserve">Kenngott, H., </w:t>
      </w:r>
      <w:proofErr w:type="spellStart"/>
      <w:r w:rsidR="008B43C0" w:rsidRPr="00AA6C13">
        <w:t>Kleesiek</w:t>
      </w:r>
      <w:proofErr w:type="spellEnd"/>
      <w:r w:rsidR="008B43C0" w:rsidRPr="00AA6C13">
        <w:t xml:space="preserve">, J., Kleppe, A., </w:t>
      </w:r>
      <w:r w:rsidR="005058AA" w:rsidRPr="00AA6C13">
        <w:t xml:space="preserve">Kohler, S., </w:t>
      </w:r>
      <w:r w:rsidR="00624328" w:rsidRPr="00AA6C13">
        <w:t xml:space="preserve">Kofler, F., Kopp-Schneider, A., </w:t>
      </w:r>
      <w:r w:rsidR="008B36B7" w:rsidRPr="00AA6C13">
        <w:t xml:space="preserve">Kooi, T., </w:t>
      </w:r>
      <w:proofErr w:type="spellStart"/>
      <w:r w:rsidR="008B36B7" w:rsidRPr="00AA6C13">
        <w:t>Kozubek</w:t>
      </w:r>
      <w:proofErr w:type="spellEnd"/>
      <w:r w:rsidR="008B36B7" w:rsidRPr="00AA6C13">
        <w:t xml:space="preserve">, M., </w:t>
      </w:r>
      <w:proofErr w:type="spellStart"/>
      <w:r w:rsidR="008B36B7" w:rsidRPr="00AA6C13">
        <w:t>Kreshuk</w:t>
      </w:r>
      <w:proofErr w:type="spellEnd"/>
      <w:r w:rsidR="008B36B7" w:rsidRPr="00AA6C13">
        <w:t xml:space="preserve">, </w:t>
      </w:r>
      <w:r w:rsidR="0025156B" w:rsidRPr="00AA6C13">
        <w:t xml:space="preserve">A., Kurc, T., </w:t>
      </w:r>
      <w:r w:rsidR="002419AD" w:rsidRPr="00AA6C13">
        <w:t xml:space="preserve">Landman, B. A., </w:t>
      </w:r>
      <w:proofErr w:type="spellStart"/>
      <w:r w:rsidR="00325B26" w:rsidRPr="00AA6C13">
        <w:t>Litjens</w:t>
      </w:r>
      <w:proofErr w:type="spellEnd"/>
      <w:r w:rsidR="00325B26" w:rsidRPr="00AA6C13">
        <w:t>, G., Madani, A., Maier-Hein, K., Martel, A. L.</w:t>
      </w:r>
      <w:r w:rsidR="00E64D0B" w:rsidRPr="00AA6C13">
        <w:t xml:space="preserve">, </w:t>
      </w:r>
      <w:r w:rsidR="000A169E" w:rsidRPr="00AA6C13">
        <w:t>Mattson. P., Meijering,</w:t>
      </w:r>
      <w:r w:rsidR="00924638" w:rsidRPr="00AA6C13">
        <w:t xml:space="preserve"> </w:t>
      </w:r>
      <w:r w:rsidR="000A169E" w:rsidRPr="00AA6C13">
        <w:t xml:space="preserve">E., </w:t>
      </w:r>
      <w:r w:rsidR="00924638" w:rsidRPr="00AA6C13">
        <w:t xml:space="preserve">Menze, B., </w:t>
      </w:r>
      <w:r w:rsidR="006C20E6" w:rsidRPr="00AA6C13">
        <w:t xml:space="preserve">Moher, D., Moons, K. G. M., </w:t>
      </w:r>
      <w:r w:rsidR="00EC57AE" w:rsidRPr="00AA6C13">
        <w:t>Mü</w:t>
      </w:r>
      <w:r w:rsidR="00E10046" w:rsidRPr="00AA6C13">
        <w:t xml:space="preserve">ller, H., </w:t>
      </w:r>
      <w:proofErr w:type="spellStart"/>
      <w:r w:rsidR="00E10046" w:rsidRPr="00AA6C13">
        <w:t>Nichyporuk</w:t>
      </w:r>
      <w:proofErr w:type="spellEnd"/>
      <w:r w:rsidR="00E10046" w:rsidRPr="00AA6C13">
        <w:t>, B., Nickel, F., Noyan, M. A.</w:t>
      </w:r>
      <w:r w:rsidR="001A44FD" w:rsidRPr="00AA6C13">
        <w:t xml:space="preserve">, Petersen, J., </w:t>
      </w:r>
      <w:r w:rsidR="004A68BB" w:rsidRPr="00AA6C13">
        <w:t xml:space="preserve">Polat, G., </w:t>
      </w:r>
      <w:proofErr w:type="spellStart"/>
      <w:r w:rsidR="004A68BB" w:rsidRPr="00AA6C13">
        <w:t>Rafelski</w:t>
      </w:r>
      <w:proofErr w:type="spellEnd"/>
      <w:r w:rsidR="004A68BB" w:rsidRPr="00AA6C13">
        <w:t xml:space="preserve">, S. M., </w:t>
      </w:r>
      <w:r w:rsidR="004F5E88" w:rsidRPr="00AA6C13">
        <w:t xml:space="preserve">Rajpoot, N., Reyes, M., Rieke, N., Riegler, M., </w:t>
      </w:r>
      <w:proofErr w:type="spellStart"/>
      <w:r w:rsidR="004F5E88" w:rsidRPr="00AA6C13">
        <w:t>Rivaz</w:t>
      </w:r>
      <w:proofErr w:type="spellEnd"/>
      <w:r w:rsidR="004F5E88" w:rsidRPr="00AA6C13">
        <w:t>, H., Saez-Rodriguez, J., Sá</w:t>
      </w:r>
      <w:r w:rsidR="001C6C33" w:rsidRPr="00AA6C13">
        <w:t xml:space="preserve">nchez, C. I., Schroeter, J., </w:t>
      </w:r>
      <w:r w:rsidR="007A4E0A" w:rsidRPr="00AA6C13">
        <w:t xml:space="preserve">Saha, A., Selver, M. A., </w:t>
      </w:r>
      <w:r w:rsidR="00417D1F" w:rsidRPr="00AA6C13">
        <w:t xml:space="preserve">Sharan, L., Shetty, S., van Smeden, M., </w:t>
      </w:r>
      <w:proofErr w:type="spellStart"/>
      <w:r w:rsidR="00417D1F" w:rsidRPr="00AA6C13">
        <w:t>Stieltjes</w:t>
      </w:r>
      <w:proofErr w:type="spellEnd"/>
      <w:r w:rsidR="00417D1F" w:rsidRPr="00AA6C13">
        <w:t xml:space="preserve">, B., Summers, R. M., </w:t>
      </w:r>
      <w:r w:rsidR="00727E8E" w:rsidRPr="00AA6C13">
        <w:t xml:space="preserve">Taha, A. A., </w:t>
      </w:r>
      <w:r w:rsidR="00F50A28" w:rsidRPr="00AA6C13">
        <w:t xml:space="preserve">Tiulpin, A., </w:t>
      </w:r>
      <w:proofErr w:type="spellStart"/>
      <w:r w:rsidR="00EC1DA1" w:rsidRPr="00AA6C13">
        <w:t>Tsaftaris</w:t>
      </w:r>
      <w:proofErr w:type="spellEnd"/>
      <w:r w:rsidR="00EC1DA1" w:rsidRPr="00AA6C13">
        <w:t xml:space="preserve">, S. A., </w:t>
      </w:r>
      <w:proofErr w:type="spellStart"/>
      <w:r w:rsidR="002C3572" w:rsidRPr="00AA6C13">
        <w:t>Calster</w:t>
      </w:r>
      <w:proofErr w:type="spellEnd"/>
      <w:r w:rsidR="002C3572" w:rsidRPr="00AA6C13">
        <w:t xml:space="preserve">, B. V., </w:t>
      </w:r>
      <w:proofErr w:type="spellStart"/>
      <w:r w:rsidR="00A25DF4" w:rsidRPr="00AA6C13">
        <w:t>Varoquaux</w:t>
      </w:r>
      <w:proofErr w:type="spellEnd"/>
      <w:r w:rsidR="00A25DF4" w:rsidRPr="00AA6C13">
        <w:t xml:space="preserve">, G., </w:t>
      </w:r>
      <w:proofErr w:type="spellStart"/>
      <w:r w:rsidR="00A25DF4" w:rsidRPr="00AA6C13">
        <w:t>Wiesenfarth</w:t>
      </w:r>
      <w:proofErr w:type="spellEnd"/>
      <w:r w:rsidR="00A25DF4" w:rsidRPr="00AA6C13">
        <w:t xml:space="preserve">, M., Yaniv, Z. R., </w:t>
      </w:r>
      <w:r w:rsidR="00030619" w:rsidRPr="00AA6C13">
        <w:t>Jä</w:t>
      </w:r>
      <w:r w:rsidR="00BE0F2B" w:rsidRPr="00AA6C13">
        <w:t>ger, P., and Maier-Hein, L</w:t>
      </w:r>
      <w:r w:rsidR="000F37B9" w:rsidRPr="00AA6C13">
        <w:t>. (2021)</w:t>
      </w:r>
      <w:r w:rsidR="00CF3C36" w:rsidRPr="00AA6C13">
        <w:t>,</w:t>
      </w:r>
      <w:r w:rsidR="000F37B9" w:rsidRPr="00AA6C13">
        <w:t xml:space="preserve"> </w:t>
      </w:r>
      <w:r w:rsidR="000F37B9" w:rsidRPr="00AA6C13">
        <w:rPr>
          <w:i/>
          <w:iCs/>
        </w:rPr>
        <w:t>Common Limitations of Image Processing Metrics: A Picture Story</w:t>
      </w:r>
      <w:r w:rsidR="000F37B9" w:rsidRPr="00AA6C13">
        <w:t xml:space="preserve">. </w:t>
      </w:r>
      <w:r w:rsidR="00D45422" w:rsidRPr="00AA6C13">
        <w:t xml:space="preserve">Electrical Engineering and Systems Science &gt; Image and Video Processing. </w:t>
      </w:r>
    </w:p>
    <w:p w14:paraId="71BCC1C8" w14:textId="6B15A2EC" w:rsidR="002E2071" w:rsidRPr="00AA6C13" w:rsidRDefault="00356C04" w:rsidP="00AE14C7">
      <w:pPr>
        <w:spacing w:before="0"/>
        <w:ind w:left="3400"/>
      </w:pPr>
      <w:hyperlink r:id="rId124" w:history="1">
        <w:r w:rsidRPr="00AA6C13">
          <w:rPr>
            <w:rStyle w:val="Hyperlink"/>
            <w:rFonts w:ascii="Arial" w:hAnsi="Arial" w:cs="Arial"/>
            <w:sz w:val="18"/>
            <w:szCs w:val="18"/>
          </w:rPr>
          <w:t>https://arxiv.org/abs/2104.05642</w:t>
        </w:r>
      </w:hyperlink>
    </w:p>
    <w:p w14:paraId="12BA5230" w14:textId="4C7AE046" w:rsidR="000F37B9" w:rsidRPr="00AA6C13" w:rsidRDefault="0082024E" w:rsidP="0006232B">
      <w:pPr>
        <w:ind w:left="3400" w:hanging="3400"/>
      </w:pPr>
      <w:r w:rsidRPr="00AA6C13">
        <w:t>[b-Reinke et al., 2022</w:t>
      </w:r>
      <w:r w:rsidR="00270294" w:rsidRPr="00AA6C13">
        <w:t>]</w:t>
      </w:r>
      <w:r w:rsidR="00123BB8" w:rsidRPr="00AA6C13">
        <w:tab/>
      </w:r>
      <w:r w:rsidR="00DC5FA1" w:rsidRPr="00AA6C13">
        <w:tab/>
      </w:r>
      <w:r w:rsidR="000F37B9" w:rsidRPr="00AA6C13">
        <w:t xml:space="preserve">Reinke, A., Maier-Hein, L., </w:t>
      </w:r>
      <w:r w:rsidR="00D369E6" w:rsidRPr="00AA6C13">
        <w:t xml:space="preserve">Godau, P., </w:t>
      </w:r>
      <w:proofErr w:type="spellStart"/>
      <w:r w:rsidR="00D369E6" w:rsidRPr="00AA6C13">
        <w:t>Tizabi</w:t>
      </w:r>
      <w:proofErr w:type="spellEnd"/>
      <w:r w:rsidR="00D369E6" w:rsidRPr="00AA6C13">
        <w:t>, M. D.</w:t>
      </w:r>
      <w:r w:rsidR="0014382D" w:rsidRPr="00AA6C13">
        <w:t xml:space="preserve">, Buettner, </w:t>
      </w:r>
      <w:r w:rsidR="000F37B9" w:rsidRPr="00AA6C13">
        <w:t xml:space="preserve">Christodoulou, E., Isensee, F., </w:t>
      </w:r>
      <w:proofErr w:type="spellStart"/>
      <w:r w:rsidR="00D122C0" w:rsidRPr="00AA6C13">
        <w:t>Kleesiek</w:t>
      </w:r>
      <w:proofErr w:type="spellEnd"/>
      <w:r w:rsidR="00D122C0" w:rsidRPr="00AA6C13">
        <w:t xml:space="preserve">, J., </w:t>
      </w:r>
      <w:proofErr w:type="spellStart"/>
      <w:r w:rsidR="00D122C0" w:rsidRPr="00AA6C13">
        <w:t>Kozubek</w:t>
      </w:r>
      <w:proofErr w:type="spellEnd"/>
      <w:r w:rsidR="00D122C0" w:rsidRPr="00AA6C13">
        <w:t xml:space="preserve">, M., Reyes, M., Riegler, M. A., </w:t>
      </w:r>
      <w:proofErr w:type="spellStart"/>
      <w:r w:rsidR="00887FD9" w:rsidRPr="00AA6C13">
        <w:t>Wiesenfarth</w:t>
      </w:r>
      <w:proofErr w:type="spellEnd"/>
      <w:r w:rsidR="00887FD9" w:rsidRPr="00AA6C13">
        <w:t xml:space="preserve">, M., </w:t>
      </w:r>
      <w:proofErr w:type="spellStart"/>
      <w:r w:rsidR="00887FD9" w:rsidRPr="00AA6C13">
        <w:t>Kavur</w:t>
      </w:r>
      <w:proofErr w:type="spellEnd"/>
      <w:r w:rsidR="00887FD9" w:rsidRPr="00AA6C13">
        <w:t xml:space="preserve">, A. E., </w:t>
      </w:r>
      <w:proofErr w:type="spellStart"/>
      <w:r w:rsidR="00EE0E99" w:rsidRPr="00AA6C13">
        <w:t>Sudre</w:t>
      </w:r>
      <w:proofErr w:type="spellEnd"/>
      <w:r w:rsidR="00EE0E99" w:rsidRPr="00AA6C13">
        <w:t xml:space="preserve">, C. H., </w:t>
      </w:r>
      <w:r w:rsidR="00264DD7" w:rsidRPr="00AA6C13">
        <w:t xml:space="preserve">Baumgartner, M., </w:t>
      </w:r>
      <w:r w:rsidR="003F1D70" w:rsidRPr="00AA6C13">
        <w:t>Eisenmann, M., Heckmann-</w:t>
      </w:r>
      <w:proofErr w:type="spellStart"/>
      <w:r w:rsidR="003F1D70" w:rsidRPr="00AA6C13">
        <w:t>Nö</w:t>
      </w:r>
      <w:r w:rsidR="0084490A" w:rsidRPr="00AA6C13">
        <w:t>tzel</w:t>
      </w:r>
      <w:proofErr w:type="spellEnd"/>
      <w:r w:rsidR="0084490A" w:rsidRPr="00AA6C13">
        <w:t xml:space="preserve">, D., </w:t>
      </w:r>
      <w:proofErr w:type="spellStart"/>
      <w:r w:rsidR="0084490A" w:rsidRPr="00AA6C13">
        <w:t>Rä</w:t>
      </w:r>
      <w:r w:rsidR="009B0C98" w:rsidRPr="00AA6C13">
        <w:t>dsch</w:t>
      </w:r>
      <w:proofErr w:type="spellEnd"/>
      <w:r w:rsidR="009B0C98" w:rsidRPr="00AA6C13">
        <w:t xml:space="preserve">, T., </w:t>
      </w:r>
      <w:proofErr w:type="spellStart"/>
      <w:r w:rsidR="00A51E18" w:rsidRPr="00AA6C13">
        <w:t>Acion</w:t>
      </w:r>
      <w:proofErr w:type="spellEnd"/>
      <w:r w:rsidR="00A51E18" w:rsidRPr="00AA6C13">
        <w:t xml:space="preserve">, L., Antonelli, M., Arbel, T., Bakas, S., Benis, A., Blaschko, </w:t>
      </w:r>
      <w:r w:rsidR="005A6FBD" w:rsidRPr="00AA6C13">
        <w:t xml:space="preserve">M., </w:t>
      </w:r>
      <w:r w:rsidR="00AC3170" w:rsidRPr="00AA6C13">
        <w:t xml:space="preserve">Cardoso, M. J., </w:t>
      </w:r>
      <w:proofErr w:type="spellStart"/>
      <w:r w:rsidR="00361265" w:rsidRPr="00AA6C13">
        <w:t>Cheplygina</w:t>
      </w:r>
      <w:proofErr w:type="spellEnd"/>
      <w:r w:rsidR="00361265" w:rsidRPr="00AA6C13">
        <w:t xml:space="preserve">, V., </w:t>
      </w:r>
      <w:r w:rsidR="00600BC4" w:rsidRPr="00AA6C13">
        <w:t xml:space="preserve">Cimini, B. A., </w:t>
      </w:r>
      <w:r w:rsidR="006169D5" w:rsidRPr="00AA6C13">
        <w:t xml:space="preserve">Collins, G. S., </w:t>
      </w:r>
      <w:r w:rsidR="007479FB" w:rsidRPr="00AA6C13">
        <w:t xml:space="preserve">Farahani, K., Ferrer, L., </w:t>
      </w:r>
      <w:proofErr w:type="spellStart"/>
      <w:r w:rsidR="007479FB" w:rsidRPr="00AA6C13">
        <w:t>Galdran</w:t>
      </w:r>
      <w:proofErr w:type="spellEnd"/>
      <w:r w:rsidR="007479FB" w:rsidRPr="00AA6C13">
        <w:t xml:space="preserve">, A., </w:t>
      </w:r>
      <w:r w:rsidR="00A81E64" w:rsidRPr="00AA6C13">
        <w:t xml:space="preserve">van </w:t>
      </w:r>
      <w:r w:rsidR="00A81E64" w:rsidRPr="00AA6C13">
        <w:lastRenderedPageBreak/>
        <w:t xml:space="preserve">Ginneken, B., </w:t>
      </w:r>
      <w:r w:rsidR="00040E4C" w:rsidRPr="00AA6C13">
        <w:t xml:space="preserve">Haase, R., Hashimoto, D. A., </w:t>
      </w:r>
      <w:r w:rsidR="000F37B9" w:rsidRPr="00AA6C13">
        <w:t>Jaeger, P. F. (2022)</w:t>
      </w:r>
      <w:r w:rsidR="00757BB3" w:rsidRPr="00AA6C13">
        <w:t>,</w:t>
      </w:r>
      <w:r w:rsidR="000F37B9" w:rsidRPr="00AA6C13">
        <w:t xml:space="preserve"> </w:t>
      </w:r>
      <w:r w:rsidR="000F37B9" w:rsidRPr="00AA6C13">
        <w:rPr>
          <w:i/>
          <w:iCs/>
        </w:rPr>
        <w:t>Metrics Reloaded</w:t>
      </w:r>
      <w:r w:rsidR="00FD2318" w:rsidRPr="00AA6C13">
        <w:rPr>
          <w:i/>
          <w:iCs/>
        </w:rPr>
        <w:t xml:space="preserve"> – </w:t>
      </w:r>
      <w:r w:rsidR="000F37B9" w:rsidRPr="00AA6C13">
        <w:rPr>
          <w:i/>
          <w:iCs/>
        </w:rPr>
        <w:t>A new recommendation framework for biomedical image analysis validation</w:t>
      </w:r>
      <w:r w:rsidR="000F37B9" w:rsidRPr="00AA6C13">
        <w:t xml:space="preserve">. </w:t>
      </w:r>
      <w:r w:rsidR="000F37B9" w:rsidRPr="00AA6C13">
        <w:rPr>
          <w:iCs/>
        </w:rPr>
        <w:t>Medical Imaging with Deep Learning</w:t>
      </w:r>
      <w:r w:rsidR="0075660C" w:rsidRPr="00AA6C13">
        <w:rPr>
          <w:iCs/>
        </w:rPr>
        <w:t xml:space="preserve"> 2022</w:t>
      </w:r>
      <w:r w:rsidR="000F37B9" w:rsidRPr="00AA6C13">
        <w:rPr>
          <w:iCs/>
        </w:rPr>
        <w:t>.</w:t>
      </w:r>
      <w:r w:rsidR="00641D0A" w:rsidRPr="00AA6C13">
        <w:rPr>
          <w:iCs/>
        </w:rPr>
        <w:t xml:space="preserve"> </w:t>
      </w:r>
      <w:hyperlink r:id="rId125" w:history="1">
        <w:r w:rsidR="00641D0A" w:rsidRPr="00AA6C13">
          <w:rPr>
            <w:rStyle w:val="Hyperlink"/>
            <w:rFonts w:ascii="Arial" w:hAnsi="Arial" w:cs="Arial"/>
            <w:sz w:val="18"/>
            <w:szCs w:val="18"/>
          </w:rPr>
          <w:t>https://mauricioreyes.me/Publications/ReinkeMIDL2022.pdf</w:t>
        </w:r>
      </w:hyperlink>
    </w:p>
    <w:p w14:paraId="41A132BA" w14:textId="57BF93BF" w:rsidR="00190E99" w:rsidRPr="00AA6C13" w:rsidRDefault="00182823">
      <w:pPr>
        <w:ind w:left="3400" w:hanging="3400"/>
      </w:pPr>
      <w:r w:rsidRPr="00AA6C13">
        <w:rPr>
          <w:rFonts w:eastAsia="Times New Roman"/>
        </w:rPr>
        <w:t>[</w:t>
      </w:r>
      <w:r w:rsidR="00AD3162" w:rsidRPr="00AA6C13">
        <w:rPr>
          <w:rFonts w:eastAsia="Times New Roman"/>
        </w:rPr>
        <w:t>b-Rivera et al., 2020]</w:t>
      </w:r>
      <w:r w:rsidR="00EE6434" w:rsidRPr="00AA6C13">
        <w:rPr>
          <w:rFonts w:eastAsia="Times New Roman"/>
        </w:rPr>
        <w:tab/>
      </w:r>
      <w:r w:rsidR="00334C20" w:rsidRPr="00AA6C13">
        <w:rPr>
          <w:rFonts w:eastAsia="Times New Roman"/>
        </w:rPr>
        <w:tab/>
      </w:r>
      <w:r w:rsidR="000F37B9" w:rsidRPr="00AA6C13">
        <w:t>Rivera, S. C., Liu, X., Chan, A. W., Denniston, A. K., Calvert, M. J.</w:t>
      </w:r>
      <w:r w:rsidR="008D36BC" w:rsidRPr="00AA6C13">
        <w:rPr>
          <w:rFonts w:eastAsia="Times New Roman"/>
          <w:lang w:eastAsia="de-DE"/>
        </w:rPr>
        <w:t>, The SPIRIT-AI and CONSORT-AI Working Group, SPIRIT-AI and CONSORT-AI Steering Group and SPIRIT-AI and CONSORT-AI Consensus Group</w:t>
      </w:r>
      <w:r w:rsidR="0096374C" w:rsidRPr="00AA6C13">
        <w:rPr>
          <w:rFonts w:eastAsia="Times New Roman"/>
          <w:lang w:eastAsia="de-DE"/>
        </w:rPr>
        <w:t>.</w:t>
      </w:r>
      <w:r w:rsidR="000F37B9" w:rsidRPr="00AA6C13">
        <w:t xml:space="preserve"> (2020)</w:t>
      </w:r>
      <w:r w:rsidR="00EA6FA4" w:rsidRPr="00AA6C13">
        <w:t>,</w:t>
      </w:r>
      <w:r w:rsidR="000F37B9" w:rsidRPr="00AA6C13">
        <w:t xml:space="preserve"> </w:t>
      </w:r>
      <w:r w:rsidR="000F37B9" w:rsidRPr="00AA6C13">
        <w:rPr>
          <w:i/>
          <w:iCs/>
        </w:rPr>
        <w:t>Guidelines for clinical trial protocols for interventions involving artificial intelligence: the SPIRIT-AI extension</w:t>
      </w:r>
      <w:r w:rsidR="000F37B9" w:rsidRPr="00AA6C13">
        <w:t>.</w:t>
      </w:r>
      <w:r w:rsidR="00DC7307" w:rsidRPr="00AA6C13">
        <w:t xml:space="preserve"> Nature Medicine 26, 1351-1363</w:t>
      </w:r>
      <w:r w:rsidR="000F37B9" w:rsidRPr="00AA6C13">
        <w:t xml:space="preserve">. </w:t>
      </w:r>
    </w:p>
    <w:p w14:paraId="5B096481" w14:textId="065DC11E" w:rsidR="002E2071" w:rsidRPr="00AA6C13" w:rsidRDefault="0075660C" w:rsidP="0006232B">
      <w:pPr>
        <w:ind w:left="3400"/>
      </w:pPr>
      <w:hyperlink r:id="rId126" w:history="1">
        <w:r w:rsidRPr="00AA6C13">
          <w:rPr>
            <w:rStyle w:val="Hyperlink"/>
            <w:rFonts w:ascii="Arial" w:hAnsi="Arial" w:cs="Arial"/>
            <w:sz w:val="18"/>
            <w:szCs w:val="18"/>
          </w:rPr>
          <w:t>https://www.nature.com/articles/s41591-020-1037-7</w:t>
        </w:r>
      </w:hyperlink>
    </w:p>
    <w:p w14:paraId="3B37A7BA" w14:textId="38A74202" w:rsidR="00F234C6" w:rsidRPr="00AA6C13" w:rsidRDefault="009113B7">
      <w:pPr>
        <w:ind w:left="3400" w:hanging="3400"/>
      </w:pPr>
      <w:r w:rsidRPr="00AA6C13">
        <w:rPr>
          <w:rFonts w:eastAsia="Times New Roman"/>
        </w:rPr>
        <w:t>[</w:t>
      </w:r>
      <w:r w:rsidR="00EC454F" w:rsidRPr="00AA6C13">
        <w:rPr>
          <w:rFonts w:eastAsia="Times New Roman"/>
        </w:rPr>
        <w:t>b-Roberts et al., 2021</w:t>
      </w:r>
      <w:r w:rsidRPr="00AA6C13">
        <w:rPr>
          <w:rFonts w:eastAsia="Times New Roman"/>
        </w:rPr>
        <w:t>]</w:t>
      </w:r>
      <w:r w:rsidR="00D04D7F" w:rsidRPr="00AA6C13">
        <w:rPr>
          <w:rFonts w:eastAsia="Times New Roman"/>
        </w:rPr>
        <w:tab/>
      </w:r>
      <w:r w:rsidR="00D04D7F" w:rsidRPr="00AA6C13">
        <w:rPr>
          <w:rFonts w:eastAsia="Times New Roman"/>
        </w:rPr>
        <w:tab/>
      </w:r>
      <w:r w:rsidR="000F37B9" w:rsidRPr="00AA6C13">
        <w:t xml:space="preserve">Roberts, M., Driggs, D., Thorpe, M. </w:t>
      </w:r>
      <w:r w:rsidR="002D3894" w:rsidRPr="00AA6C13">
        <w:t xml:space="preserve">Gilbey, J., Yeung, M., Ursprung, S., Aviles-Rivero, A. I., </w:t>
      </w:r>
      <w:proofErr w:type="spellStart"/>
      <w:r w:rsidR="00DA1011" w:rsidRPr="00AA6C13">
        <w:t>Etmann</w:t>
      </w:r>
      <w:proofErr w:type="spellEnd"/>
      <w:r w:rsidR="00DA1011" w:rsidRPr="00AA6C13">
        <w:t xml:space="preserve">, C., McCague, C., Beer, L., Weir-McCall, J. R., Teng, Z., </w:t>
      </w:r>
      <w:proofErr w:type="spellStart"/>
      <w:r w:rsidR="00DA1011" w:rsidRPr="00AA6C13">
        <w:t>Gkrania-Klotsas</w:t>
      </w:r>
      <w:proofErr w:type="spellEnd"/>
      <w:r w:rsidR="00DA1011" w:rsidRPr="00AA6C13">
        <w:t xml:space="preserve">, E., AIX-COVNET, Rudd, J. H. F., Sala, E., and </w:t>
      </w:r>
      <w:proofErr w:type="spellStart"/>
      <w:r w:rsidR="00DA1011" w:rsidRPr="00AA6C13">
        <w:t>Schönlieb</w:t>
      </w:r>
      <w:proofErr w:type="spellEnd"/>
      <w:r w:rsidR="00DA1011" w:rsidRPr="00AA6C13">
        <w:t>, C-B</w:t>
      </w:r>
      <w:r w:rsidR="000F37B9" w:rsidRPr="00AA6C13">
        <w:t>.</w:t>
      </w:r>
      <w:r w:rsidR="00435DEF" w:rsidRPr="00AA6C13">
        <w:t xml:space="preserve"> (2021),</w:t>
      </w:r>
      <w:r w:rsidR="000F37B9" w:rsidRPr="00AA6C13">
        <w:t xml:space="preserve"> </w:t>
      </w:r>
      <w:r w:rsidR="000F37B9" w:rsidRPr="00AA6C13">
        <w:rPr>
          <w:i/>
          <w:iCs/>
        </w:rPr>
        <w:t>Common pitfalls and recommendations for using machine learning to detect and prognosticate for COVID-19 using chest radiographs and CT scans</w:t>
      </w:r>
      <w:r w:rsidR="000F37B9" w:rsidRPr="00AA6C13">
        <w:t xml:space="preserve">. </w:t>
      </w:r>
      <w:r w:rsidR="000F37B9" w:rsidRPr="00AA6C13">
        <w:rPr>
          <w:iCs/>
        </w:rPr>
        <w:t>Nat</w:t>
      </w:r>
      <w:r w:rsidR="00AE2EDE" w:rsidRPr="00AA6C13">
        <w:rPr>
          <w:iCs/>
        </w:rPr>
        <w:t>ure</w:t>
      </w:r>
      <w:r w:rsidR="000F37B9" w:rsidRPr="00AA6C13">
        <w:rPr>
          <w:iCs/>
        </w:rPr>
        <w:t xml:space="preserve"> Mach</w:t>
      </w:r>
      <w:r w:rsidR="00AE2EDE" w:rsidRPr="00AA6C13">
        <w:rPr>
          <w:iCs/>
        </w:rPr>
        <w:t>ine</w:t>
      </w:r>
      <w:r w:rsidR="000F37B9" w:rsidRPr="00AA6C13">
        <w:rPr>
          <w:iCs/>
        </w:rPr>
        <w:t xml:space="preserve"> Intell</w:t>
      </w:r>
      <w:r w:rsidR="00230943" w:rsidRPr="00AA6C13">
        <w:rPr>
          <w:iCs/>
        </w:rPr>
        <w:t>igence</w:t>
      </w:r>
      <w:r w:rsidR="000F37B9" w:rsidRPr="00AA6C13">
        <w:t xml:space="preserve"> 3, 199</w:t>
      </w:r>
      <w:r w:rsidR="00AE14C7" w:rsidRPr="00AA6C13">
        <w:noBreakHyphen/>
      </w:r>
      <w:r w:rsidR="000F37B9" w:rsidRPr="00AA6C13">
        <w:t xml:space="preserve">217. </w:t>
      </w:r>
    </w:p>
    <w:p w14:paraId="706E8D42" w14:textId="6F0BF261" w:rsidR="002E2071" w:rsidRPr="00AA6C13" w:rsidRDefault="008C7D60" w:rsidP="00AE14C7">
      <w:pPr>
        <w:spacing w:before="0"/>
        <w:ind w:left="3400"/>
      </w:pPr>
      <w:hyperlink r:id="rId127" w:history="1">
        <w:r w:rsidRPr="00AA6C13">
          <w:rPr>
            <w:rStyle w:val="Hyperlink"/>
            <w:rFonts w:ascii="Arial" w:hAnsi="Arial" w:cs="Arial"/>
            <w:sz w:val="18"/>
            <w:szCs w:val="18"/>
          </w:rPr>
          <w:t>https://doi.org/10.1038/s42256-021-00307-0</w:t>
        </w:r>
      </w:hyperlink>
    </w:p>
    <w:p w14:paraId="6E1C770A" w14:textId="643DF6E3" w:rsidR="00B8491A" w:rsidRPr="00AA6C13" w:rsidRDefault="00496A89">
      <w:pPr>
        <w:ind w:left="3400" w:hanging="3400"/>
      </w:pPr>
      <w:r w:rsidRPr="00AA6C13">
        <w:t>[b-Rogers et al., 2021]</w:t>
      </w:r>
      <w:r w:rsidR="007962B3" w:rsidRPr="00AA6C13">
        <w:tab/>
      </w:r>
      <w:r w:rsidR="007962B3" w:rsidRPr="00AA6C13">
        <w:tab/>
      </w:r>
      <w:r w:rsidR="000F37B9" w:rsidRPr="00AA6C13">
        <w:t>Rogers, W</w:t>
      </w:r>
      <w:r w:rsidR="00C813C2" w:rsidRPr="00AA6C13">
        <w:t xml:space="preserve">. </w:t>
      </w:r>
      <w:r w:rsidR="000F37B9" w:rsidRPr="00AA6C13">
        <w:t>A</w:t>
      </w:r>
      <w:r w:rsidR="00C813C2" w:rsidRPr="00AA6C13">
        <w:t>.</w:t>
      </w:r>
      <w:r w:rsidR="000F37B9" w:rsidRPr="00AA6C13">
        <w:t>, Draper, H, Carter, S</w:t>
      </w:r>
      <w:r w:rsidR="00974629" w:rsidRPr="00AA6C13">
        <w:t xml:space="preserve">. </w:t>
      </w:r>
      <w:r w:rsidR="000F37B9" w:rsidRPr="00AA6C13">
        <w:t xml:space="preserve">M. </w:t>
      </w:r>
      <w:r w:rsidR="00194799" w:rsidRPr="00AA6C13">
        <w:t xml:space="preserve">(2021), </w:t>
      </w:r>
      <w:r w:rsidR="000F37B9" w:rsidRPr="00AA6C13">
        <w:rPr>
          <w:i/>
          <w:iCs/>
        </w:rPr>
        <w:t>Evaluation of artificial intelligence clinical applications:</w:t>
      </w:r>
      <w:r w:rsidR="000F37B9" w:rsidRPr="00AA6C13">
        <w:t xml:space="preserve"> </w:t>
      </w:r>
      <w:r w:rsidR="000F37B9" w:rsidRPr="00AA6C13">
        <w:rPr>
          <w:i/>
          <w:iCs/>
        </w:rPr>
        <w:t>Detailed case analyses show value of healthcare ethics approach in identifying patient care issues</w:t>
      </w:r>
      <w:r w:rsidR="000F37B9" w:rsidRPr="00AA6C13">
        <w:t xml:space="preserve">. </w:t>
      </w:r>
      <w:r w:rsidR="000F37B9" w:rsidRPr="00AA6C13">
        <w:rPr>
          <w:iCs/>
        </w:rPr>
        <w:t>Bioethics.</w:t>
      </w:r>
      <w:r w:rsidR="000F37B9" w:rsidRPr="00AA6C13">
        <w:t xml:space="preserve"> </w:t>
      </w:r>
    </w:p>
    <w:p w14:paraId="3A824B6B" w14:textId="6E4962E6" w:rsidR="002E2071" w:rsidRPr="00AA6C13" w:rsidRDefault="00F234C6" w:rsidP="0006232B">
      <w:pPr>
        <w:ind w:left="3400"/>
      </w:pPr>
      <w:hyperlink r:id="rId128" w:history="1">
        <w:r w:rsidRPr="00AA6C13">
          <w:rPr>
            <w:rStyle w:val="Hyperlink"/>
            <w:rFonts w:ascii="Arial" w:hAnsi="Arial" w:cs="Arial"/>
            <w:sz w:val="18"/>
            <w:szCs w:val="18"/>
          </w:rPr>
          <w:t>https://doi.org/10.1111/bioe.12885</w:t>
        </w:r>
      </w:hyperlink>
    </w:p>
    <w:p w14:paraId="6D4F04C3" w14:textId="515CC480" w:rsidR="002E2071" w:rsidRPr="00AA6C13" w:rsidRDefault="009F2462" w:rsidP="0006232B">
      <w:pPr>
        <w:ind w:left="3400" w:hanging="3400"/>
      </w:pPr>
      <w:r w:rsidRPr="00AA6C13">
        <w:t>[</w:t>
      </w:r>
      <w:r w:rsidR="00DB4510" w:rsidRPr="00AA6C13">
        <w:t>b-</w:t>
      </w:r>
      <w:r w:rsidRPr="00AA6C13">
        <w:t>Samek et al., 2016]</w:t>
      </w:r>
      <w:r w:rsidRPr="00AA6C13">
        <w:tab/>
      </w:r>
      <w:r w:rsidR="000974D2" w:rsidRPr="00AA6C13">
        <w:tab/>
      </w:r>
      <w:r w:rsidR="000F37B9" w:rsidRPr="00AA6C13">
        <w:t xml:space="preserve">Samek, W., Binder, A., Montavon, G., </w:t>
      </w:r>
      <w:proofErr w:type="spellStart"/>
      <w:r w:rsidR="000F37B9" w:rsidRPr="00AA6C13">
        <w:t>Lapuschkin</w:t>
      </w:r>
      <w:proofErr w:type="spellEnd"/>
      <w:r w:rsidR="000F37B9" w:rsidRPr="00AA6C13">
        <w:t xml:space="preserve">, S., </w:t>
      </w:r>
      <w:r w:rsidR="00644F68" w:rsidRPr="00AA6C13">
        <w:t>and</w:t>
      </w:r>
      <w:r w:rsidR="000F37B9" w:rsidRPr="00AA6C13">
        <w:t xml:space="preserve"> Müller, K</w:t>
      </w:r>
      <w:r w:rsidR="00381B3D" w:rsidRPr="00AA6C13">
        <w:t>-</w:t>
      </w:r>
      <w:r w:rsidR="000F37B9" w:rsidRPr="00AA6C13">
        <w:t>R. (2016)</w:t>
      </w:r>
      <w:r w:rsidR="0041101D" w:rsidRPr="00AA6C13">
        <w:t>,</w:t>
      </w:r>
      <w:r w:rsidR="000F37B9" w:rsidRPr="00AA6C13">
        <w:t xml:space="preserve"> </w:t>
      </w:r>
      <w:r w:rsidR="000F37B9" w:rsidRPr="00AA6C13">
        <w:rPr>
          <w:i/>
          <w:iCs/>
        </w:rPr>
        <w:t xml:space="preserve">Evaluating the visualization of what a deep neural network has learned. </w:t>
      </w:r>
      <w:r w:rsidR="000F37B9" w:rsidRPr="00AA6C13">
        <w:t xml:space="preserve">IEEE transactions on neural networks and learning systems, </w:t>
      </w:r>
      <w:r w:rsidR="00DB4510" w:rsidRPr="00AA6C13">
        <w:t xml:space="preserve">Volume </w:t>
      </w:r>
      <w:r w:rsidR="000F37B9" w:rsidRPr="00AA6C13">
        <w:rPr>
          <w:bCs/>
        </w:rPr>
        <w:t>28(</w:t>
      </w:r>
      <w:r w:rsidR="000F37B9" w:rsidRPr="00AA6C13">
        <w:t xml:space="preserve">11), 2660-2673. </w:t>
      </w:r>
      <w:hyperlink r:id="rId129" w:history="1">
        <w:r w:rsidR="00FD76E6" w:rsidRPr="00AA6C13">
          <w:rPr>
            <w:rStyle w:val="Hyperlink"/>
            <w:rFonts w:ascii="Arial" w:hAnsi="Arial" w:cs="Arial"/>
            <w:sz w:val="18"/>
            <w:szCs w:val="18"/>
          </w:rPr>
          <w:t>https://doi.org/10.1109/TNNLS.2016.2599820</w:t>
        </w:r>
      </w:hyperlink>
    </w:p>
    <w:p w14:paraId="2927DF46" w14:textId="6C3FF1C7" w:rsidR="00506098" w:rsidRPr="00AA6C13" w:rsidRDefault="00A54069" w:rsidP="0006232B">
      <w:pPr>
        <w:ind w:left="3400" w:hanging="3400"/>
      </w:pPr>
      <w:r w:rsidRPr="00AA6C13">
        <w:rPr>
          <w:rFonts w:eastAsia="Times New Roman"/>
          <w:lang w:eastAsia="de-DE"/>
        </w:rPr>
        <w:t>[</w:t>
      </w:r>
      <w:r w:rsidR="00506098" w:rsidRPr="00AA6C13">
        <w:rPr>
          <w:rFonts w:eastAsia="Times New Roman"/>
          <w:lang w:eastAsia="de-DE"/>
        </w:rPr>
        <w:t>b-Studer et al., 2020</w:t>
      </w:r>
      <w:r w:rsidR="00495621" w:rsidRPr="00AA6C13">
        <w:rPr>
          <w:rFonts w:eastAsia="Times New Roman"/>
          <w:lang w:eastAsia="de-DE"/>
        </w:rPr>
        <w:t>]</w:t>
      </w:r>
      <w:r w:rsidR="009B0F41" w:rsidRPr="00AA6C13">
        <w:rPr>
          <w:rFonts w:eastAsia="Times New Roman"/>
          <w:lang w:eastAsia="de-DE"/>
        </w:rPr>
        <w:tab/>
      </w:r>
      <w:r w:rsidR="009D50B7" w:rsidRPr="00AA6C13">
        <w:rPr>
          <w:rFonts w:eastAsia="Times New Roman"/>
          <w:lang w:eastAsia="de-DE"/>
        </w:rPr>
        <w:tab/>
      </w:r>
      <w:r w:rsidR="008E4036" w:rsidRPr="00AA6C13">
        <w:rPr>
          <w:rFonts w:eastAsia="Times New Roman"/>
          <w:lang w:eastAsia="de-DE"/>
        </w:rPr>
        <w:t xml:space="preserve">Studer, S., Bui, T. B., Drescher, C., </w:t>
      </w:r>
      <w:proofErr w:type="spellStart"/>
      <w:r w:rsidR="008E4036" w:rsidRPr="00AA6C13">
        <w:rPr>
          <w:rFonts w:eastAsia="Times New Roman"/>
          <w:lang w:eastAsia="de-DE"/>
        </w:rPr>
        <w:t>Hanuschkin</w:t>
      </w:r>
      <w:proofErr w:type="spellEnd"/>
      <w:r w:rsidR="008E4036" w:rsidRPr="00AA6C13">
        <w:rPr>
          <w:rFonts w:eastAsia="Times New Roman"/>
          <w:lang w:eastAsia="de-DE"/>
        </w:rPr>
        <w:t>, A., Winkler, L., Peters, S., and Müller, K. R. (2020)</w:t>
      </w:r>
      <w:r w:rsidR="009948E1" w:rsidRPr="00AA6C13">
        <w:rPr>
          <w:rFonts w:eastAsia="Times New Roman"/>
          <w:lang w:eastAsia="de-DE"/>
        </w:rPr>
        <w:t>,</w:t>
      </w:r>
      <w:r w:rsidR="008E4036" w:rsidRPr="00AA6C13">
        <w:rPr>
          <w:rFonts w:eastAsia="Times New Roman"/>
          <w:lang w:eastAsia="de-DE"/>
        </w:rPr>
        <w:t xml:space="preserve"> </w:t>
      </w:r>
      <w:r w:rsidR="008E4036" w:rsidRPr="00AA6C13">
        <w:rPr>
          <w:rFonts w:eastAsia="Times New Roman"/>
          <w:i/>
          <w:iCs/>
          <w:lang w:eastAsia="de-DE"/>
        </w:rPr>
        <w:t>Towards CRISP-ML(Q): A machine learning process model with quality assurance methodology</w:t>
      </w:r>
      <w:r w:rsidR="008E4036" w:rsidRPr="00AA6C13">
        <w:rPr>
          <w:rFonts w:eastAsia="Times New Roman"/>
          <w:lang w:eastAsia="de-DE"/>
        </w:rPr>
        <w:t xml:space="preserve">. </w:t>
      </w:r>
      <w:proofErr w:type="spellStart"/>
      <w:r w:rsidR="008E4036" w:rsidRPr="00AA6C13">
        <w:rPr>
          <w:rFonts w:eastAsia="Times New Roman"/>
          <w:i/>
          <w:iCs/>
          <w:lang w:eastAsia="de-DE"/>
        </w:rPr>
        <w:t>arXiv</w:t>
      </w:r>
      <w:proofErr w:type="spellEnd"/>
      <w:r w:rsidR="008E4036" w:rsidRPr="00AA6C13">
        <w:rPr>
          <w:rFonts w:eastAsia="Times New Roman"/>
          <w:i/>
          <w:iCs/>
          <w:lang w:eastAsia="de-DE"/>
        </w:rPr>
        <w:t xml:space="preserve"> preprint arXiv:2003.05155</w:t>
      </w:r>
      <w:r w:rsidR="008E4036" w:rsidRPr="00AA6C13">
        <w:rPr>
          <w:rFonts w:eastAsia="Times New Roman"/>
          <w:lang w:eastAsia="de-DE"/>
        </w:rPr>
        <w:t>.</w:t>
      </w:r>
      <w:r w:rsidR="00CB7AAA" w:rsidRPr="00AA6C13">
        <w:rPr>
          <w:rFonts w:eastAsia="Times New Roman"/>
          <w:lang w:eastAsia="de-DE"/>
        </w:rPr>
        <w:t xml:space="preserve"> </w:t>
      </w:r>
      <w:hyperlink r:id="rId130" w:history="1">
        <w:r w:rsidR="00CB7AAA" w:rsidRPr="00AA6C13">
          <w:rPr>
            <w:rStyle w:val="Hyperlink"/>
            <w:rFonts w:ascii="Arial" w:hAnsi="Arial" w:cs="Arial"/>
            <w:sz w:val="18"/>
            <w:szCs w:val="18"/>
          </w:rPr>
          <w:t>https://arxiv.org/abs/2003.05155</w:t>
        </w:r>
      </w:hyperlink>
    </w:p>
    <w:p w14:paraId="07EC279A" w14:textId="6EEB4434" w:rsidR="00B679F4" w:rsidRPr="00AA6C13" w:rsidRDefault="00543AAC">
      <w:pPr>
        <w:ind w:left="3400" w:hanging="3400"/>
      </w:pPr>
      <w:r w:rsidRPr="00AA6C13">
        <w:t>[b-Saporta et al., 2022]</w:t>
      </w:r>
      <w:r w:rsidR="00896FB9" w:rsidRPr="00AA6C13">
        <w:tab/>
      </w:r>
      <w:r w:rsidR="00AC6E23" w:rsidRPr="00AA6C13">
        <w:tab/>
      </w:r>
      <w:r w:rsidR="000F37B9" w:rsidRPr="00AA6C13">
        <w:t>Saporta, A., Gui, X., Agrawal, A.</w:t>
      </w:r>
      <w:r w:rsidR="00080FA1" w:rsidRPr="00AA6C13">
        <w:t>, Pareek, A., Truong, S. Q. H., Nguyen, C. D. T</w:t>
      </w:r>
      <w:r w:rsidR="00867CCD" w:rsidRPr="00AA6C13">
        <w:t xml:space="preserve">., </w:t>
      </w:r>
      <w:r w:rsidR="00D96C38" w:rsidRPr="00AA6C13">
        <w:t xml:space="preserve">Ngo, V-D., </w:t>
      </w:r>
      <w:r w:rsidR="00C93837" w:rsidRPr="00AA6C13">
        <w:t xml:space="preserve">Seekins, J., </w:t>
      </w:r>
      <w:proofErr w:type="spellStart"/>
      <w:r w:rsidR="00C93837" w:rsidRPr="00AA6C13">
        <w:t>Blakenberg</w:t>
      </w:r>
      <w:proofErr w:type="spellEnd"/>
      <w:r w:rsidR="00C93837" w:rsidRPr="00AA6C13">
        <w:t xml:space="preserve">, F. G., Ng, A. Y. </w:t>
      </w:r>
      <w:r w:rsidR="00B74677" w:rsidRPr="00AA6C13">
        <w:t xml:space="preserve">Lungren, M. P. and </w:t>
      </w:r>
      <w:proofErr w:type="spellStart"/>
      <w:r w:rsidR="00B74677" w:rsidRPr="00AA6C13">
        <w:t>Rajpurkar</w:t>
      </w:r>
      <w:proofErr w:type="spellEnd"/>
      <w:r w:rsidR="00B74677" w:rsidRPr="00AA6C13">
        <w:t>, P</w:t>
      </w:r>
      <w:r w:rsidR="000F37B9" w:rsidRPr="00AA6C13">
        <w:t xml:space="preserve">. </w:t>
      </w:r>
      <w:r w:rsidR="00B82147" w:rsidRPr="00AA6C13">
        <w:t xml:space="preserve">(2022), </w:t>
      </w:r>
      <w:r w:rsidR="000F37B9" w:rsidRPr="00AA6C13">
        <w:rPr>
          <w:i/>
          <w:iCs/>
        </w:rPr>
        <w:t>Benchmarking saliency methods for chest X-ray interpretation</w:t>
      </w:r>
      <w:r w:rsidR="000F37B9" w:rsidRPr="00AA6C13">
        <w:t xml:space="preserve">. </w:t>
      </w:r>
      <w:r w:rsidR="000F37B9" w:rsidRPr="00AA6C13">
        <w:rPr>
          <w:iCs/>
        </w:rPr>
        <w:t>Nat</w:t>
      </w:r>
      <w:r w:rsidR="00A11C8D" w:rsidRPr="00AA6C13">
        <w:rPr>
          <w:iCs/>
        </w:rPr>
        <w:t>ure</w:t>
      </w:r>
      <w:r w:rsidR="000F37B9" w:rsidRPr="00AA6C13">
        <w:rPr>
          <w:iCs/>
        </w:rPr>
        <w:t xml:space="preserve"> Mach</w:t>
      </w:r>
      <w:r w:rsidR="00A11C8D" w:rsidRPr="00AA6C13">
        <w:rPr>
          <w:iCs/>
        </w:rPr>
        <w:t>ine</w:t>
      </w:r>
      <w:r w:rsidR="000F37B9" w:rsidRPr="00AA6C13">
        <w:rPr>
          <w:iCs/>
        </w:rPr>
        <w:t xml:space="preserve"> Intell</w:t>
      </w:r>
      <w:r w:rsidR="00A11C8D" w:rsidRPr="00AA6C13">
        <w:rPr>
          <w:iCs/>
        </w:rPr>
        <w:t>igence</w:t>
      </w:r>
      <w:r w:rsidR="000F37B9" w:rsidRPr="00AA6C13">
        <w:t xml:space="preserve"> </w:t>
      </w:r>
      <w:r w:rsidR="000F37B9" w:rsidRPr="00AA6C13">
        <w:rPr>
          <w:bCs/>
        </w:rPr>
        <w:t>4</w:t>
      </w:r>
      <w:r w:rsidR="000F37B9" w:rsidRPr="00AA6C13">
        <w:t xml:space="preserve">, 867–878 (2022). </w:t>
      </w:r>
    </w:p>
    <w:p w14:paraId="0A39F5E4" w14:textId="4731C617" w:rsidR="002E2071" w:rsidRPr="00AA6C13" w:rsidRDefault="00A11C8D" w:rsidP="00AE14C7">
      <w:pPr>
        <w:spacing w:before="0"/>
        <w:ind w:left="3400"/>
      </w:pPr>
      <w:hyperlink r:id="rId131" w:history="1">
        <w:r w:rsidRPr="00AA6C13">
          <w:rPr>
            <w:rStyle w:val="Hyperlink"/>
            <w:rFonts w:ascii="Arial" w:hAnsi="Arial" w:cs="Arial"/>
            <w:sz w:val="18"/>
            <w:szCs w:val="18"/>
          </w:rPr>
          <w:t>https://doi.org/10.1038/s42256-022-00536-x</w:t>
        </w:r>
      </w:hyperlink>
    </w:p>
    <w:p w14:paraId="3199E8CA" w14:textId="71EE2675" w:rsidR="002E2071" w:rsidRPr="00AA6C13" w:rsidRDefault="00B253FE" w:rsidP="0006232B">
      <w:pPr>
        <w:ind w:left="3400" w:hanging="3400"/>
      </w:pPr>
      <w:r w:rsidRPr="00AA6C13">
        <w:rPr>
          <w:rFonts w:eastAsia="DengXian"/>
        </w:rPr>
        <w:t>[</w:t>
      </w:r>
      <w:r w:rsidR="001661C1" w:rsidRPr="00AA6C13">
        <w:rPr>
          <w:rFonts w:eastAsia="DengXian"/>
        </w:rPr>
        <w:t>b-Scott et al., 202</w:t>
      </w:r>
      <w:r w:rsidR="00DC0E7A" w:rsidRPr="00AA6C13">
        <w:rPr>
          <w:rFonts w:eastAsia="DengXian"/>
        </w:rPr>
        <w:t>0</w:t>
      </w:r>
      <w:r w:rsidRPr="00AA6C13">
        <w:rPr>
          <w:rFonts w:eastAsia="DengXian"/>
        </w:rPr>
        <w:t>]</w:t>
      </w:r>
      <w:r w:rsidR="00226C42" w:rsidRPr="00AA6C13">
        <w:rPr>
          <w:rFonts w:eastAsia="DengXian"/>
        </w:rPr>
        <w:tab/>
      </w:r>
      <w:r w:rsidR="00226C42" w:rsidRPr="00AA6C13">
        <w:rPr>
          <w:rFonts w:eastAsia="DengXian"/>
        </w:rPr>
        <w:tab/>
      </w:r>
      <w:r w:rsidR="000F37B9" w:rsidRPr="00AA6C13">
        <w:t>Scott</w:t>
      </w:r>
      <w:r w:rsidR="0067219C" w:rsidRPr="00AA6C13">
        <w:t>,</w:t>
      </w:r>
      <w:r w:rsidR="000F37B9" w:rsidRPr="00AA6C13">
        <w:t xml:space="preserve"> I</w:t>
      </w:r>
      <w:r w:rsidR="0056445A" w:rsidRPr="00AA6C13">
        <w:t>.</w:t>
      </w:r>
      <w:r w:rsidR="000F37B9" w:rsidRPr="00AA6C13">
        <w:t>, Carter</w:t>
      </w:r>
      <w:r w:rsidR="001E5C29" w:rsidRPr="00AA6C13">
        <w:t>,</w:t>
      </w:r>
      <w:r w:rsidR="000F37B9" w:rsidRPr="00AA6C13">
        <w:t xml:space="preserve"> S</w:t>
      </w:r>
      <w:r w:rsidR="002312BB" w:rsidRPr="00AA6C13">
        <w:t>.</w:t>
      </w:r>
      <w:r w:rsidR="000F37B9" w:rsidRPr="00AA6C13">
        <w:t xml:space="preserve">, </w:t>
      </w:r>
      <w:proofErr w:type="spellStart"/>
      <w:r w:rsidR="000F37B9" w:rsidRPr="00AA6C13">
        <w:t>Coiera</w:t>
      </w:r>
      <w:proofErr w:type="spellEnd"/>
      <w:r w:rsidR="00CD7A1D" w:rsidRPr="00AA6C13">
        <w:t>,</w:t>
      </w:r>
      <w:r w:rsidR="000F37B9" w:rsidRPr="00AA6C13">
        <w:t xml:space="preserve"> E. (202</w:t>
      </w:r>
      <w:r w:rsidR="00AB43E1" w:rsidRPr="00AA6C13">
        <w:t>0</w:t>
      </w:r>
      <w:r w:rsidR="000F37B9" w:rsidRPr="00AA6C13">
        <w:t>)</w:t>
      </w:r>
      <w:r w:rsidR="00F7027D" w:rsidRPr="00AA6C13">
        <w:t>,</w:t>
      </w:r>
      <w:r w:rsidR="000F37B9" w:rsidRPr="00AA6C13">
        <w:t xml:space="preserve"> </w:t>
      </w:r>
      <w:r w:rsidR="000F37B9" w:rsidRPr="00AA6C13">
        <w:rPr>
          <w:i/>
          <w:iCs/>
        </w:rPr>
        <w:t>Clinician checklist for assessing suitability of machine learning applications in healthcare</w:t>
      </w:r>
      <w:r w:rsidR="000F37B9" w:rsidRPr="00AA6C13">
        <w:t xml:space="preserve">. </w:t>
      </w:r>
      <w:r w:rsidR="000F37B9" w:rsidRPr="00AA6C13">
        <w:rPr>
          <w:iCs/>
        </w:rPr>
        <w:t>BMJ Health &amp; Care Informatics</w:t>
      </w:r>
      <w:r w:rsidR="000F37B9" w:rsidRPr="00AA6C13">
        <w:t xml:space="preserve"> </w:t>
      </w:r>
      <w:r w:rsidR="00AC6FEF" w:rsidRPr="00AA6C13">
        <w:t xml:space="preserve">Volume </w:t>
      </w:r>
      <w:r w:rsidR="000F37B9" w:rsidRPr="00AA6C13">
        <w:rPr>
          <w:bCs/>
        </w:rPr>
        <w:t>28</w:t>
      </w:r>
      <w:r w:rsidR="000F37B9" w:rsidRPr="00AA6C13">
        <w:t xml:space="preserve">. </w:t>
      </w:r>
      <w:hyperlink r:id="rId132" w:history="1">
        <w:r w:rsidR="00FD76E6" w:rsidRPr="00AA6C13">
          <w:rPr>
            <w:rStyle w:val="Hyperlink"/>
            <w:rFonts w:ascii="Arial" w:hAnsi="Arial" w:cs="Arial"/>
            <w:sz w:val="18"/>
            <w:szCs w:val="18"/>
          </w:rPr>
          <w:t>http://dx.doi.org/10.1136/bmjhci-2020-100251</w:t>
        </w:r>
      </w:hyperlink>
    </w:p>
    <w:p w14:paraId="7D5C2A79" w14:textId="25759344" w:rsidR="002E2071" w:rsidRPr="00AA6C13" w:rsidRDefault="00AC3EDB" w:rsidP="0006232B">
      <w:pPr>
        <w:ind w:left="3400" w:hanging="3400"/>
      </w:pPr>
      <w:r w:rsidRPr="00AA6C13">
        <w:t>[b-</w:t>
      </w:r>
      <w:r w:rsidR="001011F4" w:rsidRPr="00AA6C13">
        <w:t>Sounderajah et al., 2020]</w:t>
      </w:r>
      <w:r w:rsidR="0090275B" w:rsidRPr="00AA6C13">
        <w:tab/>
      </w:r>
      <w:r w:rsidR="006F3E84" w:rsidRPr="00AA6C13">
        <w:tab/>
      </w:r>
      <w:r w:rsidR="000F37B9" w:rsidRPr="00AA6C13">
        <w:t xml:space="preserve">Sounderajah, V., </w:t>
      </w:r>
      <w:proofErr w:type="spellStart"/>
      <w:r w:rsidR="000F37B9" w:rsidRPr="00AA6C13">
        <w:t>Ashrafian</w:t>
      </w:r>
      <w:proofErr w:type="spellEnd"/>
      <w:r w:rsidR="000F37B9" w:rsidRPr="00AA6C13">
        <w:t xml:space="preserve">, H., Aggarwal, R., De </w:t>
      </w:r>
      <w:proofErr w:type="spellStart"/>
      <w:r w:rsidR="000F37B9" w:rsidRPr="00AA6C13">
        <w:t>Fauw</w:t>
      </w:r>
      <w:proofErr w:type="spellEnd"/>
      <w:r w:rsidR="000F37B9" w:rsidRPr="00AA6C13">
        <w:t xml:space="preserve">, J., Denniston, A. K., Greaves, F., </w:t>
      </w:r>
      <w:proofErr w:type="spellStart"/>
      <w:r w:rsidR="00522833" w:rsidRPr="00AA6C13">
        <w:t>Karthikesalingam</w:t>
      </w:r>
      <w:proofErr w:type="spellEnd"/>
      <w:r w:rsidR="00522833" w:rsidRPr="00AA6C13">
        <w:t xml:space="preserve">, A., King, D., Liu, X., Markar, S. R., </w:t>
      </w:r>
      <w:proofErr w:type="spellStart"/>
      <w:r w:rsidR="00522833" w:rsidRPr="00AA6C13">
        <w:t>Mclnnes</w:t>
      </w:r>
      <w:proofErr w:type="spellEnd"/>
      <w:r w:rsidR="00522833" w:rsidRPr="00AA6C13">
        <w:t xml:space="preserve">, M. D. F., </w:t>
      </w:r>
      <w:proofErr w:type="spellStart"/>
      <w:r w:rsidR="00522833" w:rsidRPr="00AA6C13">
        <w:t>Panch</w:t>
      </w:r>
      <w:proofErr w:type="spellEnd"/>
      <w:r w:rsidR="00522833" w:rsidRPr="00AA6C13">
        <w:t>, T., Pearson-</w:t>
      </w:r>
      <w:proofErr w:type="spellStart"/>
      <w:r w:rsidR="00522833" w:rsidRPr="00AA6C13">
        <w:t>Stuttard</w:t>
      </w:r>
      <w:proofErr w:type="spellEnd"/>
      <w:r w:rsidR="00522833" w:rsidRPr="00AA6C13">
        <w:t xml:space="preserve">, J., Ting, D. S. W., Golub, R. M., Moher, D., Bossuyt, P. </w:t>
      </w:r>
      <w:r w:rsidR="00522833" w:rsidRPr="00AA6C13">
        <w:lastRenderedPageBreak/>
        <w:t xml:space="preserve">M., </w:t>
      </w:r>
      <w:r w:rsidR="00F53641" w:rsidRPr="00AA6C13">
        <w:t>and Darzi, A</w:t>
      </w:r>
      <w:r w:rsidR="000F37B9" w:rsidRPr="00AA6C13">
        <w:t>. (2020)</w:t>
      </w:r>
      <w:r w:rsidR="00B436AF" w:rsidRPr="00AA6C13">
        <w:t>,</w:t>
      </w:r>
      <w:r w:rsidR="000F37B9" w:rsidRPr="00AA6C13">
        <w:t xml:space="preserve"> </w:t>
      </w:r>
      <w:r w:rsidR="000F37B9" w:rsidRPr="00AA6C13">
        <w:rPr>
          <w:i/>
          <w:iCs/>
        </w:rPr>
        <w:t>Developing specific reporting guidelines for diagnostic accuracy studies assessing AI interventions: The STARD-AI Steering Group</w:t>
      </w:r>
      <w:r w:rsidR="000F37B9" w:rsidRPr="00AA6C13">
        <w:t xml:space="preserve">. </w:t>
      </w:r>
      <w:r w:rsidR="000F37B9" w:rsidRPr="00AA6C13">
        <w:rPr>
          <w:iCs/>
        </w:rPr>
        <w:t>Nature Medicine</w:t>
      </w:r>
      <w:r w:rsidR="000F37B9" w:rsidRPr="00AA6C13">
        <w:t xml:space="preserve">. </w:t>
      </w:r>
      <w:hyperlink r:id="rId133" w:history="1">
        <w:r w:rsidR="00FD76E6" w:rsidRPr="00AA6C13">
          <w:rPr>
            <w:rStyle w:val="Hyperlink"/>
            <w:rFonts w:ascii="Arial" w:hAnsi="Arial" w:cs="Arial"/>
            <w:sz w:val="18"/>
            <w:szCs w:val="18"/>
          </w:rPr>
          <w:t>https://doi.org/10.1038/s41591-020-0941-1</w:t>
        </w:r>
      </w:hyperlink>
    </w:p>
    <w:p w14:paraId="37EFA732" w14:textId="41A2D55E" w:rsidR="002E2071" w:rsidRPr="00AA6C13" w:rsidRDefault="00FF063C" w:rsidP="0006232B">
      <w:pPr>
        <w:ind w:left="3400" w:hanging="3400"/>
        <w:rPr>
          <w:lang w:bidi="ar-DZ"/>
        </w:rPr>
      </w:pPr>
      <w:r w:rsidRPr="00AA6C13">
        <w:rPr>
          <w:rFonts w:eastAsia="Times New Roman"/>
        </w:rPr>
        <w:t>[</w:t>
      </w:r>
      <w:r w:rsidR="00313EDD" w:rsidRPr="00AA6C13">
        <w:rPr>
          <w:rFonts w:eastAsia="Times New Roman"/>
        </w:rPr>
        <w:t>b-</w:t>
      </w:r>
      <w:r w:rsidRPr="00AA6C13">
        <w:t>Talmon et al, 2009]</w:t>
      </w:r>
      <w:r w:rsidR="009B6296" w:rsidRPr="00AA6C13">
        <w:tab/>
      </w:r>
      <w:r w:rsidR="005C5AA2" w:rsidRPr="00AA6C13">
        <w:tab/>
      </w:r>
      <w:r w:rsidR="000F37B9" w:rsidRPr="00AA6C13">
        <w:rPr>
          <w:rFonts w:eastAsia="Times New Roman"/>
        </w:rPr>
        <w:t xml:space="preserve">Talmon, J., </w:t>
      </w:r>
      <w:proofErr w:type="spellStart"/>
      <w:r w:rsidR="000F37B9" w:rsidRPr="00AA6C13">
        <w:rPr>
          <w:rFonts w:eastAsia="Times New Roman"/>
        </w:rPr>
        <w:t>Ammenwerth</w:t>
      </w:r>
      <w:proofErr w:type="spellEnd"/>
      <w:r w:rsidR="000F37B9" w:rsidRPr="00AA6C13">
        <w:rPr>
          <w:rFonts w:eastAsia="Times New Roman"/>
        </w:rPr>
        <w:t xml:space="preserve">, E., Brender, J., De Keizer, N., Nykänen, P., </w:t>
      </w:r>
      <w:r w:rsidR="0001589C" w:rsidRPr="00AA6C13">
        <w:rPr>
          <w:rFonts w:eastAsia="Times New Roman"/>
        </w:rPr>
        <w:t>and</w:t>
      </w:r>
      <w:r w:rsidR="000F37B9" w:rsidRPr="00AA6C13">
        <w:rPr>
          <w:rFonts w:eastAsia="Times New Roman"/>
        </w:rPr>
        <w:t xml:space="preserve"> Rigby, M. (2009)</w:t>
      </w:r>
      <w:r w:rsidR="00E309E9" w:rsidRPr="00AA6C13">
        <w:rPr>
          <w:rFonts w:eastAsia="Times New Roman"/>
        </w:rPr>
        <w:t>,</w:t>
      </w:r>
      <w:r w:rsidR="000F37B9" w:rsidRPr="00AA6C13">
        <w:rPr>
          <w:rFonts w:eastAsia="Times New Roman"/>
        </w:rPr>
        <w:t xml:space="preserve"> </w:t>
      </w:r>
      <w:r w:rsidR="000F37B9" w:rsidRPr="00AA6C13">
        <w:rPr>
          <w:rFonts w:eastAsia="Times New Roman"/>
          <w:i/>
          <w:iCs/>
        </w:rPr>
        <w:t>STARE-HI—Statement on reporting of evaluation studies in Health Informatics</w:t>
      </w:r>
      <w:r w:rsidR="000F37B9" w:rsidRPr="00AA6C13">
        <w:rPr>
          <w:rFonts w:eastAsia="Times New Roman"/>
        </w:rPr>
        <w:t xml:space="preserve">. International Journal of Medical Informatics, 78(1), </w:t>
      </w:r>
      <w:r w:rsidR="008C3251" w:rsidRPr="00AA6C13">
        <w:rPr>
          <w:rFonts w:eastAsia="Times New Roman"/>
        </w:rPr>
        <w:t>p</w:t>
      </w:r>
      <w:r w:rsidR="000F37B9" w:rsidRPr="00AA6C13">
        <w:rPr>
          <w:rFonts w:eastAsia="Times New Roman"/>
        </w:rPr>
        <w:t xml:space="preserve">1-9. </w:t>
      </w:r>
      <w:hyperlink r:id="rId134" w:history="1">
        <w:r w:rsidR="00FD76E6" w:rsidRPr="00AA6C13">
          <w:rPr>
            <w:rStyle w:val="Hyperlink"/>
            <w:rFonts w:ascii="Arial" w:hAnsi="Arial" w:cs="Arial"/>
            <w:sz w:val="18"/>
            <w:szCs w:val="18"/>
          </w:rPr>
          <w:t>https://doi.org/10.1016/j.ijmedinf.2008.09.002</w:t>
        </w:r>
      </w:hyperlink>
    </w:p>
    <w:p w14:paraId="2CBFDD78" w14:textId="619C066B" w:rsidR="00F97CD3" w:rsidRPr="00AA6C13" w:rsidRDefault="006F0859">
      <w:pPr>
        <w:ind w:left="3400" w:hanging="3400"/>
      </w:pPr>
      <w:r w:rsidRPr="00AA6C13">
        <w:t>[b-</w:t>
      </w:r>
      <w:r w:rsidR="00560313" w:rsidRPr="00AA6C13">
        <w:t>NICE]</w:t>
      </w:r>
      <w:r w:rsidR="00D76201" w:rsidRPr="00AA6C13">
        <w:tab/>
      </w:r>
      <w:r w:rsidR="00D76201" w:rsidRPr="00AA6C13">
        <w:tab/>
      </w:r>
      <w:r w:rsidR="00AE14C7" w:rsidRPr="00AA6C13">
        <w:tab/>
      </w:r>
      <w:r w:rsidR="00AE14C7" w:rsidRPr="00AA6C13">
        <w:tab/>
      </w:r>
      <w:r w:rsidR="000F37B9" w:rsidRPr="00AA6C13">
        <w:t>National Institute for Health and Care Excellence</w:t>
      </w:r>
      <w:r w:rsidR="00280D49" w:rsidRPr="00AA6C13">
        <w:t>.</w:t>
      </w:r>
      <w:r w:rsidR="000F37B9" w:rsidRPr="00AA6C13">
        <w:t xml:space="preserve"> (2019)</w:t>
      </w:r>
      <w:r w:rsidR="003D568F" w:rsidRPr="00AA6C13">
        <w:t>,</w:t>
      </w:r>
      <w:r w:rsidR="000F37B9" w:rsidRPr="00AA6C13">
        <w:rPr>
          <w:i/>
          <w:iCs/>
        </w:rPr>
        <w:t xml:space="preserve"> Evidence Standards Framework for Digital Health Technologies</w:t>
      </w:r>
      <w:r w:rsidR="000F37B9" w:rsidRPr="00AA6C13">
        <w:t xml:space="preserve">. </w:t>
      </w:r>
    </w:p>
    <w:p w14:paraId="1044B3EF" w14:textId="1E1B7EEE" w:rsidR="002E2071" w:rsidRPr="00AA6C13" w:rsidRDefault="00BC4D9F" w:rsidP="00AE14C7">
      <w:pPr>
        <w:spacing w:before="0"/>
        <w:ind w:left="3400"/>
      </w:pPr>
      <w:hyperlink r:id="rId135" w:history="1">
        <w:r w:rsidRPr="00AA6C13">
          <w:rPr>
            <w:rStyle w:val="Hyperlink"/>
            <w:rFonts w:ascii="Arial" w:hAnsi="Arial" w:cs="Arial"/>
            <w:sz w:val="18"/>
            <w:szCs w:val="18"/>
          </w:rPr>
          <w:t>https://www.nice.org.uk/Media/Default/About/what-we-do/our-programmes/evidence-standards-framework/digital-evidence-standards-framework.pdf</w:t>
        </w:r>
      </w:hyperlink>
    </w:p>
    <w:p w14:paraId="6EE85680" w14:textId="7446325A" w:rsidR="002E2071" w:rsidRPr="00AA6C13" w:rsidRDefault="00DE27AA" w:rsidP="0006232B">
      <w:pPr>
        <w:ind w:left="3400" w:hanging="3400"/>
        <w:rPr>
          <w:lang w:bidi="ar-DZ"/>
        </w:rPr>
      </w:pPr>
      <w:r w:rsidRPr="00AA6C13">
        <w:rPr>
          <w:lang w:bidi="ar-DZ"/>
        </w:rPr>
        <w:t>[b-</w:t>
      </w:r>
      <w:r w:rsidRPr="00AA6C13">
        <w:t xml:space="preserve">Van </w:t>
      </w:r>
      <w:proofErr w:type="spellStart"/>
      <w:r w:rsidRPr="00AA6C13">
        <w:t>Calster</w:t>
      </w:r>
      <w:proofErr w:type="spellEnd"/>
      <w:r w:rsidRPr="00AA6C13">
        <w:t xml:space="preserve"> et al., 2019</w:t>
      </w:r>
      <w:r w:rsidR="003317F9" w:rsidRPr="00AA6C13">
        <w:t>]</w:t>
      </w:r>
      <w:r w:rsidR="001F15A3" w:rsidRPr="00AA6C13">
        <w:tab/>
      </w:r>
      <w:r w:rsidR="000936D9" w:rsidRPr="00AA6C13">
        <w:tab/>
      </w:r>
      <w:r w:rsidR="000F37B9" w:rsidRPr="00AA6C13">
        <w:rPr>
          <w:lang w:bidi="ar-DZ"/>
        </w:rPr>
        <w:t xml:space="preserve">Van </w:t>
      </w:r>
      <w:proofErr w:type="spellStart"/>
      <w:r w:rsidR="000F37B9" w:rsidRPr="00AA6C13">
        <w:rPr>
          <w:lang w:bidi="ar-DZ"/>
        </w:rPr>
        <w:t>Calster</w:t>
      </w:r>
      <w:proofErr w:type="spellEnd"/>
      <w:r w:rsidR="000F37B9" w:rsidRPr="00AA6C13">
        <w:rPr>
          <w:lang w:bidi="ar-DZ"/>
        </w:rPr>
        <w:t xml:space="preserve">, B., Wynants, L., Timmerman, D., </w:t>
      </w:r>
      <w:proofErr w:type="spellStart"/>
      <w:r w:rsidR="000F37B9" w:rsidRPr="00AA6C13">
        <w:rPr>
          <w:lang w:bidi="ar-DZ"/>
        </w:rPr>
        <w:t>Steyerberg</w:t>
      </w:r>
      <w:proofErr w:type="spellEnd"/>
      <w:r w:rsidR="000F37B9" w:rsidRPr="00AA6C13">
        <w:rPr>
          <w:lang w:bidi="ar-DZ"/>
        </w:rPr>
        <w:t xml:space="preserve">, E. W., </w:t>
      </w:r>
      <w:r w:rsidR="00BA03A3" w:rsidRPr="00AA6C13">
        <w:rPr>
          <w:lang w:bidi="ar-DZ"/>
        </w:rPr>
        <w:t>and</w:t>
      </w:r>
      <w:r w:rsidR="000F37B9" w:rsidRPr="00AA6C13">
        <w:rPr>
          <w:lang w:bidi="ar-DZ"/>
        </w:rPr>
        <w:t xml:space="preserve"> Collins, G. S. (2019)</w:t>
      </w:r>
      <w:r w:rsidR="00920CA6" w:rsidRPr="00AA6C13">
        <w:rPr>
          <w:lang w:bidi="ar-DZ"/>
        </w:rPr>
        <w:t>,</w:t>
      </w:r>
      <w:r w:rsidR="000F37B9" w:rsidRPr="00AA6C13">
        <w:rPr>
          <w:lang w:bidi="ar-DZ"/>
        </w:rPr>
        <w:t xml:space="preserve"> </w:t>
      </w:r>
      <w:r w:rsidR="000F37B9" w:rsidRPr="00AA6C13">
        <w:rPr>
          <w:i/>
          <w:iCs/>
          <w:lang w:bidi="ar-DZ"/>
        </w:rPr>
        <w:t>Predictive analytics in health care: how can we know it works?</w:t>
      </w:r>
      <w:r w:rsidR="000F37B9" w:rsidRPr="00AA6C13">
        <w:rPr>
          <w:lang w:bidi="ar-DZ"/>
        </w:rPr>
        <w:t xml:space="preserve"> </w:t>
      </w:r>
      <w:r w:rsidR="000F37B9" w:rsidRPr="00AA6C13">
        <w:rPr>
          <w:iCs/>
          <w:lang w:bidi="ar-DZ"/>
        </w:rPr>
        <w:t>Journal of the American Medical Informatics Association, 26(12), 1651-1654</w:t>
      </w:r>
      <w:r w:rsidR="000F37B9" w:rsidRPr="00AA6C13">
        <w:rPr>
          <w:lang w:bidi="ar-DZ"/>
        </w:rPr>
        <w:t xml:space="preserve">. </w:t>
      </w:r>
      <w:hyperlink r:id="rId136" w:history="1">
        <w:r w:rsidR="00FD76E6" w:rsidRPr="00AA6C13">
          <w:rPr>
            <w:rStyle w:val="Hyperlink"/>
            <w:rFonts w:ascii="Arial" w:hAnsi="Arial" w:cs="Arial"/>
            <w:sz w:val="18"/>
            <w:szCs w:val="18"/>
          </w:rPr>
          <w:t>https://doi.org/10.1093/jamia/ocz130</w:t>
        </w:r>
      </w:hyperlink>
    </w:p>
    <w:p w14:paraId="72216961" w14:textId="1E9A4E1E" w:rsidR="000F37B9" w:rsidRPr="00AA6C13" w:rsidRDefault="00381DE5" w:rsidP="0006232B">
      <w:pPr>
        <w:ind w:left="3400" w:hanging="3400"/>
      </w:pPr>
      <w:r w:rsidRPr="00AA6C13">
        <w:t>[b-WHO 2021]</w:t>
      </w:r>
      <w:r w:rsidR="004364BE" w:rsidRPr="00AA6C13">
        <w:tab/>
      </w:r>
      <w:r w:rsidR="004364BE" w:rsidRPr="00AA6C13">
        <w:tab/>
      </w:r>
      <w:r w:rsidR="00AE14C7" w:rsidRPr="00AA6C13">
        <w:tab/>
      </w:r>
      <w:r w:rsidR="000F37B9" w:rsidRPr="00AA6C13">
        <w:t>World Health Organization (‎2021)‎</w:t>
      </w:r>
      <w:r w:rsidR="00BF1915" w:rsidRPr="00AA6C13">
        <w:t>,</w:t>
      </w:r>
      <w:r w:rsidR="000F37B9" w:rsidRPr="00AA6C13">
        <w:t xml:space="preserve"> </w:t>
      </w:r>
      <w:r w:rsidR="000F37B9" w:rsidRPr="00AA6C13">
        <w:rPr>
          <w:i/>
          <w:iCs/>
        </w:rPr>
        <w:t>Generating evidence for artificial intelligence-based medical devices: a framework for training, validation and evaluation</w:t>
      </w:r>
      <w:r w:rsidR="000F37B9" w:rsidRPr="00AA6C13">
        <w:t xml:space="preserve">. World Health Organization. </w:t>
      </w:r>
      <w:hyperlink r:id="rId137" w:history="1">
        <w:r w:rsidR="00FD76E6" w:rsidRPr="00AA6C13">
          <w:rPr>
            <w:rStyle w:val="Hyperlink"/>
            <w:rFonts w:ascii="Arial" w:hAnsi="Arial" w:cs="Arial"/>
            <w:sz w:val="18"/>
            <w:szCs w:val="18"/>
          </w:rPr>
          <w:t>https://apps.who.int/iris/handle/10665/349093</w:t>
        </w:r>
      </w:hyperlink>
      <w:r w:rsidR="000F37B9" w:rsidRPr="00AA6C13">
        <w:t xml:space="preserve">. </w:t>
      </w:r>
    </w:p>
    <w:p w14:paraId="0A84945F" w14:textId="2E777B3E" w:rsidR="001A4446" w:rsidRPr="00AA6C13" w:rsidRDefault="008A5025">
      <w:pPr>
        <w:ind w:left="3400" w:hanging="3400"/>
      </w:pPr>
      <w:r w:rsidRPr="00AA6C13">
        <w:rPr>
          <w:rFonts w:eastAsia="Times New Roman"/>
        </w:rPr>
        <w:t>[</w:t>
      </w:r>
      <w:r w:rsidR="00E77FBC" w:rsidRPr="00AA6C13">
        <w:rPr>
          <w:rFonts w:eastAsia="Times New Roman"/>
        </w:rPr>
        <w:t>b-</w:t>
      </w:r>
      <w:proofErr w:type="spellStart"/>
      <w:r w:rsidR="00E77FBC" w:rsidRPr="00AA6C13">
        <w:rPr>
          <w:rFonts w:eastAsia="Times New Roman"/>
        </w:rPr>
        <w:t>Wiesenfarth</w:t>
      </w:r>
      <w:proofErr w:type="spellEnd"/>
      <w:r w:rsidR="00E77FBC" w:rsidRPr="00AA6C13">
        <w:rPr>
          <w:rFonts w:eastAsia="Times New Roman"/>
        </w:rPr>
        <w:t xml:space="preserve"> et al., 2021]</w:t>
      </w:r>
      <w:r w:rsidR="000508EB" w:rsidRPr="00AA6C13">
        <w:rPr>
          <w:rFonts w:eastAsia="Times New Roman"/>
        </w:rPr>
        <w:tab/>
      </w:r>
      <w:r w:rsidR="000508EB" w:rsidRPr="00AA6C13">
        <w:rPr>
          <w:rFonts w:eastAsia="Times New Roman"/>
        </w:rPr>
        <w:tab/>
      </w:r>
      <w:proofErr w:type="spellStart"/>
      <w:r w:rsidR="000F37B9" w:rsidRPr="00AA6C13">
        <w:rPr>
          <w:lang w:bidi="ar-DZ"/>
        </w:rPr>
        <w:t>Wiesenfarth</w:t>
      </w:r>
      <w:proofErr w:type="spellEnd"/>
      <w:r w:rsidR="000F37B9" w:rsidRPr="00AA6C13">
        <w:rPr>
          <w:lang w:bidi="ar-DZ"/>
        </w:rPr>
        <w:t>, M., Reinke, A., Landman, B.</w:t>
      </w:r>
      <w:r w:rsidR="003A4498" w:rsidRPr="00AA6C13">
        <w:rPr>
          <w:lang w:bidi="ar-DZ"/>
        </w:rPr>
        <w:t xml:space="preserve"> </w:t>
      </w:r>
      <w:r w:rsidR="000F37B9" w:rsidRPr="00AA6C13">
        <w:rPr>
          <w:lang w:bidi="ar-DZ"/>
        </w:rPr>
        <w:t xml:space="preserve">A., </w:t>
      </w:r>
      <w:r w:rsidR="00696B52" w:rsidRPr="00AA6C13">
        <w:rPr>
          <w:lang w:bidi="ar-DZ"/>
        </w:rPr>
        <w:t xml:space="preserve">Eisenmann, M., Saiz, L. A., </w:t>
      </w:r>
      <w:r w:rsidR="000F37B9" w:rsidRPr="00AA6C13">
        <w:rPr>
          <w:lang w:bidi="ar-DZ"/>
        </w:rPr>
        <w:t>Cardoso, M.</w:t>
      </w:r>
      <w:r w:rsidR="00E42AA8" w:rsidRPr="00AA6C13">
        <w:rPr>
          <w:lang w:bidi="ar-DZ"/>
        </w:rPr>
        <w:t xml:space="preserve"> </w:t>
      </w:r>
      <w:r w:rsidR="000F37B9" w:rsidRPr="00AA6C13">
        <w:rPr>
          <w:lang w:bidi="ar-DZ"/>
        </w:rPr>
        <w:t>J., Maier-Hein, L., Kopp-Schneider, A. (20</w:t>
      </w:r>
      <w:r w:rsidR="00DC5938" w:rsidRPr="00AA6C13">
        <w:rPr>
          <w:lang w:bidi="ar-DZ"/>
        </w:rPr>
        <w:t>2</w:t>
      </w:r>
      <w:r w:rsidR="000F37B9" w:rsidRPr="00AA6C13">
        <w:rPr>
          <w:lang w:bidi="ar-DZ"/>
        </w:rPr>
        <w:t>1)</w:t>
      </w:r>
      <w:r w:rsidR="00F90EB2" w:rsidRPr="00AA6C13">
        <w:rPr>
          <w:lang w:bidi="ar-DZ"/>
        </w:rPr>
        <w:t>,</w:t>
      </w:r>
      <w:r w:rsidR="000F37B9" w:rsidRPr="00AA6C13">
        <w:rPr>
          <w:lang w:bidi="ar-DZ"/>
        </w:rPr>
        <w:t xml:space="preserve"> </w:t>
      </w:r>
      <w:r w:rsidR="000F37B9" w:rsidRPr="00AA6C13">
        <w:rPr>
          <w:i/>
          <w:iCs/>
        </w:rPr>
        <w:t xml:space="preserve">Methods and open-source toolkit for </w:t>
      </w:r>
      <w:proofErr w:type="spellStart"/>
      <w:r w:rsidR="000F37B9" w:rsidRPr="00AA6C13">
        <w:rPr>
          <w:i/>
          <w:iCs/>
        </w:rPr>
        <w:t>analyzing</w:t>
      </w:r>
      <w:proofErr w:type="spellEnd"/>
      <w:r w:rsidR="000F37B9" w:rsidRPr="00AA6C13">
        <w:rPr>
          <w:i/>
          <w:iCs/>
        </w:rPr>
        <w:t xml:space="preserve"> and visualizing challenge results</w:t>
      </w:r>
      <w:r w:rsidR="000F37B9" w:rsidRPr="00AA6C13">
        <w:t xml:space="preserve">. </w:t>
      </w:r>
      <w:r w:rsidR="00366E15" w:rsidRPr="00AA6C13">
        <w:t>Scientific reports.</w:t>
      </w:r>
    </w:p>
    <w:p w14:paraId="293A8B1B" w14:textId="2D486012" w:rsidR="000F37B9" w:rsidRPr="00AA6C13" w:rsidRDefault="0083769B" w:rsidP="00AE14C7">
      <w:pPr>
        <w:spacing w:before="0"/>
        <w:ind w:left="3400"/>
      </w:pPr>
      <w:hyperlink r:id="rId138" w:history="1">
        <w:r w:rsidRPr="00AA6C13">
          <w:rPr>
            <w:rStyle w:val="Hyperlink"/>
            <w:rFonts w:ascii="Arial" w:hAnsi="Arial" w:cs="Arial"/>
            <w:sz w:val="18"/>
            <w:szCs w:val="18"/>
          </w:rPr>
          <w:t>https://doi.org/10.1038/s41598-021-82017-6</w:t>
        </w:r>
      </w:hyperlink>
    </w:p>
    <w:p w14:paraId="4726EB41" w14:textId="52F087F4" w:rsidR="002E2071" w:rsidRPr="00AA6C13" w:rsidRDefault="001105CA" w:rsidP="0006232B">
      <w:pPr>
        <w:ind w:left="3400" w:hanging="3400"/>
        <w:rPr>
          <w:rFonts w:eastAsia="Calibri"/>
        </w:rPr>
      </w:pPr>
      <w:r w:rsidRPr="00AA6C13">
        <w:t>[</w:t>
      </w:r>
      <w:r w:rsidR="003C6076" w:rsidRPr="00AA6C13">
        <w:t>b-Winter et al., 2021</w:t>
      </w:r>
      <w:r w:rsidR="00684B79" w:rsidRPr="00AA6C13">
        <w:t>]</w:t>
      </w:r>
      <w:r w:rsidR="00A85150" w:rsidRPr="00AA6C13">
        <w:tab/>
      </w:r>
      <w:r w:rsidR="00A85150" w:rsidRPr="00AA6C13">
        <w:tab/>
      </w:r>
      <w:r w:rsidR="000F37B9" w:rsidRPr="00AA6C13">
        <w:rPr>
          <w:rFonts w:eastAsia="Calibri"/>
        </w:rPr>
        <w:t xml:space="preserve">Winter, P. M., Eder, S., </w:t>
      </w:r>
      <w:proofErr w:type="spellStart"/>
      <w:r w:rsidR="000F37B9" w:rsidRPr="00AA6C13">
        <w:rPr>
          <w:rFonts w:eastAsia="Calibri"/>
        </w:rPr>
        <w:t>Weissenböck</w:t>
      </w:r>
      <w:proofErr w:type="spellEnd"/>
      <w:r w:rsidR="000F37B9" w:rsidRPr="00AA6C13">
        <w:rPr>
          <w:rFonts w:eastAsia="Calibri"/>
        </w:rPr>
        <w:t xml:space="preserve">, J., Schwald, C., </w:t>
      </w:r>
      <w:proofErr w:type="spellStart"/>
      <w:r w:rsidR="000F37B9" w:rsidRPr="00AA6C13">
        <w:rPr>
          <w:rFonts w:eastAsia="Calibri"/>
        </w:rPr>
        <w:t>Doms</w:t>
      </w:r>
      <w:proofErr w:type="spellEnd"/>
      <w:r w:rsidR="000F37B9" w:rsidRPr="00AA6C13">
        <w:rPr>
          <w:rFonts w:eastAsia="Calibri"/>
        </w:rPr>
        <w:t xml:space="preserve">, T., Vogt, T., </w:t>
      </w:r>
      <w:r w:rsidR="00D6790A" w:rsidRPr="00AA6C13">
        <w:rPr>
          <w:rFonts w:eastAsia="Calibri"/>
        </w:rPr>
        <w:t>Hochreiter, S., and</w:t>
      </w:r>
      <w:r w:rsidR="000F37B9" w:rsidRPr="00AA6C13">
        <w:rPr>
          <w:rFonts w:eastAsia="Calibri"/>
        </w:rPr>
        <w:t xml:space="preserve"> Nessler, B. (2021)</w:t>
      </w:r>
      <w:r w:rsidR="007A046B" w:rsidRPr="00AA6C13">
        <w:rPr>
          <w:rFonts w:eastAsia="Calibri"/>
        </w:rPr>
        <w:t>,</w:t>
      </w:r>
      <w:r w:rsidR="000F37B9" w:rsidRPr="00AA6C13">
        <w:rPr>
          <w:rFonts w:eastAsia="Calibri"/>
        </w:rPr>
        <w:t xml:space="preserve"> </w:t>
      </w:r>
      <w:r w:rsidR="000F37B9" w:rsidRPr="00AA6C13">
        <w:rPr>
          <w:rFonts w:eastAsia="Calibri"/>
          <w:i/>
          <w:iCs/>
        </w:rPr>
        <w:t>Trusted Artificial Intelligence: Towards Certification of Machine Learning Applications</w:t>
      </w:r>
      <w:r w:rsidR="000F37B9" w:rsidRPr="00AA6C13">
        <w:rPr>
          <w:rFonts w:eastAsia="Calibri"/>
        </w:rPr>
        <w:t xml:space="preserve">. </w:t>
      </w:r>
      <w:proofErr w:type="spellStart"/>
      <w:r w:rsidR="000F37B9" w:rsidRPr="00AA6C13">
        <w:rPr>
          <w:rFonts w:eastAsia="Calibri"/>
        </w:rPr>
        <w:t>arXiv</w:t>
      </w:r>
      <w:proofErr w:type="spellEnd"/>
      <w:r w:rsidR="000F37B9" w:rsidRPr="00AA6C13">
        <w:rPr>
          <w:rFonts w:eastAsia="Calibri"/>
        </w:rPr>
        <w:t xml:space="preserve"> preprint arXiv:2103.16910. </w:t>
      </w:r>
      <w:hyperlink r:id="rId139" w:history="1">
        <w:r w:rsidR="00FD76E6" w:rsidRPr="00AA6C13">
          <w:rPr>
            <w:rStyle w:val="Hyperlink"/>
            <w:rFonts w:ascii="Arial" w:hAnsi="Arial" w:cs="Arial"/>
            <w:sz w:val="18"/>
            <w:szCs w:val="18"/>
          </w:rPr>
          <w:t>https://arxiv.org/abs/2103.16910v1</w:t>
        </w:r>
      </w:hyperlink>
    </w:p>
    <w:p w14:paraId="356305DB" w14:textId="40C079E9" w:rsidR="00906479" w:rsidRPr="00AA6C13" w:rsidRDefault="001C2764">
      <w:pPr>
        <w:ind w:left="3400" w:hanging="3400"/>
        <w:rPr>
          <w:rFonts w:eastAsia="Calibri"/>
        </w:rPr>
      </w:pPr>
      <w:r w:rsidRPr="00AA6C13">
        <w:rPr>
          <w:rFonts w:eastAsia="Calibri"/>
        </w:rPr>
        <w:t>[</w:t>
      </w:r>
      <w:r w:rsidRPr="00AA6C13">
        <w:t>b-Wu et al., 2021]</w:t>
      </w:r>
      <w:r w:rsidR="00286BC3" w:rsidRPr="00AA6C13">
        <w:tab/>
      </w:r>
      <w:r w:rsidR="00286BC3" w:rsidRPr="00AA6C13">
        <w:tab/>
      </w:r>
      <w:r w:rsidR="000F37B9" w:rsidRPr="00AA6C13">
        <w:rPr>
          <w:rFonts w:eastAsia="Calibri"/>
        </w:rPr>
        <w:t xml:space="preserve">Wu, E., Wu, K., </w:t>
      </w:r>
      <w:proofErr w:type="spellStart"/>
      <w:r w:rsidR="000F37B9" w:rsidRPr="00AA6C13">
        <w:rPr>
          <w:rFonts w:eastAsia="Calibri"/>
        </w:rPr>
        <w:t>Daneshjou</w:t>
      </w:r>
      <w:proofErr w:type="spellEnd"/>
      <w:r w:rsidR="000F37B9" w:rsidRPr="00AA6C13">
        <w:rPr>
          <w:rFonts w:eastAsia="Calibri"/>
        </w:rPr>
        <w:t>, R.</w:t>
      </w:r>
      <w:r w:rsidR="00FE0FF4" w:rsidRPr="00AA6C13">
        <w:rPr>
          <w:rFonts w:eastAsia="Calibri"/>
        </w:rPr>
        <w:t xml:space="preserve">, </w:t>
      </w:r>
      <w:r w:rsidR="00FE0FF4" w:rsidRPr="00AA6C13">
        <w:t>Ouyang, D., Ho, D. E., and Zou, J</w:t>
      </w:r>
      <w:r w:rsidR="000F37B9" w:rsidRPr="00AA6C13">
        <w:rPr>
          <w:rFonts w:eastAsia="Calibri"/>
        </w:rPr>
        <w:t>. (2021)</w:t>
      </w:r>
      <w:r w:rsidR="006D43C1" w:rsidRPr="00AA6C13">
        <w:rPr>
          <w:rFonts w:eastAsia="Calibri"/>
        </w:rPr>
        <w:t>,</w:t>
      </w:r>
      <w:r w:rsidR="000F37B9" w:rsidRPr="00AA6C13">
        <w:rPr>
          <w:rFonts w:eastAsia="Calibri"/>
        </w:rPr>
        <w:t xml:space="preserve"> </w:t>
      </w:r>
      <w:r w:rsidR="000F37B9" w:rsidRPr="00AA6C13">
        <w:rPr>
          <w:rFonts w:eastAsia="Calibri"/>
          <w:i/>
          <w:iCs/>
        </w:rPr>
        <w:t>How medical AI devices are evaluated: limitations and recommendations from an analysis of FDA approvals</w:t>
      </w:r>
      <w:r w:rsidR="000F37B9" w:rsidRPr="00AA6C13">
        <w:rPr>
          <w:rFonts w:eastAsia="Calibri"/>
        </w:rPr>
        <w:t xml:space="preserve">. </w:t>
      </w:r>
      <w:r w:rsidR="000F37B9" w:rsidRPr="00AA6C13">
        <w:rPr>
          <w:rFonts w:eastAsia="Calibri"/>
          <w:iCs/>
        </w:rPr>
        <w:t>Nat</w:t>
      </w:r>
      <w:r w:rsidR="00407AED" w:rsidRPr="00AA6C13">
        <w:rPr>
          <w:rFonts w:eastAsia="Calibri"/>
          <w:iCs/>
        </w:rPr>
        <w:t>ure</w:t>
      </w:r>
      <w:r w:rsidR="000F37B9" w:rsidRPr="00AA6C13">
        <w:rPr>
          <w:rFonts w:eastAsia="Calibri"/>
          <w:iCs/>
        </w:rPr>
        <w:t xml:space="preserve"> Med</w:t>
      </w:r>
      <w:r w:rsidR="00407AED" w:rsidRPr="00AA6C13">
        <w:rPr>
          <w:rFonts w:eastAsia="Calibri"/>
          <w:iCs/>
        </w:rPr>
        <w:t>icine</w:t>
      </w:r>
      <w:r w:rsidR="00536727" w:rsidRPr="00AA6C13">
        <w:rPr>
          <w:rFonts w:eastAsia="Calibri"/>
          <w:iCs/>
        </w:rPr>
        <w:t xml:space="preserve"> 27, 582-584</w:t>
      </w:r>
      <w:r w:rsidR="000F37B9" w:rsidRPr="00AA6C13">
        <w:rPr>
          <w:rFonts w:eastAsia="Calibri"/>
        </w:rPr>
        <w:t xml:space="preserve">. </w:t>
      </w:r>
    </w:p>
    <w:p w14:paraId="464451EE" w14:textId="2BA536F9" w:rsidR="002E2071" w:rsidRPr="00AA6C13" w:rsidRDefault="001A4446" w:rsidP="0006232B">
      <w:pPr>
        <w:ind w:left="3400"/>
        <w:rPr>
          <w:rStyle w:val="Hyperlink"/>
          <w:rFonts w:ascii="Arial" w:hAnsi="Arial" w:cs="Arial"/>
          <w:sz w:val="18"/>
          <w:szCs w:val="18"/>
        </w:rPr>
      </w:pPr>
      <w:hyperlink r:id="rId140" w:history="1">
        <w:r w:rsidRPr="00AA6C13">
          <w:rPr>
            <w:rStyle w:val="Hyperlink"/>
            <w:rFonts w:ascii="Arial" w:hAnsi="Arial" w:cs="Arial"/>
            <w:sz w:val="18"/>
            <w:szCs w:val="18"/>
          </w:rPr>
          <w:t>https://doi.org/10.1038/s41591-021-01312-x</w:t>
        </w:r>
      </w:hyperlink>
    </w:p>
    <w:p w14:paraId="55C65AA7" w14:textId="377D8540" w:rsidR="005814BF" w:rsidRPr="00AA6C13" w:rsidRDefault="005814BF" w:rsidP="0006232B">
      <w:pPr>
        <w:ind w:left="3400" w:hanging="3400"/>
        <w:rPr>
          <w:rFonts w:eastAsia="Calibri"/>
        </w:rPr>
      </w:pPr>
      <w:r w:rsidRPr="00AA6C13">
        <w:rPr>
          <w:rStyle w:val="Hyperlink"/>
          <w:color w:val="000000" w:themeColor="text1"/>
        </w:rPr>
        <w:t>[</w:t>
      </w:r>
      <w:r w:rsidRPr="00AA6C13">
        <w:rPr>
          <w:rFonts w:eastAsia="Times New Roman"/>
          <w:lang w:eastAsia="de-DE"/>
        </w:rPr>
        <w:t>b-Zhang et al., 2020</w:t>
      </w:r>
      <w:r w:rsidR="003341E3" w:rsidRPr="00AA6C13">
        <w:rPr>
          <w:rFonts w:eastAsia="Times New Roman"/>
          <w:lang w:eastAsia="de-DE"/>
        </w:rPr>
        <w:t>]</w:t>
      </w:r>
      <w:r w:rsidR="00AF7D49" w:rsidRPr="00AA6C13">
        <w:rPr>
          <w:rFonts w:eastAsia="Times New Roman"/>
          <w:lang w:eastAsia="de-DE"/>
        </w:rPr>
        <w:tab/>
      </w:r>
      <w:r w:rsidR="00060E04" w:rsidRPr="00AA6C13">
        <w:rPr>
          <w:rFonts w:eastAsia="Times New Roman"/>
          <w:lang w:eastAsia="de-DE"/>
        </w:rPr>
        <w:tab/>
      </w:r>
      <w:r w:rsidR="00D2187D" w:rsidRPr="00AA6C13">
        <w:rPr>
          <w:rFonts w:eastAsia="Times New Roman"/>
          <w:lang w:eastAsia="de-DE"/>
        </w:rPr>
        <w:t>Zhang, J. M., Harman, M., Ma, L., and Liu, Y. (2020)</w:t>
      </w:r>
      <w:r w:rsidR="00905020" w:rsidRPr="00AA6C13">
        <w:rPr>
          <w:rFonts w:eastAsia="Times New Roman"/>
          <w:lang w:eastAsia="de-DE"/>
        </w:rPr>
        <w:t>,</w:t>
      </w:r>
      <w:r w:rsidR="00D2187D" w:rsidRPr="00AA6C13">
        <w:rPr>
          <w:rFonts w:eastAsia="Times New Roman"/>
          <w:lang w:eastAsia="de-DE"/>
        </w:rPr>
        <w:t xml:space="preserve"> </w:t>
      </w:r>
      <w:r w:rsidR="00D2187D" w:rsidRPr="00AA6C13">
        <w:rPr>
          <w:rFonts w:eastAsia="Times New Roman"/>
          <w:i/>
          <w:iCs/>
          <w:lang w:eastAsia="de-DE"/>
        </w:rPr>
        <w:t>Machine learning testing: Survey, landscapes and horizons</w:t>
      </w:r>
      <w:r w:rsidR="00D2187D" w:rsidRPr="00AA6C13">
        <w:rPr>
          <w:rFonts w:eastAsia="Times New Roman"/>
          <w:lang w:eastAsia="de-DE"/>
        </w:rPr>
        <w:t>. IEEE Transactions on Software Engineering.</w:t>
      </w:r>
      <w:r w:rsidR="00D40045" w:rsidRPr="00AA6C13">
        <w:rPr>
          <w:rFonts w:eastAsia="Times New Roman"/>
          <w:lang w:eastAsia="de-DE"/>
        </w:rPr>
        <w:t xml:space="preserve"> </w:t>
      </w:r>
      <w:hyperlink r:id="rId141" w:history="1">
        <w:r w:rsidR="00D40045" w:rsidRPr="00AA6C13">
          <w:rPr>
            <w:rStyle w:val="Hyperlink"/>
            <w:rFonts w:ascii="Arial" w:hAnsi="Arial" w:cs="Arial"/>
            <w:sz w:val="18"/>
            <w:szCs w:val="18"/>
          </w:rPr>
          <w:t>https://ieeexplore.ieee.org/document/9000651</w:t>
        </w:r>
      </w:hyperlink>
    </w:p>
    <w:p w14:paraId="08A4F871" w14:textId="77777777" w:rsidR="00BC1D31" w:rsidRPr="00AA6C13" w:rsidRDefault="00BC1D31" w:rsidP="00FF57DA"/>
    <w:p w14:paraId="0CE409CD" w14:textId="23882964" w:rsidR="00F8220F" w:rsidRPr="00AA6C13" w:rsidRDefault="00F8220F" w:rsidP="00F8220F">
      <w:pPr>
        <w:jc w:val="center"/>
      </w:pPr>
      <w:r w:rsidRPr="00AA6C13">
        <w:t>_________</w:t>
      </w:r>
    </w:p>
    <w:sectPr w:rsidR="00F8220F" w:rsidRPr="00AA6C13" w:rsidSect="00316826">
      <w:headerReference w:type="even" r:id="rId142"/>
      <w:headerReference w:type="default" r:id="rId143"/>
      <w:footerReference w:type="default" r:id="rId144"/>
      <w:headerReference w:type="first" r:id="rId145"/>
      <w:footerReference w:type="first" r:id="rId146"/>
      <w:type w:val="oddPage"/>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15976" w14:textId="77777777" w:rsidR="003760FC" w:rsidRDefault="003760FC" w:rsidP="007B7733">
      <w:pPr>
        <w:spacing w:before="0"/>
      </w:pPr>
      <w:r>
        <w:separator/>
      </w:r>
    </w:p>
  </w:endnote>
  <w:endnote w:type="continuationSeparator" w:id="0">
    <w:p w14:paraId="2D2D2591" w14:textId="77777777" w:rsidR="003760FC" w:rsidRDefault="003760F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437A" w14:textId="4F3CA409" w:rsidR="003201BA" w:rsidRPr="00841AF4" w:rsidRDefault="003201BA" w:rsidP="00181C12">
    <w:pPr>
      <w:pStyle w:val="Footer"/>
      <w:tabs>
        <w:tab w:val="clear" w:pos="5954"/>
        <w:tab w:val="left" w:pos="567"/>
        <w:tab w:val="right" w:pos="8789"/>
      </w:tabs>
      <w:jc w:val="left"/>
      <w:rPr>
        <w:b/>
        <w:bCs/>
        <w:lang w:val="it-IT"/>
      </w:rPr>
    </w:pPr>
    <w:r w:rsidRPr="00926B6C">
      <w:fldChar w:fldCharType="begin"/>
    </w:r>
    <w:r w:rsidRPr="00841AF4">
      <w:rPr>
        <w:lang w:val="it-IT"/>
      </w:rPr>
      <w:instrText xml:space="preserve"> PAGE </w:instrText>
    </w:r>
    <w:r w:rsidRPr="00926B6C">
      <w:fldChar w:fldCharType="separate"/>
    </w:r>
    <w:r w:rsidRPr="00841AF4">
      <w:rPr>
        <w:lang w:val="it-IT"/>
      </w:rPr>
      <w:t>ii</w:t>
    </w:r>
    <w:r w:rsidRPr="00926B6C">
      <w:fldChar w:fldCharType="end"/>
    </w:r>
    <w:r w:rsidRPr="00841AF4">
      <w:rPr>
        <w:b/>
        <w:bCs/>
        <w:lang w:val="it-IT"/>
      </w:rPr>
      <w:tab/>
    </w:r>
    <w:r w:rsidR="0093536E" w:rsidRPr="00841AF4">
      <w:rPr>
        <w:b/>
        <w:bCs/>
        <w:lang w:val="it-IT"/>
      </w:rPr>
      <w:t>FG-AI4H DEL0</w:t>
    </w:r>
    <w:r w:rsidR="0093536E">
      <w:rPr>
        <w:b/>
        <w:bCs/>
        <w:lang w:val="it-IT"/>
      </w:rPr>
      <w:t>7</w:t>
    </w:r>
    <w:r w:rsidR="0093536E" w:rsidRPr="00841AF4">
      <w:rPr>
        <w:b/>
        <w:bCs/>
        <w:lang w:val="it-IT"/>
      </w:rPr>
      <w:t xml:space="preserve"> (</w:t>
    </w:r>
    <w:r w:rsidR="0093536E">
      <w:rPr>
        <w:b/>
        <w:bCs/>
        <w:lang w:val="it-IT"/>
      </w:rPr>
      <w:t>2023</w:t>
    </w:r>
    <w:r w:rsidR="0093536E" w:rsidRPr="00841AF4">
      <w:rPr>
        <w:b/>
        <w:bCs/>
        <w:lang w:val="it-IT"/>
      </w:rPr>
      <w:t>-</w:t>
    </w:r>
    <w:r w:rsidR="0093536E">
      <w:rPr>
        <w:b/>
        <w:bCs/>
        <w:lang w:val="it-IT"/>
      </w:rPr>
      <w:t>03</w:t>
    </w:r>
    <w:r w:rsidR="0093536E" w:rsidRPr="00841AF4">
      <w:rPr>
        <w:b/>
        <w:bCs/>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9E139" w14:textId="77777777" w:rsidR="003201BA" w:rsidRDefault="003201BA"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BBCD" w14:textId="4B5DEC32" w:rsidR="003201BA" w:rsidRPr="00841AF4" w:rsidRDefault="003201BA" w:rsidP="008F0E27">
    <w:pPr>
      <w:pStyle w:val="Footer"/>
      <w:tabs>
        <w:tab w:val="clear" w:pos="5954"/>
        <w:tab w:val="right" w:pos="8789"/>
      </w:tabs>
      <w:jc w:val="right"/>
      <w:rPr>
        <w:b/>
        <w:bCs/>
        <w:lang w:val="it-IT"/>
      </w:rPr>
    </w:pPr>
    <w:r w:rsidRPr="00926B6C">
      <w:rPr>
        <w:b/>
        <w:bCs/>
      </w:rPr>
      <w:tab/>
    </w:r>
    <w:r w:rsidRPr="00841AF4">
      <w:rPr>
        <w:b/>
        <w:bCs/>
        <w:lang w:val="it-IT"/>
      </w:rPr>
      <w:t>FG-AI4H DEL0</w:t>
    </w:r>
    <w:r w:rsidR="0093536E">
      <w:rPr>
        <w:b/>
        <w:bCs/>
        <w:lang w:val="it-IT"/>
      </w:rPr>
      <w:t>7</w:t>
    </w:r>
    <w:r w:rsidRPr="00841AF4">
      <w:rPr>
        <w:b/>
        <w:bCs/>
        <w:lang w:val="it-IT"/>
      </w:rPr>
      <w:t xml:space="preserve"> (</w:t>
    </w:r>
    <w:r w:rsidR="0093536E">
      <w:rPr>
        <w:b/>
        <w:bCs/>
        <w:lang w:val="it-IT"/>
      </w:rPr>
      <w:t>2023</w:t>
    </w:r>
    <w:r w:rsidRPr="00841AF4">
      <w:rPr>
        <w:b/>
        <w:bCs/>
        <w:lang w:val="it-IT"/>
      </w:rPr>
      <w:t>-</w:t>
    </w:r>
    <w:r w:rsidR="0093536E">
      <w:rPr>
        <w:b/>
        <w:bCs/>
        <w:lang w:val="it-IT"/>
      </w:rPr>
      <w:t>03</w:t>
    </w:r>
    <w:r w:rsidRPr="00841AF4">
      <w:rPr>
        <w:b/>
        <w:bCs/>
        <w:lang w:val="it-IT"/>
      </w:rPr>
      <w:t>)</w:t>
    </w:r>
    <w:r w:rsidRPr="00841AF4">
      <w:rPr>
        <w:b/>
        <w:bCs/>
        <w:lang w:val="it-IT"/>
      </w:rPr>
      <w:tab/>
    </w:r>
    <w:r w:rsidRPr="00926B6C">
      <w:fldChar w:fldCharType="begin"/>
    </w:r>
    <w:r w:rsidRPr="00841AF4">
      <w:rPr>
        <w:lang w:val="it-IT"/>
      </w:rPr>
      <w:instrText xml:space="preserve"> PAGE </w:instrText>
    </w:r>
    <w:r w:rsidRPr="00926B6C">
      <w:fldChar w:fldCharType="separate"/>
    </w:r>
    <w:r w:rsidRPr="00841AF4">
      <w:rPr>
        <w:lang w:val="it-IT"/>
      </w:rP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EF59" w14:textId="760EE657" w:rsidR="00FF57DA" w:rsidRPr="0093536E" w:rsidRDefault="0093536E" w:rsidP="0093536E">
    <w:pPr>
      <w:pStyle w:val="Footer"/>
      <w:tabs>
        <w:tab w:val="clear" w:pos="5954"/>
        <w:tab w:val="right" w:pos="8789"/>
      </w:tabs>
      <w:jc w:val="right"/>
      <w:rPr>
        <w:b/>
        <w:bCs/>
        <w:lang w:val="it-IT"/>
      </w:rPr>
    </w:pPr>
    <w:r w:rsidRPr="00926B6C">
      <w:rPr>
        <w:b/>
        <w:bCs/>
      </w:rPr>
      <w:tab/>
    </w:r>
    <w:r w:rsidRPr="00841AF4">
      <w:rPr>
        <w:b/>
        <w:bCs/>
        <w:lang w:val="it-IT"/>
      </w:rPr>
      <w:t>FG-AI4H DEL0</w:t>
    </w:r>
    <w:r>
      <w:rPr>
        <w:b/>
        <w:bCs/>
        <w:lang w:val="it-IT"/>
      </w:rPr>
      <w:t>7</w:t>
    </w:r>
    <w:r w:rsidRPr="00841AF4">
      <w:rPr>
        <w:b/>
        <w:bCs/>
        <w:lang w:val="it-IT"/>
      </w:rPr>
      <w:t xml:space="preserve"> (</w:t>
    </w:r>
    <w:r>
      <w:rPr>
        <w:b/>
        <w:bCs/>
        <w:lang w:val="it-IT"/>
      </w:rPr>
      <w:t>2023</w:t>
    </w:r>
    <w:r w:rsidRPr="00841AF4">
      <w:rPr>
        <w:b/>
        <w:bCs/>
        <w:lang w:val="it-IT"/>
      </w:rPr>
      <w:t>-</w:t>
    </w:r>
    <w:r>
      <w:rPr>
        <w:b/>
        <w:bCs/>
        <w:lang w:val="it-IT"/>
      </w:rPr>
      <w:t>03</w:t>
    </w:r>
    <w:r w:rsidRPr="00841AF4">
      <w:rPr>
        <w:b/>
        <w:bCs/>
        <w:lang w:val="it-IT"/>
      </w:rPr>
      <w:t>)</w:t>
    </w:r>
    <w:r w:rsidRPr="00841AF4">
      <w:rPr>
        <w:b/>
        <w:bCs/>
        <w:lang w:val="it-IT"/>
      </w:rPr>
      <w:tab/>
    </w:r>
    <w:r w:rsidRPr="00926B6C">
      <w:fldChar w:fldCharType="begin"/>
    </w:r>
    <w:r w:rsidRPr="00841AF4">
      <w:rPr>
        <w:lang w:val="it-IT"/>
      </w:rPr>
      <w:instrText xml:space="preserve"> PAGE </w:instrText>
    </w:r>
    <w:r w:rsidRPr="00926B6C">
      <w:fldChar w:fldCharType="separate"/>
    </w:r>
    <w:r>
      <w:t>i</w:t>
    </w:r>
    <w:r w:rsidRPr="00926B6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C79B" w14:textId="5D8E1924" w:rsidR="00C97456" w:rsidRPr="0084023B" w:rsidRDefault="00C97456" w:rsidP="00C97456">
    <w:pPr>
      <w:pStyle w:val="Footer"/>
      <w:tabs>
        <w:tab w:val="center" w:pos="3261"/>
      </w:tabs>
      <w:jc w:val="right"/>
      <w:rPr>
        <w:b/>
        <w:sz w:val="20"/>
      </w:rPr>
    </w:pPr>
    <w:r>
      <w:rPr>
        <w:b/>
        <w:sz w:val="20"/>
      </w:rPr>
      <w:fldChar w:fldCharType="begin"/>
    </w:r>
    <w:r>
      <w:rPr>
        <w:b/>
        <w:sz w:val="20"/>
      </w:rPr>
      <w:instrText xml:space="preserve"> styleref DeliverableNo </w:instrText>
    </w:r>
    <w:r>
      <w:rPr>
        <w:b/>
        <w:sz w:val="20"/>
      </w:rPr>
      <w:fldChar w:fldCharType="separate"/>
    </w:r>
    <w:r w:rsidR="00B25BEC">
      <w:rPr>
        <w:bCs/>
        <w:sz w:val="20"/>
        <w:lang w:val="en-US"/>
      </w:rPr>
      <w:t>Error! No text of specified style in document.</w:t>
    </w:r>
    <w:r>
      <w:rPr>
        <w:b/>
        <w:sz w:val="20"/>
      </w:rPr>
      <w:fldChar w:fldCharType="end"/>
    </w:r>
    <w:r>
      <w:rPr>
        <w:b/>
        <w:sz w:val="20"/>
      </w:rPr>
      <w:t xml:space="preserve"> </w:t>
    </w:r>
    <w:r>
      <w:rPr>
        <w:b/>
        <w:sz w:val="20"/>
      </w:rPr>
      <w:fldChar w:fldCharType="begin"/>
    </w:r>
    <w:r>
      <w:rPr>
        <w:b/>
        <w:sz w:val="20"/>
      </w:rPr>
      <w:instrText xml:space="preserve"> styleref DeliverableDate </w:instrText>
    </w:r>
    <w:r>
      <w:rPr>
        <w:b/>
        <w:sz w:val="20"/>
      </w:rPr>
      <w:fldChar w:fldCharType="separate"/>
    </w:r>
    <w:r w:rsidR="00B25BEC">
      <w:rPr>
        <w:bCs/>
        <w:sz w:val="20"/>
        <w:lang w:val="en-US"/>
      </w:rPr>
      <w:t>Error! No text of specified style in document.</w:t>
    </w:r>
    <w:r>
      <w:rPr>
        <w:b/>
        <w:sz w:val="20"/>
      </w:rPr>
      <w:fldChar w:fldCharType="end"/>
    </w:r>
    <w:r w:rsidR="002E2071">
      <w:rPr>
        <w:b/>
        <w:sz w:val="20"/>
      </w:rPr>
      <w:t xml:space="preserve"> </w:t>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sz w:val="20"/>
      </w:rPr>
      <w:t>i</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AEFC2" w14:textId="77777777" w:rsidR="003760FC" w:rsidRDefault="003760FC" w:rsidP="007B7733">
      <w:pPr>
        <w:spacing w:before="0"/>
      </w:pPr>
      <w:r>
        <w:separator/>
      </w:r>
    </w:p>
  </w:footnote>
  <w:footnote w:type="continuationSeparator" w:id="0">
    <w:p w14:paraId="7885B246" w14:textId="77777777" w:rsidR="003760FC" w:rsidRDefault="003760F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FBC8" w14:textId="77777777" w:rsidR="003201BA" w:rsidRDefault="003201B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0767" w14:textId="77777777" w:rsidR="003201BA" w:rsidRDefault="003201BA"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ACE9D" w14:textId="77777777" w:rsidR="003201BA" w:rsidRDefault="00320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3AA9" w14:textId="77777777" w:rsidR="00FF57DA" w:rsidRDefault="00FF57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64D2" w14:textId="77777777" w:rsidR="00FF57DA" w:rsidRPr="00B22DA4" w:rsidRDefault="00FF57DA" w:rsidP="00B22D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D186" w14:textId="77777777" w:rsidR="00FF57DA" w:rsidRPr="00B22DA4" w:rsidRDefault="00FF57DA"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D2E53"/>
    <w:multiLevelType w:val="hybridMultilevel"/>
    <w:tmpl w:val="C624C6CE"/>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1C2606"/>
    <w:multiLevelType w:val="multilevel"/>
    <w:tmpl w:val="F27AE7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B0B50E3"/>
    <w:multiLevelType w:val="multilevel"/>
    <w:tmpl w:val="B6EE67A2"/>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4" w15:restartNumberingAfterBreak="0">
    <w:nsid w:val="14BF17FC"/>
    <w:multiLevelType w:val="hybridMultilevel"/>
    <w:tmpl w:val="9668B1EC"/>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16EBA"/>
    <w:multiLevelType w:val="hybridMultilevel"/>
    <w:tmpl w:val="530A32BE"/>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0A3BEE"/>
    <w:multiLevelType w:val="hybridMultilevel"/>
    <w:tmpl w:val="292CFC98"/>
    <w:lvl w:ilvl="0" w:tplc="F77CE5A0">
      <w:start w:val="1"/>
      <w:numFmt w:val="bullet"/>
      <w:lvlText w:val=""/>
      <w:lvlJc w:val="left"/>
      <w:pPr>
        <w:ind w:left="720" w:hanging="360"/>
      </w:pPr>
      <w:rPr>
        <w:rFonts w:ascii="Symbol" w:hAnsi="Symbol" w:hint="default"/>
      </w:rPr>
    </w:lvl>
    <w:lvl w:ilvl="1" w:tplc="EDA8F436">
      <w:start w:val="1"/>
      <w:numFmt w:val="bullet"/>
      <w:lvlText w:val="o"/>
      <w:lvlJc w:val="left"/>
      <w:pPr>
        <w:ind w:left="1440" w:hanging="360"/>
      </w:pPr>
      <w:rPr>
        <w:rFonts w:ascii="Courier New" w:hAnsi="Courier New" w:hint="default"/>
      </w:rPr>
    </w:lvl>
    <w:lvl w:ilvl="2" w:tplc="49A47BBA">
      <w:start w:val="1"/>
      <w:numFmt w:val="bullet"/>
      <w:lvlText w:val=""/>
      <w:lvlJc w:val="left"/>
      <w:pPr>
        <w:ind w:left="2160" w:hanging="360"/>
      </w:pPr>
      <w:rPr>
        <w:rFonts w:ascii="Wingdings" w:hAnsi="Wingdings" w:hint="default"/>
      </w:rPr>
    </w:lvl>
    <w:lvl w:ilvl="3" w:tplc="2472A234">
      <w:start w:val="1"/>
      <w:numFmt w:val="bullet"/>
      <w:lvlText w:val=""/>
      <w:lvlJc w:val="left"/>
      <w:pPr>
        <w:ind w:left="2880" w:hanging="360"/>
      </w:pPr>
      <w:rPr>
        <w:rFonts w:ascii="Symbol" w:hAnsi="Symbol" w:hint="default"/>
      </w:rPr>
    </w:lvl>
    <w:lvl w:ilvl="4" w:tplc="3BBCFEB2">
      <w:start w:val="1"/>
      <w:numFmt w:val="bullet"/>
      <w:lvlText w:val="o"/>
      <w:lvlJc w:val="left"/>
      <w:pPr>
        <w:ind w:left="3600" w:hanging="360"/>
      </w:pPr>
      <w:rPr>
        <w:rFonts w:ascii="Courier New" w:hAnsi="Courier New" w:hint="default"/>
      </w:rPr>
    </w:lvl>
    <w:lvl w:ilvl="5" w:tplc="99721A9A">
      <w:start w:val="1"/>
      <w:numFmt w:val="bullet"/>
      <w:lvlText w:val=""/>
      <w:lvlJc w:val="left"/>
      <w:pPr>
        <w:ind w:left="4320" w:hanging="360"/>
      </w:pPr>
      <w:rPr>
        <w:rFonts w:ascii="Wingdings" w:hAnsi="Wingdings" w:hint="default"/>
      </w:rPr>
    </w:lvl>
    <w:lvl w:ilvl="6" w:tplc="0130008E">
      <w:start w:val="1"/>
      <w:numFmt w:val="bullet"/>
      <w:lvlText w:val=""/>
      <w:lvlJc w:val="left"/>
      <w:pPr>
        <w:ind w:left="5040" w:hanging="360"/>
      </w:pPr>
      <w:rPr>
        <w:rFonts w:ascii="Symbol" w:hAnsi="Symbol" w:hint="default"/>
      </w:rPr>
    </w:lvl>
    <w:lvl w:ilvl="7" w:tplc="96F00742">
      <w:start w:val="1"/>
      <w:numFmt w:val="bullet"/>
      <w:lvlText w:val="o"/>
      <w:lvlJc w:val="left"/>
      <w:pPr>
        <w:ind w:left="5760" w:hanging="360"/>
      </w:pPr>
      <w:rPr>
        <w:rFonts w:ascii="Courier New" w:hAnsi="Courier New" w:hint="default"/>
      </w:rPr>
    </w:lvl>
    <w:lvl w:ilvl="8" w:tplc="A8AEB8C8">
      <w:start w:val="1"/>
      <w:numFmt w:val="bullet"/>
      <w:lvlText w:val=""/>
      <w:lvlJc w:val="left"/>
      <w:pPr>
        <w:ind w:left="6480" w:hanging="360"/>
      </w:pPr>
      <w:rPr>
        <w:rFonts w:ascii="Wingdings" w:hAnsi="Wingdings" w:hint="default"/>
      </w:rPr>
    </w:lvl>
  </w:abstractNum>
  <w:abstractNum w:abstractNumId="17" w15:restartNumberingAfterBreak="0">
    <w:nsid w:val="16916702"/>
    <w:multiLevelType w:val="hybridMultilevel"/>
    <w:tmpl w:val="E354C6D2"/>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DA443D"/>
    <w:multiLevelType w:val="multilevel"/>
    <w:tmpl w:val="2CAE70C0"/>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19" w15:restartNumberingAfterBreak="0">
    <w:nsid w:val="17DC0E6E"/>
    <w:multiLevelType w:val="hybridMultilevel"/>
    <w:tmpl w:val="871257B4"/>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0702F1"/>
    <w:multiLevelType w:val="hybridMultilevel"/>
    <w:tmpl w:val="0FD019BE"/>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0A166A"/>
    <w:multiLevelType w:val="multilevel"/>
    <w:tmpl w:val="46662F1E"/>
    <w:lvl w:ilvl="0">
      <w:start w:val="1"/>
      <w:numFmt w:val="bullet"/>
      <w:lvlText w:val="–"/>
      <w:lvlJc w:val="left"/>
      <w:pPr>
        <w:tabs>
          <w:tab w:val="num" w:pos="0"/>
        </w:tabs>
        <w:ind w:left="363" w:hanging="363"/>
      </w:pPr>
      <w:rPr>
        <w:rFonts w:ascii="Times New Roman" w:hAnsi="Times New Roman" w:cs="Times New Roman" w:hint="default"/>
      </w:rPr>
    </w:lvl>
    <w:lvl w:ilvl="1">
      <w:start w:val="1"/>
      <w:numFmt w:val="bullet"/>
      <w:lvlText w:val="o"/>
      <w:lvlJc w:val="left"/>
      <w:pPr>
        <w:tabs>
          <w:tab w:val="num" w:pos="0"/>
        </w:tabs>
        <w:ind w:left="1083" w:hanging="360"/>
      </w:pPr>
      <w:rPr>
        <w:rFonts w:ascii="Courier New" w:hAnsi="Courier New" w:cs="Courier New" w:hint="default"/>
      </w:rPr>
    </w:lvl>
    <w:lvl w:ilvl="2">
      <w:start w:val="1"/>
      <w:numFmt w:val="bullet"/>
      <w:lvlText w:val=""/>
      <w:lvlJc w:val="left"/>
      <w:pPr>
        <w:tabs>
          <w:tab w:val="num" w:pos="0"/>
        </w:tabs>
        <w:ind w:left="1803" w:hanging="360"/>
      </w:pPr>
      <w:rPr>
        <w:rFonts w:ascii="Wingdings" w:hAnsi="Wingdings" w:cs="Wingdings" w:hint="default"/>
      </w:rPr>
    </w:lvl>
    <w:lvl w:ilvl="3">
      <w:start w:val="1"/>
      <w:numFmt w:val="bullet"/>
      <w:lvlText w:val=""/>
      <w:lvlJc w:val="left"/>
      <w:pPr>
        <w:tabs>
          <w:tab w:val="num" w:pos="0"/>
        </w:tabs>
        <w:ind w:left="2523" w:hanging="360"/>
      </w:pPr>
      <w:rPr>
        <w:rFonts w:ascii="Symbol" w:hAnsi="Symbol" w:cs="Symbol" w:hint="default"/>
      </w:rPr>
    </w:lvl>
    <w:lvl w:ilvl="4">
      <w:start w:val="1"/>
      <w:numFmt w:val="bullet"/>
      <w:lvlText w:val="o"/>
      <w:lvlJc w:val="left"/>
      <w:pPr>
        <w:tabs>
          <w:tab w:val="num" w:pos="0"/>
        </w:tabs>
        <w:ind w:left="3243" w:hanging="360"/>
      </w:pPr>
      <w:rPr>
        <w:rFonts w:ascii="Courier New" w:hAnsi="Courier New" w:cs="Courier New" w:hint="default"/>
      </w:rPr>
    </w:lvl>
    <w:lvl w:ilvl="5">
      <w:start w:val="1"/>
      <w:numFmt w:val="bullet"/>
      <w:lvlText w:val=""/>
      <w:lvlJc w:val="left"/>
      <w:pPr>
        <w:tabs>
          <w:tab w:val="num" w:pos="0"/>
        </w:tabs>
        <w:ind w:left="3963" w:hanging="360"/>
      </w:pPr>
      <w:rPr>
        <w:rFonts w:ascii="Wingdings" w:hAnsi="Wingdings" w:cs="Wingdings" w:hint="default"/>
      </w:rPr>
    </w:lvl>
    <w:lvl w:ilvl="6">
      <w:start w:val="1"/>
      <w:numFmt w:val="bullet"/>
      <w:lvlText w:val=""/>
      <w:lvlJc w:val="left"/>
      <w:pPr>
        <w:tabs>
          <w:tab w:val="num" w:pos="0"/>
        </w:tabs>
        <w:ind w:left="4683" w:hanging="360"/>
      </w:pPr>
      <w:rPr>
        <w:rFonts w:ascii="Symbol" w:hAnsi="Symbol" w:cs="Symbol" w:hint="default"/>
      </w:rPr>
    </w:lvl>
    <w:lvl w:ilvl="7">
      <w:start w:val="1"/>
      <w:numFmt w:val="bullet"/>
      <w:lvlText w:val="o"/>
      <w:lvlJc w:val="left"/>
      <w:pPr>
        <w:tabs>
          <w:tab w:val="num" w:pos="0"/>
        </w:tabs>
        <w:ind w:left="5403" w:hanging="360"/>
      </w:pPr>
      <w:rPr>
        <w:rFonts w:ascii="Courier New" w:hAnsi="Courier New" w:cs="Courier New" w:hint="default"/>
      </w:rPr>
    </w:lvl>
    <w:lvl w:ilvl="8">
      <w:start w:val="1"/>
      <w:numFmt w:val="bullet"/>
      <w:lvlText w:val=""/>
      <w:lvlJc w:val="left"/>
      <w:pPr>
        <w:tabs>
          <w:tab w:val="num" w:pos="0"/>
        </w:tabs>
        <w:ind w:left="6123" w:hanging="360"/>
      </w:pPr>
      <w:rPr>
        <w:rFonts w:ascii="Wingdings" w:hAnsi="Wingdings" w:cs="Wingdings" w:hint="default"/>
      </w:rPr>
    </w:lvl>
  </w:abstractNum>
  <w:abstractNum w:abstractNumId="23" w15:restartNumberingAfterBreak="0">
    <w:nsid w:val="2A62240D"/>
    <w:multiLevelType w:val="multilevel"/>
    <w:tmpl w:val="994A52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36F50FFF"/>
    <w:multiLevelType w:val="hybridMultilevel"/>
    <w:tmpl w:val="9CB2D29A"/>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3B944E"/>
    <w:multiLevelType w:val="hybridMultilevel"/>
    <w:tmpl w:val="6E6ED412"/>
    <w:lvl w:ilvl="0" w:tplc="46024C90">
      <w:start w:val="1"/>
      <w:numFmt w:val="bullet"/>
      <w:lvlText w:val=""/>
      <w:lvlJc w:val="left"/>
      <w:pPr>
        <w:ind w:left="720" w:hanging="360"/>
      </w:pPr>
      <w:rPr>
        <w:rFonts w:ascii="Symbol" w:hAnsi="Symbol" w:hint="default"/>
      </w:rPr>
    </w:lvl>
    <w:lvl w:ilvl="1" w:tplc="BDC6CEF8">
      <w:start w:val="1"/>
      <w:numFmt w:val="bullet"/>
      <w:lvlText w:val="o"/>
      <w:lvlJc w:val="left"/>
      <w:pPr>
        <w:ind w:left="1440" w:hanging="360"/>
      </w:pPr>
      <w:rPr>
        <w:rFonts w:ascii="Courier New" w:hAnsi="Courier New" w:hint="default"/>
      </w:rPr>
    </w:lvl>
    <w:lvl w:ilvl="2" w:tplc="8348F706">
      <w:start w:val="1"/>
      <w:numFmt w:val="bullet"/>
      <w:lvlText w:val=""/>
      <w:lvlJc w:val="left"/>
      <w:pPr>
        <w:ind w:left="2160" w:hanging="360"/>
      </w:pPr>
      <w:rPr>
        <w:rFonts w:ascii="Wingdings" w:hAnsi="Wingdings" w:hint="default"/>
      </w:rPr>
    </w:lvl>
    <w:lvl w:ilvl="3" w:tplc="62582ECA">
      <w:start w:val="1"/>
      <w:numFmt w:val="bullet"/>
      <w:lvlText w:val=""/>
      <w:lvlJc w:val="left"/>
      <w:pPr>
        <w:ind w:left="2880" w:hanging="360"/>
      </w:pPr>
      <w:rPr>
        <w:rFonts w:ascii="Symbol" w:hAnsi="Symbol" w:hint="default"/>
      </w:rPr>
    </w:lvl>
    <w:lvl w:ilvl="4" w:tplc="4BFEB0AE">
      <w:start w:val="1"/>
      <w:numFmt w:val="bullet"/>
      <w:lvlText w:val="o"/>
      <w:lvlJc w:val="left"/>
      <w:pPr>
        <w:ind w:left="3600" w:hanging="360"/>
      </w:pPr>
      <w:rPr>
        <w:rFonts w:ascii="Courier New" w:hAnsi="Courier New" w:hint="default"/>
      </w:rPr>
    </w:lvl>
    <w:lvl w:ilvl="5" w:tplc="8312F398">
      <w:start w:val="1"/>
      <w:numFmt w:val="bullet"/>
      <w:lvlText w:val=""/>
      <w:lvlJc w:val="left"/>
      <w:pPr>
        <w:ind w:left="4320" w:hanging="360"/>
      </w:pPr>
      <w:rPr>
        <w:rFonts w:ascii="Wingdings" w:hAnsi="Wingdings" w:hint="default"/>
      </w:rPr>
    </w:lvl>
    <w:lvl w:ilvl="6" w:tplc="A4CC9372">
      <w:start w:val="1"/>
      <w:numFmt w:val="bullet"/>
      <w:lvlText w:val=""/>
      <w:lvlJc w:val="left"/>
      <w:pPr>
        <w:ind w:left="5040" w:hanging="360"/>
      </w:pPr>
      <w:rPr>
        <w:rFonts w:ascii="Symbol" w:hAnsi="Symbol" w:hint="default"/>
      </w:rPr>
    </w:lvl>
    <w:lvl w:ilvl="7" w:tplc="0D04C52A">
      <w:start w:val="1"/>
      <w:numFmt w:val="bullet"/>
      <w:lvlText w:val="o"/>
      <w:lvlJc w:val="left"/>
      <w:pPr>
        <w:ind w:left="5760" w:hanging="360"/>
      </w:pPr>
      <w:rPr>
        <w:rFonts w:ascii="Courier New" w:hAnsi="Courier New" w:hint="default"/>
      </w:rPr>
    </w:lvl>
    <w:lvl w:ilvl="8" w:tplc="5AD4D07A">
      <w:start w:val="1"/>
      <w:numFmt w:val="bullet"/>
      <w:lvlText w:val=""/>
      <w:lvlJc w:val="left"/>
      <w:pPr>
        <w:ind w:left="6480" w:hanging="360"/>
      </w:pPr>
      <w:rPr>
        <w:rFonts w:ascii="Wingdings" w:hAnsi="Wingdings" w:hint="default"/>
      </w:rPr>
    </w:lvl>
  </w:abstractNum>
  <w:abstractNum w:abstractNumId="26" w15:restartNumberingAfterBreak="0">
    <w:nsid w:val="4334D5E9"/>
    <w:multiLevelType w:val="hybridMultilevel"/>
    <w:tmpl w:val="59800F6E"/>
    <w:lvl w:ilvl="0" w:tplc="3C701B86">
      <w:start w:val="1"/>
      <w:numFmt w:val="bullet"/>
      <w:lvlText w:val=""/>
      <w:lvlJc w:val="left"/>
      <w:pPr>
        <w:ind w:left="720" w:hanging="360"/>
      </w:pPr>
      <w:rPr>
        <w:rFonts w:ascii="Symbol" w:hAnsi="Symbol" w:hint="default"/>
      </w:rPr>
    </w:lvl>
    <w:lvl w:ilvl="1" w:tplc="6602DAA8">
      <w:start w:val="1"/>
      <w:numFmt w:val="bullet"/>
      <w:lvlText w:val="o"/>
      <w:lvlJc w:val="left"/>
      <w:pPr>
        <w:ind w:left="1440" w:hanging="360"/>
      </w:pPr>
      <w:rPr>
        <w:rFonts w:ascii="Courier New" w:hAnsi="Courier New" w:hint="default"/>
      </w:rPr>
    </w:lvl>
    <w:lvl w:ilvl="2" w:tplc="0B54F5AA">
      <w:start w:val="1"/>
      <w:numFmt w:val="bullet"/>
      <w:lvlText w:val=""/>
      <w:lvlJc w:val="left"/>
      <w:pPr>
        <w:ind w:left="2160" w:hanging="360"/>
      </w:pPr>
      <w:rPr>
        <w:rFonts w:ascii="Wingdings" w:hAnsi="Wingdings" w:hint="default"/>
      </w:rPr>
    </w:lvl>
    <w:lvl w:ilvl="3" w:tplc="472013BE">
      <w:start w:val="1"/>
      <w:numFmt w:val="bullet"/>
      <w:lvlText w:val=""/>
      <w:lvlJc w:val="left"/>
      <w:pPr>
        <w:ind w:left="2880" w:hanging="360"/>
      </w:pPr>
      <w:rPr>
        <w:rFonts w:ascii="Symbol" w:hAnsi="Symbol" w:hint="default"/>
      </w:rPr>
    </w:lvl>
    <w:lvl w:ilvl="4" w:tplc="D71851AE">
      <w:start w:val="1"/>
      <w:numFmt w:val="bullet"/>
      <w:lvlText w:val="o"/>
      <w:lvlJc w:val="left"/>
      <w:pPr>
        <w:ind w:left="3600" w:hanging="360"/>
      </w:pPr>
      <w:rPr>
        <w:rFonts w:ascii="Courier New" w:hAnsi="Courier New" w:hint="default"/>
      </w:rPr>
    </w:lvl>
    <w:lvl w:ilvl="5" w:tplc="04E65864">
      <w:start w:val="1"/>
      <w:numFmt w:val="bullet"/>
      <w:lvlText w:val=""/>
      <w:lvlJc w:val="left"/>
      <w:pPr>
        <w:ind w:left="4320" w:hanging="360"/>
      </w:pPr>
      <w:rPr>
        <w:rFonts w:ascii="Wingdings" w:hAnsi="Wingdings" w:hint="default"/>
      </w:rPr>
    </w:lvl>
    <w:lvl w:ilvl="6" w:tplc="919477FE">
      <w:start w:val="1"/>
      <w:numFmt w:val="bullet"/>
      <w:lvlText w:val=""/>
      <w:lvlJc w:val="left"/>
      <w:pPr>
        <w:ind w:left="5040" w:hanging="360"/>
      </w:pPr>
      <w:rPr>
        <w:rFonts w:ascii="Symbol" w:hAnsi="Symbol" w:hint="default"/>
      </w:rPr>
    </w:lvl>
    <w:lvl w:ilvl="7" w:tplc="ACD87036">
      <w:start w:val="1"/>
      <w:numFmt w:val="bullet"/>
      <w:lvlText w:val="o"/>
      <w:lvlJc w:val="left"/>
      <w:pPr>
        <w:ind w:left="5760" w:hanging="360"/>
      </w:pPr>
      <w:rPr>
        <w:rFonts w:ascii="Courier New" w:hAnsi="Courier New" w:hint="default"/>
      </w:rPr>
    </w:lvl>
    <w:lvl w:ilvl="8" w:tplc="68FE6012">
      <w:start w:val="1"/>
      <w:numFmt w:val="bullet"/>
      <w:lvlText w:val=""/>
      <w:lvlJc w:val="left"/>
      <w:pPr>
        <w:ind w:left="6480" w:hanging="360"/>
      </w:pPr>
      <w:rPr>
        <w:rFonts w:ascii="Wingdings" w:hAnsi="Wingdings" w:hint="default"/>
      </w:rPr>
    </w:lvl>
  </w:abstractNum>
  <w:abstractNum w:abstractNumId="27" w15:restartNumberingAfterBreak="0">
    <w:nsid w:val="453C580C"/>
    <w:multiLevelType w:val="hybridMultilevel"/>
    <w:tmpl w:val="F4C263B4"/>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C3762"/>
    <w:multiLevelType w:val="hybridMultilevel"/>
    <w:tmpl w:val="D13ECEE8"/>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921FC3"/>
    <w:multiLevelType w:val="multilevel"/>
    <w:tmpl w:val="71B84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F16413F"/>
    <w:multiLevelType w:val="hybridMultilevel"/>
    <w:tmpl w:val="B40A6B7A"/>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F1E7E"/>
    <w:multiLevelType w:val="multilevel"/>
    <w:tmpl w:val="07A8F6E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15:restartNumberingAfterBreak="0">
    <w:nsid w:val="6211635B"/>
    <w:multiLevelType w:val="hybridMultilevel"/>
    <w:tmpl w:val="ACD0531E"/>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F6DB5"/>
    <w:multiLevelType w:val="hybridMultilevel"/>
    <w:tmpl w:val="192035B4"/>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F112CA7"/>
    <w:multiLevelType w:val="hybridMultilevel"/>
    <w:tmpl w:val="8E3E89DC"/>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64847"/>
    <w:multiLevelType w:val="multilevel"/>
    <w:tmpl w:val="2E909B86"/>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1366D6"/>
    <w:multiLevelType w:val="hybridMultilevel"/>
    <w:tmpl w:val="D95A06BA"/>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93CE1"/>
    <w:multiLevelType w:val="hybridMultilevel"/>
    <w:tmpl w:val="758ABED6"/>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C2F82"/>
    <w:multiLevelType w:val="hybridMultilevel"/>
    <w:tmpl w:val="728012DC"/>
    <w:lvl w:ilvl="0" w:tplc="38765E5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4"/>
  </w:num>
  <w:num w:numId="2" w16cid:durableId="2118403169">
    <w:abstractNumId w:val="34"/>
  </w:num>
  <w:num w:numId="3" w16cid:durableId="829295650">
    <w:abstractNumId w:val="34"/>
  </w:num>
  <w:num w:numId="4" w16cid:durableId="1399865753">
    <w:abstractNumId w:val="34"/>
  </w:num>
  <w:num w:numId="5" w16cid:durableId="1602034683">
    <w:abstractNumId w:val="34"/>
  </w:num>
  <w:num w:numId="6" w16cid:durableId="1134756870">
    <w:abstractNumId w:val="34"/>
  </w:num>
  <w:num w:numId="7" w16cid:durableId="500051565">
    <w:abstractNumId w:val="34"/>
  </w:num>
  <w:num w:numId="8" w16cid:durableId="965083412">
    <w:abstractNumId w:val="34"/>
  </w:num>
  <w:num w:numId="9" w16cid:durableId="180365736">
    <w:abstractNumId w:val="34"/>
  </w:num>
  <w:num w:numId="10" w16cid:durableId="991716487">
    <w:abstractNumId w:val="11"/>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781684329">
    <w:abstractNumId w:val="20"/>
  </w:num>
  <w:num w:numId="22" w16cid:durableId="1482842020">
    <w:abstractNumId w:val="26"/>
  </w:num>
  <w:num w:numId="23" w16cid:durableId="1693410318">
    <w:abstractNumId w:val="16"/>
  </w:num>
  <w:num w:numId="24" w16cid:durableId="1190333195">
    <w:abstractNumId w:val="25"/>
  </w:num>
  <w:num w:numId="25" w16cid:durableId="1181502900">
    <w:abstractNumId w:val="29"/>
  </w:num>
  <w:num w:numId="26" w16cid:durableId="997617408">
    <w:abstractNumId w:val="31"/>
  </w:num>
  <w:num w:numId="27" w16cid:durableId="570046947">
    <w:abstractNumId w:val="12"/>
  </w:num>
  <w:num w:numId="28" w16cid:durableId="1994987926">
    <w:abstractNumId w:val="23"/>
  </w:num>
  <w:num w:numId="29" w16cid:durableId="986933851">
    <w:abstractNumId w:val="18"/>
  </w:num>
  <w:num w:numId="30" w16cid:durableId="2063484992">
    <w:abstractNumId w:val="13"/>
  </w:num>
  <w:num w:numId="31" w16cid:durableId="1893685464">
    <w:abstractNumId w:val="22"/>
  </w:num>
  <w:num w:numId="32" w16cid:durableId="237860496">
    <w:abstractNumId w:val="36"/>
  </w:num>
  <w:num w:numId="33" w16cid:durableId="65760558">
    <w:abstractNumId w:val="27"/>
  </w:num>
  <w:num w:numId="34" w16cid:durableId="1905262986">
    <w:abstractNumId w:val="24"/>
  </w:num>
  <w:num w:numId="35" w16cid:durableId="1661428074">
    <w:abstractNumId w:val="33"/>
  </w:num>
  <w:num w:numId="36" w16cid:durableId="2122718982">
    <w:abstractNumId w:val="35"/>
  </w:num>
  <w:num w:numId="37" w16cid:durableId="182791588">
    <w:abstractNumId w:val="21"/>
  </w:num>
  <w:num w:numId="38" w16cid:durableId="1390111734">
    <w:abstractNumId w:val="17"/>
  </w:num>
  <w:num w:numId="39" w16cid:durableId="245238029">
    <w:abstractNumId w:val="32"/>
  </w:num>
  <w:num w:numId="40" w16cid:durableId="271479461">
    <w:abstractNumId w:val="10"/>
  </w:num>
  <w:num w:numId="41" w16cid:durableId="387991720">
    <w:abstractNumId w:val="15"/>
  </w:num>
  <w:num w:numId="42" w16cid:durableId="117916711">
    <w:abstractNumId w:val="28"/>
  </w:num>
  <w:num w:numId="43" w16cid:durableId="657467437">
    <w:abstractNumId w:val="37"/>
  </w:num>
  <w:num w:numId="44" w16cid:durableId="363943307">
    <w:abstractNumId w:val="38"/>
  </w:num>
  <w:num w:numId="45" w16cid:durableId="1254162738">
    <w:abstractNumId w:val="14"/>
  </w:num>
  <w:num w:numId="46" w16cid:durableId="176192570">
    <w:abstractNumId w:val="19"/>
  </w:num>
  <w:num w:numId="47" w16cid:durableId="459228816">
    <w:abstractNumId w:val="30"/>
  </w:num>
  <w:num w:numId="48" w16cid:durableId="68913877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DA"/>
    <w:rsid w:val="000002CE"/>
    <w:rsid w:val="00000339"/>
    <w:rsid w:val="00000BA4"/>
    <w:rsid w:val="00000FA8"/>
    <w:rsid w:val="0000161B"/>
    <w:rsid w:val="000023D3"/>
    <w:rsid w:val="000036E7"/>
    <w:rsid w:val="00004465"/>
    <w:rsid w:val="00004FE0"/>
    <w:rsid w:val="00005EDB"/>
    <w:rsid w:val="00007288"/>
    <w:rsid w:val="0000774C"/>
    <w:rsid w:val="00010DCA"/>
    <w:rsid w:val="0001104D"/>
    <w:rsid w:val="000119A5"/>
    <w:rsid w:val="00011B9B"/>
    <w:rsid w:val="00012BE6"/>
    <w:rsid w:val="00012EB5"/>
    <w:rsid w:val="00014F30"/>
    <w:rsid w:val="0001589C"/>
    <w:rsid w:val="00016E36"/>
    <w:rsid w:val="00017655"/>
    <w:rsid w:val="00017E24"/>
    <w:rsid w:val="00017FE7"/>
    <w:rsid w:val="000201E0"/>
    <w:rsid w:val="00020A0D"/>
    <w:rsid w:val="000216C3"/>
    <w:rsid w:val="000217E6"/>
    <w:rsid w:val="000225C4"/>
    <w:rsid w:val="00022B29"/>
    <w:rsid w:val="00022E87"/>
    <w:rsid w:val="0002391E"/>
    <w:rsid w:val="00023F0A"/>
    <w:rsid w:val="00024B28"/>
    <w:rsid w:val="00025502"/>
    <w:rsid w:val="000262B5"/>
    <w:rsid w:val="000262F9"/>
    <w:rsid w:val="00026374"/>
    <w:rsid w:val="0002756F"/>
    <w:rsid w:val="00027A32"/>
    <w:rsid w:val="000301CF"/>
    <w:rsid w:val="00030619"/>
    <w:rsid w:val="00030DBC"/>
    <w:rsid w:val="0003117B"/>
    <w:rsid w:val="000319F5"/>
    <w:rsid w:val="00031FBB"/>
    <w:rsid w:val="0003257A"/>
    <w:rsid w:val="00032B68"/>
    <w:rsid w:val="00036947"/>
    <w:rsid w:val="00036FC0"/>
    <w:rsid w:val="00037B44"/>
    <w:rsid w:val="00040BD5"/>
    <w:rsid w:val="00040E4C"/>
    <w:rsid w:val="00043BFE"/>
    <w:rsid w:val="0004493F"/>
    <w:rsid w:val="00044AD8"/>
    <w:rsid w:val="00045B35"/>
    <w:rsid w:val="00046A8E"/>
    <w:rsid w:val="000471A8"/>
    <w:rsid w:val="0004767E"/>
    <w:rsid w:val="00047D97"/>
    <w:rsid w:val="0005015E"/>
    <w:rsid w:val="000508EB"/>
    <w:rsid w:val="00050A24"/>
    <w:rsid w:val="00051822"/>
    <w:rsid w:val="0005189D"/>
    <w:rsid w:val="00051F1D"/>
    <w:rsid w:val="00051F7A"/>
    <w:rsid w:val="00053945"/>
    <w:rsid w:val="0005397C"/>
    <w:rsid w:val="00053F61"/>
    <w:rsid w:val="00055464"/>
    <w:rsid w:val="000566DD"/>
    <w:rsid w:val="00057010"/>
    <w:rsid w:val="0005794A"/>
    <w:rsid w:val="00060B3E"/>
    <w:rsid w:val="00060E04"/>
    <w:rsid w:val="00060E46"/>
    <w:rsid w:val="0006232B"/>
    <w:rsid w:val="0006330F"/>
    <w:rsid w:val="00063556"/>
    <w:rsid w:val="00063FC6"/>
    <w:rsid w:val="000645BC"/>
    <w:rsid w:val="00064DA6"/>
    <w:rsid w:val="000661D3"/>
    <w:rsid w:val="00066B5E"/>
    <w:rsid w:val="000707FE"/>
    <w:rsid w:val="000721F4"/>
    <w:rsid w:val="0007378E"/>
    <w:rsid w:val="00073B5D"/>
    <w:rsid w:val="00073D2F"/>
    <w:rsid w:val="00074935"/>
    <w:rsid w:val="0007540D"/>
    <w:rsid w:val="00075B32"/>
    <w:rsid w:val="000769E6"/>
    <w:rsid w:val="000772A7"/>
    <w:rsid w:val="00077B70"/>
    <w:rsid w:val="00077E88"/>
    <w:rsid w:val="000803E5"/>
    <w:rsid w:val="0008099A"/>
    <w:rsid w:val="000809FD"/>
    <w:rsid w:val="00080FA1"/>
    <w:rsid w:val="00081A62"/>
    <w:rsid w:val="0008203D"/>
    <w:rsid w:val="00083C03"/>
    <w:rsid w:val="000842F4"/>
    <w:rsid w:val="00084CB2"/>
    <w:rsid w:val="00085268"/>
    <w:rsid w:val="0008565D"/>
    <w:rsid w:val="000875E3"/>
    <w:rsid w:val="000876BA"/>
    <w:rsid w:val="0008776A"/>
    <w:rsid w:val="0009024E"/>
    <w:rsid w:val="00091280"/>
    <w:rsid w:val="00091615"/>
    <w:rsid w:val="00092610"/>
    <w:rsid w:val="00092930"/>
    <w:rsid w:val="000936D9"/>
    <w:rsid w:val="00094F4B"/>
    <w:rsid w:val="000961EC"/>
    <w:rsid w:val="00096CF6"/>
    <w:rsid w:val="00096D82"/>
    <w:rsid w:val="000974D2"/>
    <w:rsid w:val="00097D70"/>
    <w:rsid w:val="000A11A9"/>
    <w:rsid w:val="000A14CE"/>
    <w:rsid w:val="000A169E"/>
    <w:rsid w:val="000A1971"/>
    <w:rsid w:val="000A31CB"/>
    <w:rsid w:val="000A37D0"/>
    <w:rsid w:val="000A4458"/>
    <w:rsid w:val="000A49E0"/>
    <w:rsid w:val="000A4F14"/>
    <w:rsid w:val="000A52A9"/>
    <w:rsid w:val="000A6170"/>
    <w:rsid w:val="000A6496"/>
    <w:rsid w:val="000A75B9"/>
    <w:rsid w:val="000B0B10"/>
    <w:rsid w:val="000B1B04"/>
    <w:rsid w:val="000B286A"/>
    <w:rsid w:val="000B4943"/>
    <w:rsid w:val="000B594B"/>
    <w:rsid w:val="000B6AC8"/>
    <w:rsid w:val="000B6CDF"/>
    <w:rsid w:val="000B748C"/>
    <w:rsid w:val="000C065D"/>
    <w:rsid w:val="000C1868"/>
    <w:rsid w:val="000C1A10"/>
    <w:rsid w:val="000C1FEE"/>
    <w:rsid w:val="000C3742"/>
    <w:rsid w:val="000C4C22"/>
    <w:rsid w:val="000C528E"/>
    <w:rsid w:val="000C52A8"/>
    <w:rsid w:val="000C5FD9"/>
    <w:rsid w:val="000C624E"/>
    <w:rsid w:val="000C6E6E"/>
    <w:rsid w:val="000C6F5A"/>
    <w:rsid w:val="000D48D6"/>
    <w:rsid w:val="000D56F6"/>
    <w:rsid w:val="000D6051"/>
    <w:rsid w:val="000D7A19"/>
    <w:rsid w:val="000D7AA8"/>
    <w:rsid w:val="000E0D45"/>
    <w:rsid w:val="000E43E3"/>
    <w:rsid w:val="000E4E82"/>
    <w:rsid w:val="000E6414"/>
    <w:rsid w:val="000E6495"/>
    <w:rsid w:val="000F06EC"/>
    <w:rsid w:val="000F2E95"/>
    <w:rsid w:val="000F3088"/>
    <w:rsid w:val="000F374E"/>
    <w:rsid w:val="000F37B9"/>
    <w:rsid w:val="000F67F1"/>
    <w:rsid w:val="000F6C99"/>
    <w:rsid w:val="00100A6B"/>
    <w:rsid w:val="001011F4"/>
    <w:rsid w:val="0010330D"/>
    <w:rsid w:val="0010399A"/>
    <w:rsid w:val="00103F3E"/>
    <w:rsid w:val="00106AAB"/>
    <w:rsid w:val="00107D3E"/>
    <w:rsid w:val="00110480"/>
    <w:rsid w:val="001105AD"/>
    <w:rsid w:val="001105CA"/>
    <w:rsid w:val="00110D1A"/>
    <w:rsid w:val="001113C7"/>
    <w:rsid w:val="0011212A"/>
    <w:rsid w:val="00112783"/>
    <w:rsid w:val="00113163"/>
    <w:rsid w:val="00114606"/>
    <w:rsid w:val="0011490D"/>
    <w:rsid w:val="00115910"/>
    <w:rsid w:val="00115AD2"/>
    <w:rsid w:val="00116E50"/>
    <w:rsid w:val="00117258"/>
    <w:rsid w:val="00117787"/>
    <w:rsid w:val="0012002D"/>
    <w:rsid w:val="00120A0D"/>
    <w:rsid w:val="00122669"/>
    <w:rsid w:val="00122841"/>
    <w:rsid w:val="00123821"/>
    <w:rsid w:val="00123A2B"/>
    <w:rsid w:val="00123BB8"/>
    <w:rsid w:val="0012576B"/>
    <w:rsid w:val="001266E6"/>
    <w:rsid w:val="0012686D"/>
    <w:rsid w:val="00127728"/>
    <w:rsid w:val="0013056F"/>
    <w:rsid w:val="00131282"/>
    <w:rsid w:val="00131D86"/>
    <w:rsid w:val="00132F0B"/>
    <w:rsid w:val="001348B2"/>
    <w:rsid w:val="00134BB5"/>
    <w:rsid w:val="00137E61"/>
    <w:rsid w:val="00137FBA"/>
    <w:rsid w:val="00140A84"/>
    <w:rsid w:val="00140D2A"/>
    <w:rsid w:val="00141297"/>
    <w:rsid w:val="00141776"/>
    <w:rsid w:val="0014382D"/>
    <w:rsid w:val="00145D5A"/>
    <w:rsid w:val="00146960"/>
    <w:rsid w:val="00146FED"/>
    <w:rsid w:val="001473BE"/>
    <w:rsid w:val="00147EE6"/>
    <w:rsid w:val="001507B5"/>
    <w:rsid w:val="00151687"/>
    <w:rsid w:val="00151E2A"/>
    <w:rsid w:val="001528E6"/>
    <w:rsid w:val="00154EC3"/>
    <w:rsid w:val="00155DD6"/>
    <w:rsid w:val="00156007"/>
    <w:rsid w:val="00157413"/>
    <w:rsid w:val="00157C8C"/>
    <w:rsid w:val="001605F4"/>
    <w:rsid w:val="0016120B"/>
    <w:rsid w:val="0016131B"/>
    <w:rsid w:val="00161BAB"/>
    <w:rsid w:val="001624CB"/>
    <w:rsid w:val="00162869"/>
    <w:rsid w:val="00163503"/>
    <w:rsid w:val="00164125"/>
    <w:rsid w:val="0016529A"/>
    <w:rsid w:val="0016529F"/>
    <w:rsid w:val="001661C1"/>
    <w:rsid w:val="001664ED"/>
    <w:rsid w:val="00166E75"/>
    <w:rsid w:val="001675DF"/>
    <w:rsid w:val="00167647"/>
    <w:rsid w:val="00170120"/>
    <w:rsid w:val="00170E72"/>
    <w:rsid w:val="00172024"/>
    <w:rsid w:val="00172670"/>
    <w:rsid w:val="0017281E"/>
    <w:rsid w:val="00173363"/>
    <w:rsid w:val="001766AB"/>
    <w:rsid w:val="00176C2F"/>
    <w:rsid w:val="00177D57"/>
    <w:rsid w:val="001801DB"/>
    <w:rsid w:val="0018106B"/>
    <w:rsid w:val="00182823"/>
    <w:rsid w:val="0018314D"/>
    <w:rsid w:val="00184A3C"/>
    <w:rsid w:val="001862D2"/>
    <w:rsid w:val="001871E3"/>
    <w:rsid w:val="001872B3"/>
    <w:rsid w:val="00187644"/>
    <w:rsid w:val="0019009E"/>
    <w:rsid w:val="00190C5B"/>
    <w:rsid w:val="00190E99"/>
    <w:rsid w:val="00191A69"/>
    <w:rsid w:val="001942EC"/>
    <w:rsid w:val="001945B8"/>
    <w:rsid w:val="00194799"/>
    <w:rsid w:val="00195459"/>
    <w:rsid w:val="00195831"/>
    <w:rsid w:val="00195F6D"/>
    <w:rsid w:val="00196438"/>
    <w:rsid w:val="00197CCF"/>
    <w:rsid w:val="001A03CC"/>
    <w:rsid w:val="001A102D"/>
    <w:rsid w:val="001A1B1E"/>
    <w:rsid w:val="001A1E05"/>
    <w:rsid w:val="001A27DC"/>
    <w:rsid w:val="001A2EF3"/>
    <w:rsid w:val="001A4446"/>
    <w:rsid w:val="001A44FD"/>
    <w:rsid w:val="001A5594"/>
    <w:rsid w:val="001A6E14"/>
    <w:rsid w:val="001A6E6C"/>
    <w:rsid w:val="001A6FCA"/>
    <w:rsid w:val="001A71ED"/>
    <w:rsid w:val="001A79B0"/>
    <w:rsid w:val="001B16DB"/>
    <w:rsid w:val="001B1788"/>
    <w:rsid w:val="001B3D04"/>
    <w:rsid w:val="001B4507"/>
    <w:rsid w:val="001B4799"/>
    <w:rsid w:val="001B4A85"/>
    <w:rsid w:val="001B6C3C"/>
    <w:rsid w:val="001B6D84"/>
    <w:rsid w:val="001B7CE4"/>
    <w:rsid w:val="001B7FD0"/>
    <w:rsid w:val="001C01DD"/>
    <w:rsid w:val="001C02DB"/>
    <w:rsid w:val="001C06CA"/>
    <w:rsid w:val="001C1DB3"/>
    <w:rsid w:val="001C2764"/>
    <w:rsid w:val="001C303F"/>
    <w:rsid w:val="001C61A5"/>
    <w:rsid w:val="001C6C33"/>
    <w:rsid w:val="001D055B"/>
    <w:rsid w:val="001D1E9E"/>
    <w:rsid w:val="001D240C"/>
    <w:rsid w:val="001D2D4D"/>
    <w:rsid w:val="001D37A0"/>
    <w:rsid w:val="001D389E"/>
    <w:rsid w:val="001D4C6F"/>
    <w:rsid w:val="001D505A"/>
    <w:rsid w:val="001D5206"/>
    <w:rsid w:val="001D6401"/>
    <w:rsid w:val="001D6F50"/>
    <w:rsid w:val="001D6FD8"/>
    <w:rsid w:val="001E0101"/>
    <w:rsid w:val="001E031A"/>
    <w:rsid w:val="001E04E4"/>
    <w:rsid w:val="001E0D00"/>
    <w:rsid w:val="001E2C3F"/>
    <w:rsid w:val="001E2CE2"/>
    <w:rsid w:val="001E3214"/>
    <w:rsid w:val="001E3934"/>
    <w:rsid w:val="001E3A97"/>
    <w:rsid w:val="001E49C8"/>
    <w:rsid w:val="001E4C97"/>
    <w:rsid w:val="001E5758"/>
    <w:rsid w:val="001E58AB"/>
    <w:rsid w:val="001E5965"/>
    <w:rsid w:val="001E5C29"/>
    <w:rsid w:val="001E5C40"/>
    <w:rsid w:val="001E5E42"/>
    <w:rsid w:val="001E6C93"/>
    <w:rsid w:val="001E7D6A"/>
    <w:rsid w:val="001F06C1"/>
    <w:rsid w:val="001F0D74"/>
    <w:rsid w:val="001F15A3"/>
    <w:rsid w:val="001F23AD"/>
    <w:rsid w:val="001F344B"/>
    <w:rsid w:val="001F37DA"/>
    <w:rsid w:val="001F4911"/>
    <w:rsid w:val="001F5DA4"/>
    <w:rsid w:val="001F791F"/>
    <w:rsid w:val="002003BC"/>
    <w:rsid w:val="00201267"/>
    <w:rsid w:val="002025CB"/>
    <w:rsid w:val="002027A2"/>
    <w:rsid w:val="00202AA7"/>
    <w:rsid w:val="00203B82"/>
    <w:rsid w:val="00204E6F"/>
    <w:rsid w:val="00206FFD"/>
    <w:rsid w:val="00207F5B"/>
    <w:rsid w:val="002111C6"/>
    <w:rsid w:val="0021156F"/>
    <w:rsid w:val="00213C1C"/>
    <w:rsid w:val="00213F8E"/>
    <w:rsid w:val="0021446C"/>
    <w:rsid w:val="00215644"/>
    <w:rsid w:val="002157FB"/>
    <w:rsid w:val="00216499"/>
    <w:rsid w:val="0022088E"/>
    <w:rsid w:val="002217EC"/>
    <w:rsid w:val="0022194A"/>
    <w:rsid w:val="00222121"/>
    <w:rsid w:val="00222BDC"/>
    <w:rsid w:val="00222E82"/>
    <w:rsid w:val="00223009"/>
    <w:rsid w:val="002243AC"/>
    <w:rsid w:val="00224F91"/>
    <w:rsid w:val="00224FC9"/>
    <w:rsid w:val="00225A68"/>
    <w:rsid w:val="00225BBC"/>
    <w:rsid w:val="002267A8"/>
    <w:rsid w:val="00226A0F"/>
    <w:rsid w:val="00226C42"/>
    <w:rsid w:val="00230922"/>
    <w:rsid w:val="00230943"/>
    <w:rsid w:val="002312BB"/>
    <w:rsid w:val="002313E5"/>
    <w:rsid w:val="002341B0"/>
    <w:rsid w:val="00235F75"/>
    <w:rsid w:val="00240481"/>
    <w:rsid w:val="002419AD"/>
    <w:rsid w:val="00242B8D"/>
    <w:rsid w:val="00242C6C"/>
    <w:rsid w:val="00242F4D"/>
    <w:rsid w:val="00244373"/>
    <w:rsid w:val="00244B1F"/>
    <w:rsid w:val="00245D58"/>
    <w:rsid w:val="0025044A"/>
    <w:rsid w:val="0025079F"/>
    <w:rsid w:val="0025111A"/>
    <w:rsid w:val="0025156B"/>
    <w:rsid w:val="00251F9B"/>
    <w:rsid w:val="002538D1"/>
    <w:rsid w:val="00254C82"/>
    <w:rsid w:val="00255E96"/>
    <w:rsid w:val="00256222"/>
    <w:rsid w:val="00256500"/>
    <w:rsid w:val="002571C4"/>
    <w:rsid w:val="00257576"/>
    <w:rsid w:val="00257A66"/>
    <w:rsid w:val="00260003"/>
    <w:rsid w:val="002602A1"/>
    <w:rsid w:val="00260481"/>
    <w:rsid w:val="002605A3"/>
    <w:rsid w:val="00260A78"/>
    <w:rsid w:val="00260EF2"/>
    <w:rsid w:val="002621EC"/>
    <w:rsid w:val="00262AC6"/>
    <w:rsid w:val="00263A01"/>
    <w:rsid w:val="00264429"/>
    <w:rsid w:val="002644BF"/>
    <w:rsid w:val="00264DD7"/>
    <w:rsid w:val="00265C6E"/>
    <w:rsid w:val="00265D18"/>
    <w:rsid w:val="00265E0D"/>
    <w:rsid w:val="00265FC7"/>
    <w:rsid w:val="00267C24"/>
    <w:rsid w:val="00270294"/>
    <w:rsid w:val="002706A2"/>
    <w:rsid w:val="00271D94"/>
    <w:rsid w:val="00272D09"/>
    <w:rsid w:val="00272DCD"/>
    <w:rsid w:val="0027462B"/>
    <w:rsid w:val="00274FB1"/>
    <w:rsid w:val="00276186"/>
    <w:rsid w:val="00276862"/>
    <w:rsid w:val="00276925"/>
    <w:rsid w:val="00277A07"/>
    <w:rsid w:val="00277C01"/>
    <w:rsid w:val="00280A02"/>
    <w:rsid w:val="00280D49"/>
    <w:rsid w:val="00280F5C"/>
    <w:rsid w:val="00281988"/>
    <w:rsid w:val="00281AC7"/>
    <w:rsid w:val="00283942"/>
    <w:rsid w:val="00283F46"/>
    <w:rsid w:val="0028473C"/>
    <w:rsid w:val="0028651A"/>
    <w:rsid w:val="00286BC3"/>
    <w:rsid w:val="00286BCD"/>
    <w:rsid w:val="00287244"/>
    <w:rsid w:val="00287355"/>
    <w:rsid w:val="0029064F"/>
    <w:rsid w:val="002916DA"/>
    <w:rsid w:val="0029294C"/>
    <w:rsid w:val="002A01E4"/>
    <w:rsid w:val="002A1354"/>
    <w:rsid w:val="002A182A"/>
    <w:rsid w:val="002A1A34"/>
    <w:rsid w:val="002A4FEB"/>
    <w:rsid w:val="002A554F"/>
    <w:rsid w:val="002A58D8"/>
    <w:rsid w:val="002A5D89"/>
    <w:rsid w:val="002A6E11"/>
    <w:rsid w:val="002B1FA0"/>
    <w:rsid w:val="002B27EF"/>
    <w:rsid w:val="002B4844"/>
    <w:rsid w:val="002B49FE"/>
    <w:rsid w:val="002B4C67"/>
    <w:rsid w:val="002B73E2"/>
    <w:rsid w:val="002C2CCB"/>
    <w:rsid w:val="002C3572"/>
    <w:rsid w:val="002C55AE"/>
    <w:rsid w:val="002C69A4"/>
    <w:rsid w:val="002C6A7F"/>
    <w:rsid w:val="002C779C"/>
    <w:rsid w:val="002D0969"/>
    <w:rsid w:val="002D2967"/>
    <w:rsid w:val="002D34F9"/>
    <w:rsid w:val="002D372B"/>
    <w:rsid w:val="002D3894"/>
    <w:rsid w:val="002D66C8"/>
    <w:rsid w:val="002E2071"/>
    <w:rsid w:val="002E2EC1"/>
    <w:rsid w:val="002E40ED"/>
    <w:rsid w:val="002E5962"/>
    <w:rsid w:val="002E6279"/>
    <w:rsid w:val="002E6647"/>
    <w:rsid w:val="002E712F"/>
    <w:rsid w:val="002E7D36"/>
    <w:rsid w:val="002F00D4"/>
    <w:rsid w:val="002F071E"/>
    <w:rsid w:val="002F0B65"/>
    <w:rsid w:val="002F0B8A"/>
    <w:rsid w:val="002F21DA"/>
    <w:rsid w:val="002F23AF"/>
    <w:rsid w:val="002F262D"/>
    <w:rsid w:val="002F316F"/>
    <w:rsid w:val="002F38C9"/>
    <w:rsid w:val="002F3A6A"/>
    <w:rsid w:val="002F448D"/>
    <w:rsid w:val="002F4B23"/>
    <w:rsid w:val="002F5706"/>
    <w:rsid w:val="002F6159"/>
    <w:rsid w:val="002F6A25"/>
    <w:rsid w:val="002F6AD3"/>
    <w:rsid w:val="0030090C"/>
    <w:rsid w:val="00300FF1"/>
    <w:rsid w:val="00304A96"/>
    <w:rsid w:val="00306040"/>
    <w:rsid w:val="00306158"/>
    <w:rsid w:val="00307A83"/>
    <w:rsid w:val="003102A3"/>
    <w:rsid w:val="00310F96"/>
    <w:rsid w:val="003110AC"/>
    <w:rsid w:val="0031185F"/>
    <w:rsid w:val="003131A5"/>
    <w:rsid w:val="0031379B"/>
    <w:rsid w:val="00313EDD"/>
    <w:rsid w:val="003147A3"/>
    <w:rsid w:val="00314E84"/>
    <w:rsid w:val="00315755"/>
    <w:rsid w:val="00316826"/>
    <w:rsid w:val="00317EB3"/>
    <w:rsid w:val="003201BA"/>
    <w:rsid w:val="00320E39"/>
    <w:rsid w:val="00321151"/>
    <w:rsid w:val="00321E13"/>
    <w:rsid w:val="003229A0"/>
    <w:rsid w:val="00323153"/>
    <w:rsid w:val="003246C1"/>
    <w:rsid w:val="003249B2"/>
    <w:rsid w:val="00324EDA"/>
    <w:rsid w:val="003258F0"/>
    <w:rsid w:val="00325B26"/>
    <w:rsid w:val="0032703C"/>
    <w:rsid w:val="00327081"/>
    <w:rsid w:val="00331638"/>
    <w:rsid w:val="003317F9"/>
    <w:rsid w:val="003322D1"/>
    <w:rsid w:val="003331EE"/>
    <w:rsid w:val="003341E3"/>
    <w:rsid w:val="00334356"/>
    <w:rsid w:val="00334C20"/>
    <w:rsid w:val="00334F4C"/>
    <w:rsid w:val="00335570"/>
    <w:rsid w:val="00335A28"/>
    <w:rsid w:val="00337560"/>
    <w:rsid w:val="003429F2"/>
    <w:rsid w:val="00343245"/>
    <w:rsid w:val="0034386B"/>
    <w:rsid w:val="00343BA0"/>
    <w:rsid w:val="00344CB7"/>
    <w:rsid w:val="00346B76"/>
    <w:rsid w:val="003477A2"/>
    <w:rsid w:val="00347855"/>
    <w:rsid w:val="00347D06"/>
    <w:rsid w:val="00347EA6"/>
    <w:rsid w:val="00347FFC"/>
    <w:rsid w:val="00350363"/>
    <w:rsid w:val="00350AC2"/>
    <w:rsid w:val="00350F02"/>
    <w:rsid w:val="00351B53"/>
    <w:rsid w:val="00351DD5"/>
    <w:rsid w:val="00352738"/>
    <w:rsid w:val="003535AC"/>
    <w:rsid w:val="003557C4"/>
    <w:rsid w:val="00356C04"/>
    <w:rsid w:val="00357AD3"/>
    <w:rsid w:val="00357B31"/>
    <w:rsid w:val="00361265"/>
    <w:rsid w:val="003613A9"/>
    <w:rsid w:val="0036170A"/>
    <w:rsid w:val="00361F36"/>
    <w:rsid w:val="00362136"/>
    <w:rsid w:val="0036231E"/>
    <w:rsid w:val="00364045"/>
    <w:rsid w:val="003651AF"/>
    <w:rsid w:val="00365C88"/>
    <w:rsid w:val="00365D80"/>
    <w:rsid w:val="003666B3"/>
    <w:rsid w:val="00366E15"/>
    <w:rsid w:val="00366E60"/>
    <w:rsid w:val="003676EB"/>
    <w:rsid w:val="0037050B"/>
    <w:rsid w:val="00370AB3"/>
    <w:rsid w:val="00370CF4"/>
    <w:rsid w:val="0037190A"/>
    <w:rsid w:val="00371CE5"/>
    <w:rsid w:val="00372622"/>
    <w:rsid w:val="0037341A"/>
    <w:rsid w:val="00374B00"/>
    <w:rsid w:val="0037507E"/>
    <w:rsid w:val="00375E19"/>
    <w:rsid w:val="003760FC"/>
    <w:rsid w:val="00376609"/>
    <w:rsid w:val="00376C68"/>
    <w:rsid w:val="00377C74"/>
    <w:rsid w:val="00381B3D"/>
    <w:rsid w:val="00381DE5"/>
    <w:rsid w:val="0038320B"/>
    <w:rsid w:val="00383C8F"/>
    <w:rsid w:val="00385768"/>
    <w:rsid w:val="00387228"/>
    <w:rsid w:val="00391308"/>
    <w:rsid w:val="003913E8"/>
    <w:rsid w:val="00391442"/>
    <w:rsid w:val="00391E28"/>
    <w:rsid w:val="00393142"/>
    <w:rsid w:val="003938E4"/>
    <w:rsid w:val="00397663"/>
    <w:rsid w:val="00397CC8"/>
    <w:rsid w:val="00397EE5"/>
    <w:rsid w:val="003A0F34"/>
    <w:rsid w:val="003A121C"/>
    <w:rsid w:val="003A129B"/>
    <w:rsid w:val="003A229D"/>
    <w:rsid w:val="003A4498"/>
    <w:rsid w:val="003A4F3F"/>
    <w:rsid w:val="003A4F81"/>
    <w:rsid w:val="003A4F83"/>
    <w:rsid w:val="003A532B"/>
    <w:rsid w:val="003A76F6"/>
    <w:rsid w:val="003B00CB"/>
    <w:rsid w:val="003B0228"/>
    <w:rsid w:val="003B197C"/>
    <w:rsid w:val="003B1D28"/>
    <w:rsid w:val="003B1DF9"/>
    <w:rsid w:val="003B1ED6"/>
    <w:rsid w:val="003B2A40"/>
    <w:rsid w:val="003B2DBE"/>
    <w:rsid w:val="003B3828"/>
    <w:rsid w:val="003B53B3"/>
    <w:rsid w:val="003B7C4E"/>
    <w:rsid w:val="003C12CA"/>
    <w:rsid w:val="003C2F53"/>
    <w:rsid w:val="003C34CC"/>
    <w:rsid w:val="003C4833"/>
    <w:rsid w:val="003C5F2C"/>
    <w:rsid w:val="003C6076"/>
    <w:rsid w:val="003D0967"/>
    <w:rsid w:val="003D0A58"/>
    <w:rsid w:val="003D21E4"/>
    <w:rsid w:val="003D2C2B"/>
    <w:rsid w:val="003D2DDC"/>
    <w:rsid w:val="003D3C3E"/>
    <w:rsid w:val="003D568F"/>
    <w:rsid w:val="003D58F8"/>
    <w:rsid w:val="003D6058"/>
    <w:rsid w:val="003D614F"/>
    <w:rsid w:val="003D727F"/>
    <w:rsid w:val="003D7964"/>
    <w:rsid w:val="003E09F8"/>
    <w:rsid w:val="003E0F42"/>
    <w:rsid w:val="003E152B"/>
    <w:rsid w:val="003E21BA"/>
    <w:rsid w:val="003E3441"/>
    <w:rsid w:val="003E440C"/>
    <w:rsid w:val="003E4678"/>
    <w:rsid w:val="003E58A5"/>
    <w:rsid w:val="003E636E"/>
    <w:rsid w:val="003E6846"/>
    <w:rsid w:val="003E6CE9"/>
    <w:rsid w:val="003E74E6"/>
    <w:rsid w:val="003E78CD"/>
    <w:rsid w:val="003F0A5A"/>
    <w:rsid w:val="003F1D70"/>
    <w:rsid w:val="003F1E5E"/>
    <w:rsid w:val="003F1EC5"/>
    <w:rsid w:val="003F3841"/>
    <w:rsid w:val="003F4211"/>
    <w:rsid w:val="003F5270"/>
    <w:rsid w:val="003F5E9C"/>
    <w:rsid w:val="003F6921"/>
    <w:rsid w:val="003F69DD"/>
    <w:rsid w:val="003F7CBB"/>
    <w:rsid w:val="004003E0"/>
    <w:rsid w:val="004004EC"/>
    <w:rsid w:val="00401AE5"/>
    <w:rsid w:val="0040253E"/>
    <w:rsid w:val="004025C5"/>
    <w:rsid w:val="00402B4B"/>
    <w:rsid w:val="00402B6C"/>
    <w:rsid w:val="004032AC"/>
    <w:rsid w:val="00404076"/>
    <w:rsid w:val="00404C90"/>
    <w:rsid w:val="0040719C"/>
    <w:rsid w:val="00407AED"/>
    <w:rsid w:val="00410D5A"/>
    <w:rsid w:val="0041101D"/>
    <w:rsid w:val="00411475"/>
    <w:rsid w:val="00411C59"/>
    <w:rsid w:val="00412A4D"/>
    <w:rsid w:val="00412A89"/>
    <w:rsid w:val="00413D0A"/>
    <w:rsid w:val="004143C4"/>
    <w:rsid w:val="00414A01"/>
    <w:rsid w:val="004155FB"/>
    <w:rsid w:val="00415E33"/>
    <w:rsid w:val="00417D1F"/>
    <w:rsid w:val="004225E3"/>
    <w:rsid w:val="00422C23"/>
    <w:rsid w:val="0042468A"/>
    <w:rsid w:val="00425055"/>
    <w:rsid w:val="00426C0E"/>
    <w:rsid w:val="004274DA"/>
    <w:rsid w:val="00432526"/>
    <w:rsid w:val="0043347B"/>
    <w:rsid w:val="00434345"/>
    <w:rsid w:val="00435BA6"/>
    <w:rsid w:val="00435DEF"/>
    <w:rsid w:val="004364BE"/>
    <w:rsid w:val="004368E3"/>
    <w:rsid w:val="00436A33"/>
    <w:rsid w:val="004401F6"/>
    <w:rsid w:val="00440EF0"/>
    <w:rsid w:val="00440F24"/>
    <w:rsid w:val="004418C4"/>
    <w:rsid w:val="00441909"/>
    <w:rsid w:val="00442331"/>
    <w:rsid w:val="00442797"/>
    <w:rsid w:val="00443342"/>
    <w:rsid w:val="00443744"/>
    <w:rsid w:val="00443EBE"/>
    <w:rsid w:val="00444079"/>
    <w:rsid w:val="00444228"/>
    <w:rsid w:val="00444784"/>
    <w:rsid w:val="004450CB"/>
    <w:rsid w:val="004454D3"/>
    <w:rsid w:val="00446162"/>
    <w:rsid w:val="00446B1C"/>
    <w:rsid w:val="00450909"/>
    <w:rsid w:val="004510C0"/>
    <w:rsid w:val="00451750"/>
    <w:rsid w:val="00451E7F"/>
    <w:rsid w:val="00452887"/>
    <w:rsid w:val="00453205"/>
    <w:rsid w:val="0045405F"/>
    <w:rsid w:val="004540DA"/>
    <w:rsid w:val="00454C7C"/>
    <w:rsid w:val="00454F60"/>
    <w:rsid w:val="00455102"/>
    <w:rsid w:val="00457634"/>
    <w:rsid w:val="00457659"/>
    <w:rsid w:val="00457C0A"/>
    <w:rsid w:val="0046005F"/>
    <w:rsid w:val="00460665"/>
    <w:rsid w:val="004607FB"/>
    <w:rsid w:val="00460D97"/>
    <w:rsid w:val="00460ED4"/>
    <w:rsid w:val="0046182A"/>
    <w:rsid w:val="0046212F"/>
    <w:rsid w:val="0046229B"/>
    <w:rsid w:val="00462B6A"/>
    <w:rsid w:val="00463606"/>
    <w:rsid w:val="00464968"/>
    <w:rsid w:val="00464CC7"/>
    <w:rsid w:val="00465632"/>
    <w:rsid w:val="00465C75"/>
    <w:rsid w:val="004669B1"/>
    <w:rsid w:val="00466AC2"/>
    <w:rsid w:val="00466E34"/>
    <w:rsid w:val="004709BC"/>
    <w:rsid w:val="004717A9"/>
    <w:rsid w:val="0047196D"/>
    <w:rsid w:val="00473548"/>
    <w:rsid w:val="004753D9"/>
    <w:rsid w:val="00475E32"/>
    <w:rsid w:val="00477426"/>
    <w:rsid w:val="004806F0"/>
    <w:rsid w:val="00480B37"/>
    <w:rsid w:val="00480BF5"/>
    <w:rsid w:val="00481970"/>
    <w:rsid w:val="00481B8F"/>
    <w:rsid w:val="00482733"/>
    <w:rsid w:val="00483B57"/>
    <w:rsid w:val="004842EE"/>
    <w:rsid w:val="00485570"/>
    <w:rsid w:val="00485714"/>
    <w:rsid w:val="00485AEB"/>
    <w:rsid w:val="00485B1E"/>
    <w:rsid w:val="00486537"/>
    <w:rsid w:val="00486622"/>
    <w:rsid w:val="004915F0"/>
    <w:rsid w:val="00491CF1"/>
    <w:rsid w:val="0049282A"/>
    <w:rsid w:val="00493AD2"/>
    <w:rsid w:val="00493ADA"/>
    <w:rsid w:val="00495621"/>
    <w:rsid w:val="0049585D"/>
    <w:rsid w:val="00496A89"/>
    <w:rsid w:val="00497EEF"/>
    <w:rsid w:val="004A0106"/>
    <w:rsid w:val="004A019C"/>
    <w:rsid w:val="004A0726"/>
    <w:rsid w:val="004A3158"/>
    <w:rsid w:val="004A460E"/>
    <w:rsid w:val="004A59E4"/>
    <w:rsid w:val="004A66F3"/>
    <w:rsid w:val="004A68BB"/>
    <w:rsid w:val="004A6F6B"/>
    <w:rsid w:val="004A7E65"/>
    <w:rsid w:val="004B0682"/>
    <w:rsid w:val="004B0C7F"/>
    <w:rsid w:val="004B0E17"/>
    <w:rsid w:val="004B1079"/>
    <w:rsid w:val="004B1BCD"/>
    <w:rsid w:val="004B2C5B"/>
    <w:rsid w:val="004B34BB"/>
    <w:rsid w:val="004B3BD0"/>
    <w:rsid w:val="004B4317"/>
    <w:rsid w:val="004B47C1"/>
    <w:rsid w:val="004B5105"/>
    <w:rsid w:val="004B5173"/>
    <w:rsid w:val="004B6FA6"/>
    <w:rsid w:val="004B7ABB"/>
    <w:rsid w:val="004C0B54"/>
    <w:rsid w:val="004C16AF"/>
    <w:rsid w:val="004C2640"/>
    <w:rsid w:val="004C2981"/>
    <w:rsid w:val="004C2E42"/>
    <w:rsid w:val="004C3990"/>
    <w:rsid w:val="004C41AD"/>
    <w:rsid w:val="004C4C8F"/>
    <w:rsid w:val="004C57A6"/>
    <w:rsid w:val="004C5F5E"/>
    <w:rsid w:val="004C6C19"/>
    <w:rsid w:val="004C722F"/>
    <w:rsid w:val="004C7311"/>
    <w:rsid w:val="004D054B"/>
    <w:rsid w:val="004D0FFC"/>
    <w:rsid w:val="004D217C"/>
    <w:rsid w:val="004D3F61"/>
    <w:rsid w:val="004D47FD"/>
    <w:rsid w:val="004D4B8A"/>
    <w:rsid w:val="004D4DE8"/>
    <w:rsid w:val="004D53AD"/>
    <w:rsid w:val="004D5D51"/>
    <w:rsid w:val="004D775A"/>
    <w:rsid w:val="004E1D1B"/>
    <w:rsid w:val="004E291C"/>
    <w:rsid w:val="004E29A4"/>
    <w:rsid w:val="004E4595"/>
    <w:rsid w:val="004E484F"/>
    <w:rsid w:val="004E57DD"/>
    <w:rsid w:val="004E6491"/>
    <w:rsid w:val="004E7413"/>
    <w:rsid w:val="004E78CD"/>
    <w:rsid w:val="004F0D80"/>
    <w:rsid w:val="004F14F8"/>
    <w:rsid w:val="004F171B"/>
    <w:rsid w:val="004F18BB"/>
    <w:rsid w:val="004F2571"/>
    <w:rsid w:val="004F467F"/>
    <w:rsid w:val="004F4EB6"/>
    <w:rsid w:val="004F58CE"/>
    <w:rsid w:val="004F5B75"/>
    <w:rsid w:val="004F5E88"/>
    <w:rsid w:val="00500C55"/>
    <w:rsid w:val="00501406"/>
    <w:rsid w:val="00501CD9"/>
    <w:rsid w:val="00501FC9"/>
    <w:rsid w:val="0050261C"/>
    <w:rsid w:val="00502C16"/>
    <w:rsid w:val="00504261"/>
    <w:rsid w:val="005058AA"/>
    <w:rsid w:val="00506098"/>
    <w:rsid w:val="005060A8"/>
    <w:rsid w:val="005066E7"/>
    <w:rsid w:val="00506C9E"/>
    <w:rsid w:val="00506E52"/>
    <w:rsid w:val="00507D55"/>
    <w:rsid w:val="005119A7"/>
    <w:rsid w:val="00512D09"/>
    <w:rsid w:val="00512D0B"/>
    <w:rsid w:val="00513AF6"/>
    <w:rsid w:val="00514399"/>
    <w:rsid w:val="00514A99"/>
    <w:rsid w:val="005166B9"/>
    <w:rsid w:val="00517C7D"/>
    <w:rsid w:val="00520D17"/>
    <w:rsid w:val="00521129"/>
    <w:rsid w:val="005220B2"/>
    <w:rsid w:val="00522154"/>
    <w:rsid w:val="00522585"/>
    <w:rsid w:val="00522833"/>
    <w:rsid w:val="00522BB0"/>
    <w:rsid w:val="005249A7"/>
    <w:rsid w:val="00524AFA"/>
    <w:rsid w:val="00524B3E"/>
    <w:rsid w:val="00525ED0"/>
    <w:rsid w:val="0052618A"/>
    <w:rsid w:val="0052787D"/>
    <w:rsid w:val="00527984"/>
    <w:rsid w:val="005307FF"/>
    <w:rsid w:val="00532345"/>
    <w:rsid w:val="005331D5"/>
    <w:rsid w:val="005344EB"/>
    <w:rsid w:val="0053509D"/>
    <w:rsid w:val="00536727"/>
    <w:rsid w:val="005371CF"/>
    <w:rsid w:val="00537AF9"/>
    <w:rsid w:val="00542167"/>
    <w:rsid w:val="0054376B"/>
    <w:rsid w:val="00543AAC"/>
    <w:rsid w:val="00544AC2"/>
    <w:rsid w:val="0054509D"/>
    <w:rsid w:val="005459B1"/>
    <w:rsid w:val="00546D0B"/>
    <w:rsid w:val="00547A8B"/>
    <w:rsid w:val="00547E77"/>
    <w:rsid w:val="00551181"/>
    <w:rsid w:val="00553C5C"/>
    <w:rsid w:val="00554DAD"/>
    <w:rsid w:val="00555133"/>
    <w:rsid w:val="00556385"/>
    <w:rsid w:val="00556950"/>
    <w:rsid w:val="00556B3F"/>
    <w:rsid w:val="00560313"/>
    <w:rsid w:val="00560C65"/>
    <w:rsid w:val="005614F6"/>
    <w:rsid w:val="005633B4"/>
    <w:rsid w:val="00563400"/>
    <w:rsid w:val="0056445A"/>
    <w:rsid w:val="00565462"/>
    <w:rsid w:val="00565463"/>
    <w:rsid w:val="0057123C"/>
    <w:rsid w:val="00571F4E"/>
    <w:rsid w:val="00573625"/>
    <w:rsid w:val="00573B4B"/>
    <w:rsid w:val="00574F82"/>
    <w:rsid w:val="005754DC"/>
    <w:rsid w:val="00575F9B"/>
    <w:rsid w:val="005771A3"/>
    <w:rsid w:val="0057782F"/>
    <w:rsid w:val="005814BF"/>
    <w:rsid w:val="005815CC"/>
    <w:rsid w:val="00581FC9"/>
    <w:rsid w:val="00582FED"/>
    <w:rsid w:val="00583141"/>
    <w:rsid w:val="00583995"/>
    <w:rsid w:val="0058450A"/>
    <w:rsid w:val="0058518C"/>
    <w:rsid w:val="0058633E"/>
    <w:rsid w:val="0058680A"/>
    <w:rsid w:val="00586BCE"/>
    <w:rsid w:val="005871B9"/>
    <w:rsid w:val="005873AC"/>
    <w:rsid w:val="00587BBD"/>
    <w:rsid w:val="00587D0C"/>
    <w:rsid w:val="00590C8C"/>
    <w:rsid w:val="00590D62"/>
    <w:rsid w:val="005915D3"/>
    <w:rsid w:val="005928DE"/>
    <w:rsid w:val="00593191"/>
    <w:rsid w:val="00593340"/>
    <w:rsid w:val="00594CF5"/>
    <w:rsid w:val="005A2A95"/>
    <w:rsid w:val="005A3583"/>
    <w:rsid w:val="005A43C4"/>
    <w:rsid w:val="005A4E0D"/>
    <w:rsid w:val="005A5EDA"/>
    <w:rsid w:val="005A6B73"/>
    <w:rsid w:val="005A6FBD"/>
    <w:rsid w:val="005A750D"/>
    <w:rsid w:val="005A7D5F"/>
    <w:rsid w:val="005B017C"/>
    <w:rsid w:val="005B0D58"/>
    <w:rsid w:val="005B1855"/>
    <w:rsid w:val="005B1C8B"/>
    <w:rsid w:val="005B29FD"/>
    <w:rsid w:val="005B2CB4"/>
    <w:rsid w:val="005B3374"/>
    <w:rsid w:val="005B35F1"/>
    <w:rsid w:val="005B3E65"/>
    <w:rsid w:val="005B40D7"/>
    <w:rsid w:val="005B47DE"/>
    <w:rsid w:val="005B5835"/>
    <w:rsid w:val="005B5CC0"/>
    <w:rsid w:val="005B66FC"/>
    <w:rsid w:val="005C0191"/>
    <w:rsid w:val="005C0492"/>
    <w:rsid w:val="005C083A"/>
    <w:rsid w:val="005C18EE"/>
    <w:rsid w:val="005C190A"/>
    <w:rsid w:val="005C2167"/>
    <w:rsid w:val="005C3899"/>
    <w:rsid w:val="005C41C0"/>
    <w:rsid w:val="005C5AA2"/>
    <w:rsid w:val="005C6264"/>
    <w:rsid w:val="005C7FEA"/>
    <w:rsid w:val="005D236D"/>
    <w:rsid w:val="005D2CE4"/>
    <w:rsid w:val="005D3B17"/>
    <w:rsid w:val="005D3BE6"/>
    <w:rsid w:val="005D5443"/>
    <w:rsid w:val="005D572B"/>
    <w:rsid w:val="005D5866"/>
    <w:rsid w:val="005D633F"/>
    <w:rsid w:val="005D6FA8"/>
    <w:rsid w:val="005D7014"/>
    <w:rsid w:val="005D7328"/>
    <w:rsid w:val="005D74AF"/>
    <w:rsid w:val="005E055F"/>
    <w:rsid w:val="005E057C"/>
    <w:rsid w:val="005E31B7"/>
    <w:rsid w:val="005E34BA"/>
    <w:rsid w:val="005E3B2E"/>
    <w:rsid w:val="005E3D61"/>
    <w:rsid w:val="005E3DA5"/>
    <w:rsid w:val="005E4231"/>
    <w:rsid w:val="005E4B83"/>
    <w:rsid w:val="005E51E1"/>
    <w:rsid w:val="005E5474"/>
    <w:rsid w:val="005E56E1"/>
    <w:rsid w:val="005E780D"/>
    <w:rsid w:val="005E7AFD"/>
    <w:rsid w:val="005F0424"/>
    <w:rsid w:val="005F23F2"/>
    <w:rsid w:val="005F3636"/>
    <w:rsid w:val="005F39CD"/>
    <w:rsid w:val="005F3E07"/>
    <w:rsid w:val="005F49EF"/>
    <w:rsid w:val="005F4B8F"/>
    <w:rsid w:val="005F640D"/>
    <w:rsid w:val="005F6550"/>
    <w:rsid w:val="005F67B1"/>
    <w:rsid w:val="005F6894"/>
    <w:rsid w:val="005F6B17"/>
    <w:rsid w:val="00600BC4"/>
    <w:rsid w:val="0060114E"/>
    <w:rsid w:val="006016F7"/>
    <w:rsid w:val="00601BC1"/>
    <w:rsid w:val="00602205"/>
    <w:rsid w:val="0060419A"/>
    <w:rsid w:val="006041E5"/>
    <w:rsid w:val="006043CE"/>
    <w:rsid w:val="006045B8"/>
    <w:rsid w:val="0060474D"/>
    <w:rsid w:val="00604934"/>
    <w:rsid w:val="0060591D"/>
    <w:rsid w:val="006063CA"/>
    <w:rsid w:val="00606463"/>
    <w:rsid w:val="006071F2"/>
    <w:rsid w:val="006077A3"/>
    <w:rsid w:val="00610383"/>
    <w:rsid w:val="0061042E"/>
    <w:rsid w:val="00610EE4"/>
    <w:rsid w:val="00610FD4"/>
    <w:rsid w:val="00612045"/>
    <w:rsid w:val="00613E12"/>
    <w:rsid w:val="006147D1"/>
    <w:rsid w:val="0061519E"/>
    <w:rsid w:val="00616390"/>
    <w:rsid w:val="006169D5"/>
    <w:rsid w:val="00617C0D"/>
    <w:rsid w:val="00620981"/>
    <w:rsid w:val="00621FC0"/>
    <w:rsid w:val="0062283C"/>
    <w:rsid w:val="00624328"/>
    <w:rsid w:val="006246ED"/>
    <w:rsid w:val="0062474D"/>
    <w:rsid w:val="00625AF5"/>
    <w:rsid w:val="00625BB9"/>
    <w:rsid w:val="00627024"/>
    <w:rsid w:val="0062748A"/>
    <w:rsid w:val="00631BE7"/>
    <w:rsid w:val="00632748"/>
    <w:rsid w:val="00632C80"/>
    <w:rsid w:val="006334FD"/>
    <w:rsid w:val="006336BF"/>
    <w:rsid w:val="00634971"/>
    <w:rsid w:val="00637A3F"/>
    <w:rsid w:val="006401EA"/>
    <w:rsid w:val="006412A5"/>
    <w:rsid w:val="006413EC"/>
    <w:rsid w:val="00641D0A"/>
    <w:rsid w:val="00641D2A"/>
    <w:rsid w:val="00642EFB"/>
    <w:rsid w:val="006435FD"/>
    <w:rsid w:val="006440F8"/>
    <w:rsid w:val="00644F68"/>
    <w:rsid w:val="00645915"/>
    <w:rsid w:val="00645C98"/>
    <w:rsid w:val="00647969"/>
    <w:rsid w:val="00647C5E"/>
    <w:rsid w:val="00652934"/>
    <w:rsid w:val="00652C9B"/>
    <w:rsid w:val="00656348"/>
    <w:rsid w:val="00656BDC"/>
    <w:rsid w:val="00657999"/>
    <w:rsid w:val="0066061E"/>
    <w:rsid w:val="006607C0"/>
    <w:rsid w:val="006613CD"/>
    <w:rsid w:val="00661C0F"/>
    <w:rsid w:val="00662163"/>
    <w:rsid w:val="00662FCF"/>
    <w:rsid w:val="00663188"/>
    <w:rsid w:val="00665257"/>
    <w:rsid w:val="00667CAF"/>
    <w:rsid w:val="00670127"/>
    <w:rsid w:val="006705E7"/>
    <w:rsid w:val="00671B96"/>
    <w:rsid w:val="0067219C"/>
    <w:rsid w:val="00672263"/>
    <w:rsid w:val="00672840"/>
    <w:rsid w:val="00672901"/>
    <w:rsid w:val="00672A32"/>
    <w:rsid w:val="00672C0A"/>
    <w:rsid w:val="00673355"/>
    <w:rsid w:val="006733BC"/>
    <w:rsid w:val="006738C4"/>
    <w:rsid w:val="00674458"/>
    <w:rsid w:val="00675BB8"/>
    <w:rsid w:val="00676B24"/>
    <w:rsid w:val="0067788E"/>
    <w:rsid w:val="006805C2"/>
    <w:rsid w:val="00680D61"/>
    <w:rsid w:val="006831B6"/>
    <w:rsid w:val="00683AAF"/>
    <w:rsid w:val="0068425F"/>
    <w:rsid w:val="00684B79"/>
    <w:rsid w:val="0068500C"/>
    <w:rsid w:val="006851ED"/>
    <w:rsid w:val="006859D7"/>
    <w:rsid w:val="006861B8"/>
    <w:rsid w:val="006871D2"/>
    <w:rsid w:val="00690640"/>
    <w:rsid w:val="00691132"/>
    <w:rsid w:val="00691155"/>
    <w:rsid w:val="0069332C"/>
    <w:rsid w:val="006949FA"/>
    <w:rsid w:val="0069505A"/>
    <w:rsid w:val="0069505B"/>
    <w:rsid w:val="006952DC"/>
    <w:rsid w:val="006955B1"/>
    <w:rsid w:val="00696B52"/>
    <w:rsid w:val="00697122"/>
    <w:rsid w:val="006A12B7"/>
    <w:rsid w:val="006A20A8"/>
    <w:rsid w:val="006A2774"/>
    <w:rsid w:val="006A3046"/>
    <w:rsid w:val="006A3836"/>
    <w:rsid w:val="006A3DF0"/>
    <w:rsid w:val="006A43C1"/>
    <w:rsid w:val="006B1676"/>
    <w:rsid w:val="006B1D1B"/>
    <w:rsid w:val="006B281F"/>
    <w:rsid w:val="006B42B6"/>
    <w:rsid w:val="006B5D26"/>
    <w:rsid w:val="006B5FAD"/>
    <w:rsid w:val="006B6067"/>
    <w:rsid w:val="006B61AF"/>
    <w:rsid w:val="006B6D0D"/>
    <w:rsid w:val="006C124E"/>
    <w:rsid w:val="006C1584"/>
    <w:rsid w:val="006C1853"/>
    <w:rsid w:val="006C1CE3"/>
    <w:rsid w:val="006C20B0"/>
    <w:rsid w:val="006C20E6"/>
    <w:rsid w:val="006C230C"/>
    <w:rsid w:val="006C2430"/>
    <w:rsid w:val="006C2AC8"/>
    <w:rsid w:val="006C3391"/>
    <w:rsid w:val="006C40DE"/>
    <w:rsid w:val="006C4721"/>
    <w:rsid w:val="006C538F"/>
    <w:rsid w:val="006C5AD9"/>
    <w:rsid w:val="006C6EAE"/>
    <w:rsid w:val="006C72D3"/>
    <w:rsid w:val="006D0644"/>
    <w:rsid w:val="006D0765"/>
    <w:rsid w:val="006D1D81"/>
    <w:rsid w:val="006D1F7B"/>
    <w:rsid w:val="006D32C3"/>
    <w:rsid w:val="006D35B3"/>
    <w:rsid w:val="006D43C1"/>
    <w:rsid w:val="006D60AB"/>
    <w:rsid w:val="006D6A29"/>
    <w:rsid w:val="006D6A9B"/>
    <w:rsid w:val="006D6F12"/>
    <w:rsid w:val="006D79B5"/>
    <w:rsid w:val="006E0A23"/>
    <w:rsid w:val="006E1652"/>
    <w:rsid w:val="006E1FA8"/>
    <w:rsid w:val="006E2A97"/>
    <w:rsid w:val="006E2F74"/>
    <w:rsid w:val="006E3196"/>
    <w:rsid w:val="006E3E05"/>
    <w:rsid w:val="006E550A"/>
    <w:rsid w:val="006E7742"/>
    <w:rsid w:val="006E7AB0"/>
    <w:rsid w:val="006F0859"/>
    <w:rsid w:val="006F08A0"/>
    <w:rsid w:val="006F117E"/>
    <w:rsid w:val="006F278C"/>
    <w:rsid w:val="006F30D6"/>
    <w:rsid w:val="006F3E84"/>
    <w:rsid w:val="006F5B9B"/>
    <w:rsid w:val="006F6A15"/>
    <w:rsid w:val="0070068E"/>
    <w:rsid w:val="00702C53"/>
    <w:rsid w:val="00703499"/>
    <w:rsid w:val="00703551"/>
    <w:rsid w:val="00704BD7"/>
    <w:rsid w:val="00707C72"/>
    <w:rsid w:val="0071032C"/>
    <w:rsid w:val="0071243A"/>
    <w:rsid w:val="00712802"/>
    <w:rsid w:val="007139EE"/>
    <w:rsid w:val="00715310"/>
    <w:rsid w:val="00715E04"/>
    <w:rsid w:val="007164A1"/>
    <w:rsid w:val="007173E1"/>
    <w:rsid w:val="00717594"/>
    <w:rsid w:val="0072073F"/>
    <w:rsid w:val="00720934"/>
    <w:rsid w:val="00721FE0"/>
    <w:rsid w:val="007231AD"/>
    <w:rsid w:val="007238CA"/>
    <w:rsid w:val="00723B74"/>
    <w:rsid w:val="00723D0C"/>
    <w:rsid w:val="007243E7"/>
    <w:rsid w:val="00724526"/>
    <w:rsid w:val="00725465"/>
    <w:rsid w:val="007262D6"/>
    <w:rsid w:val="007265C1"/>
    <w:rsid w:val="00726B8B"/>
    <w:rsid w:val="00727D0D"/>
    <w:rsid w:val="00727E8E"/>
    <w:rsid w:val="00730978"/>
    <w:rsid w:val="00733C24"/>
    <w:rsid w:val="00734F05"/>
    <w:rsid w:val="00735481"/>
    <w:rsid w:val="0073563F"/>
    <w:rsid w:val="00737829"/>
    <w:rsid w:val="00742E7A"/>
    <w:rsid w:val="0074553A"/>
    <w:rsid w:val="007458A2"/>
    <w:rsid w:val="00745EC7"/>
    <w:rsid w:val="0074630E"/>
    <w:rsid w:val="007463C6"/>
    <w:rsid w:val="007472FB"/>
    <w:rsid w:val="007479FB"/>
    <w:rsid w:val="00750D5F"/>
    <w:rsid w:val="00752153"/>
    <w:rsid w:val="00752304"/>
    <w:rsid w:val="00752831"/>
    <w:rsid w:val="00752C4E"/>
    <w:rsid w:val="00753305"/>
    <w:rsid w:val="007536BE"/>
    <w:rsid w:val="00753F94"/>
    <w:rsid w:val="00754A4D"/>
    <w:rsid w:val="00755157"/>
    <w:rsid w:val="00755A6D"/>
    <w:rsid w:val="007565BC"/>
    <w:rsid w:val="0075660C"/>
    <w:rsid w:val="00756CB2"/>
    <w:rsid w:val="00757BB3"/>
    <w:rsid w:val="00757DDC"/>
    <w:rsid w:val="00761CA4"/>
    <w:rsid w:val="0076266E"/>
    <w:rsid w:val="00762E3F"/>
    <w:rsid w:val="00764015"/>
    <w:rsid w:val="00764325"/>
    <w:rsid w:val="00766345"/>
    <w:rsid w:val="00766B94"/>
    <w:rsid w:val="0076738D"/>
    <w:rsid w:val="00770CA1"/>
    <w:rsid w:val="0077101F"/>
    <w:rsid w:val="00771B16"/>
    <w:rsid w:val="00774F2B"/>
    <w:rsid w:val="007752C0"/>
    <w:rsid w:val="007760D0"/>
    <w:rsid w:val="0077719A"/>
    <w:rsid w:val="00777E60"/>
    <w:rsid w:val="00780AA6"/>
    <w:rsid w:val="00780AF7"/>
    <w:rsid w:val="007816EA"/>
    <w:rsid w:val="00783489"/>
    <w:rsid w:val="007849B8"/>
    <w:rsid w:val="00784DE9"/>
    <w:rsid w:val="0078567D"/>
    <w:rsid w:val="0078597B"/>
    <w:rsid w:val="007862F5"/>
    <w:rsid w:val="0078663F"/>
    <w:rsid w:val="00786D60"/>
    <w:rsid w:val="00787AC1"/>
    <w:rsid w:val="00787FFD"/>
    <w:rsid w:val="00790E4E"/>
    <w:rsid w:val="00792E8E"/>
    <w:rsid w:val="007935B0"/>
    <w:rsid w:val="00793CD3"/>
    <w:rsid w:val="007940A4"/>
    <w:rsid w:val="00794834"/>
    <w:rsid w:val="00794853"/>
    <w:rsid w:val="00795511"/>
    <w:rsid w:val="0079581B"/>
    <w:rsid w:val="00796096"/>
    <w:rsid w:val="007962B3"/>
    <w:rsid w:val="0079686D"/>
    <w:rsid w:val="00796E6A"/>
    <w:rsid w:val="00796EE3"/>
    <w:rsid w:val="00796F1A"/>
    <w:rsid w:val="00796FCB"/>
    <w:rsid w:val="007977C4"/>
    <w:rsid w:val="007A046B"/>
    <w:rsid w:val="007A096C"/>
    <w:rsid w:val="007A20DC"/>
    <w:rsid w:val="007A2E6A"/>
    <w:rsid w:val="007A420A"/>
    <w:rsid w:val="007A4E0A"/>
    <w:rsid w:val="007A4E4C"/>
    <w:rsid w:val="007A522A"/>
    <w:rsid w:val="007A7192"/>
    <w:rsid w:val="007A7398"/>
    <w:rsid w:val="007A7432"/>
    <w:rsid w:val="007B3431"/>
    <w:rsid w:val="007B3B74"/>
    <w:rsid w:val="007B40F5"/>
    <w:rsid w:val="007B5237"/>
    <w:rsid w:val="007B53EB"/>
    <w:rsid w:val="007B6DFC"/>
    <w:rsid w:val="007B7733"/>
    <w:rsid w:val="007C11F2"/>
    <w:rsid w:val="007C16BE"/>
    <w:rsid w:val="007C5287"/>
    <w:rsid w:val="007C7042"/>
    <w:rsid w:val="007D2F0F"/>
    <w:rsid w:val="007D2F42"/>
    <w:rsid w:val="007D39C8"/>
    <w:rsid w:val="007D4002"/>
    <w:rsid w:val="007D7074"/>
    <w:rsid w:val="007E05D7"/>
    <w:rsid w:val="007E1C40"/>
    <w:rsid w:val="007E1D1A"/>
    <w:rsid w:val="007E22EC"/>
    <w:rsid w:val="007E2416"/>
    <w:rsid w:val="007E3BD1"/>
    <w:rsid w:val="007E3E5C"/>
    <w:rsid w:val="007E40D1"/>
    <w:rsid w:val="007E5835"/>
    <w:rsid w:val="007E6C5E"/>
    <w:rsid w:val="007F107B"/>
    <w:rsid w:val="007F17E7"/>
    <w:rsid w:val="007F19D2"/>
    <w:rsid w:val="007F428D"/>
    <w:rsid w:val="007F4DF5"/>
    <w:rsid w:val="007F5562"/>
    <w:rsid w:val="007F6ED7"/>
    <w:rsid w:val="008058D1"/>
    <w:rsid w:val="008062A5"/>
    <w:rsid w:val="00806CDF"/>
    <w:rsid w:val="00807AB4"/>
    <w:rsid w:val="00807B28"/>
    <w:rsid w:val="00810D3F"/>
    <w:rsid w:val="00810E73"/>
    <w:rsid w:val="00811118"/>
    <w:rsid w:val="0081215B"/>
    <w:rsid w:val="00812CA6"/>
    <w:rsid w:val="00814C73"/>
    <w:rsid w:val="0081598A"/>
    <w:rsid w:val="00816883"/>
    <w:rsid w:val="00816AD9"/>
    <w:rsid w:val="00816E4E"/>
    <w:rsid w:val="00816F38"/>
    <w:rsid w:val="0082024E"/>
    <w:rsid w:val="00820293"/>
    <w:rsid w:val="00820874"/>
    <w:rsid w:val="00821E6D"/>
    <w:rsid w:val="00822DE1"/>
    <w:rsid w:val="00823B5F"/>
    <w:rsid w:val="00823E8E"/>
    <w:rsid w:val="008240D6"/>
    <w:rsid w:val="00824B88"/>
    <w:rsid w:val="00824E8E"/>
    <w:rsid w:val="008267D6"/>
    <w:rsid w:val="008279F7"/>
    <w:rsid w:val="00830EFD"/>
    <w:rsid w:val="00831033"/>
    <w:rsid w:val="00831BDA"/>
    <w:rsid w:val="0083402B"/>
    <w:rsid w:val="0083534D"/>
    <w:rsid w:val="00836DF7"/>
    <w:rsid w:val="0083769B"/>
    <w:rsid w:val="00840CDC"/>
    <w:rsid w:val="00842567"/>
    <w:rsid w:val="00842B15"/>
    <w:rsid w:val="00843D00"/>
    <w:rsid w:val="00843DC0"/>
    <w:rsid w:val="008442D6"/>
    <w:rsid w:val="0084490A"/>
    <w:rsid w:val="00844ECB"/>
    <w:rsid w:val="008454A4"/>
    <w:rsid w:val="00846658"/>
    <w:rsid w:val="008466CF"/>
    <w:rsid w:val="00847782"/>
    <w:rsid w:val="00850AFE"/>
    <w:rsid w:val="00851E0E"/>
    <w:rsid w:val="00852938"/>
    <w:rsid w:val="00852B99"/>
    <w:rsid w:val="0085346B"/>
    <w:rsid w:val="00855010"/>
    <w:rsid w:val="00855AA6"/>
    <w:rsid w:val="00855B71"/>
    <w:rsid w:val="00855C7D"/>
    <w:rsid w:val="00855DEA"/>
    <w:rsid w:val="00855DF9"/>
    <w:rsid w:val="00856149"/>
    <w:rsid w:val="0085720D"/>
    <w:rsid w:val="008579FD"/>
    <w:rsid w:val="00860402"/>
    <w:rsid w:val="00862429"/>
    <w:rsid w:val="00862F6E"/>
    <w:rsid w:val="00863B60"/>
    <w:rsid w:val="0086440A"/>
    <w:rsid w:val="008654A3"/>
    <w:rsid w:val="008662F0"/>
    <w:rsid w:val="00866662"/>
    <w:rsid w:val="00867CCD"/>
    <w:rsid w:val="00870536"/>
    <w:rsid w:val="008709E6"/>
    <w:rsid w:val="00870CFD"/>
    <w:rsid w:val="008739A9"/>
    <w:rsid w:val="00873F43"/>
    <w:rsid w:val="00876870"/>
    <w:rsid w:val="00877486"/>
    <w:rsid w:val="008800C6"/>
    <w:rsid w:val="00881EEB"/>
    <w:rsid w:val="008827FD"/>
    <w:rsid w:val="00882DF8"/>
    <w:rsid w:val="00882E6C"/>
    <w:rsid w:val="008846BF"/>
    <w:rsid w:val="0088492F"/>
    <w:rsid w:val="00885073"/>
    <w:rsid w:val="008863AE"/>
    <w:rsid w:val="00887453"/>
    <w:rsid w:val="008879EF"/>
    <w:rsid w:val="00887A32"/>
    <w:rsid w:val="00887FD9"/>
    <w:rsid w:val="0089140E"/>
    <w:rsid w:val="00891EC9"/>
    <w:rsid w:val="00893909"/>
    <w:rsid w:val="00894717"/>
    <w:rsid w:val="008948FB"/>
    <w:rsid w:val="00894E0C"/>
    <w:rsid w:val="00896FB9"/>
    <w:rsid w:val="00897098"/>
    <w:rsid w:val="00897716"/>
    <w:rsid w:val="008A0DDE"/>
    <w:rsid w:val="008A146C"/>
    <w:rsid w:val="008A1DE6"/>
    <w:rsid w:val="008A20A2"/>
    <w:rsid w:val="008A47B7"/>
    <w:rsid w:val="008A5025"/>
    <w:rsid w:val="008A759A"/>
    <w:rsid w:val="008A79CD"/>
    <w:rsid w:val="008A7C9E"/>
    <w:rsid w:val="008B1A2F"/>
    <w:rsid w:val="008B1C88"/>
    <w:rsid w:val="008B1D6B"/>
    <w:rsid w:val="008B2841"/>
    <w:rsid w:val="008B2FC9"/>
    <w:rsid w:val="008B36B7"/>
    <w:rsid w:val="008B3D3F"/>
    <w:rsid w:val="008B43C0"/>
    <w:rsid w:val="008B4CEE"/>
    <w:rsid w:val="008B67A3"/>
    <w:rsid w:val="008C0594"/>
    <w:rsid w:val="008C07EB"/>
    <w:rsid w:val="008C0A95"/>
    <w:rsid w:val="008C101A"/>
    <w:rsid w:val="008C161B"/>
    <w:rsid w:val="008C1DE2"/>
    <w:rsid w:val="008C25C8"/>
    <w:rsid w:val="008C2713"/>
    <w:rsid w:val="008C2962"/>
    <w:rsid w:val="008C2E13"/>
    <w:rsid w:val="008C2F86"/>
    <w:rsid w:val="008C320D"/>
    <w:rsid w:val="008C3251"/>
    <w:rsid w:val="008C38B8"/>
    <w:rsid w:val="008C4586"/>
    <w:rsid w:val="008C49E6"/>
    <w:rsid w:val="008C5677"/>
    <w:rsid w:val="008C5859"/>
    <w:rsid w:val="008C687B"/>
    <w:rsid w:val="008C6957"/>
    <w:rsid w:val="008C71ED"/>
    <w:rsid w:val="008C7D60"/>
    <w:rsid w:val="008D0EB9"/>
    <w:rsid w:val="008D26BB"/>
    <w:rsid w:val="008D31AC"/>
    <w:rsid w:val="008D328E"/>
    <w:rsid w:val="008D3305"/>
    <w:rsid w:val="008D36BC"/>
    <w:rsid w:val="008D376D"/>
    <w:rsid w:val="008D3778"/>
    <w:rsid w:val="008D4231"/>
    <w:rsid w:val="008D4353"/>
    <w:rsid w:val="008D56F7"/>
    <w:rsid w:val="008D7041"/>
    <w:rsid w:val="008D79BF"/>
    <w:rsid w:val="008E0000"/>
    <w:rsid w:val="008E02D5"/>
    <w:rsid w:val="008E21A5"/>
    <w:rsid w:val="008E2916"/>
    <w:rsid w:val="008E3321"/>
    <w:rsid w:val="008E3FAA"/>
    <w:rsid w:val="008E3FD0"/>
    <w:rsid w:val="008E4036"/>
    <w:rsid w:val="008E5942"/>
    <w:rsid w:val="008E7026"/>
    <w:rsid w:val="008E71FC"/>
    <w:rsid w:val="008E7831"/>
    <w:rsid w:val="008E7BCB"/>
    <w:rsid w:val="008E7D3D"/>
    <w:rsid w:val="008F0EF1"/>
    <w:rsid w:val="008F14B8"/>
    <w:rsid w:val="008F24C6"/>
    <w:rsid w:val="008F3B00"/>
    <w:rsid w:val="008F53AB"/>
    <w:rsid w:val="008F55C8"/>
    <w:rsid w:val="008F55EA"/>
    <w:rsid w:val="008F6E82"/>
    <w:rsid w:val="008F7D58"/>
    <w:rsid w:val="00900222"/>
    <w:rsid w:val="0090275B"/>
    <w:rsid w:val="009032B0"/>
    <w:rsid w:val="0090354F"/>
    <w:rsid w:val="009045C3"/>
    <w:rsid w:val="00905020"/>
    <w:rsid w:val="00906479"/>
    <w:rsid w:val="00906CD8"/>
    <w:rsid w:val="00907855"/>
    <w:rsid w:val="0091016E"/>
    <w:rsid w:val="009113B7"/>
    <w:rsid w:val="0091361E"/>
    <w:rsid w:val="00913B19"/>
    <w:rsid w:val="009142BB"/>
    <w:rsid w:val="00914510"/>
    <w:rsid w:val="009147F9"/>
    <w:rsid w:val="009150B1"/>
    <w:rsid w:val="00915ACF"/>
    <w:rsid w:val="009165AB"/>
    <w:rsid w:val="009168AF"/>
    <w:rsid w:val="009170D1"/>
    <w:rsid w:val="009171C4"/>
    <w:rsid w:val="009177BB"/>
    <w:rsid w:val="00920CA6"/>
    <w:rsid w:val="00920E41"/>
    <w:rsid w:val="00921391"/>
    <w:rsid w:val="00921601"/>
    <w:rsid w:val="00921E8E"/>
    <w:rsid w:val="009232E9"/>
    <w:rsid w:val="009236D9"/>
    <w:rsid w:val="00924638"/>
    <w:rsid w:val="009247C3"/>
    <w:rsid w:val="00924D84"/>
    <w:rsid w:val="0092642F"/>
    <w:rsid w:val="00926E88"/>
    <w:rsid w:val="00927298"/>
    <w:rsid w:val="0092746D"/>
    <w:rsid w:val="0092754F"/>
    <w:rsid w:val="00927A92"/>
    <w:rsid w:val="00931FB6"/>
    <w:rsid w:val="00932726"/>
    <w:rsid w:val="0093339C"/>
    <w:rsid w:val="009343B9"/>
    <w:rsid w:val="009343C8"/>
    <w:rsid w:val="009350C9"/>
    <w:rsid w:val="0093536E"/>
    <w:rsid w:val="0093541A"/>
    <w:rsid w:val="0093606E"/>
    <w:rsid w:val="009361E0"/>
    <w:rsid w:val="00936D71"/>
    <w:rsid w:val="009402CA"/>
    <w:rsid w:val="00942F8E"/>
    <w:rsid w:val="009430A2"/>
    <w:rsid w:val="00944925"/>
    <w:rsid w:val="00944AAC"/>
    <w:rsid w:val="0094501E"/>
    <w:rsid w:val="009454C7"/>
    <w:rsid w:val="0094660D"/>
    <w:rsid w:val="00947D8A"/>
    <w:rsid w:val="009508AE"/>
    <w:rsid w:val="00950A6D"/>
    <w:rsid w:val="00950FE1"/>
    <w:rsid w:val="00951B23"/>
    <w:rsid w:val="00951D2A"/>
    <w:rsid w:val="00952A6D"/>
    <w:rsid w:val="00953111"/>
    <w:rsid w:val="009537F7"/>
    <w:rsid w:val="00953877"/>
    <w:rsid w:val="00953FF2"/>
    <w:rsid w:val="0095426F"/>
    <w:rsid w:val="00955572"/>
    <w:rsid w:val="00955826"/>
    <w:rsid w:val="00955E8A"/>
    <w:rsid w:val="00956489"/>
    <w:rsid w:val="0095746F"/>
    <w:rsid w:val="00957629"/>
    <w:rsid w:val="00957B16"/>
    <w:rsid w:val="0096017D"/>
    <w:rsid w:val="00960C69"/>
    <w:rsid w:val="00960F92"/>
    <w:rsid w:val="00961FE3"/>
    <w:rsid w:val="00962629"/>
    <w:rsid w:val="00963645"/>
    <w:rsid w:val="0096374C"/>
    <w:rsid w:val="009637DD"/>
    <w:rsid w:val="0096444D"/>
    <w:rsid w:val="00964783"/>
    <w:rsid w:val="00964EDF"/>
    <w:rsid w:val="00964FDC"/>
    <w:rsid w:val="009659E4"/>
    <w:rsid w:val="00967E12"/>
    <w:rsid w:val="00970379"/>
    <w:rsid w:val="0097268F"/>
    <w:rsid w:val="00972C59"/>
    <w:rsid w:val="00973946"/>
    <w:rsid w:val="00974629"/>
    <w:rsid w:val="00976152"/>
    <w:rsid w:val="00976469"/>
    <w:rsid w:val="00976863"/>
    <w:rsid w:val="009777FE"/>
    <w:rsid w:val="0098004D"/>
    <w:rsid w:val="00980114"/>
    <w:rsid w:val="00980403"/>
    <w:rsid w:val="009822CF"/>
    <w:rsid w:val="009847FC"/>
    <w:rsid w:val="00986F6C"/>
    <w:rsid w:val="00990B51"/>
    <w:rsid w:val="009920EB"/>
    <w:rsid w:val="00992312"/>
    <w:rsid w:val="00992922"/>
    <w:rsid w:val="00993F54"/>
    <w:rsid w:val="009948E1"/>
    <w:rsid w:val="0099559A"/>
    <w:rsid w:val="009961B2"/>
    <w:rsid w:val="009979C3"/>
    <w:rsid w:val="00997B0D"/>
    <w:rsid w:val="009A00CE"/>
    <w:rsid w:val="009A0558"/>
    <w:rsid w:val="009A0FF0"/>
    <w:rsid w:val="009A2374"/>
    <w:rsid w:val="009A5A22"/>
    <w:rsid w:val="009A629B"/>
    <w:rsid w:val="009A65D8"/>
    <w:rsid w:val="009B06A3"/>
    <w:rsid w:val="009B07CF"/>
    <w:rsid w:val="009B0851"/>
    <w:rsid w:val="009B09A1"/>
    <w:rsid w:val="009B0C98"/>
    <w:rsid w:val="009B0F41"/>
    <w:rsid w:val="009B1678"/>
    <w:rsid w:val="009B20B2"/>
    <w:rsid w:val="009B3D53"/>
    <w:rsid w:val="009B3F3C"/>
    <w:rsid w:val="009B4A85"/>
    <w:rsid w:val="009B6296"/>
    <w:rsid w:val="009B7695"/>
    <w:rsid w:val="009B7E38"/>
    <w:rsid w:val="009C17D4"/>
    <w:rsid w:val="009C1C09"/>
    <w:rsid w:val="009C3604"/>
    <w:rsid w:val="009C3909"/>
    <w:rsid w:val="009C3EA3"/>
    <w:rsid w:val="009C4469"/>
    <w:rsid w:val="009C629F"/>
    <w:rsid w:val="009C7254"/>
    <w:rsid w:val="009C7898"/>
    <w:rsid w:val="009C7DBA"/>
    <w:rsid w:val="009C7F12"/>
    <w:rsid w:val="009C7F88"/>
    <w:rsid w:val="009D081E"/>
    <w:rsid w:val="009D1404"/>
    <w:rsid w:val="009D1536"/>
    <w:rsid w:val="009D1ABE"/>
    <w:rsid w:val="009D1D4F"/>
    <w:rsid w:val="009D237B"/>
    <w:rsid w:val="009D2D99"/>
    <w:rsid w:val="009D3255"/>
    <w:rsid w:val="009D43A1"/>
    <w:rsid w:val="009D4B30"/>
    <w:rsid w:val="009D50B7"/>
    <w:rsid w:val="009D5964"/>
    <w:rsid w:val="009D76ED"/>
    <w:rsid w:val="009E0098"/>
    <w:rsid w:val="009E05A9"/>
    <w:rsid w:val="009E05FB"/>
    <w:rsid w:val="009E1ED4"/>
    <w:rsid w:val="009E2E71"/>
    <w:rsid w:val="009E2EB0"/>
    <w:rsid w:val="009E3206"/>
    <w:rsid w:val="009E45A6"/>
    <w:rsid w:val="009E4C27"/>
    <w:rsid w:val="009E5ADC"/>
    <w:rsid w:val="009E5D05"/>
    <w:rsid w:val="009E5F5B"/>
    <w:rsid w:val="009E6409"/>
    <w:rsid w:val="009E6DCE"/>
    <w:rsid w:val="009E7193"/>
    <w:rsid w:val="009E7BCC"/>
    <w:rsid w:val="009F0AF3"/>
    <w:rsid w:val="009F0DF8"/>
    <w:rsid w:val="009F1217"/>
    <w:rsid w:val="009F2462"/>
    <w:rsid w:val="009F29C7"/>
    <w:rsid w:val="009F46E5"/>
    <w:rsid w:val="009F641F"/>
    <w:rsid w:val="009F6454"/>
    <w:rsid w:val="009F6ECF"/>
    <w:rsid w:val="00A01A8B"/>
    <w:rsid w:val="00A01EE1"/>
    <w:rsid w:val="00A02421"/>
    <w:rsid w:val="00A024DE"/>
    <w:rsid w:val="00A07446"/>
    <w:rsid w:val="00A07494"/>
    <w:rsid w:val="00A10A16"/>
    <w:rsid w:val="00A113F2"/>
    <w:rsid w:val="00A11C8D"/>
    <w:rsid w:val="00A11F51"/>
    <w:rsid w:val="00A12E8B"/>
    <w:rsid w:val="00A1483C"/>
    <w:rsid w:val="00A17147"/>
    <w:rsid w:val="00A1774F"/>
    <w:rsid w:val="00A17B19"/>
    <w:rsid w:val="00A17DCD"/>
    <w:rsid w:val="00A20250"/>
    <w:rsid w:val="00A206E0"/>
    <w:rsid w:val="00A20CFA"/>
    <w:rsid w:val="00A229EB"/>
    <w:rsid w:val="00A23A7C"/>
    <w:rsid w:val="00A24616"/>
    <w:rsid w:val="00A247E8"/>
    <w:rsid w:val="00A25DF4"/>
    <w:rsid w:val="00A26337"/>
    <w:rsid w:val="00A26997"/>
    <w:rsid w:val="00A2702A"/>
    <w:rsid w:val="00A270F6"/>
    <w:rsid w:val="00A3107C"/>
    <w:rsid w:val="00A31EDE"/>
    <w:rsid w:val="00A3215F"/>
    <w:rsid w:val="00A3317A"/>
    <w:rsid w:val="00A33885"/>
    <w:rsid w:val="00A355E2"/>
    <w:rsid w:val="00A35B3F"/>
    <w:rsid w:val="00A376AD"/>
    <w:rsid w:val="00A37FE5"/>
    <w:rsid w:val="00A4137D"/>
    <w:rsid w:val="00A41716"/>
    <w:rsid w:val="00A41EB0"/>
    <w:rsid w:val="00A4259C"/>
    <w:rsid w:val="00A43EFA"/>
    <w:rsid w:val="00A44E77"/>
    <w:rsid w:val="00A45807"/>
    <w:rsid w:val="00A466E6"/>
    <w:rsid w:val="00A46A0C"/>
    <w:rsid w:val="00A46A52"/>
    <w:rsid w:val="00A46AE4"/>
    <w:rsid w:val="00A47CF8"/>
    <w:rsid w:val="00A47DF1"/>
    <w:rsid w:val="00A500A7"/>
    <w:rsid w:val="00A51554"/>
    <w:rsid w:val="00A51E18"/>
    <w:rsid w:val="00A52036"/>
    <w:rsid w:val="00A52F64"/>
    <w:rsid w:val="00A536D5"/>
    <w:rsid w:val="00A54069"/>
    <w:rsid w:val="00A5480B"/>
    <w:rsid w:val="00A564AE"/>
    <w:rsid w:val="00A5735E"/>
    <w:rsid w:val="00A5775A"/>
    <w:rsid w:val="00A62887"/>
    <w:rsid w:val="00A643EB"/>
    <w:rsid w:val="00A64EF2"/>
    <w:rsid w:val="00A65BC5"/>
    <w:rsid w:val="00A65D2D"/>
    <w:rsid w:val="00A663CC"/>
    <w:rsid w:val="00A67788"/>
    <w:rsid w:val="00A7057D"/>
    <w:rsid w:val="00A70796"/>
    <w:rsid w:val="00A70832"/>
    <w:rsid w:val="00A70E23"/>
    <w:rsid w:val="00A71A73"/>
    <w:rsid w:val="00A72130"/>
    <w:rsid w:val="00A7396A"/>
    <w:rsid w:val="00A73DE5"/>
    <w:rsid w:val="00A74048"/>
    <w:rsid w:val="00A74697"/>
    <w:rsid w:val="00A746CC"/>
    <w:rsid w:val="00A74ED9"/>
    <w:rsid w:val="00A753F1"/>
    <w:rsid w:val="00A75674"/>
    <w:rsid w:val="00A76ABC"/>
    <w:rsid w:val="00A76DFC"/>
    <w:rsid w:val="00A778C7"/>
    <w:rsid w:val="00A77A81"/>
    <w:rsid w:val="00A807B6"/>
    <w:rsid w:val="00A809B2"/>
    <w:rsid w:val="00A81DD7"/>
    <w:rsid w:val="00A81E64"/>
    <w:rsid w:val="00A8222E"/>
    <w:rsid w:val="00A82267"/>
    <w:rsid w:val="00A82C7A"/>
    <w:rsid w:val="00A840F4"/>
    <w:rsid w:val="00A8457F"/>
    <w:rsid w:val="00A84966"/>
    <w:rsid w:val="00A85150"/>
    <w:rsid w:val="00A86980"/>
    <w:rsid w:val="00A870AE"/>
    <w:rsid w:val="00A873B0"/>
    <w:rsid w:val="00A90A92"/>
    <w:rsid w:val="00A91B6A"/>
    <w:rsid w:val="00A91D24"/>
    <w:rsid w:val="00A927E2"/>
    <w:rsid w:val="00A930D6"/>
    <w:rsid w:val="00A934FF"/>
    <w:rsid w:val="00A94931"/>
    <w:rsid w:val="00A9519D"/>
    <w:rsid w:val="00A952C4"/>
    <w:rsid w:val="00A962E1"/>
    <w:rsid w:val="00AA14F4"/>
    <w:rsid w:val="00AA2313"/>
    <w:rsid w:val="00AA2907"/>
    <w:rsid w:val="00AA321C"/>
    <w:rsid w:val="00AA3B47"/>
    <w:rsid w:val="00AA6C13"/>
    <w:rsid w:val="00AA7BFE"/>
    <w:rsid w:val="00AB0D3B"/>
    <w:rsid w:val="00AB258E"/>
    <w:rsid w:val="00AB274D"/>
    <w:rsid w:val="00AB31BE"/>
    <w:rsid w:val="00AB43E1"/>
    <w:rsid w:val="00AB54FF"/>
    <w:rsid w:val="00AB55C0"/>
    <w:rsid w:val="00AB5786"/>
    <w:rsid w:val="00AC02F8"/>
    <w:rsid w:val="00AC0BDF"/>
    <w:rsid w:val="00AC1E01"/>
    <w:rsid w:val="00AC20C3"/>
    <w:rsid w:val="00AC2669"/>
    <w:rsid w:val="00AC28BA"/>
    <w:rsid w:val="00AC3107"/>
    <w:rsid w:val="00AC3170"/>
    <w:rsid w:val="00AC3C2F"/>
    <w:rsid w:val="00AC3EDB"/>
    <w:rsid w:val="00AC544A"/>
    <w:rsid w:val="00AC5DB6"/>
    <w:rsid w:val="00AC6353"/>
    <w:rsid w:val="00AC6CC1"/>
    <w:rsid w:val="00AC6E23"/>
    <w:rsid w:val="00AC6FEF"/>
    <w:rsid w:val="00AC7AAE"/>
    <w:rsid w:val="00AD0060"/>
    <w:rsid w:val="00AD086D"/>
    <w:rsid w:val="00AD1E9E"/>
    <w:rsid w:val="00AD1ECD"/>
    <w:rsid w:val="00AD2BDD"/>
    <w:rsid w:val="00AD3162"/>
    <w:rsid w:val="00AD4966"/>
    <w:rsid w:val="00AD4E9E"/>
    <w:rsid w:val="00AD5160"/>
    <w:rsid w:val="00AD5A25"/>
    <w:rsid w:val="00AD5EBC"/>
    <w:rsid w:val="00AD70AE"/>
    <w:rsid w:val="00AD718C"/>
    <w:rsid w:val="00AD7AD8"/>
    <w:rsid w:val="00AD7D44"/>
    <w:rsid w:val="00AE0497"/>
    <w:rsid w:val="00AE06BF"/>
    <w:rsid w:val="00AE079E"/>
    <w:rsid w:val="00AE0CF8"/>
    <w:rsid w:val="00AE14C7"/>
    <w:rsid w:val="00AE14EC"/>
    <w:rsid w:val="00AE1BBA"/>
    <w:rsid w:val="00AE23C6"/>
    <w:rsid w:val="00AE2CD6"/>
    <w:rsid w:val="00AE2EDE"/>
    <w:rsid w:val="00AE55AB"/>
    <w:rsid w:val="00AE56F3"/>
    <w:rsid w:val="00AE5A26"/>
    <w:rsid w:val="00AE5A57"/>
    <w:rsid w:val="00AE6929"/>
    <w:rsid w:val="00AE6CFA"/>
    <w:rsid w:val="00AE78C5"/>
    <w:rsid w:val="00AF031A"/>
    <w:rsid w:val="00AF0E98"/>
    <w:rsid w:val="00AF27FB"/>
    <w:rsid w:val="00AF32CD"/>
    <w:rsid w:val="00AF4B26"/>
    <w:rsid w:val="00AF5066"/>
    <w:rsid w:val="00AF6633"/>
    <w:rsid w:val="00AF7D49"/>
    <w:rsid w:val="00B00A54"/>
    <w:rsid w:val="00B00B67"/>
    <w:rsid w:val="00B00BB8"/>
    <w:rsid w:val="00B00FF2"/>
    <w:rsid w:val="00B01919"/>
    <w:rsid w:val="00B02192"/>
    <w:rsid w:val="00B02348"/>
    <w:rsid w:val="00B04944"/>
    <w:rsid w:val="00B05055"/>
    <w:rsid w:val="00B060E3"/>
    <w:rsid w:val="00B1075D"/>
    <w:rsid w:val="00B10963"/>
    <w:rsid w:val="00B1257A"/>
    <w:rsid w:val="00B12AF1"/>
    <w:rsid w:val="00B12D14"/>
    <w:rsid w:val="00B1358A"/>
    <w:rsid w:val="00B1425A"/>
    <w:rsid w:val="00B14E45"/>
    <w:rsid w:val="00B16E08"/>
    <w:rsid w:val="00B17455"/>
    <w:rsid w:val="00B179BE"/>
    <w:rsid w:val="00B2015E"/>
    <w:rsid w:val="00B21F02"/>
    <w:rsid w:val="00B22B78"/>
    <w:rsid w:val="00B22EEE"/>
    <w:rsid w:val="00B242CB"/>
    <w:rsid w:val="00B2482C"/>
    <w:rsid w:val="00B2491A"/>
    <w:rsid w:val="00B250FE"/>
    <w:rsid w:val="00B253FE"/>
    <w:rsid w:val="00B25BEC"/>
    <w:rsid w:val="00B26554"/>
    <w:rsid w:val="00B30A2F"/>
    <w:rsid w:val="00B312FA"/>
    <w:rsid w:val="00B313E0"/>
    <w:rsid w:val="00B31CD0"/>
    <w:rsid w:val="00B32463"/>
    <w:rsid w:val="00B3280C"/>
    <w:rsid w:val="00B33205"/>
    <w:rsid w:val="00B33913"/>
    <w:rsid w:val="00B33DFA"/>
    <w:rsid w:val="00B3415A"/>
    <w:rsid w:val="00B35264"/>
    <w:rsid w:val="00B3696D"/>
    <w:rsid w:val="00B42FD4"/>
    <w:rsid w:val="00B436AF"/>
    <w:rsid w:val="00B43F66"/>
    <w:rsid w:val="00B451A9"/>
    <w:rsid w:val="00B454DE"/>
    <w:rsid w:val="00B46698"/>
    <w:rsid w:val="00B46979"/>
    <w:rsid w:val="00B47425"/>
    <w:rsid w:val="00B475B3"/>
    <w:rsid w:val="00B47E19"/>
    <w:rsid w:val="00B500AF"/>
    <w:rsid w:val="00B507D0"/>
    <w:rsid w:val="00B51055"/>
    <w:rsid w:val="00B51739"/>
    <w:rsid w:val="00B51B04"/>
    <w:rsid w:val="00B52D68"/>
    <w:rsid w:val="00B54C4B"/>
    <w:rsid w:val="00B56E31"/>
    <w:rsid w:val="00B57233"/>
    <w:rsid w:val="00B57915"/>
    <w:rsid w:val="00B60DD0"/>
    <w:rsid w:val="00B6125B"/>
    <w:rsid w:val="00B641D0"/>
    <w:rsid w:val="00B648E0"/>
    <w:rsid w:val="00B66E61"/>
    <w:rsid w:val="00B66FE9"/>
    <w:rsid w:val="00B67496"/>
    <w:rsid w:val="00B679F4"/>
    <w:rsid w:val="00B7275A"/>
    <w:rsid w:val="00B73DDB"/>
    <w:rsid w:val="00B74677"/>
    <w:rsid w:val="00B7513F"/>
    <w:rsid w:val="00B75A78"/>
    <w:rsid w:val="00B8001F"/>
    <w:rsid w:val="00B80813"/>
    <w:rsid w:val="00B8109D"/>
    <w:rsid w:val="00B8179B"/>
    <w:rsid w:val="00B82147"/>
    <w:rsid w:val="00B83298"/>
    <w:rsid w:val="00B83787"/>
    <w:rsid w:val="00B83A94"/>
    <w:rsid w:val="00B840E1"/>
    <w:rsid w:val="00B84329"/>
    <w:rsid w:val="00B846A3"/>
    <w:rsid w:val="00B8491A"/>
    <w:rsid w:val="00B852F8"/>
    <w:rsid w:val="00B85C72"/>
    <w:rsid w:val="00B87E72"/>
    <w:rsid w:val="00B912E0"/>
    <w:rsid w:val="00B91B79"/>
    <w:rsid w:val="00B92461"/>
    <w:rsid w:val="00B9268E"/>
    <w:rsid w:val="00B94B9A"/>
    <w:rsid w:val="00B959B9"/>
    <w:rsid w:val="00B974E8"/>
    <w:rsid w:val="00B97529"/>
    <w:rsid w:val="00B9764D"/>
    <w:rsid w:val="00BA03A3"/>
    <w:rsid w:val="00BA06D3"/>
    <w:rsid w:val="00BA0D61"/>
    <w:rsid w:val="00BA14F0"/>
    <w:rsid w:val="00BA2256"/>
    <w:rsid w:val="00BA2559"/>
    <w:rsid w:val="00BA2B4C"/>
    <w:rsid w:val="00BA3F2D"/>
    <w:rsid w:val="00BA451B"/>
    <w:rsid w:val="00BA5199"/>
    <w:rsid w:val="00BA5428"/>
    <w:rsid w:val="00BA62DD"/>
    <w:rsid w:val="00BA77C0"/>
    <w:rsid w:val="00BB0838"/>
    <w:rsid w:val="00BB17E9"/>
    <w:rsid w:val="00BB2183"/>
    <w:rsid w:val="00BB411B"/>
    <w:rsid w:val="00BB434B"/>
    <w:rsid w:val="00BB46A0"/>
    <w:rsid w:val="00BB4926"/>
    <w:rsid w:val="00BB7122"/>
    <w:rsid w:val="00BB7517"/>
    <w:rsid w:val="00BB7E9C"/>
    <w:rsid w:val="00BC031E"/>
    <w:rsid w:val="00BC1D31"/>
    <w:rsid w:val="00BC1F8A"/>
    <w:rsid w:val="00BC25A5"/>
    <w:rsid w:val="00BC27D4"/>
    <w:rsid w:val="00BC34BD"/>
    <w:rsid w:val="00BC34D7"/>
    <w:rsid w:val="00BC41A0"/>
    <w:rsid w:val="00BC4D9F"/>
    <w:rsid w:val="00BC5D89"/>
    <w:rsid w:val="00BC67FE"/>
    <w:rsid w:val="00BC6EB0"/>
    <w:rsid w:val="00BC7195"/>
    <w:rsid w:val="00BC74AC"/>
    <w:rsid w:val="00BD0091"/>
    <w:rsid w:val="00BD06A6"/>
    <w:rsid w:val="00BD0BDC"/>
    <w:rsid w:val="00BD28F9"/>
    <w:rsid w:val="00BD3ACE"/>
    <w:rsid w:val="00BD4015"/>
    <w:rsid w:val="00BD5139"/>
    <w:rsid w:val="00BD5498"/>
    <w:rsid w:val="00BD6C74"/>
    <w:rsid w:val="00BD71B2"/>
    <w:rsid w:val="00BD7F09"/>
    <w:rsid w:val="00BE0F2B"/>
    <w:rsid w:val="00BE1680"/>
    <w:rsid w:val="00BE236F"/>
    <w:rsid w:val="00BE2DFF"/>
    <w:rsid w:val="00BE735C"/>
    <w:rsid w:val="00BE78BA"/>
    <w:rsid w:val="00BF0878"/>
    <w:rsid w:val="00BF1915"/>
    <w:rsid w:val="00BF24AF"/>
    <w:rsid w:val="00BF3358"/>
    <w:rsid w:val="00BF33DB"/>
    <w:rsid w:val="00BF38EE"/>
    <w:rsid w:val="00BF5560"/>
    <w:rsid w:val="00BF5690"/>
    <w:rsid w:val="00BF5E18"/>
    <w:rsid w:val="00BF639B"/>
    <w:rsid w:val="00BF6D97"/>
    <w:rsid w:val="00BF729B"/>
    <w:rsid w:val="00C0104E"/>
    <w:rsid w:val="00C02309"/>
    <w:rsid w:val="00C02692"/>
    <w:rsid w:val="00C02937"/>
    <w:rsid w:val="00C0323E"/>
    <w:rsid w:val="00C036F7"/>
    <w:rsid w:val="00C03E34"/>
    <w:rsid w:val="00C03E5B"/>
    <w:rsid w:val="00C04058"/>
    <w:rsid w:val="00C04D4D"/>
    <w:rsid w:val="00C0523B"/>
    <w:rsid w:val="00C06B27"/>
    <w:rsid w:val="00C06D87"/>
    <w:rsid w:val="00C076C1"/>
    <w:rsid w:val="00C1016F"/>
    <w:rsid w:val="00C10877"/>
    <w:rsid w:val="00C12355"/>
    <w:rsid w:val="00C12690"/>
    <w:rsid w:val="00C13153"/>
    <w:rsid w:val="00C142A5"/>
    <w:rsid w:val="00C15FB7"/>
    <w:rsid w:val="00C16AAD"/>
    <w:rsid w:val="00C16FA2"/>
    <w:rsid w:val="00C17105"/>
    <w:rsid w:val="00C22F33"/>
    <w:rsid w:val="00C24E33"/>
    <w:rsid w:val="00C27436"/>
    <w:rsid w:val="00C27945"/>
    <w:rsid w:val="00C27F3C"/>
    <w:rsid w:val="00C304F0"/>
    <w:rsid w:val="00C3057A"/>
    <w:rsid w:val="00C30AF1"/>
    <w:rsid w:val="00C31648"/>
    <w:rsid w:val="00C31D81"/>
    <w:rsid w:val="00C31D84"/>
    <w:rsid w:val="00C352EA"/>
    <w:rsid w:val="00C35DC8"/>
    <w:rsid w:val="00C368C4"/>
    <w:rsid w:val="00C37850"/>
    <w:rsid w:val="00C37930"/>
    <w:rsid w:val="00C40D49"/>
    <w:rsid w:val="00C41286"/>
    <w:rsid w:val="00C41408"/>
    <w:rsid w:val="00C414CC"/>
    <w:rsid w:val="00C42100"/>
    <w:rsid w:val="00C42B53"/>
    <w:rsid w:val="00C4322C"/>
    <w:rsid w:val="00C43515"/>
    <w:rsid w:val="00C43561"/>
    <w:rsid w:val="00C44450"/>
    <w:rsid w:val="00C44893"/>
    <w:rsid w:val="00C44D52"/>
    <w:rsid w:val="00C44E1B"/>
    <w:rsid w:val="00C4510D"/>
    <w:rsid w:val="00C45C0E"/>
    <w:rsid w:val="00C45C61"/>
    <w:rsid w:val="00C4678E"/>
    <w:rsid w:val="00C4740B"/>
    <w:rsid w:val="00C4763B"/>
    <w:rsid w:val="00C47A9A"/>
    <w:rsid w:val="00C513EB"/>
    <w:rsid w:val="00C516E6"/>
    <w:rsid w:val="00C530C0"/>
    <w:rsid w:val="00C5426E"/>
    <w:rsid w:val="00C55DAE"/>
    <w:rsid w:val="00C56017"/>
    <w:rsid w:val="00C57785"/>
    <w:rsid w:val="00C60090"/>
    <w:rsid w:val="00C601CE"/>
    <w:rsid w:val="00C603DE"/>
    <w:rsid w:val="00C61742"/>
    <w:rsid w:val="00C61D2C"/>
    <w:rsid w:val="00C62383"/>
    <w:rsid w:val="00C63CB5"/>
    <w:rsid w:val="00C63D9A"/>
    <w:rsid w:val="00C6485D"/>
    <w:rsid w:val="00C64E15"/>
    <w:rsid w:val="00C663BF"/>
    <w:rsid w:val="00C66A08"/>
    <w:rsid w:val="00C66BA2"/>
    <w:rsid w:val="00C672A3"/>
    <w:rsid w:val="00C67CAE"/>
    <w:rsid w:val="00C80133"/>
    <w:rsid w:val="00C801A4"/>
    <w:rsid w:val="00C802CE"/>
    <w:rsid w:val="00C808F9"/>
    <w:rsid w:val="00C80E79"/>
    <w:rsid w:val="00C813C2"/>
    <w:rsid w:val="00C81734"/>
    <w:rsid w:val="00C8176D"/>
    <w:rsid w:val="00C81998"/>
    <w:rsid w:val="00C81B16"/>
    <w:rsid w:val="00C822D3"/>
    <w:rsid w:val="00C83124"/>
    <w:rsid w:val="00C832C1"/>
    <w:rsid w:val="00C839F2"/>
    <w:rsid w:val="00C83FF3"/>
    <w:rsid w:val="00C8468B"/>
    <w:rsid w:val="00C86EEF"/>
    <w:rsid w:val="00C87585"/>
    <w:rsid w:val="00C91259"/>
    <w:rsid w:val="00C91C25"/>
    <w:rsid w:val="00C93837"/>
    <w:rsid w:val="00C939FC"/>
    <w:rsid w:val="00C9417F"/>
    <w:rsid w:val="00C94635"/>
    <w:rsid w:val="00C94ACC"/>
    <w:rsid w:val="00C9502D"/>
    <w:rsid w:val="00C961C2"/>
    <w:rsid w:val="00C97456"/>
    <w:rsid w:val="00C9750D"/>
    <w:rsid w:val="00C97908"/>
    <w:rsid w:val="00CA075D"/>
    <w:rsid w:val="00CA0B6A"/>
    <w:rsid w:val="00CA0E12"/>
    <w:rsid w:val="00CA1167"/>
    <w:rsid w:val="00CA1CD7"/>
    <w:rsid w:val="00CA1E59"/>
    <w:rsid w:val="00CA1EC3"/>
    <w:rsid w:val="00CA318C"/>
    <w:rsid w:val="00CA577E"/>
    <w:rsid w:val="00CA6505"/>
    <w:rsid w:val="00CA7227"/>
    <w:rsid w:val="00CB0035"/>
    <w:rsid w:val="00CB0827"/>
    <w:rsid w:val="00CB09C2"/>
    <w:rsid w:val="00CB588D"/>
    <w:rsid w:val="00CB6234"/>
    <w:rsid w:val="00CB66F1"/>
    <w:rsid w:val="00CB73DB"/>
    <w:rsid w:val="00CB7AAA"/>
    <w:rsid w:val="00CB7D42"/>
    <w:rsid w:val="00CC017F"/>
    <w:rsid w:val="00CC3017"/>
    <w:rsid w:val="00CC37DB"/>
    <w:rsid w:val="00CC49D3"/>
    <w:rsid w:val="00CC74D7"/>
    <w:rsid w:val="00CC795E"/>
    <w:rsid w:val="00CC7B87"/>
    <w:rsid w:val="00CD0100"/>
    <w:rsid w:val="00CD0289"/>
    <w:rsid w:val="00CD0B56"/>
    <w:rsid w:val="00CD0EEF"/>
    <w:rsid w:val="00CD24B3"/>
    <w:rsid w:val="00CD2B12"/>
    <w:rsid w:val="00CD3809"/>
    <w:rsid w:val="00CD419B"/>
    <w:rsid w:val="00CD4A89"/>
    <w:rsid w:val="00CD4ACC"/>
    <w:rsid w:val="00CD7A1D"/>
    <w:rsid w:val="00CE2E7F"/>
    <w:rsid w:val="00CE32EE"/>
    <w:rsid w:val="00CE4922"/>
    <w:rsid w:val="00CE5B3F"/>
    <w:rsid w:val="00CE5E39"/>
    <w:rsid w:val="00CE664F"/>
    <w:rsid w:val="00CE76F9"/>
    <w:rsid w:val="00CE789D"/>
    <w:rsid w:val="00CF1AB3"/>
    <w:rsid w:val="00CF1AFA"/>
    <w:rsid w:val="00CF1CA4"/>
    <w:rsid w:val="00CF1CE2"/>
    <w:rsid w:val="00CF1D54"/>
    <w:rsid w:val="00CF1F92"/>
    <w:rsid w:val="00CF2CB2"/>
    <w:rsid w:val="00CF3243"/>
    <w:rsid w:val="00CF3C36"/>
    <w:rsid w:val="00CF44F8"/>
    <w:rsid w:val="00CF4789"/>
    <w:rsid w:val="00CF5BE0"/>
    <w:rsid w:val="00CF6CE2"/>
    <w:rsid w:val="00CF6EE0"/>
    <w:rsid w:val="00CF787E"/>
    <w:rsid w:val="00CF7BAC"/>
    <w:rsid w:val="00D002DE"/>
    <w:rsid w:val="00D033A4"/>
    <w:rsid w:val="00D03FFA"/>
    <w:rsid w:val="00D043FD"/>
    <w:rsid w:val="00D0442B"/>
    <w:rsid w:val="00D04A27"/>
    <w:rsid w:val="00D04D7F"/>
    <w:rsid w:val="00D050B6"/>
    <w:rsid w:val="00D06403"/>
    <w:rsid w:val="00D11485"/>
    <w:rsid w:val="00D11557"/>
    <w:rsid w:val="00D11F7F"/>
    <w:rsid w:val="00D1229E"/>
    <w:rsid w:val="00D122C0"/>
    <w:rsid w:val="00D1367F"/>
    <w:rsid w:val="00D136D5"/>
    <w:rsid w:val="00D144E9"/>
    <w:rsid w:val="00D154E7"/>
    <w:rsid w:val="00D210F0"/>
    <w:rsid w:val="00D2139B"/>
    <w:rsid w:val="00D2187D"/>
    <w:rsid w:val="00D21E37"/>
    <w:rsid w:val="00D22FC6"/>
    <w:rsid w:val="00D24FFD"/>
    <w:rsid w:val="00D25AD3"/>
    <w:rsid w:val="00D25E27"/>
    <w:rsid w:val="00D305B5"/>
    <w:rsid w:val="00D307DE"/>
    <w:rsid w:val="00D3162D"/>
    <w:rsid w:val="00D31EA2"/>
    <w:rsid w:val="00D31FED"/>
    <w:rsid w:val="00D32900"/>
    <w:rsid w:val="00D331E4"/>
    <w:rsid w:val="00D33B38"/>
    <w:rsid w:val="00D34D98"/>
    <w:rsid w:val="00D34EC4"/>
    <w:rsid w:val="00D369E6"/>
    <w:rsid w:val="00D375FC"/>
    <w:rsid w:val="00D40045"/>
    <w:rsid w:val="00D42D8D"/>
    <w:rsid w:val="00D43B84"/>
    <w:rsid w:val="00D45422"/>
    <w:rsid w:val="00D45DE4"/>
    <w:rsid w:val="00D50156"/>
    <w:rsid w:val="00D50BAD"/>
    <w:rsid w:val="00D50C87"/>
    <w:rsid w:val="00D50DD7"/>
    <w:rsid w:val="00D5167B"/>
    <w:rsid w:val="00D51AFF"/>
    <w:rsid w:val="00D53527"/>
    <w:rsid w:val="00D5353C"/>
    <w:rsid w:val="00D53643"/>
    <w:rsid w:val="00D53F49"/>
    <w:rsid w:val="00D55A1B"/>
    <w:rsid w:val="00D561D6"/>
    <w:rsid w:val="00D61F22"/>
    <w:rsid w:val="00D63F9F"/>
    <w:rsid w:val="00D654ED"/>
    <w:rsid w:val="00D6604D"/>
    <w:rsid w:val="00D671C7"/>
    <w:rsid w:val="00D672BA"/>
    <w:rsid w:val="00D6768B"/>
    <w:rsid w:val="00D6790A"/>
    <w:rsid w:val="00D67CAA"/>
    <w:rsid w:val="00D7064D"/>
    <w:rsid w:val="00D70D16"/>
    <w:rsid w:val="00D71094"/>
    <w:rsid w:val="00D711C3"/>
    <w:rsid w:val="00D72375"/>
    <w:rsid w:val="00D72656"/>
    <w:rsid w:val="00D72F49"/>
    <w:rsid w:val="00D7303A"/>
    <w:rsid w:val="00D7480C"/>
    <w:rsid w:val="00D76201"/>
    <w:rsid w:val="00D76459"/>
    <w:rsid w:val="00D80ACE"/>
    <w:rsid w:val="00D816A5"/>
    <w:rsid w:val="00D816D3"/>
    <w:rsid w:val="00D81ED0"/>
    <w:rsid w:val="00D82624"/>
    <w:rsid w:val="00D83BFD"/>
    <w:rsid w:val="00D84CB7"/>
    <w:rsid w:val="00D85D4F"/>
    <w:rsid w:val="00D91255"/>
    <w:rsid w:val="00D91308"/>
    <w:rsid w:val="00D92302"/>
    <w:rsid w:val="00D93320"/>
    <w:rsid w:val="00D93400"/>
    <w:rsid w:val="00D93DA6"/>
    <w:rsid w:val="00D942F3"/>
    <w:rsid w:val="00D96C38"/>
    <w:rsid w:val="00D97365"/>
    <w:rsid w:val="00D97E90"/>
    <w:rsid w:val="00DA080F"/>
    <w:rsid w:val="00DA1011"/>
    <w:rsid w:val="00DA15E2"/>
    <w:rsid w:val="00DA1DE9"/>
    <w:rsid w:val="00DA256C"/>
    <w:rsid w:val="00DA2BE1"/>
    <w:rsid w:val="00DA4749"/>
    <w:rsid w:val="00DA492F"/>
    <w:rsid w:val="00DA50CD"/>
    <w:rsid w:val="00DA59D4"/>
    <w:rsid w:val="00DA639F"/>
    <w:rsid w:val="00DA646F"/>
    <w:rsid w:val="00DA7A6A"/>
    <w:rsid w:val="00DA7C58"/>
    <w:rsid w:val="00DB1957"/>
    <w:rsid w:val="00DB2CB6"/>
    <w:rsid w:val="00DB4510"/>
    <w:rsid w:val="00DB4F52"/>
    <w:rsid w:val="00DB511E"/>
    <w:rsid w:val="00DB676C"/>
    <w:rsid w:val="00DB74B7"/>
    <w:rsid w:val="00DB78B4"/>
    <w:rsid w:val="00DC0421"/>
    <w:rsid w:val="00DC05D6"/>
    <w:rsid w:val="00DC08E9"/>
    <w:rsid w:val="00DC0A63"/>
    <w:rsid w:val="00DC0E7A"/>
    <w:rsid w:val="00DC12C7"/>
    <w:rsid w:val="00DC1BCC"/>
    <w:rsid w:val="00DC4BF6"/>
    <w:rsid w:val="00DC5217"/>
    <w:rsid w:val="00DC586E"/>
    <w:rsid w:val="00DC5938"/>
    <w:rsid w:val="00DC5FA1"/>
    <w:rsid w:val="00DC7168"/>
    <w:rsid w:val="00DC7305"/>
    <w:rsid w:val="00DC7307"/>
    <w:rsid w:val="00DD136D"/>
    <w:rsid w:val="00DD2F98"/>
    <w:rsid w:val="00DD32BB"/>
    <w:rsid w:val="00DD514A"/>
    <w:rsid w:val="00DD5F6A"/>
    <w:rsid w:val="00DD760D"/>
    <w:rsid w:val="00DD7CC3"/>
    <w:rsid w:val="00DE1C69"/>
    <w:rsid w:val="00DE27AA"/>
    <w:rsid w:val="00DE2A54"/>
    <w:rsid w:val="00DE2BD6"/>
    <w:rsid w:val="00DE415F"/>
    <w:rsid w:val="00DE6734"/>
    <w:rsid w:val="00DE68D8"/>
    <w:rsid w:val="00DE7E61"/>
    <w:rsid w:val="00DF0114"/>
    <w:rsid w:val="00DF0D32"/>
    <w:rsid w:val="00DF17B1"/>
    <w:rsid w:val="00DF1FFD"/>
    <w:rsid w:val="00DF2ACE"/>
    <w:rsid w:val="00DF379B"/>
    <w:rsid w:val="00DF6239"/>
    <w:rsid w:val="00DF6369"/>
    <w:rsid w:val="00DF6BD1"/>
    <w:rsid w:val="00DF7859"/>
    <w:rsid w:val="00E0057B"/>
    <w:rsid w:val="00E00C83"/>
    <w:rsid w:val="00E016C3"/>
    <w:rsid w:val="00E016E9"/>
    <w:rsid w:val="00E01A5E"/>
    <w:rsid w:val="00E01DAD"/>
    <w:rsid w:val="00E01F02"/>
    <w:rsid w:val="00E02E8F"/>
    <w:rsid w:val="00E030E9"/>
    <w:rsid w:val="00E0334C"/>
    <w:rsid w:val="00E03380"/>
    <w:rsid w:val="00E03557"/>
    <w:rsid w:val="00E0370F"/>
    <w:rsid w:val="00E041DB"/>
    <w:rsid w:val="00E04E6E"/>
    <w:rsid w:val="00E05A81"/>
    <w:rsid w:val="00E0676A"/>
    <w:rsid w:val="00E10046"/>
    <w:rsid w:val="00E10411"/>
    <w:rsid w:val="00E10A95"/>
    <w:rsid w:val="00E1122E"/>
    <w:rsid w:val="00E11FE4"/>
    <w:rsid w:val="00E133E2"/>
    <w:rsid w:val="00E150D6"/>
    <w:rsid w:val="00E166F8"/>
    <w:rsid w:val="00E16A67"/>
    <w:rsid w:val="00E16BB1"/>
    <w:rsid w:val="00E203FE"/>
    <w:rsid w:val="00E223A9"/>
    <w:rsid w:val="00E22C87"/>
    <w:rsid w:val="00E232FF"/>
    <w:rsid w:val="00E254A6"/>
    <w:rsid w:val="00E27939"/>
    <w:rsid w:val="00E27D84"/>
    <w:rsid w:val="00E27E41"/>
    <w:rsid w:val="00E309E9"/>
    <w:rsid w:val="00E33338"/>
    <w:rsid w:val="00E34905"/>
    <w:rsid w:val="00E34BBF"/>
    <w:rsid w:val="00E35418"/>
    <w:rsid w:val="00E35D77"/>
    <w:rsid w:val="00E36F50"/>
    <w:rsid w:val="00E37524"/>
    <w:rsid w:val="00E41D87"/>
    <w:rsid w:val="00E42AA8"/>
    <w:rsid w:val="00E43AAD"/>
    <w:rsid w:val="00E44151"/>
    <w:rsid w:val="00E44174"/>
    <w:rsid w:val="00E44C0E"/>
    <w:rsid w:val="00E469F8"/>
    <w:rsid w:val="00E46F56"/>
    <w:rsid w:val="00E472DB"/>
    <w:rsid w:val="00E5002E"/>
    <w:rsid w:val="00E50C94"/>
    <w:rsid w:val="00E52824"/>
    <w:rsid w:val="00E52D35"/>
    <w:rsid w:val="00E5305A"/>
    <w:rsid w:val="00E54284"/>
    <w:rsid w:val="00E56372"/>
    <w:rsid w:val="00E571ED"/>
    <w:rsid w:val="00E57C68"/>
    <w:rsid w:val="00E617A9"/>
    <w:rsid w:val="00E61E05"/>
    <w:rsid w:val="00E623DA"/>
    <w:rsid w:val="00E628BB"/>
    <w:rsid w:val="00E62B7F"/>
    <w:rsid w:val="00E64412"/>
    <w:rsid w:val="00E64D0B"/>
    <w:rsid w:val="00E65875"/>
    <w:rsid w:val="00E72642"/>
    <w:rsid w:val="00E72A9D"/>
    <w:rsid w:val="00E7422F"/>
    <w:rsid w:val="00E747E9"/>
    <w:rsid w:val="00E74C7D"/>
    <w:rsid w:val="00E75037"/>
    <w:rsid w:val="00E751B2"/>
    <w:rsid w:val="00E75663"/>
    <w:rsid w:val="00E768D6"/>
    <w:rsid w:val="00E76C6D"/>
    <w:rsid w:val="00E779A8"/>
    <w:rsid w:val="00E77DE2"/>
    <w:rsid w:val="00E77FBC"/>
    <w:rsid w:val="00E805E6"/>
    <w:rsid w:val="00E809A7"/>
    <w:rsid w:val="00E80D2C"/>
    <w:rsid w:val="00E81037"/>
    <w:rsid w:val="00E81160"/>
    <w:rsid w:val="00E81AB3"/>
    <w:rsid w:val="00E82072"/>
    <w:rsid w:val="00E847EE"/>
    <w:rsid w:val="00E85AB7"/>
    <w:rsid w:val="00E86A5D"/>
    <w:rsid w:val="00E86AE9"/>
    <w:rsid w:val="00E86BE4"/>
    <w:rsid w:val="00E86DC7"/>
    <w:rsid w:val="00E908D6"/>
    <w:rsid w:val="00E90DC4"/>
    <w:rsid w:val="00E93343"/>
    <w:rsid w:val="00E95565"/>
    <w:rsid w:val="00E9597A"/>
    <w:rsid w:val="00E9664D"/>
    <w:rsid w:val="00EA0A22"/>
    <w:rsid w:val="00EA1377"/>
    <w:rsid w:val="00EA3630"/>
    <w:rsid w:val="00EA3912"/>
    <w:rsid w:val="00EA4AEB"/>
    <w:rsid w:val="00EA4E00"/>
    <w:rsid w:val="00EA51DE"/>
    <w:rsid w:val="00EA524B"/>
    <w:rsid w:val="00EA55CD"/>
    <w:rsid w:val="00EA6935"/>
    <w:rsid w:val="00EA6BD4"/>
    <w:rsid w:val="00EA6E19"/>
    <w:rsid w:val="00EA6FA4"/>
    <w:rsid w:val="00EA6FA7"/>
    <w:rsid w:val="00EA7826"/>
    <w:rsid w:val="00EB000D"/>
    <w:rsid w:val="00EB0464"/>
    <w:rsid w:val="00EB22C2"/>
    <w:rsid w:val="00EB261C"/>
    <w:rsid w:val="00EB2D68"/>
    <w:rsid w:val="00EB3A74"/>
    <w:rsid w:val="00EB4AE9"/>
    <w:rsid w:val="00EB5397"/>
    <w:rsid w:val="00EB5571"/>
    <w:rsid w:val="00EB6D19"/>
    <w:rsid w:val="00EB6E6A"/>
    <w:rsid w:val="00EB6FC0"/>
    <w:rsid w:val="00EB7436"/>
    <w:rsid w:val="00EB7B22"/>
    <w:rsid w:val="00EC00CA"/>
    <w:rsid w:val="00EC079B"/>
    <w:rsid w:val="00EC19A0"/>
    <w:rsid w:val="00EC1DA1"/>
    <w:rsid w:val="00EC2656"/>
    <w:rsid w:val="00EC2769"/>
    <w:rsid w:val="00EC3092"/>
    <w:rsid w:val="00EC454F"/>
    <w:rsid w:val="00EC4AAC"/>
    <w:rsid w:val="00EC4F28"/>
    <w:rsid w:val="00EC57AE"/>
    <w:rsid w:val="00EC5B1F"/>
    <w:rsid w:val="00EC6DA5"/>
    <w:rsid w:val="00EC72F4"/>
    <w:rsid w:val="00EC7452"/>
    <w:rsid w:val="00EC784D"/>
    <w:rsid w:val="00ED046B"/>
    <w:rsid w:val="00ED1B02"/>
    <w:rsid w:val="00ED2330"/>
    <w:rsid w:val="00ED2490"/>
    <w:rsid w:val="00ED2542"/>
    <w:rsid w:val="00ED2B60"/>
    <w:rsid w:val="00ED2DCB"/>
    <w:rsid w:val="00ED3827"/>
    <w:rsid w:val="00ED3C1E"/>
    <w:rsid w:val="00ED4081"/>
    <w:rsid w:val="00ED4ACC"/>
    <w:rsid w:val="00ED59FA"/>
    <w:rsid w:val="00ED5BA8"/>
    <w:rsid w:val="00ED6B3D"/>
    <w:rsid w:val="00ED7773"/>
    <w:rsid w:val="00EE0BAB"/>
    <w:rsid w:val="00EE0E99"/>
    <w:rsid w:val="00EE2174"/>
    <w:rsid w:val="00EE6434"/>
    <w:rsid w:val="00EE739F"/>
    <w:rsid w:val="00EE7865"/>
    <w:rsid w:val="00EF0EE2"/>
    <w:rsid w:val="00EF13CB"/>
    <w:rsid w:val="00EF145A"/>
    <w:rsid w:val="00EF19FE"/>
    <w:rsid w:val="00EF2020"/>
    <w:rsid w:val="00EF23EE"/>
    <w:rsid w:val="00EF30D3"/>
    <w:rsid w:val="00EF32A4"/>
    <w:rsid w:val="00EF39B8"/>
    <w:rsid w:val="00EF3E94"/>
    <w:rsid w:val="00EF4641"/>
    <w:rsid w:val="00EF473F"/>
    <w:rsid w:val="00EF4D94"/>
    <w:rsid w:val="00EF56B1"/>
    <w:rsid w:val="00EF591D"/>
    <w:rsid w:val="00EF6142"/>
    <w:rsid w:val="00EF64DC"/>
    <w:rsid w:val="00F000A3"/>
    <w:rsid w:val="00F01727"/>
    <w:rsid w:val="00F01F9E"/>
    <w:rsid w:val="00F023EF"/>
    <w:rsid w:val="00F023FD"/>
    <w:rsid w:val="00F025F6"/>
    <w:rsid w:val="00F0273F"/>
    <w:rsid w:val="00F02A93"/>
    <w:rsid w:val="00F02B48"/>
    <w:rsid w:val="00F03019"/>
    <w:rsid w:val="00F03E62"/>
    <w:rsid w:val="00F04916"/>
    <w:rsid w:val="00F104F7"/>
    <w:rsid w:val="00F10F89"/>
    <w:rsid w:val="00F11223"/>
    <w:rsid w:val="00F11BE3"/>
    <w:rsid w:val="00F12115"/>
    <w:rsid w:val="00F127BF"/>
    <w:rsid w:val="00F13ACC"/>
    <w:rsid w:val="00F13B70"/>
    <w:rsid w:val="00F13C8F"/>
    <w:rsid w:val="00F150E2"/>
    <w:rsid w:val="00F154A1"/>
    <w:rsid w:val="00F1648C"/>
    <w:rsid w:val="00F1676C"/>
    <w:rsid w:val="00F17737"/>
    <w:rsid w:val="00F17B99"/>
    <w:rsid w:val="00F17DDA"/>
    <w:rsid w:val="00F208FE"/>
    <w:rsid w:val="00F21B6C"/>
    <w:rsid w:val="00F226EE"/>
    <w:rsid w:val="00F234C6"/>
    <w:rsid w:val="00F25AE6"/>
    <w:rsid w:val="00F25E6F"/>
    <w:rsid w:val="00F2795F"/>
    <w:rsid w:val="00F303CD"/>
    <w:rsid w:val="00F31199"/>
    <w:rsid w:val="00F31816"/>
    <w:rsid w:val="00F31F9C"/>
    <w:rsid w:val="00F3399E"/>
    <w:rsid w:val="00F34159"/>
    <w:rsid w:val="00F34C25"/>
    <w:rsid w:val="00F35616"/>
    <w:rsid w:val="00F3586C"/>
    <w:rsid w:val="00F35C9D"/>
    <w:rsid w:val="00F36239"/>
    <w:rsid w:val="00F3687F"/>
    <w:rsid w:val="00F36D6D"/>
    <w:rsid w:val="00F36F66"/>
    <w:rsid w:val="00F405F5"/>
    <w:rsid w:val="00F412E9"/>
    <w:rsid w:val="00F4146D"/>
    <w:rsid w:val="00F41AE8"/>
    <w:rsid w:val="00F41C12"/>
    <w:rsid w:val="00F42016"/>
    <w:rsid w:val="00F43D8A"/>
    <w:rsid w:val="00F453BB"/>
    <w:rsid w:val="00F45520"/>
    <w:rsid w:val="00F458A7"/>
    <w:rsid w:val="00F47357"/>
    <w:rsid w:val="00F4765B"/>
    <w:rsid w:val="00F50A28"/>
    <w:rsid w:val="00F52046"/>
    <w:rsid w:val="00F52999"/>
    <w:rsid w:val="00F530F8"/>
    <w:rsid w:val="00F53641"/>
    <w:rsid w:val="00F55730"/>
    <w:rsid w:val="00F55BB2"/>
    <w:rsid w:val="00F5674C"/>
    <w:rsid w:val="00F57642"/>
    <w:rsid w:val="00F57B8B"/>
    <w:rsid w:val="00F60113"/>
    <w:rsid w:val="00F60753"/>
    <w:rsid w:val="00F60788"/>
    <w:rsid w:val="00F61068"/>
    <w:rsid w:val="00F62127"/>
    <w:rsid w:val="00F627E9"/>
    <w:rsid w:val="00F651A1"/>
    <w:rsid w:val="00F65790"/>
    <w:rsid w:val="00F6659D"/>
    <w:rsid w:val="00F66B3D"/>
    <w:rsid w:val="00F67057"/>
    <w:rsid w:val="00F7027D"/>
    <w:rsid w:val="00F70372"/>
    <w:rsid w:val="00F71448"/>
    <w:rsid w:val="00F72643"/>
    <w:rsid w:val="00F731D9"/>
    <w:rsid w:val="00F736E6"/>
    <w:rsid w:val="00F741CE"/>
    <w:rsid w:val="00F74884"/>
    <w:rsid w:val="00F7595C"/>
    <w:rsid w:val="00F77B07"/>
    <w:rsid w:val="00F80101"/>
    <w:rsid w:val="00F801C4"/>
    <w:rsid w:val="00F80F4D"/>
    <w:rsid w:val="00F82017"/>
    <w:rsid w:val="00F8220F"/>
    <w:rsid w:val="00F82906"/>
    <w:rsid w:val="00F84602"/>
    <w:rsid w:val="00F873DF"/>
    <w:rsid w:val="00F90EB2"/>
    <w:rsid w:val="00F93742"/>
    <w:rsid w:val="00F93F1E"/>
    <w:rsid w:val="00F94445"/>
    <w:rsid w:val="00F95D3D"/>
    <w:rsid w:val="00F96940"/>
    <w:rsid w:val="00F97CD3"/>
    <w:rsid w:val="00FA0336"/>
    <w:rsid w:val="00FA15EA"/>
    <w:rsid w:val="00FA1AF9"/>
    <w:rsid w:val="00FA1B7F"/>
    <w:rsid w:val="00FA2369"/>
    <w:rsid w:val="00FA3688"/>
    <w:rsid w:val="00FA57E6"/>
    <w:rsid w:val="00FA5F70"/>
    <w:rsid w:val="00FA6E0A"/>
    <w:rsid w:val="00FA6F95"/>
    <w:rsid w:val="00FA7636"/>
    <w:rsid w:val="00FB0416"/>
    <w:rsid w:val="00FB2166"/>
    <w:rsid w:val="00FB4FDD"/>
    <w:rsid w:val="00FB666F"/>
    <w:rsid w:val="00FB6B55"/>
    <w:rsid w:val="00FB6CE6"/>
    <w:rsid w:val="00FB7DC6"/>
    <w:rsid w:val="00FC0682"/>
    <w:rsid w:val="00FC078F"/>
    <w:rsid w:val="00FC18B1"/>
    <w:rsid w:val="00FC1B22"/>
    <w:rsid w:val="00FC1EE1"/>
    <w:rsid w:val="00FC207B"/>
    <w:rsid w:val="00FC253A"/>
    <w:rsid w:val="00FC4278"/>
    <w:rsid w:val="00FC43F0"/>
    <w:rsid w:val="00FC4D97"/>
    <w:rsid w:val="00FC5BDA"/>
    <w:rsid w:val="00FC695E"/>
    <w:rsid w:val="00FC7293"/>
    <w:rsid w:val="00FC73A2"/>
    <w:rsid w:val="00FC77B2"/>
    <w:rsid w:val="00FC7ACB"/>
    <w:rsid w:val="00FC7DBA"/>
    <w:rsid w:val="00FD0C72"/>
    <w:rsid w:val="00FD11FB"/>
    <w:rsid w:val="00FD1F87"/>
    <w:rsid w:val="00FD2318"/>
    <w:rsid w:val="00FD2863"/>
    <w:rsid w:val="00FD2CF1"/>
    <w:rsid w:val="00FD64A1"/>
    <w:rsid w:val="00FD6800"/>
    <w:rsid w:val="00FD6CBE"/>
    <w:rsid w:val="00FD76E6"/>
    <w:rsid w:val="00FE07A6"/>
    <w:rsid w:val="00FE0FF4"/>
    <w:rsid w:val="00FE1F53"/>
    <w:rsid w:val="00FE24BD"/>
    <w:rsid w:val="00FE4648"/>
    <w:rsid w:val="00FE5691"/>
    <w:rsid w:val="00FE62DD"/>
    <w:rsid w:val="00FE6DF7"/>
    <w:rsid w:val="00FF063C"/>
    <w:rsid w:val="00FF086F"/>
    <w:rsid w:val="00FF0E38"/>
    <w:rsid w:val="00FF1A6B"/>
    <w:rsid w:val="00FF34EA"/>
    <w:rsid w:val="00FF4AC9"/>
    <w:rsid w:val="00FF55C6"/>
    <w:rsid w:val="00FF57DA"/>
    <w:rsid w:val="00FF588C"/>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4D8C"/>
  <w15:chartTrackingRefBased/>
  <w15:docId w15:val="{E7DBB8D6-BBF9-4E0E-A8D2-BF02357F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qFormat="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unhideWhenUsed="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1BA"/>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rPr>
  </w:style>
  <w:style w:type="paragraph" w:styleId="Heading1">
    <w:name w:val="heading 1"/>
    <w:basedOn w:val="Normal"/>
    <w:next w:val="Normal"/>
    <w:link w:val="Heading1Char"/>
    <w:qFormat/>
    <w:rsid w:val="003201BA"/>
    <w:pPr>
      <w:keepNext/>
      <w:keepLines/>
      <w:spacing w:before="360"/>
      <w:ind w:left="794" w:hanging="794"/>
      <w:jc w:val="left"/>
      <w:outlineLvl w:val="0"/>
    </w:pPr>
    <w:rPr>
      <w:b/>
    </w:rPr>
  </w:style>
  <w:style w:type="paragraph" w:styleId="Heading2">
    <w:name w:val="heading 2"/>
    <w:basedOn w:val="Heading1"/>
    <w:next w:val="Normal"/>
    <w:link w:val="Heading2Char"/>
    <w:qFormat/>
    <w:rsid w:val="003201BA"/>
    <w:pPr>
      <w:spacing w:before="240"/>
      <w:outlineLvl w:val="1"/>
    </w:pPr>
  </w:style>
  <w:style w:type="paragraph" w:styleId="Heading3">
    <w:name w:val="heading 3"/>
    <w:basedOn w:val="Heading1"/>
    <w:next w:val="Normal"/>
    <w:link w:val="Heading3Char"/>
    <w:qFormat/>
    <w:rsid w:val="003201BA"/>
    <w:pPr>
      <w:spacing w:before="160"/>
      <w:outlineLvl w:val="2"/>
    </w:pPr>
  </w:style>
  <w:style w:type="paragraph" w:styleId="Heading4">
    <w:name w:val="heading 4"/>
    <w:basedOn w:val="Heading3"/>
    <w:next w:val="Normal"/>
    <w:link w:val="Heading4Char"/>
    <w:qFormat/>
    <w:rsid w:val="003201BA"/>
    <w:pPr>
      <w:tabs>
        <w:tab w:val="clear" w:pos="794"/>
        <w:tab w:val="left" w:pos="1021"/>
      </w:tabs>
      <w:ind w:left="1021" w:hanging="1021"/>
      <w:outlineLvl w:val="3"/>
    </w:pPr>
  </w:style>
  <w:style w:type="paragraph" w:styleId="Heading5">
    <w:name w:val="heading 5"/>
    <w:basedOn w:val="Heading4"/>
    <w:next w:val="Normal"/>
    <w:link w:val="Heading5Char"/>
    <w:qFormat/>
    <w:rsid w:val="003201BA"/>
    <w:pPr>
      <w:outlineLvl w:val="4"/>
    </w:pPr>
  </w:style>
  <w:style w:type="paragraph" w:styleId="Heading6">
    <w:name w:val="heading 6"/>
    <w:basedOn w:val="Heading4"/>
    <w:next w:val="Normal"/>
    <w:link w:val="Heading6Char"/>
    <w:qFormat/>
    <w:rsid w:val="003201BA"/>
    <w:pPr>
      <w:tabs>
        <w:tab w:val="clear" w:pos="1021"/>
        <w:tab w:val="clear" w:pos="1191"/>
      </w:tabs>
      <w:ind w:left="1588" w:hanging="1588"/>
      <w:outlineLvl w:val="5"/>
    </w:pPr>
  </w:style>
  <w:style w:type="paragraph" w:styleId="Heading7">
    <w:name w:val="heading 7"/>
    <w:basedOn w:val="Heading6"/>
    <w:next w:val="Normal"/>
    <w:link w:val="Heading7Char"/>
    <w:qFormat/>
    <w:rsid w:val="003201BA"/>
    <w:pPr>
      <w:outlineLvl w:val="6"/>
    </w:pPr>
  </w:style>
  <w:style w:type="paragraph" w:styleId="Heading8">
    <w:name w:val="heading 8"/>
    <w:basedOn w:val="Heading6"/>
    <w:next w:val="Normal"/>
    <w:link w:val="Heading8Char"/>
    <w:qFormat/>
    <w:rsid w:val="003201BA"/>
    <w:pPr>
      <w:outlineLvl w:val="7"/>
    </w:pPr>
  </w:style>
  <w:style w:type="paragraph" w:styleId="Heading9">
    <w:name w:val="heading 9"/>
    <w:basedOn w:val="Heading6"/>
    <w:next w:val="Normal"/>
    <w:link w:val="Heading9Char"/>
    <w:qFormat/>
    <w:rsid w:val="003201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qFormat/>
    <w:rsid w:val="00FF57DA"/>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qFormat/>
    <w:rsid w:val="00FF57DA"/>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rsid w:val="003201BA"/>
    <w:pPr>
      <w:keepNext/>
      <w:keepLines/>
      <w:spacing w:before="240" w:after="120"/>
      <w:jc w:val="center"/>
    </w:pPr>
  </w:style>
  <w:style w:type="paragraph" w:customStyle="1" w:styleId="FigureNotitle">
    <w:name w:val="Figure_No &amp; title"/>
    <w:basedOn w:val="Normal"/>
    <w:next w:val="Normal"/>
    <w:qFormat/>
    <w:rsid w:val="00FF57DA"/>
    <w:pPr>
      <w:keepLines/>
      <w:spacing w:before="240" w:after="120"/>
      <w:jc w:val="center"/>
    </w:pPr>
    <w:rPr>
      <w:b/>
    </w:rPr>
  </w:style>
  <w:style w:type="character" w:customStyle="1" w:styleId="Heading1Char">
    <w:name w:val="Heading 1 Char"/>
    <w:basedOn w:val="DefaultParagraphFont"/>
    <w:link w:val="Heading1"/>
    <w:rsid w:val="003201BA"/>
    <w:rPr>
      <w:rFonts w:eastAsiaTheme="minorEastAsia"/>
      <w:b/>
      <w:sz w:val="24"/>
      <w:lang w:val="en-GB"/>
    </w:rPr>
  </w:style>
  <w:style w:type="paragraph" w:customStyle="1" w:styleId="Heading1Centered">
    <w:name w:val="Heading 1 Centered"/>
    <w:basedOn w:val="Heading1"/>
    <w:qFormat/>
    <w:rsid w:val="00BB46A0"/>
    <w:pPr>
      <w:ind w:left="0" w:firstLine="0"/>
      <w:jc w:val="center"/>
    </w:pPr>
  </w:style>
  <w:style w:type="character" w:customStyle="1" w:styleId="Heading2Char">
    <w:name w:val="Heading 2 Char"/>
    <w:basedOn w:val="DefaultParagraphFont"/>
    <w:link w:val="Heading2"/>
    <w:rsid w:val="003201BA"/>
    <w:rPr>
      <w:rFonts w:eastAsiaTheme="minorEastAsia"/>
      <w:b/>
      <w:sz w:val="24"/>
      <w:lang w:val="en-GB"/>
    </w:rPr>
  </w:style>
  <w:style w:type="character" w:customStyle="1" w:styleId="Heading3Char">
    <w:name w:val="Heading 3 Char"/>
    <w:basedOn w:val="DefaultParagraphFont"/>
    <w:link w:val="Heading3"/>
    <w:rsid w:val="003201BA"/>
    <w:rPr>
      <w:rFonts w:eastAsiaTheme="minorEastAsia"/>
      <w:b/>
      <w:sz w:val="24"/>
      <w:lang w:val="en-GB"/>
    </w:rPr>
  </w:style>
  <w:style w:type="character" w:customStyle="1" w:styleId="Heading4Char">
    <w:name w:val="Heading 4 Char"/>
    <w:basedOn w:val="DefaultParagraphFont"/>
    <w:link w:val="Heading4"/>
    <w:rsid w:val="003201BA"/>
    <w:rPr>
      <w:rFonts w:eastAsiaTheme="minorEastAsia"/>
      <w:b/>
      <w:sz w:val="24"/>
      <w:lang w:val="en-GB"/>
    </w:rPr>
  </w:style>
  <w:style w:type="character" w:customStyle="1" w:styleId="Heading5Char">
    <w:name w:val="Heading 5 Char"/>
    <w:basedOn w:val="DefaultParagraphFont"/>
    <w:link w:val="Heading5"/>
    <w:rsid w:val="003201BA"/>
    <w:rPr>
      <w:rFonts w:eastAsiaTheme="minorEastAsia"/>
      <w:b/>
      <w:sz w:val="24"/>
      <w:lang w:val="en-GB"/>
    </w:rPr>
  </w:style>
  <w:style w:type="character" w:customStyle="1" w:styleId="Heading6Char">
    <w:name w:val="Heading 6 Char"/>
    <w:link w:val="Heading6"/>
    <w:qFormat/>
    <w:rsid w:val="00BB46A0"/>
    <w:rPr>
      <w:rFonts w:eastAsiaTheme="minorEastAsia"/>
      <w:b/>
      <w:sz w:val="24"/>
      <w:lang w:val="en-GB"/>
    </w:rPr>
  </w:style>
  <w:style w:type="character" w:customStyle="1" w:styleId="Heading7Char">
    <w:name w:val="Heading 7 Char"/>
    <w:link w:val="Heading7"/>
    <w:qFormat/>
    <w:rsid w:val="00BB46A0"/>
    <w:rPr>
      <w:rFonts w:eastAsiaTheme="minorEastAsia"/>
      <w:b/>
      <w:sz w:val="24"/>
      <w:lang w:val="en-GB"/>
    </w:rPr>
  </w:style>
  <w:style w:type="character" w:customStyle="1" w:styleId="Heading8Char">
    <w:name w:val="Heading 8 Char"/>
    <w:link w:val="Heading8"/>
    <w:qFormat/>
    <w:rsid w:val="00BB46A0"/>
    <w:rPr>
      <w:rFonts w:eastAsiaTheme="minorEastAsia"/>
      <w:b/>
      <w:sz w:val="24"/>
      <w:lang w:val="en-GB"/>
    </w:rPr>
  </w:style>
  <w:style w:type="character" w:customStyle="1" w:styleId="Heading9Char">
    <w:name w:val="Heading 9 Char"/>
    <w:link w:val="Heading9"/>
    <w:qFormat/>
    <w:rsid w:val="00BB46A0"/>
    <w:rPr>
      <w:rFonts w:eastAsiaTheme="minorEastAsia"/>
      <w:b/>
      <w:sz w:val="24"/>
      <w:lang w:val="en-GB"/>
    </w:rPr>
  </w:style>
  <w:style w:type="paragraph" w:customStyle="1" w:styleId="Headingb">
    <w:name w:val="Heading_b"/>
    <w:basedOn w:val="Normal"/>
    <w:next w:val="Normal"/>
    <w:rsid w:val="003201BA"/>
    <w:pPr>
      <w:keepNext/>
      <w:spacing w:before="160"/>
      <w:jc w:val="left"/>
    </w:pPr>
    <w:rPr>
      <w:b/>
    </w:rPr>
  </w:style>
  <w:style w:type="paragraph" w:customStyle="1" w:styleId="Headingi">
    <w:name w:val="Heading_i"/>
    <w:basedOn w:val="Normal"/>
    <w:next w:val="Normal"/>
    <w:rsid w:val="003201BA"/>
    <w:pPr>
      <w:keepNext/>
      <w:spacing w:before="160"/>
      <w:jc w:val="left"/>
    </w:pPr>
    <w:rPr>
      <w:i/>
    </w:rPr>
  </w:style>
  <w:style w:type="character" w:styleId="Hyperlink">
    <w:name w:val="Hyperlink"/>
    <w:basedOn w:val="DefaultParagraphFont"/>
    <w:rsid w:val="003201BA"/>
    <w:rPr>
      <w:color w:val="0000FF"/>
      <w:u w:val="single"/>
    </w:rPr>
  </w:style>
  <w:style w:type="paragraph" w:customStyle="1" w:styleId="LSDeadline">
    <w:name w:val="LSDeadline"/>
    <w:basedOn w:val="LSTitle"/>
    <w:next w:val="Normal"/>
    <w:qFormat/>
    <w:rsid w:val="00CB588D"/>
    <w:rPr>
      <w:bCs w:val="0"/>
    </w:rPr>
  </w:style>
  <w:style w:type="paragraph" w:customStyle="1" w:styleId="LSSource">
    <w:name w:val="LSSource"/>
    <w:basedOn w:val="LSTitle"/>
    <w:next w:val="Normal"/>
    <w:qFormat/>
    <w:rsid w:val="00CB588D"/>
    <w:rPr>
      <w:bCs w:val="0"/>
    </w:rPr>
  </w:style>
  <w:style w:type="paragraph" w:customStyle="1" w:styleId="LSTitle">
    <w:name w:val="LSTitle"/>
    <w:basedOn w:val="Normal"/>
    <w:next w:val="Normal"/>
    <w:qFormat/>
    <w:rsid w:val="00CB588D"/>
    <w:rPr>
      <w:rFonts w:eastAsia="Calibri"/>
      <w:bCs/>
    </w:rPr>
  </w:style>
  <w:style w:type="paragraph" w:customStyle="1" w:styleId="Note">
    <w:name w:val="Note"/>
    <w:basedOn w:val="Normal"/>
    <w:rsid w:val="003201BA"/>
    <w:pPr>
      <w:spacing w:before="80"/>
    </w:pPr>
    <w:rPr>
      <w:sz w:val="22"/>
    </w:rPr>
  </w:style>
  <w:style w:type="paragraph" w:customStyle="1" w:styleId="RecNo">
    <w:name w:val="Rec_No"/>
    <w:basedOn w:val="Normal"/>
    <w:next w:val="Rectitle"/>
    <w:rsid w:val="003201BA"/>
    <w:pPr>
      <w:keepNext/>
      <w:keepLines/>
      <w:spacing w:before="0"/>
      <w:jc w:val="left"/>
    </w:pPr>
    <w:rPr>
      <w:b/>
      <w:sz w:val="28"/>
    </w:rPr>
  </w:style>
  <w:style w:type="paragraph" w:customStyle="1" w:styleId="Rectitle">
    <w:name w:val="Rec_title"/>
    <w:basedOn w:val="Normal"/>
    <w:next w:val="Normalaftertitle"/>
    <w:rsid w:val="003201BA"/>
    <w:pPr>
      <w:keepNext/>
      <w:keepLines/>
      <w:spacing w:before="360"/>
      <w:jc w:val="center"/>
    </w:pPr>
    <w:rPr>
      <w:b/>
      <w:sz w:val="28"/>
    </w:rPr>
  </w:style>
  <w:style w:type="paragraph" w:customStyle="1" w:styleId="Reftext">
    <w:name w:val="Ref_text"/>
    <w:basedOn w:val="Normal"/>
    <w:rsid w:val="003201BA"/>
    <w:pPr>
      <w:ind w:left="794" w:hanging="794"/>
      <w:jc w:val="left"/>
    </w:pPr>
  </w:style>
  <w:style w:type="paragraph" w:customStyle="1" w:styleId="TableNotitle">
    <w:name w:val="Table_No &amp; title"/>
    <w:basedOn w:val="Normal"/>
    <w:next w:val="Normal"/>
    <w:qFormat/>
    <w:rsid w:val="00FF57DA"/>
    <w:pPr>
      <w:keepNext/>
      <w:keepLines/>
      <w:spacing w:before="360" w:after="120"/>
      <w:jc w:val="center"/>
    </w:pPr>
    <w:rPr>
      <w:b/>
    </w:rPr>
  </w:style>
  <w:style w:type="paragraph" w:styleId="TOC1">
    <w:name w:val="toc 1"/>
    <w:basedOn w:val="Normal"/>
    <w:uiPriority w:val="39"/>
    <w:rsid w:val="003201B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201BA"/>
    <w:pPr>
      <w:spacing w:before="80"/>
      <w:ind w:left="1531" w:hanging="851"/>
    </w:pPr>
  </w:style>
  <w:style w:type="paragraph" w:styleId="TOC3">
    <w:name w:val="toc 3"/>
    <w:basedOn w:val="TOC2"/>
    <w:rsid w:val="003201BA"/>
  </w:style>
  <w:style w:type="paragraph" w:customStyle="1" w:styleId="Normalbeforetable">
    <w:name w:val="Normal before table"/>
    <w:basedOn w:val="Normal"/>
    <w:qFormat/>
    <w:rsid w:val="00FF57DA"/>
    <w:pPr>
      <w:keepNext/>
      <w:spacing w:after="120"/>
    </w:pPr>
    <w:rPr>
      <w:rFonts w:eastAsia="????"/>
    </w:rPr>
  </w:style>
  <w:style w:type="paragraph" w:customStyle="1" w:styleId="Tablehead">
    <w:name w:val="Table_head"/>
    <w:basedOn w:val="Normal"/>
    <w:next w:val="Tabletext"/>
    <w:rsid w:val="003201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0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320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Headingib">
    <w:name w:val="Heading_ib"/>
    <w:basedOn w:val="Headingi"/>
    <w:next w:val="Normal"/>
    <w:qFormat/>
    <w:rsid w:val="00FF57DA"/>
    <w:rPr>
      <w:b/>
      <w:bCs/>
    </w:rPr>
  </w:style>
  <w:style w:type="paragraph" w:customStyle="1" w:styleId="References">
    <w:name w:val="References"/>
    <w:basedOn w:val="Normal"/>
    <w:qFormat/>
    <w:rsid w:val="0077101F"/>
    <w:pPr>
      <w:widowControl w:val="0"/>
      <w:numPr>
        <w:numId w:val="10"/>
      </w:numPr>
    </w:pPr>
    <w:rPr>
      <w:rFonts w:eastAsia="Times New Roman"/>
      <w:lang w:eastAsia="zh-CN"/>
    </w:rPr>
  </w:style>
  <w:style w:type="paragraph" w:customStyle="1" w:styleId="NormalITU">
    <w:name w:val="Normal_ITU"/>
    <w:basedOn w:val="Normal"/>
    <w:qFormat/>
    <w:rsid w:val="00C02937"/>
    <w:rPr>
      <w:rFonts w:cs="Arial"/>
      <w:lang w:val="en-US"/>
    </w:rPr>
  </w:style>
  <w:style w:type="paragraph" w:customStyle="1" w:styleId="AnnexNotitle">
    <w:name w:val="Annex_No &amp; title"/>
    <w:basedOn w:val="Normal"/>
    <w:next w:val="Normal"/>
    <w:qFormat/>
    <w:rsid w:val="00FF57DA"/>
    <w:pPr>
      <w:keepNext/>
      <w:keepLines/>
      <w:spacing w:before="480"/>
      <w:jc w:val="center"/>
    </w:pPr>
    <w:rPr>
      <w:rFonts w:eastAsia="Times New Roman"/>
      <w:b/>
      <w:sz w:val="28"/>
    </w:rPr>
  </w:style>
  <w:style w:type="paragraph" w:customStyle="1" w:styleId="AppendixNotitle">
    <w:name w:val="Appendix_No &amp; title"/>
    <w:basedOn w:val="AnnexNotitle"/>
    <w:next w:val="Normal"/>
    <w:qFormat/>
    <w:rsid w:val="00FF57DA"/>
  </w:style>
  <w:style w:type="paragraph" w:customStyle="1" w:styleId="Figurelegend">
    <w:name w:val="Figure_legend"/>
    <w:basedOn w:val="Normal"/>
    <w:rsid w:val="003201BA"/>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3201B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01BA"/>
  </w:style>
  <w:style w:type="paragraph" w:customStyle="1" w:styleId="Title3">
    <w:name w:val="Title 3"/>
    <w:basedOn w:val="Title2"/>
    <w:next w:val="Title4"/>
    <w:rsid w:val="003201BA"/>
    <w:rPr>
      <w:caps w:val="0"/>
    </w:rPr>
  </w:style>
  <w:style w:type="paragraph" w:customStyle="1" w:styleId="Title4">
    <w:name w:val="Title 4"/>
    <w:basedOn w:val="Title3"/>
    <w:next w:val="Heading1"/>
    <w:rsid w:val="003201BA"/>
    <w:rPr>
      <w:b/>
    </w:rPr>
  </w:style>
  <w:style w:type="paragraph" w:customStyle="1" w:styleId="Formal">
    <w:name w:val="Formal"/>
    <w:basedOn w:val="ASN1"/>
    <w:rsid w:val="003201BA"/>
    <w:rPr>
      <w:b w:val="0"/>
    </w:rPr>
  </w:style>
  <w:style w:type="paragraph" w:customStyle="1" w:styleId="Docnumber">
    <w:name w:val="Docnumber"/>
    <w:basedOn w:val="Normal"/>
    <w:link w:val="DocnumberChar"/>
    <w:qFormat/>
    <w:rsid w:val="003201BA"/>
    <w:pPr>
      <w:jc w:val="right"/>
    </w:pPr>
    <w:rPr>
      <w:rFonts w:eastAsia="Times New Roman"/>
      <w:b/>
      <w:bCs/>
      <w:sz w:val="40"/>
    </w:rPr>
  </w:style>
  <w:style w:type="character" w:customStyle="1" w:styleId="DocnumberChar">
    <w:name w:val="Docnumber Char"/>
    <w:basedOn w:val="DefaultParagraphFont"/>
    <w:link w:val="Docnumber"/>
    <w:rsid w:val="003201BA"/>
    <w:rPr>
      <w:rFonts w:eastAsia="Times New Roman"/>
      <w:b/>
      <w:bCs/>
      <w:sz w:val="40"/>
      <w:lang w:val="en-GB"/>
    </w:rPr>
  </w:style>
  <w:style w:type="paragraph" w:styleId="TableofFigures">
    <w:name w:val="table of figures"/>
    <w:basedOn w:val="Normal"/>
    <w:next w:val="Normal"/>
    <w:uiPriority w:val="99"/>
    <w:qFormat/>
    <w:rsid w:val="00FF57DA"/>
    <w:pPr>
      <w:tabs>
        <w:tab w:val="right" w:leader="dot" w:pos="9639"/>
      </w:tabs>
    </w:pPr>
    <w:rPr>
      <w:rFonts w:eastAsia="MS Mincho"/>
    </w:rPr>
  </w:style>
  <w:style w:type="paragraph" w:styleId="Header">
    <w:name w:val="header"/>
    <w:basedOn w:val="Normal"/>
    <w:link w:val="HeaderChar"/>
    <w:rsid w:val="003201B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201BA"/>
    <w:rPr>
      <w:rFonts w:eastAsiaTheme="minorEastAsia"/>
      <w:sz w:val="18"/>
      <w:lang w:val="en-GB"/>
    </w:rPr>
  </w:style>
  <w:style w:type="character" w:customStyle="1" w:styleId="ReftextArial9pt">
    <w:name w:val="Ref_text Arial 9 pt"/>
    <w:qFormat/>
    <w:rsid w:val="00FF57DA"/>
    <w:rPr>
      <w:rFonts w:ascii="Arial" w:hAnsi="Arial" w:cs="Arial"/>
      <w:sz w:val="18"/>
      <w:szCs w:val="18"/>
    </w:rPr>
  </w:style>
  <w:style w:type="paragraph" w:customStyle="1" w:styleId="LSForAction">
    <w:name w:val="LSForAction"/>
    <w:basedOn w:val="LSTitle"/>
    <w:next w:val="Normal"/>
    <w:qFormat/>
    <w:rsid w:val="00CB588D"/>
    <w:rPr>
      <w:rFonts w:eastAsia="Times New Roman"/>
      <w:bCs w:val="0"/>
    </w:rPr>
  </w:style>
  <w:style w:type="paragraph" w:customStyle="1" w:styleId="LSForComment">
    <w:name w:val="LSForComment"/>
    <w:basedOn w:val="LSTitle"/>
    <w:next w:val="Normal"/>
    <w:qFormat/>
    <w:rsid w:val="00CB588D"/>
  </w:style>
  <w:style w:type="paragraph" w:customStyle="1" w:styleId="LSForInfo">
    <w:name w:val="LSForInfo"/>
    <w:basedOn w:val="LSTitle"/>
    <w:next w:val="Normal"/>
    <w:qFormat/>
    <w:rsid w:val="00CB588D"/>
  </w:style>
  <w:style w:type="character" w:styleId="PlaceholderText">
    <w:name w:val="Placeholder Text"/>
    <w:uiPriority w:val="99"/>
    <w:semiHidden/>
    <w:qFormat/>
    <w:rsid w:val="00E03557"/>
    <w:rPr>
      <w:rFonts w:ascii="Times New Roman" w:hAnsi="Times New Roman"/>
      <w:color w:val="808080"/>
    </w:rPr>
  </w:style>
  <w:style w:type="paragraph" w:customStyle="1" w:styleId="enumlev1">
    <w:name w:val="enumlev1"/>
    <w:basedOn w:val="Normal"/>
    <w:rsid w:val="003201BA"/>
    <w:pPr>
      <w:spacing w:before="80"/>
      <w:ind w:left="794" w:hanging="794"/>
    </w:pPr>
  </w:style>
  <w:style w:type="paragraph" w:styleId="Caption">
    <w:name w:val="caption"/>
    <w:aliases w:val="cap"/>
    <w:basedOn w:val="Normal"/>
    <w:next w:val="Normal"/>
    <w:unhideWhenUsed/>
    <w:qFormat/>
    <w:rsid w:val="003201BA"/>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Footer">
    <w:name w:val="footer"/>
    <w:basedOn w:val="Normal"/>
    <w:link w:val="FooterChar"/>
    <w:rsid w:val="003201B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3201BA"/>
    <w:rPr>
      <w:rFonts w:eastAsiaTheme="minorEastAsia"/>
      <w:caps/>
      <w:noProof/>
      <w:sz w:val="16"/>
      <w:lang w:val="en-GB"/>
    </w:rPr>
  </w:style>
  <w:style w:type="paragraph" w:styleId="FootnoteText">
    <w:name w:val="footnote text"/>
    <w:basedOn w:val="Note"/>
    <w:link w:val="FootnoteTextChar"/>
    <w:semiHidden/>
    <w:rsid w:val="003201BA"/>
    <w:pPr>
      <w:keepLines/>
      <w:tabs>
        <w:tab w:val="left" w:pos="255"/>
      </w:tabs>
      <w:ind w:left="255" w:hanging="255"/>
    </w:pPr>
  </w:style>
  <w:style w:type="character" w:customStyle="1" w:styleId="FootnoteTextChar">
    <w:name w:val="Footnote Text Char"/>
    <w:basedOn w:val="DefaultParagraphFont"/>
    <w:link w:val="FootnoteText"/>
    <w:semiHidden/>
    <w:rsid w:val="003201BA"/>
    <w:rPr>
      <w:rFonts w:eastAsiaTheme="minorEastAsia"/>
      <w:sz w:val="22"/>
      <w:lang w:val="en-GB"/>
    </w:rPr>
  </w:style>
  <w:style w:type="character" w:styleId="FootnoteReference">
    <w:name w:val="footnote reference"/>
    <w:basedOn w:val="DefaultParagraphFont"/>
    <w:semiHidden/>
    <w:rsid w:val="003201BA"/>
    <w:rPr>
      <w:position w:val="6"/>
      <w:sz w:val="18"/>
    </w:rPr>
  </w:style>
  <w:style w:type="paragraph" w:styleId="BalloonText">
    <w:name w:val="Balloon Text"/>
    <w:basedOn w:val="Normal"/>
    <w:link w:val="BalloonTextChar"/>
    <w:semiHidden/>
    <w:unhideWhenUsed/>
    <w:rsid w:val="003201BA"/>
    <w:pPr>
      <w:spacing w:before="0"/>
    </w:pPr>
    <w:rPr>
      <w:sz w:val="18"/>
      <w:szCs w:val="18"/>
    </w:rPr>
  </w:style>
  <w:style w:type="character" w:customStyle="1" w:styleId="BalloonTextChar">
    <w:name w:val="Balloon Text Char"/>
    <w:basedOn w:val="DefaultParagraphFont"/>
    <w:link w:val="BalloonText"/>
    <w:semiHidden/>
    <w:rsid w:val="003201BA"/>
    <w:rPr>
      <w:rFonts w:eastAsiaTheme="minorEastAsia"/>
      <w:sz w:val="18"/>
      <w:szCs w:val="18"/>
      <w:lang w:val="en-GB"/>
    </w:rPr>
  </w:style>
  <w:style w:type="paragraph" w:styleId="Bibliography">
    <w:name w:val="Bibliography"/>
    <w:basedOn w:val="Normal"/>
    <w:next w:val="Normal"/>
    <w:uiPriority w:val="37"/>
    <w:semiHidden/>
    <w:unhideWhenUsed/>
    <w:qFormat/>
    <w:rsid w:val="007B7733"/>
  </w:style>
  <w:style w:type="paragraph" w:styleId="BlockText">
    <w:name w:val="Block Text"/>
    <w:basedOn w:val="Normal"/>
    <w:uiPriority w:val="99"/>
    <w:semiHidden/>
    <w:unhideWhenUsed/>
    <w:qFormat/>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1"/>
    <w:qFormat/>
    <w:rsid w:val="003201B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3201BA"/>
    <w:rPr>
      <w:rFonts w:ascii="Avenir Next W1G Medium" w:eastAsia="Avenir Next W1G Medium" w:hAnsi="Avenir Next W1G Medium" w:cs="Avenir Next W1G Medium"/>
      <w:b/>
      <w:bCs/>
      <w:sz w:val="48"/>
      <w:szCs w:val="48"/>
    </w:rPr>
  </w:style>
  <w:style w:type="paragraph" w:styleId="BodyText2">
    <w:name w:val="Body Text 2"/>
    <w:basedOn w:val="Normal"/>
    <w:link w:val="BodyText2Char"/>
    <w:uiPriority w:val="99"/>
    <w:semiHidden/>
    <w:unhideWhenUsed/>
    <w:qFormat/>
    <w:rsid w:val="007B7733"/>
    <w:pPr>
      <w:spacing w:after="120" w:line="480" w:lineRule="auto"/>
    </w:pPr>
  </w:style>
  <w:style w:type="character" w:customStyle="1" w:styleId="BodyText2Char">
    <w:name w:val="Body Text 2 Char"/>
    <w:basedOn w:val="DefaultParagraphFont"/>
    <w:link w:val="BodyText2"/>
    <w:uiPriority w:val="99"/>
    <w:semiHidden/>
    <w:qFormat/>
    <w:rsid w:val="007B7733"/>
    <w:rPr>
      <w:rFonts w:eastAsiaTheme="minorHAnsi"/>
      <w:sz w:val="24"/>
      <w:szCs w:val="24"/>
      <w:lang w:val="en-GB" w:eastAsia="ja-JP"/>
    </w:rPr>
  </w:style>
  <w:style w:type="paragraph" w:styleId="BodyText3">
    <w:name w:val="Body Text 3"/>
    <w:basedOn w:val="Normal"/>
    <w:link w:val="BodyText3Char"/>
    <w:uiPriority w:val="99"/>
    <w:semiHidden/>
    <w:unhideWhenUsed/>
    <w:qFormat/>
    <w:rsid w:val="007B7733"/>
    <w:pPr>
      <w:spacing w:after="120"/>
    </w:pPr>
    <w:rPr>
      <w:sz w:val="16"/>
      <w:szCs w:val="16"/>
    </w:rPr>
  </w:style>
  <w:style w:type="character" w:customStyle="1" w:styleId="BodyText3Char">
    <w:name w:val="Body Text 3 Char"/>
    <w:basedOn w:val="DefaultParagraphFont"/>
    <w:link w:val="BodyText3"/>
    <w:uiPriority w:val="99"/>
    <w:semiHidden/>
    <w:qFormat/>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ind w:firstLine="360"/>
    </w:pPr>
  </w:style>
  <w:style w:type="character" w:customStyle="1" w:styleId="BodyTextFirstIndentChar">
    <w:name w:val="Body Text First Indent Char"/>
    <w:basedOn w:val="BodyTextChar"/>
    <w:link w:val="BodyTextFirstIndent"/>
    <w:uiPriority w:val="99"/>
    <w:semiHidden/>
    <w:qFormat/>
    <w:rsid w:val="007B7733"/>
    <w:rPr>
      <w:rFonts w:ascii="Avenir Next W1G Medium" w:eastAsiaTheme="minorHAnsi" w:hAnsi="Avenir Next W1G Medium" w:cs="Avenir Next W1G Medium"/>
      <w:b/>
      <w:bCs/>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qFormat/>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qFormat/>
    <w:rsid w:val="007B7733"/>
    <w:pPr>
      <w:spacing w:after="0"/>
      <w:ind w:firstLine="360"/>
    </w:pPr>
  </w:style>
  <w:style w:type="character" w:customStyle="1" w:styleId="BodyTextFirstIndent2Char">
    <w:name w:val="Body Text First Indent 2 Char"/>
    <w:basedOn w:val="BodyTextIndentChar"/>
    <w:link w:val="BodyTextFirstIndent2"/>
    <w:uiPriority w:val="99"/>
    <w:semiHidden/>
    <w:qFormat/>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qFormat/>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qFormat/>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qFormat/>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qFormat/>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qFormat/>
    <w:rsid w:val="007B7733"/>
    <w:pPr>
      <w:spacing w:before="0"/>
      <w:ind w:left="4320"/>
    </w:pPr>
  </w:style>
  <w:style w:type="character" w:customStyle="1" w:styleId="ClosingChar">
    <w:name w:val="Closing Char"/>
    <w:basedOn w:val="DefaultParagraphFont"/>
    <w:link w:val="Closing"/>
    <w:uiPriority w:val="99"/>
    <w:semiHidden/>
    <w:qFormat/>
    <w:rsid w:val="007B7733"/>
    <w:rPr>
      <w:rFonts w:eastAsiaTheme="minorHAnsi"/>
      <w:sz w:val="24"/>
      <w:szCs w:val="24"/>
      <w:lang w:val="en-GB" w:eastAsia="ja-JP"/>
    </w:rPr>
  </w:style>
  <w:style w:type="character" w:styleId="CommentReference">
    <w:name w:val="annotation reference"/>
    <w:basedOn w:val="DefaultParagraphFont"/>
    <w:qFormat/>
    <w:rsid w:val="003201BA"/>
    <w:rPr>
      <w:sz w:val="16"/>
      <w:szCs w:val="16"/>
    </w:rPr>
  </w:style>
  <w:style w:type="paragraph" w:styleId="CommentText">
    <w:name w:val="annotation text"/>
    <w:basedOn w:val="Normal"/>
    <w:link w:val="CommentTextChar"/>
    <w:qFormat/>
    <w:rsid w:val="003201B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3201BA"/>
    <w:rPr>
      <w:rFonts w:eastAsiaTheme="minorEastAsia"/>
    </w:rPr>
  </w:style>
  <w:style w:type="paragraph" w:styleId="CommentSubject">
    <w:name w:val="annotation subject"/>
    <w:basedOn w:val="CommentText"/>
    <w:next w:val="CommentText"/>
    <w:link w:val="CommentSubjectChar"/>
    <w:semiHidden/>
    <w:unhideWhenUsed/>
    <w:rsid w:val="003201BA"/>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3201BA"/>
    <w:rPr>
      <w:rFonts w:eastAsiaTheme="minorEastAsia"/>
      <w:b/>
      <w:bCs/>
      <w:sz w:val="24"/>
      <w:lang w:val="en-GB"/>
    </w:rPr>
  </w:style>
  <w:style w:type="paragraph" w:styleId="Date">
    <w:name w:val="Date"/>
    <w:basedOn w:val="Normal"/>
    <w:next w:val="Normal"/>
    <w:link w:val="DateChar"/>
    <w:uiPriority w:val="99"/>
    <w:semiHidden/>
    <w:unhideWhenUsed/>
    <w:qFormat/>
    <w:rsid w:val="007B7733"/>
  </w:style>
  <w:style w:type="character" w:customStyle="1" w:styleId="DateChar">
    <w:name w:val="Date Char"/>
    <w:basedOn w:val="DefaultParagraphFont"/>
    <w:link w:val="Date"/>
    <w:uiPriority w:val="99"/>
    <w:semiHidden/>
    <w:qFormat/>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qFormat/>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qFormat/>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qFormat/>
    <w:rsid w:val="007B7733"/>
    <w:pPr>
      <w:spacing w:before="0"/>
    </w:pPr>
  </w:style>
  <w:style w:type="character" w:customStyle="1" w:styleId="E-mailSignatureChar">
    <w:name w:val="E-mail Signature Char"/>
    <w:basedOn w:val="DefaultParagraphFont"/>
    <w:link w:val="E-mailSignature"/>
    <w:uiPriority w:val="99"/>
    <w:semiHidden/>
    <w:qFormat/>
    <w:rsid w:val="007B7733"/>
    <w:rPr>
      <w:rFonts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Reference">
    <w:name w:val="endnote reference"/>
    <w:basedOn w:val="DefaultParagraphFont"/>
    <w:rsid w:val="003201BA"/>
    <w:rPr>
      <w:vertAlign w:val="superscript"/>
    </w:rPr>
  </w:style>
  <w:style w:type="paragraph" w:styleId="EndnoteText">
    <w:name w:val="endnote text"/>
    <w:basedOn w:val="Normal"/>
    <w:link w:val="EndnoteTextChar"/>
    <w:rsid w:val="003201BA"/>
    <w:pPr>
      <w:spacing w:before="0"/>
    </w:pPr>
    <w:rPr>
      <w:sz w:val="20"/>
    </w:rPr>
  </w:style>
  <w:style w:type="character" w:customStyle="1" w:styleId="EndnoteTextChar">
    <w:name w:val="Endnote Text Char"/>
    <w:basedOn w:val="DefaultParagraphFont"/>
    <w:link w:val="EndnoteText"/>
    <w:rsid w:val="003201BA"/>
    <w:rPr>
      <w:rFonts w:eastAsiaTheme="minorEastAsia"/>
      <w:lang w:val="en-GB"/>
    </w:rPr>
  </w:style>
  <w:style w:type="paragraph" w:styleId="EnvelopeAddress">
    <w:name w:val="envelope address"/>
    <w:basedOn w:val="Normal"/>
    <w:uiPriority w:val="99"/>
    <w:semiHidden/>
    <w:unhideWhenUsed/>
    <w:qFormat/>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7B7733"/>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qFormat/>
    <w:rsid w:val="007B7733"/>
    <w:rPr>
      <w:color w:val="2B579A"/>
      <w:shd w:val="clear" w:color="auto" w:fill="E6E6E6"/>
    </w:rPr>
  </w:style>
  <w:style w:type="character" w:styleId="HTMLAcronym">
    <w:name w:val="HTML Acronym"/>
    <w:basedOn w:val="DefaultParagraphFont"/>
    <w:uiPriority w:val="99"/>
    <w:semiHidden/>
    <w:unhideWhenUsed/>
    <w:qFormat/>
    <w:rsid w:val="007B7733"/>
  </w:style>
  <w:style w:type="paragraph" w:styleId="HTMLAddress">
    <w:name w:val="HTML Address"/>
    <w:basedOn w:val="Normal"/>
    <w:link w:val="HTMLAddressChar"/>
    <w:uiPriority w:val="99"/>
    <w:semiHidden/>
    <w:unhideWhenUsed/>
    <w:qFormat/>
    <w:rsid w:val="007B7733"/>
    <w:pPr>
      <w:spacing w:before="0"/>
    </w:pPr>
    <w:rPr>
      <w:i/>
      <w:iCs/>
    </w:rPr>
  </w:style>
  <w:style w:type="character" w:customStyle="1" w:styleId="HTMLAddressChar">
    <w:name w:val="HTML Address Char"/>
    <w:basedOn w:val="DefaultParagraphFont"/>
    <w:link w:val="HTMLAddress"/>
    <w:uiPriority w:val="99"/>
    <w:semiHidden/>
    <w:qFormat/>
    <w:rsid w:val="007B7733"/>
    <w:rPr>
      <w:rFonts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paragraph" w:styleId="HTMLPreformatted">
    <w:name w:val="HTML Preformatted"/>
    <w:basedOn w:val="Normal"/>
    <w:link w:val="HTMLPreformattedChar"/>
    <w:uiPriority w:val="99"/>
    <w:semiHidden/>
    <w:unhideWhenUsed/>
    <w:qFormat/>
    <w:rsid w:val="007B7733"/>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qFormat/>
    <w:rsid w:val="007B7733"/>
    <w:rPr>
      <w:rFonts w:ascii="Consolas" w:eastAsiaTheme="minorHAnsi" w:hAnsi="Consolas"/>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paragraph" w:styleId="Index1">
    <w:name w:val="index 1"/>
    <w:basedOn w:val="Normal"/>
    <w:next w:val="Normal"/>
    <w:semiHidden/>
    <w:rsid w:val="003201BA"/>
    <w:pPr>
      <w:jc w:val="left"/>
    </w:pPr>
  </w:style>
  <w:style w:type="paragraph" w:styleId="Index2">
    <w:name w:val="index 2"/>
    <w:basedOn w:val="Normal"/>
    <w:next w:val="Normal"/>
    <w:semiHidden/>
    <w:rsid w:val="003201BA"/>
    <w:pPr>
      <w:ind w:left="284"/>
      <w:jc w:val="left"/>
    </w:pPr>
  </w:style>
  <w:style w:type="paragraph" w:styleId="Index3">
    <w:name w:val="index 3"/>
    <w:basedOn w:val="Normal"/>
    <w:next w:val="Normal"/>
    <w:semiHidden/>
    <w:rsid w:val="003201BA"/>
    <w:pPr>
      <w:ind w:left="567"/>
      <w:jc w:val="left"/>
    </w:pPr>
  </w:style>
  <w:style w:type="paragraph" w:styleId="Index4">
    <w:name w:val="index 4"/>
    <w:basedOn w:val="Normal"/>
    <w:next w:val="Normal"/>
    <w:autoRedefine/>
    <w:uiPriority w:val="99"/>
    <w:semiHidden/>
    <w:unhideWhenUsed/>
    <w:qFormat/>
    <w:rsid w:val="007B7733"/>
    <w:pPr>
      <w:spacing w:before="0"/>
      <w:ind w:left="960" w:hanging="240"/>
    </w:pPr>
  </w:style>
  <w:style w:type="paragraph" w:styleId="Index5">
    <w:name w:val="index 5"/>
    <w:basedOn w:val="Normal"/>
    <w:next w:val="Normal"/>
    <w:autoRedefine/>
    <w:uiPriority w:val="99"/>
    <w:semiHidden/>
    <w:unhideWhenUsed/>
    <w:qFormat/>
    <w:rsid w:val="007B7733"/>
    <w:pPr>
      <w:spacing w:before="0"/>
      <w:ind w:left="1200" w:hanging="240"/>
    </w:pPr>
  </w:style>
  <w:style w:type="paragraph" w:styleId="Index6">
    <w:name w:val="index 6"/>
    <w:basedOn w:val="Normal"/>
    <w:next w:val="Normal"/>
    <w:autoRedefine/>
    <w:uiPriority w:val="99"/>
    <w:semiHidden/>
    <w:unhideWhenUsed/>
    <w:qFormat/>
    <w:rsid w:val="007B7733"/>
    <w:pPr>
      <w:spacing w:before="0"/>
      <w:ind w:left="1440" w:hanging="240"/>
    </w:pPr>
  </w:style>
  <w:style w:type="paragraph" w:styleId="Index7">
    <w:name w:val="index 7"/>
    <w:basedOn w:val="Normal"/>
    <w:next w:val="Normal"/>
    <w:autoRedefine/>
    <w:uiPriority w:val="99"/>
    <w:semiHidden/>
    <w:unhideWhenUsed/>
    <w:qFormat/>
    <w:rsid w:val="007B7733"/>
    <w:pPr>
      <w:spacing w:before="0"/>
      <w:ind w:left="1680" w:hanging="240"/>
    </w:pPr>
  </w:style>
  <w:style w:type="paragraph" w:styleId="Index8">
    <w:name w:val="index 8"/>
    <w:basedOn w:val="Normal"/>
    <w:next w:val="Normal"/>
    <w:autoRedefine/>
    <w:uiPriority w:val="99"/>
    <w:semiHidden/>
    <w:unhideWhenUsed/>
    <w:qFormat/>
    <w:rsid w:val="007B7733"/>
    <w:pPr>
      <w:spacing w:before="0"/>
      <w:ind w:left="1920" w:hanging="240"/>
    </w:pPr>
  </w:style>
  <w:style w:type="paragraph" w:styleId="Index9">
    <w:name w:val="index 9"/>
    <w:basedOn w:val="Normal"/>
    <w:next w:val="Normal"/>
    <w:autoRedefine/>
    <w:uiPriority w:val="99"/>
    <w:semiHidden/>
    <w:unhideWhenUsed/>
    <w:qFormat/>
    <w:rsid w:val="007B7733"/>
    <w:pPr>
      <w:spacing w:before="0"/>
      <w:ind w:left="2160" w:hanging="240"/>
    </w:pPr>
  </w:style>
  <w:style w:type="paragraph" w:styleId="IndexHeading">
    <w:name w:val="index heading"/>
    <w:basedOn w:val="Normal"/>
    <w:next w:val="Index1"/>
    <w:uiPriority w:val="99"/>
    <w:semiHidden/>
    <w:unhideWhenUsed/>
    <w:qFormat/>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qFormat/>
    <w:rsid w:val="007B7733"/>
    <w:pPr>
      <w:numPr>
        <w:numId w:val="11"/>
      </w:numPr>
      <w:contextualSpacing/>
    </w:pPr>
  </w:style>
  <w:style w:type="paragraph" w:styleId="ListBullet2">
    <w:name w:val="List Bullet 2"/>
    <w:basedOn w:val="Normal"/>
    <w:uiPriority w:val="99"/>
    <w:semiHidden/>
    <w:unhideWhenUsed/>
    <w:qFormat/>
    <w:rsid w:val="007B7733"/>
    <w:pPr>
      <w:numPr>
        <w:numId w:val="12"/>
      </w:numPr>
      <w:contextualSpacing/>
    </w:pPr>
  </w:style>
  <w:style w:type="paragraph" w:styleId="ListBullet3">
    <w:name w:val="List Bullet 3"/>
    <w:basedOn w:val="Normal"/>
    <w:uiPriority w:val="99"/>
    <w:semiHidden/>
    <w:unhideWhenUsed/>
    <w:qFormat/>
    <w:rsid w:val="007B7733"/>
    <w:pPr>
      <w:numPr>
        <w:numId w:val="13"/>
      </w:numPr>
      <w:contextualSpacing/>
    </w:pPr>
  </w:style>
  <w:style w:type="paragraph" w:styleId="ListBullet4">
    <w:name w:val="List Bullet 4"/>
    <w:basedOn w:val="Normal"/>
    <w:uiPriority w:val="99"/>
    <w:semiHidden/>
    <w:unhideWhenUsed/>
    <w:qFormat/>
    <w:rsid w:val="007B7733"/>
    <w:pPr>
      <w:numPr>
        <w:numId w:val="14"/>
      </w:numPr>
      <w:contextualSpacing/>
    </w:pPr>
  </w:style>
  <w:style w:type="paragraph" w:styleId="ListBullet5">
    <w:name w:val="List Bullet 5"/>
    <w:basedOn w:val="Normal"/>
    <w:uiPriority w:val="99"/>
    <w:semiHidden/>
    <w:unhideWhenUsed/>
    <w:qFormat/>
    <w:rsid w:val="007B7733"/>
    <w:pPr>
      <w:numPr>
        <w:numId w:val="15"/>
      </w:numPr>
      <w:contextualSpacing/>
    </w:pPr>
  </w:style>
  <w:style w:type="paragraph" w:styleId="ListContinue">
    <w:name w:val="List Continue"/>
    <w:basedOn w:val="Normal"/>
    <w:uiPriority w:val="99"/>
    <w:semiHidden/>
    <w:unhideWhenUsed/>
    <w:qFormat/>
    <w:rsid w:val="007B7733"/>
    <w:pPr>
      <w:spacing w:after="120"/>
      <w:ind w:left="360"/>
      <w:contextualSpacing/>
    </w:pPr>
  </w:style>
  <w:style w:type="paragraph" w:styleId="ListContinue2">
    <w:name w:val="List Continue 2"/>
    <w:basedOn w:val="Normal"/>
    <w:uiPriority w:val="99"/>
    <w:semiHidden/>
    <w:unhideWhenUsed/>
    <w:qFormat/>
    <w:rsid w:val="007B7733"/>
    <w:pPr>
      <w:spacing w:after="120"/>
      <w:ind w:left="720"/>
      <w:contextualSpacing/>
    </w:pPr>
  </w:style>
  <w:style w:type="paragraph" w:styleId="ListContinue3">
    <w:name w:val="List Continue 3"/>
    <w:basedOn w:val="Normal"/>
    <w:uiPriority w:val="99"/>
    <w:semiHidden/>
    <w:unhideWhenUsed/>
    <w:qFormat/>
    <w:rsid w:val="007B7733"/>
    <w:pPr>
      <w:spacing w:after="120"/>
      <w:ind w:left="1080"/>
      <w:contextualSpacing/>
    </w:pPr>
  </w:style>
  <w:style w:type="paragraph" w:styleId="ListContinue4">
    <w:name w:val="List Continue 4"/>
    <w:basedOn w:val="Normal"/>
    <w:uiPriority w:val="99"/>
    <w:semiHidden/>
    <w:unhideWhenUsed/>
    <w:qFormat/>
    <w:rsid w:val="007B7733"/>
    <w:pPr>
      <w:spacing w:after="120"/>
      <w:ind w:left="1440"/>
      <w:contextualSpacing/>
    </w:pPr>
  </w:style>
  <w:style w:type="paragraph" w:styleId="ListContinue5">
    <w:name w:val="List Continue 5"/>
    <w:basedOn w:val="Normal"/>
    <w:uiPriority w:val="99"/>
    <w:semiHidden/>
    <w:unhideWhenUsed/>
    <w:qFormat/>
    <w:rsid w:val="007B7733"/>
    <w:pPr>
      <w:spacing w:after="120"/>
      <w:ind w:left="1800"/>
      <w:contextualSpacing/>
    </w:pPr>
  </w:style>
  <w:style w:type="paragraph" w:styleId="ListNumber">
    <w:name w:val="List Number"/>
    <w:basedOn w:val="Normal"/>
    <w:uiPriority w:val="99"/>
    <w:semiHidden/>
    <w:unhideWhenUsed/>
    <w:qFormat/>
    <w:rsid w:val="007B7733"/>
    <w:pPr>
      <w:numPr>
        <w:numId w:val="16"/>
      </w:numPr>
      <w:contextualSpacing/>
    </w:pPr>
  </w:style>
  <w:style w:type="paragraph" w:styleId="ListNumber2">
    <w:name w:val="List Number 2"/>
    <w:basedOn w:val="Normal"/>
    <w:uiPriority w:val="99"/>
    <w:semiHidden/>
    <w:unhideWhenUsed/>
    <w:qFormat/>
    <w:rsid w:val="007B7733"/>
    <w:pPr>
      <w:numPr>
        <w:numId w:val="17"/>
      </w:numPr>
      <w:contextualSpacing/>
    </w:pPr>
  </w:style>
  <w:style w:type="paragraph" w:styleId="ListNumber3">
    <w:name w:val="List Number 3"/>
    <w:basedOn w:val="Normal"/>
    <w:uiPriority w:val="99"/>
    <w:semiHidden/>
    <w:unhideWhenUsed/>
    <w:qFormat/>
    <w:rsid w:val="007B7733"/>
    <w:pPr>
      <w:numPr>
        <w:numId w:val="18"/>
      </w:numPr>
      <w:contextualSpacing/>
    </w:pPr>
  </w:style>
  <w:style w:type="paragraph" w:styleId="ListNumber4">
    <w:name w:val="List Number 4"/>
    <w:basedOn w:val="Normal"/>
    <w:uiPriority w:val="99"/>
    <w:semiHidden/>
    <w:unhideWhenUsed/>
    <w:qFormat/>
    <w:rsid w:val="007B7733"/>
    <w:pPr>
      <w:numPr>
        <w:numId w:val="19"/>
      </w:numPr>
      <w:contextualSpacing/>
    </w:pPr>
  </w:style>
  <w:style w:type="paragraph" w:styleId="ListNumber5">
    <w:name w:val="List Number 5"/>
    <w:basedOn w:val="Normal"/>
    <w:uiPriority w:val="99"/>
    <w:semiHidden/>
    <w:unhideWhenUsed/>
    <w:qFormat/>
    <w:rsid w:val="007B7733"/>
    <w:pPr>
      <w:numPr>
        <w:numId w:val="20"/>
      </w:numPr>
      <w:contextualSpacing/>
    </w:pPr>
  </w:style>
  <w:style w:type="paragraph" w:styleId="ListParagraph">
    <w:name w:val="List Paragraph"/>
    <w:basedOn w:val="Normal"/>
    <w:link w:val="ListParagraphChar"/>
    <w:uiPriority w:val="34"/>
    <w:qFormat/>
    <w:rsid w:val="003201BA"/>
    <w:pPr>
      <w:ind w:left="720"/>
      <w:contextualSpacing/>
    </w:pPr>
  </w:style>
  <w:style w:type="paragraph" w:styleId="MacroText">
    <w:name w:val="macro"/>
    <w:link w:val="MacroTextChar"/>
    <w:uiPriority w:val="99"/>
    <w:semiHidden/>
    <w:unhideWhenUsed/>
    <w:qFormat/>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qFormat/>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qFormat/>
    <w:rsid w:val="007B7733"/>
    <w:rPr>
      <w:color w:val="2B579A"/>
      <w:shd w:val="clear" w:color="auto" w:fill="E6E6E6"/>
    </w:rPr>
  </w:style>
  <w:style w:type="paragraph" w:styleId="MessageHeader">
    <w:name w:val="Message Header"/>
    <w:basedOn w:val="Normal"/>
    <w:link w:val="MessageHeaderChar"/>
    <w:uiPriority w:val="99"/>
    <w:semiHidden/>
    <w:unhideWhenUsed/>
    <w:qFormat/>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qFormat/>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qFormat/>
    <w:rsid w:val="007B7733"/>
    <w:pPr>
      <w:ind w:left="720"/>
    </w:pPr>
  </w:style>
  <w:style w:type="paragraph" w:styleId="NoteHeading">
    <w:name w:val="Note Heading"/>
    <w:basedOn w:val="Normal"/>
    <w:next w:val="Normal"/>
    <w:link w:val="NoteHeadingChar"/>
    <w:uiPriority w:val="99"/>
    <w:semiHidden/>
    <w:unhideWhenUsed/>
    <w:qFormat/>
    <w:rsid w:val="007B7733"/>
    <w:pPr>
      <w:spacing w:before="0"/>
    </w:pPr>
  </w:style>
  <w:style w:type="character" w:customStyle="1" w:styleId="NoteHeadingChar">
    <w:name w:val="Note Heading Char"/>
    <w:basedOn w:val="DefaultParagraphFont"/>
    <w:link w:val="NoteHeading"/>
    <w:uiPriority w:val="99"/>
    <w:semiHidden/>
    <w:qFormat/>
    <w:rsid w:val="007B7733"/>
    <w:rPr>
      <w:rFonts w:eastAsiaTheme="minorHAnsi"/>
      <w:sz w:val="24"/>
      <w:szCs w:val="24"/>
      <w:lang w:val="en-GB" w:eastAsia="ja-JP"/>
    </w:rPr>
  </w:style>
  <w:style w:type="character" w:styleId="PageNumber">
    <w:name w:val="page number"/>
    <w:basedOn w:val="DefaultParagraphFont"/>
    <w:rsid w:val="003201BA"/>
  </w:style>
  <w:style w:type="paragraph" w:styleId="PlainText">
    <w:name w:val="Plain Text"/>
    <w:basedOn w:val="Normal"/>
    <w:link w:val="PlainTextChar"/>
    <w:uiPriority w:val="99"/>
    <w:semiHidden/>
    <w:unhideWhenUsed/>
    <w:qFormat/>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qFormat/>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qFormat/>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qFormat/>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qFormat/>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qFormat/>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qFormat/>
    <w:rsid w:val="007B7733"/>
    <w:rPr>
      <w:rFonts w:asciiTheme="majorHAnsi" w:eastAsiaTheme="majorEastAsia" w:hAnsiTheme="majorHAnsi" w:cstheme="majorBidi"/>
      <w:b/>
      <w:bCs/>
    </w:rPr>
  </w:style>
  <w:style w:type="paragraph" w:styleId="TOC4">
    <w:name w:val="toc 4"/>
    <w:basedOn w:val="TOC3"/>
    <w:semiHidden/>
    <w:rsid w:val="003201BA"/>
  </w:style>
  <w:style w:type="paragraph" w:styleId="TOC5">
    <w:name w:val="toc 5"/>
    <w:basedOn w:val="TOC4"/>
    <w:semiHidden/>
    <w:rsid w:val="003201BA"/>
  </w:style>
  <w:style w:type="paragraph" w:styleId="TOC6">
    <w:name w:val="toc 6"/>
    <w:basedOn w:val="TOC4"/>
    <w:semiHidden/>
    <w:rsid w:val="003201BA"/>
  </w:style>
  <w:style w:type="paragraph" w:styleId="TOC7">
    <w:name w:val="toc 7"/>
    <w:basedOn w:val="TOC4"/>
    <w:semiHidden/>
    <w:rsid w:val="003201BA"/>
  </w:style>
  <w:style w:type="paragraph" w:styleId="TOC8">
    <w:name w:val="toc 8"/>
    <w:basedOn w:val="TOC4"/>
    <w:semiHidden/>
    <w:rsid w:val="003201BA"/>
  </w:style>
  <w:style w:type="paragraph" w:styleId="TOC9">
    <w:name w:val="toc 9"/>
    <w:basedOn w:val="TOC3"/>
    <w:semiHidden/>
    <w:rsid w:val="003201BA"/>
  </w:style>
  <w:style w:type="paragraph" w:styleId="TOCHeading">
    <w:name w:val="TOC Heading"/>
    <w:basedOn w:val="Heading1"/>
    <w:next w:val="Normal"/>
    <w:uiPriority w:val="39"/>
    <w:unhideWhenUsed/>
    <w:qFormat/>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qFormat/>
    <w:rsid w:val="007B7733"/>
    <w:rPr>
      <w:color w:val="808080"/>
      <w:shd w:val="clear" w:color="auto" w:fill="E6E6E6"/>
    </w:rPr>
  </w:style>
  <w:style w:type="paragraph" w:customStyle="1" w:styleId="DeliverableNo">
    <w:name w:val="DeliverableNo"/>
    <w:basedOn w:val="Normal"/>
    <w:qFormat/>
    <w:rsid w:val="00BC25A5"/>
    <w:pPr>
      <w:tabs>
        <w:tab w:val="right" w:pos="9639"/>
      </w:tabs>
    </w:pPr>
    <w:rPr>
      <w:rFonts w:ascii="Arial" w:hAnsi="Arial" w:cs="Arial"/>
      <w:b/>
      <w:bCs/>
      <w:sz w:val="36"/>
    </w:rPr>
  </w:style>
  <w:style w:type="paragraph" w:customStyle="1" w:styleId="DeliverableTitle">
    <w:name w:val="DeliverableTitle"/>
    <w:basedOn w:val="Normal"/>
    <w:qFormat/>
    <w:rsid w:val="00BC25A5"/>
    <w:pPr>
      <w:tabs>
        <w:tab w:val="right" w:pos="9639"/>
      </w:tabs>
    </w:pPr>
    <w:rPr>
      <w:rFonts w:ascii="Arial" w:hAnsi="Arial" w:cs="Arial"/>
      <w:b/>
      <w:bCs/>
      <w:sz w:val="36"/>
    </w:rPr>
  </w:style>
  <w:style w:type="paragraph" w:customStyle="1" w:styleId="DeliverableDate">
    <w:name w:val="DeliverableDate"/>
    <w:basedOn w:val="Normal"/>
    <w:qFormat/>
    <w:rsid w:val="00BC25A5"/>
    <w:pPr>
      <w:wordWrap w:val="0"/>
      <w:spacing w:before="284"/>
      <w:jc w:val="right"/>
    </w:pPr>
    <w:rPr>
      <w:rFonts w:ascii="Arial" w:hAnsi="Arial"/>
      <w:sz w:val="28"/>
    </w:rPr>
  </w:style>
  <w:style w:type="paragraph" w:customStyle="1" w:styleId="toc0">
    <w:name w:val="toc 0"/>
    <w:basedOn w:val="Normal"/>
    <w:next w:val="TOC1"/>
    <w:rsid w:val="003201BA"/>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3201B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3201BA"/>
    <w:pPr>
      <w:jc w:val="right"/>
    </w:pPr>
    <w:rPr>
      <w:rFonts w:eastAsia="Times New Roman"/>
      <w:b/>
      <w:bCs/>
      <w:sz w:val="28"/>
      <w:szCs w:val="28"/>
    </w:rPr>
  </w:style>
  <w:style w:type="paragraph" w:customStyle="1" w:styleId="TSBHeaderSource">
    <w:name w:val="TSBHeaderSource"/>
    <w:basedOn w:val="Normal"/>
    <w:qFormat/>
    <w:rsid w:val="003201B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rsid w:val="00FF57DA"/>
  </w:style>
  <w:style w:type="paragraph" w:customStyle="1" w:styleId="TSBHeaderTitle">
    <w:name w:val="TSBHeaderTitle"/>
    <w:basedOn w:val="Normal"/>
    <w:qFormat/>
    <w:rsid w:val="003201B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3201BA"/>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Hashtag">
    <w:name w:val="Hashtag"/>
    <w:basedOn w:val="DefaultParagraphFont"/>
    <w:uiPriority w:val="99"/>
    <w:semiHidden/>
    <w:unhideWhenUsed/>
    <w:rsid w:val="00FF57DA"/>
    <w:rPr>
      <w:color w:val="2B579A"/>
      <w:shd w:val="clear" w:color="auto" w:fill="E1DFDD"/>
    </w:rPr>
  </w:style>
  <w:style w:type="character" w:styleId="Mention">
    <w:name w:val="Mention"/>
    <w:basedOn w:val="DefaultParagraphFont"/>
    <w:uiPriority w:val="99"/>
    <w:semiHidden/>
    <w:unhideWhenUsed/>
    <w:rsid w:val="00FF57DA"/>
    <w:rPr>
      <w:color w:val="2B579A"/>
      <w:shd w:val="clear" w:color="auto" w:fill="E1DFDD"/>
    </w:rPr>
  </w:style>
  <w:style w:type="character" w:styleId="SmartHyperlink">
    <w:name w:val="Smart Hyperlink"/>
    <w:basedOn w:val="DefaultParagraphFont"/>
    <w:uiPriority w:val="99"/>
    <w:semiHidden/>
    <w:unhideWhenUsed/>
    <w:rsid w:val="00FF57DA"/>
    <w:rPr>
      <w:u w:val="dotted"/>
    </w:rPr>
  </w:style>
  <w:style w:type="character" w:styleId="SmartLink">
    <w:name w:val="Smart Link"/>
    <w:basedOn w:val="DefaultParagraphFont"/>
    <w:uiPriority w:val="99"/>
    <w:semiHidden/>
    <w:unhideWhenUsed/>
    <w:rsid w:val="00FF57DA"/>
    <w:rPr>
      <w:color w:val="0000FF"/>
      <w:u w:val="single"/>
      <w:shd w:val="clear" w:color="auto" w:fill="F3F2F1"/>
    </w:rPr>
  </w:style>
  <w:style w:type="character" w:styleId="UnresolvedMention">
    <w:name w:val="Unresolved Mention"/>
    <w:basedOn w:val="DefaultParagraphFont"/>
    <w:uiPriority w:val="99"/>
    <w:semiHidden/>
    <w:unhideWhenUsed/>
    <w:rsid w:val="003201BA"/>
    <w:rPr>
      <w:color w:val="605E5C"/>
      <w:shd w:val="clear" w:color="auto" w:fill="E1DFDD"/>
    </w:rPr>
  </w:style>
  <w:style w:type="character" w:customStyle="1" w:styleId="UnresolvedMention2">
    <w:name w:val="Unresolved Mention2"/>
    <w:basedOn w:val="DefaultParagraphFont"/>
    <w:uiPriority w:val="99"/>
    <w:semiHidden/>
    <w:unhideWhenUsed/>
    <w:rsid w:val="000F37B9"/>
    <w:rPr>
      <w:color w:val="605E5C"/>
      <w:shd w:val="clear" w:color="auto" w:fill="E1DFDD"/>
    </w:rPr>
  </w:style>
  <w:style w:type="character" w:customStyle="1" w:styleId="FootnoteCharacters">
    <w:name w:val="Footnote Characters"/>
    <w:basedOn w:val="DefaultParagraphFont"/>
    <w:uiPriority w:val="99"/>
    <w:semiHidden/>
    <w:unhideWhenUsed/>
    <w:qFormat/>
    <w:rsid w:val="000F37B9"/>
    <w:rPr>
      <w:vertAlign w:val="superscript"/>
    </w:rPr>
  </w:style>
  <w:style w:type="character" w:customStyle="1" w:styleId="FootnoteAnchor">
    <w:name w:val="Footnote Anchor"/>
    <w:rsid w:val="000F37B9"/>
    <w:rPr>
      <w:vertAlign w:val="superscript"/>
    </w:rPr>
  </w:style>
  <w:style w:type="character" w:customStyle="1" w:styleId="EndnoteCharacters">
    <w:name w:val="Endnote Characters"/>
    <w:basedOn w:val="DefaultParagraphFont"/>
    <w:uiPriority w:val="99"/>
    <w:semiHidden/>
    <w:unhideWhenUsed/>
    <w:qFormat/>
    <w:rsid w:val="000F37B9"/>
    <w:rPr>
      <w:vertAlign w:val="superscript"/>
    </w:rPr>
  </w:style>
  <w:style w:type="character" w:customStyle="1" w:styleId="EndnoteAnchor">
    <w:name w:val="Endnote Anchor"/>
    <w:rsid w:val="000F37B9"/>
    <w:rPr>
      <w:vertAlign w:val="superscript"/>
    </w:rPr>
  </w:style>
  <w:style w:type="character" w:customStyle="1" w:styleId="apple-converted-space">
    <w:name w:val="apple-converted-space"/>
    <w:basedOn w:val="DefaultParagraphFont"/>
    <w:qFormat/>
    <w:rsid w:val="000F37B9"/>
  </w:style>
  <w:style w:type="character" w:customStyle="1" w:styleId="Hashtag2">
    <w:name w:val="Hashtag2"/>
    <w:basedOn w:val="DefaultParagraphFont"/>
    <w:uiPriority w:val="99"/>
    <w:semiHidden/>
    <w:unhideWhenUsed/>
    <w:qFormat/>
    <w:rsid w:val="000F37B9"/>
    <w:rPr>
      <w:color w:val="2B579A"/>
      <w:shd w:val="clear" w:color="auto" w:fill="E1DFDD"/>
    </w:rPr>
  </w:style>
  <w:style w:type="character" w:customStyle="1" w:styleId="Mention2">
    <w:name w:val="Mention2"/>
    <w:basedOn w:val="DefaultParagraphFont"/>
    <w:uiPriority w:val="99"/>
    <w:semiHidden/>
    <w:unhideWhenUsed/>
    <w:qFormat/>
    <w:rsid w:val="000F37B9"/>
    <w:rPr>
      <w:color w:val="2B579A"/>
      <w:shd w:val="clear" w:color="auto" w:fill="E1DFDD"/>
    </w:rPr>
  </w:style>
  <w:style w:type="character" w:customStyle="1" w:styleId="SmartHyperlink2">
    <w:name w:val="Smart Hyperlink2"/>
    <w:basedOn w:val="DefaultParagraphFont"/>
    <w:uiPriority w:val="99"/>
    <w:semiHidden/>
    <w:unhideWhenUsed/>
    <w:qFormat/>
    <w:rsid w:val="000F37B9"/>
    <w:rPr>
      <w:u w:val="dotted"/>
    </w:rPr>
  </w:style>
  <w:style w:type="character" w:customStyle="1" w:styleId="SmartLink1">
    <w:name w:val="SmartLink1"/>
    <w:basedOn w:val="DefaultParagraphFont"/>
    <w:uiPriority w:val="99"/>
    <w:semiHidden/>
    <w:unhideWhenUsed/>
    <w:qFormat/>
    <w:rsid w:val="000F37B9"/>
    <w:rPr>
      <w:color w:val="0000FF"/>
      <w:u w:val="single"/>
      <w:shd w:val="clear" w:color="auto" w:fill="F3F2F1"/>
    </w:rPr>
  </w:style>
  <w:style w:type="character" w:customStyle="1" w:styleId="Link">
    <w:name w:val="Link"/>
    <w:qFormat/>
    <w:rsid w:val="000F37B9"/>
    <w:rPr>
      <w:outline w:val="0"/>
      <w:color w:val="0000FF"/>
      <w:u w:val="single" w:color="0000FF"/>
    </w:rPr>
  </w:style>
  <w:style w:type="character" w:customStyle="1" w:styleId="bibliographic-informationvalue">
    <w:name w:val="bibliographic-information__value"/>
    <w:qFormat/>
    <w:rsid w:val="000F37B9"/>
  </w:style>
  <w:style w:type="character" w:customStyle="1" w:styleId="js-about-item-abstr">
    <w:name w:val="js-about-item-abstr"/>
    <w:basedOn w:val="DefaultParagraphFont"/>
    <w:qFormat/>
    <w:rsid w:val="000F37B9"/>
  </w:style>
  <w:style w:type="character" w:customStyle="1" w:styleId="NichtaufgelsteErwhnung1">
    <w:name w:val="Nicht aufgelöste Erwähnung1"/>
    <w:basedOn w:val="DefaultParagraphFont"/>
    <w:uiPriority w:val="99"/>
    <w:semiHidden/>
    <w:unhideWhenUsed/>
    <w:qFormat/>
    <w:rsid w:val="000F37B9"/>
    <w:rPr>
      <w:color w:val="605E5C"/>
      <w:shd w:val="clear" w:color="auto" w:fill="E1DFDD"/>
    </w:rPr>
  </w:style>
  <w:style w:type="character" w:customStyle="1" w:styleId="IndexLink">
    <w:name w:val="Index Link"/>
    <w:qFormat/>
    <w:rsid w:val="000F37B9"/>
  </w:style>
  <w:style w:type="character" w:customStyle="1" w:styleId="Bullets">
    <w:name w:val="Bullets"/>
    <w:qFormat/>
    <w:rsid w:val="000F37B9"/>
    <w:rPr>
      <w:rFonts w:ascii="OpenSymbol" w:eastAsia="OpenSymbol" w:hAnsi="OpenSymbol" w:cs="OpenSymbol"/>
    </w:rPr>
  </w:style>
  <w:style w:type="paragraph" w:customStyle="1" w:styleId="Heading">
    <w:name w:val="Heading"/>
    <w:basedOn w:val="Normal"/>
    <w:next w:val="BodyText"/>
    <w:qFormat/>
    <w:rsid w:val="000F37B9"/>
    <w:pPr>
      <w:keepNext/>
      <w:suppressAutoHyphens/>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F37B9"/>
    <w:pPr>
      <w:suppressLineNumbers/>
      <w:suppressAutoHyphens/>
    </w:pPr>
    <w:rPr>
      <w:rFonts w:cs="Lohit Devanagari"/>
    </w:rPr>
  </w:style>
  <w:style w:type="paragraph" w:customStyle="1" w:styleId="HeaderandFooter">
    <w:name w:val="Header and Footer"/>
    <w:basedOn w:val="Normal"/>
    <w:qFormat/>
    <w:rsid w:val="000F37B9"/>
    <w:pPr>
      <w:suppressAutoHyphens/>
    </w:pPr>
  </w:style>
  <w:style w:type="paragraph" w:customStyle="1" w:styleId="norm">
    <w:name w:val="norm"/>
    <w:basedOn w:val="Normal"/>
    <w:qFormat/>
    <w:rsid w:val="000F37B9"/>
    <w:pPr>
      <w:suppressAutoHyphens/>
      <w:spacing w:beforeAutospacing="1" w:afterAutospacing="1"/>
    </w:pPr>
    <w:rPr>
      <w:rFonts w:eastAsia="Times New Roman"/>
      <w:lang w:val="de-DE" w:eastAsia="de-DE"/>
    </w:rPr>
  </w:style>
  <w:style w:type="paragraph" w:styleId="Revision">
    <w:name w:val="Revision"/>
    <w:uiPriority w:val="99"/>
    <w:semiHidden/>
    <w:qFormat/>
    <w:rsid w:val="000F37B9"/>
    <w:pPr>
      <w:suppressAutoHyphens/>
    </w:pPr>
    <w:rPr>
      <w:rFonts w:eastAsiaTheme="minorHAnsi"/>
      <w:sz w:val="24"/>
      <w:szCs w:val="24"/>
      <w:lang w:val="en-GB" w:eastAsia="ja-JP"/>
    </w:rPr>
  </w:style>
  <w:style w:type="table" w:styleId="TableGrid">
    <w:name w:val="Table Grid"/>
    <w:basedOn w:val="TableNormal"/>
    <w:rsid w:val="003201BA"/>
    <w:rPr>
      <w:rFonts w:ascii="CG Times" w:eastAsiaTheme="minorEastAsia" w:hAnsi="CG Times"/>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3">
    <w:name w:val="Unresolved Mention3"/>
    <w:basedOn w:val="DefaultParagraphFont"/>
    <w:uiPriority w:val="99"/>
    <w:semiHidden/>
    <w:unhideWhenUsed/>
    <w:rsid w:val="000F37B9"/>
    <w:rPr>
      <w:color w:val="605E5C"/>
      <w:shd w:val="clear" w:color="auto" w:fill="E1DFDD"/>
    </w:rPr>
  </w:style>
  <w:style w:type="character" w:customStyle="1" w:styleId="Hashtag3">
    <w:name w:val="Hashtag3"/>
    <w:basedOn w:val="DefaultParagraphFont"/>
    <w:uiPriority w:val="99"/>
    <w:semiHidden/>
    <w:unhideWhenUsed/>
    <w:rsid w:val="000F37B9"/>
    <w:rPr>
      <w:color w:val="2B579A"/>
      <w:shd w:val="clear" w:color="auto" w:fill="E1DFDD"/>
    </w:rPr>
  </w:style>
  <w:style w:type="character" w:customStyle="1" w:styleId="Mention3">
    <w:name w:val="Mention3"/>
    <w:basedOn w:val="DefaultParagraphFont"/>
    <w:uiPriority w:val="99"/>
    <w:semiHidden/>
    <w:unhideWhenUsed/>
    <w:rsid w:val="000F37B9"/>
    <w:rPr>
      <w:color w:val="2B579A"/>
      <w:shd w:val="clear" w:color="auto" w:fill="E1DFDD"/>
    </w:rPr>
  </w:style>
  <w:style w:type="character" w:customStyle="1" w:styleId="SmartHyperlink3">
    <w:name w:val="Smart Hyperlink3"/>
    <w:basedOn w:val="DefaultParagraphFont"/>
    <w:uiPriority w:val="99"/>
    <w:semiHidden/>
    <w:unhideWhenUsed/>
    <w:rsid w:val="000F37B9"/>
    <w:rPr>
      <w:u w:val="dotted"/>
    </w:rPr>
  </w:style>
  <w:style w:type="character" w:customStyle="1" w:styleId="SmartLink2">
    <w:name w:val="SmartLink2"/>
    <w:basedOn w:val="DefaultParagraphFont"/>
    <w:uiPriority w:val="99"/>
    <w:semiHidden/>
    <w:unhideWhenUsed/>
    <w:rsid w:val="000F37B9"/>
    <w:rPr>
      <w:color w:val="0000FF"/>
      <w:u w:val="single"/>
      <w:shd w:val="clear" w:color="auto" w:fill="F3F2F1"/>
    </w:rPr>
  </w:style>
  <w:style w:type="paragraph" w:customStyle="1" w:styleId="TableContents">
    <w:name w:val="Table Contents"/>
    <w:basedOn w:val="Normal"/>
    <w:qFormat/>
    <w:rsid w:val="000F37B9"/>
    <w:pPr>
      <w:suppressLineNumbers/>
      <w:suppressAutoHyphens/>
    </w:pPr>
  </w:style>
  <w:style w:type="paragraph" w:customStyle="1" w:styleId="TableHeading">
    <w:name w:val="Table Heading"/>
    <w:basedOn w:val="TableContents"/>
    <w:qFormat/>
    <w:rsid w:val="000F37B9"/>
    <w:pPr>
      <w:jc w:val="center"/>
    </w:pPr>
    <w:rPr>
      <w:b/>
      <w:bCs/>
    </w:rPr>
  </w:style>
  <w:style w:type="character" w:customStyle="1" w:styleId="ListLabel413">
    <w:name w:val="ListLabel 413"/>
    <w:qFormat/>
    <w:rsid w:val="000F37B9"/>
    <w:rPr>
      <w:rFonts w:cs="Symbol"/>
    </w:rPr>
  </w:style>
  <w:style w:type="numbering" w:customStyle="1" w:styleId="NoList1">
    <w:name w:val="No List1"/>
    <w:next w:val="NoList"/>
    <w:uiPriority w:val="99"/>
    <w:semiHidden/>
    <w:unhideWhenUsed/>
    <w:rsid w:val="000F37B9"/>
  </w:style>
  <w:style w:type="numbering" w:customStyle="1" w:styleId="CurrentList1">
    <w:name w:val="Current List1"/>
    <w:uiPriority w:val="99"/>
    <w:rsid w:val="000F37B9"/>
    <w:pPr>
      <w:numPr>
        <w:numId w:val="32"/>
      </w:numPr>
    </w:pPr>
  </w:style>
  <w:style w:type="numbering" w:customStyle="1" w:styleId="NoList2">
    <w:name w:val="No List2"/>
    <w:next w:val="NoList"/>
    <w:uiPriority w:val="99"/>
    <w:semiHidden/>
    <w:unhideWhenUsed/>
    <w:rsid w:val="000F37B9"/>
  </w:style>
  <w:style w:type="numbering" w:customStyle="1" w:styleId="CurrentList11">
    <w:name w:val="Current List11"/>
    <w:uiPriority w:val="99"/>
    <w:rsid w:val="000F37B9"/>
  </w:style>
  <w:style w:type="table" w:styleId="TableGridLight">
    <w:name w:val="Grid Table Light"/>
    <w:basedOn w:val="TableNormal"/>
    <w:uiPriority w:val="40"/>
    <w:rsid w:val="001277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nexNoTitle0">
    <w:name w:val="Annex_NoTitle"/>
    <w:basedOn w:val="Normal"/>
    <w:next w:val="Normal"/>
    <w:rsid w:val="003201BA"/>
    <w:pPr>
      <w:keepNext/>
      <w:keepLines/>
      <w:spacing w:before="720"/>
      <w:jc w:val="center"/>
    </w:pPr>
    <w:rPr>
      <w:b/>
      <w:sz w:val="28"/>
    </w:rPr>
  </w:style>
  <w:style w:type="character" w:customStyle="1" w:styleId="Appdef">
    <w:name w:val="App_def"/>
    <w:basedOn w:val="DefaultParagraphFont"/>
    <w:rsid w:val="003201BA"/>
    <w:rPr>
      <w:rFonts w:ascii="Times New Roman" w:hAnsi="Times New Roman"/>
      <w:b/>
    </w:rPr>
  </w:style>
  <w:style w:type="character" w:customStyle="1" w:styleId="Appref">
    <w:name w:val="App_ref"/>
    <w:basedOn w:val="DefaultParagraphFont"/>
    <w:rsid w:val="003201BA"/>
  </w:style>
  <w:style w:type="paragraph" w:customStyle="1" w:styleId="AppendixNoTitle0">
    <w:name w:val="Appendix_NoTitle"/>
    <w:basedOn w:val="AnnexNoTitle0"/>
    <w:next w:val="Normal"/>
    <w:rsid w:val="00AE14C7"/>
    <w:pPr>
      <w:outlineLvl w:val="0"/>
    </w:pPr>
  </w:style>
  <w:style w:type="character" w:customStyle="1" w:styleId="Artdef">
    <w:name w:val="Art_def"/>
    <w:basedOn w:val="DefaultParagraphFont"/>
    <w:rsid w:val="003201BA"/>
    <w:rPr>
      <w:rFonts w:ascii="Times New Roman" w:hAnsi="Times New Roman"/>
      <w:b/>
    </w:rPr>
  </w:style>
  <w:style w:type="paragraph" w:customStyle="1" w:styleId="Artheading">
    <w:name w:val="Art_heading"/>
    <w:basedOn w:val="Normal"/>
    <w:next w:val="Normal"/>
    <w:rsid w:val="003201BA"/>
    <w:pPr>
      <w:spacing w:before="480"/>
      <w:jc w:val="center"/>
    </w:pPr>
    <w:rPr>
      <w:b/>
      <w:sz w:val="28"/>
    </w:rPr>
  </w:style>
  <w:style w:type="paragraph" w:customStyle="1" w:styleId="ArtNo">
    <w:name w:val="Art_No"/>
    <w:basedOn w:val="Normal"/>
    <w:next w:val="Normal"/>
    <w:rsid w:val="003201BA"/>
    <w:pPr>
      <w:keepNext/>
      <w:keepLines/>
      <w:spacing w:before="480"/>
      <w:jc w:val="center"/>
    </w:pPr>
    <w:rPr>
      <w:caps/>
      <w:sz w:val="28"/>
    </w:rPr>
  </w:style>
  <w:style w:type="character" w:customStyle="1" w:styleId="Artref">
    <w:name w:val="Art_ref"/>
    <w:basedOn w:val="DefaultParagraphFont"/>
    <w:rsid w:val="003201BA"/>
  </w:style>
  <w:style w:type="paragraph" w:customStyle="1" w:styleId="Arttitle">
    <w:name w:val="Art_title"/>
    <w:basedOn w:val="Normal"/>
    <w:next w:val="Normal"/>
    <w:rsid w:val="003201BA"/>
    <w:pPr>
      <w:keepNext/>
      <w:keepLines/>
      <w:spacing w:before="240"/>
      <w:jc w:val="center"/>
    </w:pPr>
    <w:rPr>
      <w:b/>
      <w:sz w:val="28"/>
    </w:rPr>
  </w:style>
  <w:style w:type="paragraph" w:customStyle="1" w:styleId="ASN1">
    <w:name w:val="ASN.1"/>
    <w:rsid w:val="003201B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rPr>
  </w:style>
  <w:style w:type="paragraph" w:customStyle="1" w:styleId="Call">
    <w:name w:val="Call"/>
    <w:basedOn w:val="Normal"/>
    <w:next w:val="Normal"/>
    <w:rsid w:val="003201BA"/>
    <w:pPr>
      <w:keepNext/>
      <w:keepLines/>
      <w:spacing w:before="160"/>
      <w:ind w:left="794"/>
      <w:jc w:val="left"/>
    </w:pPr>
    <w:rPr>
      <w:i/>
    </w:rPr>
  </w:style>
  <w:style w:type="paragraph" w:customStyle="1" w:styleId="ChapNo">
    <w:name w:val="Chap_No"/>
    <w:basedOn w:val="Normal"/>
    <w:next w:val="Normal"/>
    <w:rsid w:val="003201BA"/>
    <w:pPr>
      <w:keepNext/>
      <w:keepLines/>
      <w:spacing w:before="480"/>
      <w:jc w:val="center"/>
    </w:pPr>
    <w:rPr>
      <w:b/>
      <w:caps/>
      <w:sz w:val="28"/>
    </w:rPr>
  </w:style>
  <w:style w:type="paragraph" w:customStyle="1" w:styleId="Chaptitle">
    <w:name w:val="Chap_title"/>
    <w:basedOn w:val="Normal"/>
    <w:next w:val="Normal"/>
    <w:rsid w:val="003201BA"/>
    <w:pPr>
      <w:keepNext/>
      <w:keepLines/>
      <w:spacing w:before="240"/>
      <w:jc w:val="center"/>
    </w:pPr>
    <w:rPr>
      <w:b/>
      <w:sz w:val="28"/>
    </w:rPr>
  </w:style>
  <w:style w:type="paragraph" w:customStyle="1" w:styleId="enumlev2">
    <w:name w:val="enumlev2"/>
    <w:basedOn w:val="enumlev1"/>
    <w:rsid w:val="003201BA"/>
    <w:pPr>
      <w:ind w:left="1191" w:hanging="397"/>
    </w:pPr>
  </w:style>
  <w:style w:type="paragraph" w:customStyle="1" w:styleId="enumlev3">
    <w:name w:val="enumlev3"/>
    <w:basedOn w:val="enumlev2"/>
    <w:rsid w:val="003201BA"/>
    <w:pPr>
      <w:ind w:left="1588"/>
    </w:pPr>
  </w:style>
  <w:style w:type="paragraph" w:customStyle="1" w:styleId="Equation">
    <w:name w:val="Equation"/>
    <w:basedOn w:val="Normal"/>
    <w:rsid w:val="003201BA"/>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201BA"/>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
    <w:rsid w:val="003201BA"/>
    <w:pPr>
      <w:keepLines/>
      <w:spacing w:before="240" w:after="120"/>
      <w:jc w:val="center"/>
    </w:pPr>
    <w:rPr>
      <w:b/>
    </w:rPr>
  </w:style>
  <w:style w:type="paragraph" w:customStyle="1" w:styleId="Figurewithouttitle">
    <w:name w:val="Figure_without_title"/>
    <w:basedOn w:val="Normal"/>
    <w:next w:val="Normal"/>
    <w:rsid w:val="003201BA"/>
    <w:pPr>
      <w:keepLines/>
      <w:spacing w:before="240" w:after="120"/>
      <w:jc w:val="center"/>
    </w:pPr>
  </w:style>
  <w:style w:type="paragraph" w:customStyle="1" w:styleId="FirstFooter">
    <w:name w:val="FirstFooter"/>
    <w:basedOn w:val="Footer"/>
    <w:rsid w:val="003201BA"/>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3201BA"/>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3201BA"/>
    <w:rPr>
      <w:rFonts w:eastAsiaTheme="minorEastAsia"/>
      <w:sz w:val="24"/>
      <w:lang w:val="en-GB"/>
    </w:rPr>
  </w:style>
  <w:style w:type="paragraph" w:customStyle="1" w:styleId="Normalaftertitle">
    <w:name w:val="Normal_after_title"/>
    <w:basedOn w:val="Normal"/>
    <w:next w:val="Normal"/>
    <w:rsid w:val="003201BA"/>
    <w:pPr>
      <w:spacing w:before="360"/>
    </w:pPr>
  </w:style>
  <w:style w:type="paragraph" w:customStyle="1" w:styleId="PartNo">
    <w:name w:val="Part_No"/>
    <w:basedOn w:val="Normal"/>
    <w:next w:val="Normal"/>
    <w:rsid w:val="003201BA"/>
    <w:pPr>
      <w:keepNext/>
      <w:keepLines/>
      <w:spacing w:before="480" w:after="80"/>
      <w:jc w:val="center"/>
    </w:pPr>
    <w:rPr>
      <w:caps/>
      <w:sz w:val="28"/>
    </w:rPr>
  </w:style>
  <w:style w:type="paragraph" w:customStyle="1" w:styleId="Partref">
    <w:name w:val="Part_ref"/>
    <w:basedOn w:val="Normal"/>
    <w:next w:val="Normal"/>
    <w:rsid w:val="003201BA"/>
    <w:pPr>
      <w:keepNext/>
      <w:keepLines/>
      <w:spacing w:before="280"/>
      <w:jc w:val="center"/>
    </w:pPr>
  </w:style>
  <w:style w:type="paragraph" w:customStyle="1" w:styleId="Parttitle">
    <w:name w:val="Part_title"/>
    <w:basedOn w:val="Normal"/>
    <w:next w:val="Normalaftertitle"/>
    <w:rsid w:val="003201BA"/>
    <w:pPr>
      <w:keepNext/>
      <w:keepLines/>
      <w:spacing w:before="240" w:after="280"/>
      <w:jc w:val="center"/>
    </w:pPr>
    <w:rPr>
      <w:b/>
      <w:sz w:val="28"/>
    </w:rPr>
  </w:style>
  <w:style w:type="paragraph" w:customStyle="1" w:styleId="Recdate">
    <w:name w:val="Rec_date"/>
    <w:basedOn w:val="Normal"/>
    <w:next w:val="Normalaftertitle"/>
    <w:rsid w:val="003201B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01BA"/>
  </w:style>
  <w:style w:type="paragraph" w:customStyle="1" w:styleId="QuestionNo">
    <w:name w:val="Question_No"/>
    <w:basedOn w:val="RecNo"/>
    <w:next w:val="Normal"/>
    <w:rsid w:val="003201BA"/>
  </w:style>
  <w:style w:type="paragraph" w:customStyle="1" w:styleId="Recref">
    <w:name w:val="Rec_ref"/>
    <w:basedOn w:val="Normal"/>
    <w:next w:val="Recdate"/>
    <w:rsid w:val="003201B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01BA"/>
  </w:style>
  <w:style w:type="paragraph" w:customStyle="1" w:styleId="Questiontitle">
    <w:name w:val="Question_title"/>
    <w:basedOn w:val="Rectitle"/>
    <w:next w:val="Questionref"/>
    <w:rsid w:val="003201BA"/>
  </w:style>
  <w:style w:type="paragraph" w:customStyle="1" w:styleId="Reftitle">
    <w:name w:val="Ref_title"/>
    <w:basedOn w:val="Normal"/>
    <w:next w:val="Reftext"/>
    <w:rsid w:val="003201BA"/>
    <w:pPr>
      <w:spacing w:before="480"/>
      <w:jc w:val="center"/>
    </w:pPr>
    <w:rPr>
      <w:b/>
    </w:rPr>
  </w:style>
  <w:style w:type="paragraph" w:customStyle="1" w:styleId="Repdate">
    <w:name w:val="Rep_date"/>
    <w:basedOn w:val="Recdate"/>
    <w:next w:val="Normalaftertitle"/>
    <w:rsid w:val="003201BA"/>
  </w:style>
  <w:style w:type="paragraph" w:customStyle="1" w:styleId="RepNo">
    <w:name w:val="Rep_No"/>
    <w:basedOn w:val="RecNo"/>
    <w:next w:val="Normal"/>
    <w:rsid w:val="003201BA"/>
  </w:style>
  <w:style w:type="paragraph" w:customStyle="1" w:styleId="Repref">
    <w:name w:val="Rep_ref"/>
    <w:basedOn w:val="Recref"/>
    <w:next w:val="Repdate"/>
    <w:rsid w:val="003201BA"/>
  </w:style>
  <w:style w:type="paragraph" w:customStyle="1" w:styleId="Reptitle">
    <w:name w:val="Rep_title"/>
    <w:basedOn w:val="Rectitle"/>
    <w:next w:val="Repref"/>
    <w:rsid w:val="003201BA"/>
  </w:style>
  <w:style w:type="paragraph" w:customStyle="1" w:styleId="Resdate">
    <w:name w:val="Res_date"/>
    <w:basedOn w:val="Recdate"/>
    <w:next w:val="Normalaftertitle"/>
    <w:rsid w:val="003201BA"/>
  </w:style>
  <w:style w:type="character" w:customStyle="1" w:styleId="Resdef">
    <w:name w:val="Res_def"/>
    <w:basedOn w:val="DefaultParagraphFont"/>
    <w:rsid w:val="003201BA"/>
    <w:rPr>
      <w:rFonts w:ascii="Times New Roman" w:hAnsi="Times New Roman"/>
      <w:b/>
    </w:rPr>
  </w:style>
  <w:style w:type="paragraph" w:customStyle="1" w:styleId="ResNo">
    <w:name w:val="Res_No"/>
    <w:basedOn w:val="RecNo"/>
    <w:next w:val="Normal"/>
    <w:rsid w:val="003201BA"/>
  </w:style>
  <w:style w:type="paragraph" w:customStyle="1" w:styleId="Resref">
    <w:name w:val="Res_ref"/>
    <w:basedOn w:val="Recref"/>
    <w:next w:val="Resdate"/>
    <w:rsid w:val="003201BA"/>
  </w:style>
  <w:style w:type="paragraph" w:customStyle="1" w:styleId="Restitle">
    <w:name w:val="Res_title"/>
    <w:basedOn w:val="Rectitle"/>
    <w:next w:val="Resref"/>
    <w:rsid w:val="003201BA"/>
  </w:style>
  <w:style w:type="paragraph" w:customStyle="1" w:styleId="Section1">
    <w:name w:val="Section_1"/>
    <w:basedOn w:val="Normal"/>
    <w:next w:val="Normal"/>
    <w:rsid w:val="003201B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01BA"/>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201BA"/>
    <w:pPr>
      <w:keepNext/>
      <w:keepLines/>
      <w:spacing w:before="480" w:after="80"/>
      <w:jc w:val="center"/>
    </w:pPr>
    <w:rPr>
      <w:caps/>
      <w:sz w:val="28"/>
    </w:rPr>
  </w:style>
  <w:style w:type="paragraph" w:customStyle="1" w:styleId="Sectiontitle">
    <w:name w:val="Section_title"/>
    <w:basedOn w:val="Normal"/>
    <w:next w:val="Normalaftertitle"/>
    <w:rsid w:val="003201BA"/>
    <w:pPr>
      <w:keepNext/>
      <w:keepLines/>
      <w:spacing w:before="480" w:after="280"/>
      <w:jc w:val="center"/>
    </w:pPr>
    <w:rPr>
      <w:b/>
      <w:sz w:val="28"/>
    </w:rPr>
  </w:style>
  <w:style w:type="paragraph" w:customStyle="1" w:styleId="Source">
    <w:name w:val="Source"/>
    <w:basedOn w:val="Normal"/>
    <w:next w:val="Normalaftertitle"/>
    <w:rsid w:val="003201BA"/>
    <w:pPr>
      <w:spacing w:before="840" w:after="200"/>
      <w:jc w:val="center"/>
    </w:pPr>
    <w:rPr>
      <w:b/>
      <w:sz w:val="28"/>
    </w:rPr>
  </w:style>
  <w:style w:type="paragraph" w:customStyle="1" w:styleId="SpecialFooter">
    <w:name w:val="Special Footer"/>
    <w:basedOn w:val="Footer"/>
    <w:rsid w:val="003201B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201BA"/>
    <w:rPr>
      <w:b/>
      <w:color w:val="auto"/>
    </w:rPr>
  </w:style>
  <w:style w:type="paragraph" w:customStyle="1" w:styleId="TableNoTitle0">
    <w:name w:val="Table_NoTitle"/>
    <w:basedOn w:val="Normal"/>
    <w:next w:val="Tablehead"/>
    <w:rsid w:val="003201BA"/>
    <w:pPr>
      <w:keepNext/>
      <w:keepLines/>
      <w:spacing w:before="36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x.doi.org/10.1136/bmj.m689" TargetMode="External"/><Relationship Id="rId21" Type="http://schemas.openxmlformats.org/officeDocument/2006/relationships/hyperlink" Target="mailto:steffen.vogler@bayer.com" TargetMode="External"/><Relationship Id="rId42" Type="http://schemas.openxmlformats.org/officeDocument/2006/relationships/hyperlink" Target="https://grand-challenge.org/" TargetMode="External"/><Relationship Id="rId63" Type="http://schemas.openxmlformats.org/officeDocument/2006/relationships/hyperlink" Target="https://doi.org/10.1038/s41598-021-82017-6" TargetMode="External"/><Relationship Id="rId84" Type="http://schemas.openxmlformats.org/officeDocument/2006/relationships/hyperlink" Target="https://doi.org/10.1016/S2589-7500(22)00003-6" TargetMode="External"/><Relationship Id="rId138" Type="http://schemas.openxmlformats.org/officeDocument/2006/relationships/hyperlink" Target="https://doi.org/10.1038/s41598-021-82017-6" TargetMode="External"/><Relationship Id="rId107" Type="http://schemas.openxmlformats.org/officeDocument/2006/relationships/hyperlink" Target="https://doi.org/10.1038/s41591-019-0603-3" TargetMode="External"/><Relationship Id="rId11" Type="http://schemas.openxmlformats.org/officeDocument/2006/relationships/image" Target="media/image1.png"/><Relationship Id="rId32" Type="http://schemas.openxmlformats.org/officeDocument/2006/relationships/hyperlink" Target="https://handle.itu.int/11.1002/plink/8079263541" TargetMode="External"/><Relationship Id="rId53" Type="http://schemas.openxmlformats.org/officeDocument/2006/relationships/hyperlink" Target="https://doi.org/10.1038/s41591-020-1037-7" TargetMode="External"/><Relationship Id="rId74" Type="http://schemas.openxmlformats.org/officeDocument/2006/relationships/hyperlink" Target="https://doi.org/10.1093/jamia/ocz192" TargetMode="External"/><Relationship Id="rId128" Type="http://schemas.openxmlformats.org/officeDocument/2006/relationships/hyperlink" Target="https://doi.org/10.1111/bioe.12885" TargetMode="External"/><Relationship Id="rId5" Type="http://schemas.openxmlformats.org/officeDocument/2006/relationships/numbering" Target="numbering.xml"/><Relationship Id="rId90" Type="http://schemas.openxmlformats.org/officeDocument/2006/relationships/hyperlink" Target="https://arxiv.org/abs/2004.07213" TargetMode="External"/><Relationship Id="rId95" Type="http://schemas.openxmlformats.org/officeDocument/2006/relationships/hyperlink" Target="https://doi.org/10.1038/s41591-021-01229-5" TargetMode="External"/><Relationship Id="rId22" Type="http://schemas.openxmlformats.org/officeDocument/2006/relationships/hyperlink" Target="https://eur03.safelinks.protection.outlook.com/?url=https%3A%2F%2Fcreativecommons.org%2Flicenses%2Fby-nc-sa%2F3.0%2Figo&amp;data=05%7C02%7Canibal.cabrera%40itu.int%7C0a344a9ab4d94de8688b08dc7a6ac2a4%7C23e464d704e64b87913c24bd89219fd3%7C0%7C0%7C638519846146526208%7CUnknown%7CTWFpbGZsb3d8eyJWIjoiMC4wLjAwMDAiLCJQIjoiV2luMzIiLCJBTiI6Ik1haWwiLCJXVCI6Mn0%3D%7C0%7C%7C%7C&amp;sdata=26EPjcaGt0K7Jqk2Sv9QRmEPzfjN0fYKm4xFRdVn0t4%3D&amp;reserved=0" TargetMode="External"/><Relationship Id="rId27" Type="http://schemas.openxmlformats.org/officeDocument/2006/relationships/hyperlink" Target="https://handle.itu.int/11.1002/plink/2375186409" TargetMode="External"/><Relationship Id="rId43" Type="http://schemas.openxmlformats.org/officeDocument/2006/relationships/hyperlink" Target="http://ichallenge.baidu.com/" TargetMode="External"/><Relationship Id="rId48" Type="http://schemas.openxmlformats.org/officeDocument/2006/relationships/image" Target="media/image6.png"/><Relationship Id="rId64" Type="http://schemas.openxmlformats.org/officeDocument/2006/relationships/hyperlink" Target="https://doi.org/10.1038/s41467-020-17478-w" TargetMode="External"/><Relationship Id="rId69" Type="http://schemas.openxmlformats.org/officeDocument/2006/relationships/hyperlink" Target="https://arxiv.org/abs/2103.16910v1" TargetMode="External"/><Relationship Id="rId113" Type="http://schemas.openxmlformats.org/officeDocument/2006/relationships/hyperlink" Target="https://arxiv.org/abs/2011.08512" TargetMode="External"/><Relationship Id="rId118" Type="http://schemas.openxmlformats.org/officeDocument/2006/relationships/hyperlink" Target="https://www.nature.com/articles/s41591-020-1041-y" TargetMode="External"/><Relationship Id="rId134" Type="http://schemas.openxmlformats.org/officeDocument/2006/relationships/hyperlink" Target="https://doi.org/10.1016/j.ijmedinf.2008.09.002" TargetMode="External"/><Relationship Id="rId139" Type="http://schemas.openxmlformats.org/officeDocument/2006/relationships/hyperlink" Target="https://arxiv.org/abs/2103.16910v1" TargetMode="External"/><Relationship Id="rId80" Type="http://schemas.openxmlformats.org/officeDocument/2006/relationships/hyperlink" Target="https://doi.org/10.1038/s42256-021-00307-0" TargetMode="External"/><Relationship Id="rId85" Type="http://schemas.openxmlformats.org/officeDocument/2006/relationships/hyperlink" Target="https://doi.org/10.1016/j.cmpb.2021.106288" TargetMode="External"/><Relationship Id="rId12" Type="http://schemas.openxmlformats.org/officeDocument/2006/relationships/header" Target="header1.xml"/><Relationship Id="rId17" Type="http://schemas.openxmlformats.org/officeDocument/2006/relationships/hyperlink" Target="mailto:alberto.merola@aicura-medical.com" TargetMode="External"/><Relationship Id="rId33" Type="http://schemas.openxmlformats.org/officeDocument/2006/relationships/hyperlink" Target="https://handle.itu.int/11.1002/plink/4613079258" TargetMode="External"/><Relationship Id="rId38" Type="http://schemas.openxmlformats.org/officeDocument/2006/relationships/image" Target="media/image5.png"/><Relationship Id="rId59" Type="http://schemas.openxmlformats.org/officeDocument/2006/relationships/hyperlink" Target="https://arxiv.org/abs/1906.10742" TargetMode="External"/><Relationship Id="rId103" Type="http://schemas.openxmlformats.org/officeDocument/2006/relationships/hyperlink" Target="https://www.imdrf.org/sites/default/files/docs/imdrf/final/technical/imdrf-tech-170921-samd-n41-clinical-evaluation_1.pdf" TargetMode="External"/><Relationship Id="rId108" Type="http://schemas.openxmlformats.org/officeDocument/2006/relationships/hyperlink" Target="https://www.nature.com/articles/s41591-020-1034-x" TargetMode="External"/><Relationship Id="rId124" Type="http://schemas.openxmlformats.org/officeDocument/2006/relationships/hyperlink" Target="https://arxiv.org/abs/2104.05642" TargetMode="External"/><Relationship Id="rId129" Type="http://schemas.openxmlformats.org/officeDocument/2006/relationships/hyperlink" Target="https://doi.org/10.1109/TNNLS.2016.2599820" TargetMode="External"/><Relationship Id="rId54" Type="http://schemas.openxmlformats.org/officeDocument/2006/relationships/hyperlink" Target="https://doi.org/10.1016/S0140-6736(19)30037-6" TargetMode="External"/><Relationship Id="rId70" Type="http://schemas.openxmlformats.org/officeDocument/2006/relationships/hyperlink" Target="https://doi.org/10.1038/s41591-021-01312-x" TargetMode="External"/><Relationship Id="rId75" Type="http://schemas.openxmlformats.org/officeDocument/2006/relationships/hyperlink" Target="https://doi.org/10.1111/bioe.12885" TargetMode="External"/><Relationship Id="rId91" Type="http://schemas.openxmlformats.org/officeDocument/2006/relationships/hyperlink" Target="https://doi.org/10.1016/j.cmpb.2021.106288" TargetMode="External"/><Relationship Id="rId96" Type="http://schemas.openxmlformats.org/officeDocument/2006/relationships/hyperlink" Target="https://doi.org/10.1016/S2589-7500(20)30019-4" TargetMode="External"/><Relationship Id="rId140" Type="http://schemas.openxmlformats.org/officeDocument/2006/relationships/hyperlink" Target="https://doi.org/10.1038/s41591-021-01312-x" TargetMode="External"/><Relationship Id="rId14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TSBmail@itu.int" TargetMode="External"/><Relationship Id="rId28" Type="http://schemas.openxmlformats.org/officeDocument/2006/relationships/hyperlink" Target="https://handle.itu.int/11.1002/plink/4372169058" TargetMode="External"/><Relationship Id="rId49" Type="http://schemas.openxmlformats.org/officeDocument/2006/relationships/hyperlink" Target="https://doi.org/10.1038/s41746-019-0111-3" TargetMode="External"/><Relationship Id="rId114" Type="http://schemas.openxmlformats.org/officeDocument/2006/relationships/hyperlink" Target="https://doi.org/10.1038/s41586-019-1799-6" TargetMode="External"/><Relationship Id="rId119" Type="http://schemas.openxmlformats.org/officeDocument/2006/relationships/hyperlink" Target="https://doi.org/10.1007/s00330-020-07684-x" TargetMode="External"/><Relationship Id="rId44" Type="http://schemas.openxmlformats.org/officeDocument/2006/relationships/hyperlink" Target="https://www.compression.cc/" TargetMode="External"/><Relationship Id="rId60" Type="http://schemas.openxmlformats.org/officeDocument/2006/relationships/hyperlink" Target="http://www.imdrf.org/docs/imdrf/final/technical/imdrf-tech-170921-samd-n41-clinical-evaluation_1.pdf" TargetMode="External"/><Relationship Id="rId65" Type="http://schemas.openxmlformats.org/officeDocument/2006/relationships/hyperlink" Target="https://doi.org/10.1093/jamia/ocaa088" TargetMode="External"/><Relationship Id="rId81" Type="http://schemas.openxmlformats.org/officeDocument/2006/relationships/hyperlink" Target="http://dx.doi.org/10.1136/bmjhci-2021-100444" TargetMode="External"/><Relationship Id="rId86" Type="http://schemas.openxmlformats.org/officeDocument/2006/relationships/hyperlink" Target="https://www.adalovelaceinstitute.org/report/examining-the-black-box-tools-for-assessing-algorithmic-systems/" TargetMode="External"/><Relationship Id="rId130" Type="http://schemas.openxmlformats.org/officeDocument/2006/relationships/hyperlink" Target="https://arxiv.org/abs/2003.05155" TargetMode="External"/><Relationship Id="rId135" Type="http://schemas.openxmlformats.org/officeDocument/2006/relationships/hyperlink" Target="https://www.nice.org.uk/Media/Default/About/what-we-do/our-programmes/evidence-standards-framework/digital-evidence-standards-framework.pdf" TargetMode="External"/><Relationship Id="rId13" Type="http://schemas.openxmlformats.org/officeDocument/2006/relationships/header" Target="header2.xml"/><Relationship Id="rId18" Type="http://schemas.openxmlformats.org/officeDocument/2006/relationships/hyperlink" Target="mailto:david.neumann@hhi.fraunhofer.de" TargetMode="External"/><Relationship Id="rId39" Type="http://schemas.openxmlformats.org/officeDocument/2006/relationships/hyperlink" Target="https://www.aicrowd.com/" TargetMode="External"/><Relationship Id="rId109" Type="http://schemas.openxmlformats.org/officeDocument/2006/relationships/hyperlink" Target="https://doi.org/10.1016/S2589-7500(22)00003-6" TargetMode="External"/><Relationship Id="rId34" Type="http://schemas.openxmlformats.org/officeDocument/2006/relationships/hyperlink" Target="https://handle.itu.int/11.1002/plink/7469210835" TargetMode="External"/><Relationship Id="rId50" Type="http://schemas.openxmlformats.org/officeDocument/2006/relationships/hyperlink" Target="https://doi.org/10.1038/s41591-019-0603-3" TargetMode="External"/><Relationship Id="rId55" Type="http://schemas.openxmlformats.org/officeDocument/2006/relationships/hyperlink" Target="http://www.ncbi.nlm.nih.gov/pubmed/25569120" TargetMode="External"/><Relationship Id="rId76" Type="http://schemas.openxmlformats.org/officeDocument/2006/relationships/hyperlink" Target="https://doi.org/10.1007/s00330-020-07684-x" TargetMode="External"/><Relationship Id="rId97" Type="http://schemas.openxmlformats.org/officeDocument/2006/relationships/hyperlink" Target="https://doi.org/10.1038/s41746-021-00549-7" TargetMode="External"/><Relationship Id="rId104" Type="http://schemas.openxmlformats.org/officeDocument/2006/relationships/hyperlink" Target="https://doi.org/10.1109/EuroSP.2019.00044" TargetMode="External"/><Relationship Id="rId120" Type="http://schemas.openxmlformats.org/officeDocument/2006/relationships/hyperlink" Target="http://dx.doi.org/10.1093/jamiaopen/ooaa033" TargetMode="External"/><Relationship Id="rId125" Type="http://schemas.openxmlformats.org/officeDocument/2006/relationships/hyperlink" Target="https://mauricioreyes.me/Publications/ReinkeMIDL2022.pdf" TargetMode="External"/><Relationship Id="rId141" Type="http://schemas.openxmlformats.org/officeDocument/2006/relationships/hyperlink" Target="https://ieeexplore.ieee.org/document/9000651" TargetMode="External"/><Relationship Id="rId14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fda.gov/media/145022/download" TargetMode="External"/><Relationship Id="rId92" Type="http://schemas.openxmlformats.org/officeDocument/2006/relationships/hyperlink" Target="https://pubmed.ncbi.nlm.nih.gov/25569120/" TargetMode="External"/><Relationship Id="rId2" Type="http://schemas.openxmlformats.org/officeDocument/2006/relationships/customXml" Target="../customXml/item2.xml"/><Relationship Id="rId29" Type="http://schemas.openxmlformats.org/officeDocument/2006/relationships/hyperlink" Target="https://handle.itu.int/11.1002/plink/7648953012" TargetMode="External"/><Relationship Id="rId24" Type="http://schemas.openxmlformats.org/officeDocument/2006/relationships/header" Target="header3.xml"/><Relationship Id="rId40" Type="http://schemas.openxmlformats.org/officeDocument/2006/relationships/hyperlink" Target="http://kaggle.com/" TargetMode="External"/><Relationship Id="rId45" Type="http://schemas.openxmlformats.org/officeDocument/2006/relationships/hyperlink" Target="http://www.codalab.org/" TargetMode="External"/><Relationship Id="rId66" Type="http://schemas.openxmlformats.org/officeDocument/2006/relationships/hyperlink" Target="https://www.nature.com/articles/s41591-020-1041-y" TargetMode="External"/><Relationship Id="rId87" Type="http://schemas.openxmlformats.org/officeDocument/2006/relationships/hyperlink" Target="https://www.adalovelaceinstitute.org/report/algorithmic-impact-assessment-case-study-healthcare/" TargetMode="External"/><Relationship Id="rId110" Type="http://schemas.openxmlformats.org/officeDocument/2006/relationships/hyperlink" Target="https://doi.org/10.1038/s41467-018-07619-7" TargetMode="External"/><Relationship Id="rId115" Type="http://schemas.openxmlformats.org/officeDocument/2006/relationships/hyperlink" Target="https://doi.org/10.1148/ryai.2020200029" TargetMode="External"/><Relationship Id="rId131" Type="http://schemas.openxmlformats.org/officeDocument/2006/relationships/hyperlink" Target="https://doi.org/10.1038/s42256-022-00536-x" TargetMode="External"/><Relationship Id="rId136" Type="http://schemas.openxmlformats.org/officeDocument/2006/relationships/hyperlink" Target="https://doi.org/10.1093/jamia/ocz130" TargetMode="External"/><Relationship Id="rId61" Type="http://schemas.openxmlformats.org/officeDocument/2006/relationships/hyperlink" Target="http://data.europa.eu/eli/reg/2017/745/2017-05-05" TargetMode="External"/><Relationship Id="rId82" Type="http://schemas.openxmlformats.org/officeDocument/2006/relationships/hyperlink" Target="https://doi.org/10.1038/s41746-021-00549-7" TargetMode="External"/><Relationship Id="rId19" Type="http://schemas.openxmlformats.org/officeDocument/2006/relationships/hyperlink" Target="mailto:sandeep.reddy@deakin.edu.au" TargetMode="External"/><Relationship Id="rId14" Type="http://schemas.openxmlformats.org/officeDocument/2006/relationships/footer" Target="footer1.xml"/><Relationship Id="rId30" Type="http://schemas.openxmlformats.org/officeDocument/2006/relationships/hyperlink" Target="https://handle.itu.int/11.1002/plink/9704268351" TargetMode="External"/><Relationship Id="rId35" Type="http://schemas.openxmlformats.org/officeDocument/2006/relationships/image" Target="media/image2.png"/><Relationship Id="rId56" Type="http://schemas.openxmlformats.org/officeDocument/2006/relationships/hyperlink" Target="https://www.equator-network.org/reporting-guidelines/tripod-statement/" TargetMode="External"/><Relationship Id="rId77" Type="http://schemas.openxmlformats.org/officeDocument/2006/relationships/hyperlink" Target="http://dx.doi.org/10.1136/bmjhci-2020-100251" TargetMode="External"/><Relationship Id="rId100" Type="http://schemas.openxmlformats.org/officeDocument/2006/relationships/hyperlink" Target="https://doi.org/10.1038/s41746-020-0262-2" TargetMode="External"/><Relationship Id="rId105" Type="http://schemas.openxmlformats.org/officeDocument/2006/relationships/hyperlink" Target="https://doi.org/10.1016/S2589-7500(20)30003-0" TargetMode="External"/><Relationship Id="rId126" Type="http://schemas.openxmlformats.org/officeDocument/2006/relationships/hyperlink" Target="https://www.nature.com/articles/s41591-020-1037-7" TargetMode="External"/><Relationship Id="rId14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oi.org/10.1016/S0140-6736(19)31819-7" TargetMode="External"/><Relationship Id="rId72" Type="http://schemas.openxmlformats.org/officeDocument/2006/relationships/hyperlink" Target="https://arxiv.org/abs/2104.05642" TargetMode="External"/><Relationship Id="rId93" Type="http://schemas.openxmlformats.org/officeDocument/2006/relationships/hyperlink" Target="https://doi.org/10.1016/S0140-6736(19)30037-6" TargetMode="External"/><Relationship Id="rId98" Type="http://schemas.openxmlformats.org/officeDocument/2006/relationships/hyperlink" Target="http://data.europa.eu/eli/reg/2017/745/2017-05-05" TargetMode="External"/><Relationship Id="rId121" Type="http://schemas.openxmlformats.org/officeDocument/2006/relationships/hyperlink" Target="https://doi.org/10.1093/jamia/ocz192" TargetMode="External"/><Relationship Id="rId142" Type="http://schemas.openxmlformats.org/officeDocument/2006/relationships/header" Target="header4.xml"/><Relationship Id="rId3" Type="http://schemas.openxmlformats.org/officeDocument/2006/relationships/customXml" Target="../customXml/item3.xml"/><Relationship Id="rId25" Type="http://schemas.openxmlformats.org/officeDocument/2006/relationships/footer" Target="footer3.xml"/><Relationship Id="rId46" Type="http://schemas.openxmlformats.org/officeDocument/2006/relationships/hyperlink" Target="https://ramp.studio/" TargetMode="External"/><Relationship Id="rId67" Type="http://schemas.openxmlformats.org/officeDocument/2006/relationships/hyperlink" Target="https://doi.org/10.1148/ryai.2020200029" TargetMode="External"/><Relationship Id="rId116" Type="http://schemas.openxmlformats.org/officeDocument/2006/relationships/hyperlink" Target="https://doi.org/10.1038/s42256-022-00559-4" TargetMode="External"/><Relationship Id="rId137" Type="http://schemas.openxmlformats.org/officeDocument/2006/relationships/hyperlink" Target="https://apps.who.int/iris/handle/10665/349093" TargetMode="External"/><Relationship Id="rId20" Type="http://schemas.openxmlformats.org/officeDocument/2006/relationships/hyperlink" Target="mailto:a.reinke@dkfz-heidelberg.de" TargetMode="External"/><Relationship Id="rId41" Type="http://schemas.openxmlformats.org/officeDocument/2006/relationships/hyperlink" Target="https://eval.ai/" TargetMode="External"/><Relationship Id="rId62" Type="http://schemas.openxmlformats.org/officeDocument/2006/relationships/hyperlink" Target="https://doi.org/10.1016/j.media.2020.101796" TargetMode="External"/><Relationship Id="rId83" Type="http://schemas.openxmlformats.org/officeDocument/2006/relationships/hyperlink" Target="https://www.adalovelaceinstitute.org/report/algorithmic-impact-assessment-case-study-healthcare/" TargetMode="External"/><Relationship Id="rId88" Type="http://schemas.openxmlformats.org/officeDocument/2006/relationships/hyperlink" Target="https://arxiv.org/abs/1904.11829" TargetMode="External"/><Relationship Id="rId111" Type="http://schemas.openxmlformats.org/officeDocument/2006/relationships/hyperlink" Target="https://doi.org/10.1016/j.media.2020.101796" TargetMode="External"/><Relationship Id="rId132" Type="http://schemas.openxmlformats.org/officeDocument/2006/relationships/hyperlink" Target="http://dx.doi.org/10.1136/bmjhci-2020-100251" TargetMode="External"/><Relationship Id="rId15" Type="http://schemas.openxmlformats.org/officeDocument/2006/relationships/footer" Target="footer2.xml"/><Relationship Id="rId36" Type="http://schemas.openxmlformats.org/officeDocument/2006/relationships/image" Target="media/image3.png"/><Relationship Id="rId57" Type="http://schemas.openxmlformats.org/officeDocument/2006/relationships/hyperlink" Target="https://arxiv.org/abs/2003.05155" TargetMode="External"/><Relationship Id="rId106" Type="http://schemas.openxmlformats.org/officeDocument/2006/relationships/hyperlink" Target="https://doi.org/10.1016/S0140-6736(19)31819-7" TargetMode="External"/><Relationship Id="rId127" Type="http://schemas.openxmlformats.org/officeDocument/2006/relationships/hyperlink" Target="https://doi.org/10.1038/s42256-021-00307-0" TargetMode="External"/><Relationship Id="rId10" Type="http://schemas.openxmlformats.org/officeDocument/2006/relationships/endnotes" Target="endnotes.xml"/><Relationship Id="rId31" Type="http://schemas.openxmlformats.org/officeDocument/2006/relationships/hyperlink" Target="https://handle.itu.int/11.1002/plink/9402678513" TargetMode="External"/><Relationship Id="rId52" Type="http://schemas.openxmlformats.org/officeDocument/2006/relationships/hyperlink" Target="https://doi.org/10.1038/s41591-020-1034-x" TargetMode="External"/><Relationship Id="rId73" Type="http://schemas.openxmlformats.org/officeDocument/2006/relationships/hyperlink" Target="https://doi.org/10.1038/s41591-021-01229-5" TargetMode="External"/><Relationship Id="rId78" Type="http://schemas.openxmlformats.org/officeDocument/2006/relationships/hyperlink" Target="http://dx.doi.org/10.1136/bmj.m689" TargetMode="External"/><Relationship Id="rId94" Type="http://schemas.openxmlformats.org/officeDocument/2006/relationships/hyperlink" Target="https://doi.org/10.1038/s41467-020-17478-w" TargetMode="External"/><Relationship Id="rId99" Type="http://schemas.openxmlformats.org/officeDocument/2006/relationships/hyperlink" Target="https://www.fda.gov/media/145022/download" TargetMode="External"/><Relationship Id="rId101" Type="http://schemas.openxmlformats.org/officeDocument/2006/relationships/hyperlink" Target="https://arxiv.org/abs/2202.06861" TargetMode="External"/><Relationship Id="rId122" Type="http://schemas.openxmlformats.org/officeDocument/2006/relationships/hyperlink" Target="http://dx.doi.org/10.1136/bmjhci-2021-100444" TargetMode="External"/><Relationship Id="rId143" Type="http://schemas.openxmlformats.org/officeDocument/2006/relationships/header" Target="header5.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andle.itu.int/11.1002/plink/2375186409" TargetMode="External"/><Relationship Id="rId47" Type="http://schemas.openxmlformats.org/officeDocument/2006/relationships/hyperlink" Target="https://carpl.ai/" TargetMode="External"/><Relationship Id="rId68" Type="http://schemas.openxmlformats.org/officeDocument/2006/relationships/hyperlink" Target="https://doi.org/10.1038/s41591-020-0941-1" TargetMode="External"/><Relationship Id="rId89" Type="http://schemas.openxmlformats.org/officeDocument/2006/relationships/hyperlink" Target="https://doi.org/10.1016/j.inffus.2021.11.008" TargetMode="External"/><Relationship Id="rId112" Type="http://schemas.openxmlformats.org/officeDocument/2006/relationships/hyperlink" Target="https://doi.org/10.1038/s41746-019-0111-3" TargetMode="External"/><Relationship Id="rId133" Type="http://schemas.openxmlformats.org/officeDocument/2006/relationships/hyperlink" Target="https://doi.org/10.1038/s41591-020-0941-1" TargetMode="External"/><Relationship Id="rId16" Type="http://schemas.openxmlformats.org/officeDocument/2006/relationships/hyperlink" Target="mailto:markus.wenzel@hhi.fraunhofer.de" TargetMode="External"/><Relationship Id="rId37" Type="http://schemas.openxmlformats.org/officeDocument/2006/relationships/image" Target="media/image4.png"/><Relationship Id="rId58" Type="http://schemas.openxmlformats.org/officeDocument/2006/relationships/hyperlink" Target="https://doi.org/10.1109/TSE.2019.2962027" TargetMode="External"/><Relationship Id="rId79" Type="http://schemas.openxmlformats.org/officeDocument/2006/relationships/hyperlink" Target="http://dx.doi.org/10.1093/jamiaopen/ooaa033" TargetMode="External"/><Relationship Id="rId102" Type="http://schemas.openxmlformats.org/officeDocument/2006/relationships/hyperlink" Target="https://doi.org/10.1093/jamia/ocaa088" TargetMode="External"/><Relationship Id="rId123" Type="http://schemas.openxmlformats.org/officeDocument/2006/relationships/hyperlink" Target="https://doi.org/10.1007/978-3-030-00937-3_45" TargetMode="External"/><Relationship Id="rId14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D4084D-F804-D047-B00D-CD7D1003055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91E800E775A4CBF22A23E081DBE21" ma:contentTypeVersion="7" ma:contentTypeDescription="Create a new document." ma:contentTypeScope="" ma:versionID="f7a5a8c889e1ea59d6ab53a953ffd642">
  <xsd:schema xmlns:xsd="http://www.w3.org/2001/XMLSchema" xmlns:xs="http://www.w3.org/2001/XMLSchema" xmlns:p="http://schemas.microsoft.com/office/2006/metadata/properties" xmlns:ns2="1885053c-d437-4b9b-8f24-02b28353599d" xmlns:ns3="8e771b7f-0b63-4f58-a97c-f4f5ef40758c" xmlns:ns4="c7174f76-b793-4c53-bcca-f6115c4b22e2" targetNamespace="http://schemas.microsoft.com/office/2006/metadata/properties" ma:root="true" ma:fieldsID="5aa85722cf7fbcdf1ebe23ac277d8272" ns2:_="" ns3:_="" ns4:_="">
    <xsd:import namespace="1885053c-d437-4b9b-8f24-02b28353599d"/>
    <xsd:import namespace="8e771b7f-0b63-4f58-a97c-f4f5ef40758c"/>
    <xsd:import namespace="c7174f76-b793-4c53-bcca-f6115c4b22e2"/>
    <xsd:element name="properties">
      <xsd:complexType>
        <xsd:sequence>
          <xsd:element name="documentManagement">
            <xsd:complexType>
              <xsd:all>
                <xsd:element ref="ns2:Meeting"/>
                <xsd:element ref="ns2:Source" minOccurs="0"/>
                <xsd:element ref="ns2:Meeting_x0020_document_x0020_number" minOccurs="0"/>
                <xsd:element ref="ns3:SharedWithUsers" minOccurs="0"/>
                <xsd:element ref="ns2:Comments" minOccurs="0"/>
                <xsd:element ref="ns2:Latest_x0020_Version" minOccurs="0"/>
                <xsd:element ref="ns4: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8" ma:displayName="Meeting" ma:default="Geneva, 3-5 July 2023" ma:description="Meeting location and date." ma:format="Dropdown" ma:internalName="Meeting">
      <xsd:simpleType>
        <xsd:restriction base="dms:Choice">
          <xsd:enumeration value="Geneva, 3-5 July 2023"/>
          <xsd:enumeration value="Cambridge, USA, 21-24 March 2023"/>
          <xsd:enumeration value="Douala, 6-9 December 2022"/>
          <xsd:enumeration value="Helsinki, 19-22 September 2022"/>
          <xsd:enumeration value="Berlin, 31 May - 2 June 2022"/>
          <xsd:enumeration value="E-meeting, 15-17 February 2022"/>
          <xsd:enumeration value="E-meeting, 28-30 September 2021​"/>
          <xsd:enumeration value="E-meeting, 19-21 May 2021"/>
          <xsd:enumeration value="E-meeting, 27-29 January 2021"/>
          <xsd:enumeration value="E-meeting, 30 Sept - 2 Oct 2020"/>
          <xsd:enumeration value="E-meeting, 7-8 May 2020"/>
          <xsd:enumeration value="​Brasilia, 21-24 January 2020"/>
          <xsd:enumeration value="New Delhi, 13-15 November 2019"/>
          <xsd:enumeration value="Zanzibar, 3-5 September 2019"/>
          <xsd:enumeration value="Geneva, 30 May - 1 June 2019"/>
          <xsd:enumeration value="Shanghai,  2-5 April 2019"/>
          <xsd:enumeration value="Lausanne, 22-25 January 2019"/>
          <xsd:enumeration value="New York, 14-16 November 2018"/>
          <xsd:enumeration value="Geneva, 25-27 September 2018​"/>
        </xsd:restriction>
      </xsd:simpleType>
    </xsd:element>
    <xsd:element name="Source" ma:index="9" nillable="true" ma:displayName="Source" ma:description="Source of the document." ma:internalName="Source">
      <xsd:simpleType>
        <xsd:restriction base="dms:Text">
          <xsd:maxLength value="255"/>
        </xsd:restriction>
      </xsd:simpleType>
    </xsd:element>
    <xsd:element name="Meeting_x0020_document_x0020_number" ma:index="10" nillable="true" ma:displayName="Meeting document number" ma:default="B-###" ma:description="Meeting document number - Format (X-Doc###) Example: B-001" ma:internalName="Meeting_x0020_document_x0020_number">
      <xsd:simpleType>
        <xsd:restriction base="dms:Text">
          <xsd:maxLength value="13"/>
        </xsd:restriction>
      </xsd:simpleType>
    </xsd:element>
    <xsd:element name="Comments" ma:index="12"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13"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14"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 xmlns="1885053c-d437-4b9b-8f24-02b28353599d">ITU Secretariat</Source>
    <Latest_x0020_Version xmlns="1885053c-d437-4b9b-8f24-02b28353599d"/>
    <Abstract xmlns="c7174f76-b793-4c53-bcca-f6115c4b22e2">Template file for FG-AI4H deliverables, document properties updated for Meeting S.</Abstract>
    <Meeting xmlns="1885053c-d437-4b9b-8f24-02b28353599d">Cambridge, USA, 21-24 March 2023</Meeting>
    <Comments xmlns="1885053c-d437-4b9b-8f24-02b28353599d"/>
    <Meeting_x0020_document_x0020_number xmlns="1885053c-d437-4b9b-8f24-02b28353599d">S-#</Meeting_x0020_document_x0020_number>
  </documentManagement>
</p:properties>
</file>

<file path=customXml/itemProps1.xml><?xml version="1.0" encoding="utf-8"?>
<ds:datastoreItem xmlns:ds="http://schemas.openxmlformats.org/officeDocument/2006/customXml" ds:itemID="{B347CADE-08B2-42ED-9B67-6D7C9511B81C}">
  <ds:schemaRefs>
    <ds:schemaRef ds:uri="http://schemas.openxmlformats.org/officeDocument/2006/bibliography"/>
  </ds:schemaRefs>
</ds:datastoreItem>
</file>

<file path=customXml/itemProps2.xml><?xml version="1.0" encoding="utf-8"?>
<ds:datastoreItem xmlns:ds="http://schemas.openxmlformats.org/officeDocument/2006/customXml" ds:itemID="{4D6A3EC5-EE3B-49BD-949C-862509B33055}">
  <ds:schemaRefs>
    <ds:schemaRef ds:uri="http://schemas.microsoft.com/sharepoint/v3/contenttype/forms"/>
  </ds:schemaRefs>
</ds:datastoreItem>
</file>

<file path=customXml/itemProps3.xml><?xml version="1.0" encoding="utf-8"?>
<ds:datastoreItem xmlns:ds="http://schemas.openxmlformats.org/officeDocument/2006/customXml" ds:itemID="{DE1A37E4-5450-4DCA-92A1-B2C0F47B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8e771b7f-0b63-4f58-a97c-f4f5ef40758c"/>
    <ds:schemaRef ds:uri="c7174f76-b793-4c53-bcca-f6115c4b2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A4F6D-5F7E-4C68-950D-BEFE5DA802F6}">
  <ds:schemaRefs>
    <ds:schemaRef ds:uri="http://schemas.microsoft.com/office/2006/metadata/properties"/>
    <ds:schemaRef ds:uri="http://schemas.microsoft.com/office/infopath/2007/PartnerControls"/>
    <ds:schemaRef ds:uri="1885053c-d437-4b9b-8f24-02b28353599d"/>
    <ds:schemaRef ds:uri="c7174f76-b793-4c53-bcca-f6115c4b22e2"/>
  </ds:schemaRefs>
</ds:datastoreItem>
</file>

<file path=docProps/app.xml><?xml version="1.0" encoding="utf-8"?>
<Properties xmlns="http://schemas.openxmlformats.org/officeDocument/2006/extended-properties" xmlns:vt="http://schemas.openxmlformats.org/officeDocument/2006/docPropsVTypes">
  <Template>T-REC-FINAL-E.dotm</Template>
  <TotalTime>2</TotalTime>
  <Pages>43</Pages>
  <Words>21028</Words>
  <Characters>119866</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DEL07: AI for health evaluation considerations</vt:lpstr>
    </vt:vector>
  </TitlesOfParts>
  <Manager>ITU-T</Manager>
  <Company>International Telecommunication Union (ITU)</Company>
  <LinksUpToDate>false</LinksUpToDate>
  <CharactersWithSpaces>140613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DEL07: AI for health evaluation considerations</dc:title>
  <dc:subject/>
  <dc:creator>Simão Campos-Neto</dc:creator>
  <cp:keywords/>
  <dc:description>FG-AI4H-R-042-R1  For: Cambridge, 21-24 March 2023Document date: ITU-T Focus Group on AI for HealthSaved by ITU51014266 at 15:18:21 on 21.03.2023</dc:description>
  <cp:lastModifiedBy>TSB-AC</cp:lastModifiedBy>
  <cp:revision>6</cp:revision>
  <cp:lastPrinted>2025-04-02T13:51:00Z</cp:lastPrinted>
  <dcterms:created xsi:type="dcterms:W3CDTF">2025-04-02T13:51:00Z</dcterms:created>
  <dcterms:modified xsi:type="dcterms:W3CDTF">2025-04-02T13:52:00Z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0x01010011591E800E775A4CBF22A23E081DBE21</vt:lpwstr>
  </property>
  <property fmtid="{D5CDD505-2E9C-101B-9397-08002B2CF9AE}" pid="3" name="Docnum">
    <vt:lpwstr>FG-AI4H-S-#</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Geneva, 3-5 July 2023</vt:lpwstr>
  </property>
  <property fmtid="{D5CDD505-2E9C-101B-9397-08002B2CF9AE}" pid="8" name="Docauthor">
    <vt:lpwstr>Insert Source(s)</vt:lpwstr>
  </property>
  <property fmtid="{D5CDD505-2E9C-101B-9397-08002B2CF9AE}" pid="9" name="grammarly_documentId">
    <vt:lpwstr>documentId_9117</vt:lpwstr>
  </property>
  <property fmtid="{D5CDD505-2E9C-101B-9397-08002B2CF9AE}" pid="10" name="grammarly_documentContext">
    <vt:lpwstr>{"goals":[],"domain":"general","emotions":[],"dialect":"american"}</vt:lpwstr>
  </property>
</Properties>
</file>