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0" w:type="dxa"/>
          <w:right w:w="0" w:type="dxa"/>
        </w:tblCellMar>
        <w:tblLook w:val="0000" w:firstRow="0" w:lastRow="0" w:firstColumn="0" w:lastColumn="0" w:noHBand="0" w:noVBand="0"/>
      </w:tblPr>
      <w:tblGrid>
        <w:gridCol w:w="1279"/>
        <w:gridCol w:w="3578"/>
        <w:gridCol w:w="4872"/>
      </w:tblGrid>
      <w:tr w:rsidR="00EF6A23" w:rsidRPr="00A845A7" w14:paraId="3FDAE1F3" w14:textId="77777777" w:rsidTr="003F083D">
        <w:trPr>
          <w:cantSplit/>
        </w:trPr>
        <w:tc>
          <w:tcPr>
            <w:tcW w:w="0" w:type="auto"/>
            <w:vAlign w:val="center"/>
          </w:tcPr>
          <w:p w14:paraId="3DE42CAA" w14:textId="77777777" w:rsidR="00EF6A23" w:rsidRPr="00A845A7" w:rsidRDefault="00EF6A23" w:rsidP="00D14F31">
            <w:pPr>
              <w:tabs>
                <w:tab w:val="right" w:pos="8732"/>
              </w:tabs>
              <w:spacing w:before="0"/>
              <w:rPr>
                <w:b/>
                <w:bCs/>
                <w:iCs/>
                <w:color w:val="FFFFFF"/>
                <w:sz w:val="30"/>
                <w:szCs w:val="30"/>
              </w:rPr>
            </w:pPr>
            <w:r w:rsidRPr="00A845A7">
              <w:rPr>
                <w:lang w:eastAsia="zh-CN"/>
              </w:rPr>
              <w:drawing>
                <wp:inline distT="0" distB="0" distL="0" distR="0" wp14:anchorId="05764050" wp14:editId="248DEEAB">
                  <wp:extent cx="812165" cy="812165"/>
                  <wp:effectExtent l="0" t="0" r="0" b="0"/>
                  <wp:docPr id="2" name="Picture 2"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nternational Teleocmmunication Union - Connecting the World." title="IT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tc>
        <w:tc>
          <w:tcPr>
            <w:tcW w:w="0" w:type="auto"/>
            <w:gridSpan w:val="2"/>
            <w:vAlign w:val="center"/>
          </w:tcPr>
          <w:p w14:paraId="75924CEF" w14:textId="77777777" w:rsidR="00EF6A23" w:rsidRPr="00A845A7" w:rsidRDefault="00EF6A23" w:rsidP="00EF6A23">
            <w:pPr>
              <w:spacing w:before="0"/>
              <w:rPr>
                <w:rFonts w:cs="Times New Roman Bold"/>
                <w:b/>
                <w:bCs/>
                <w:iCs/>
                <w:smallCaps/>
                <w:sz w:val="34"/>
                <w:szCs w:val="34"/>
              </w:rPr>
            </w:pPr>
            <w:r w:rsidRPr="00A845A7">
              <w:rPr>
                <w:rFonts w:cs="Times New Roman Bold"/>
                <w:b/>
                <w:bCs/>
                <w:iCs/>
                <w:smallCaps/>
                <w:sz w:val="34"/>
                <w:szCs w:val="34"/>
              </w:rPr>
              <w:t>Union internationale des télécommunications</w:t>
            </w:r>
          </w:p>
          <w:p w14:paraId="089E66D0" w14:textId="77777777" w:rsidR="00EF6A23" w:rsidRPr="00A845A7" w:rsidRDefault="00EF6A23" w:rsidP="00EF6A23">
            <w:pPr>
              <w:spacing w:before="0"/>
              <w:rPr>
                <w:color w:val="FFFFFF"/>
                <w:sz w:val="26"/>
                <w:szCs w:val="26"/>
              </w:rPr>
            </w:pPr>
            <w:r w:rsidRPr="00A845A7">
              <w:rPr>
                <w:rFonts w:cs="Times New Roman Bold"/>
                <w:b/>
                <w:bCs/>
                <w:iCs/>
                <w:smallCaps/>
                <w:sz w:val="28"/>
                <w:szCs w:val="28"/>
              </w:rPr>
              <w:t>B</w:t>
            </w:r>
            <w:r w:rsidRPr="00A845A7">
              <w:rPr>
                <w:b/>
                <w:bCs/>
                <w:iCs/>
                <w:smallCaps/>
                <w:sz w:val="28"/>
                <w:szCs w:val="28"/>
              </w:rPr>
              <w:t>ureau de la Normalisation des Télécommunications</w:t>
            </w:r>
          </w:p>
        </w:tc>
      </w:tr>
      <w:tr w:rsidR="00036F4F" w:rsidRPr="00A845A7" w14:paraId="18B25741" w14:textId="77777777" w:rsidTr="008D27AF">
        <w:trPr>
          <w:cantSplit/>
        </w:trPr>
        <w:tc>
          <w:tcPr>
            <w:tcW w:w="0" w:type="auto"/>
          </w:tcPr>
          <w:p w14:paraId="4B1AFD72" w14:textId="77777777" w:rsidR="00036F4F" w:rsidRPr="00A845A7" w:rsidRDefault="00036F4F" w:rsidP="00A5280F">
            <w:pPr>
              <w:tabs>
                <w:tab w:val="left" w:pos="4111"/>
              </w:tabs>
              <w:spacing w:before="10"/>
              <w:ind w:left="57"/>
            </w:pPr>
          </w:p>
        </w:tc>
        <w:tc>
          <w:tcPr>
            <w:tcW w:w="3260" w:type="dxa"/>
          </w:tcPr>
          <w:p w14:paraId="6579D3E8" w14:textId="77777777" w:rsidR="00036F4F" w:rsidRPr="00A845A7" w:rsidRDefault="00036F4F" w:rsidP="00A5280F">
            <w:pPr>
              <w:tabs>
                <w:tab w:val="left" w:pos="4111"/>
              </w:tabs>
              <w:spacing w:before="10"/>
              <w:ind w:left="57"/>
              <w:rPr>
                <w:b/>
              </w:rPr>
            </w:pPr>
          </w:p>
        </w:tc>
        <w:tc>
          <w:tcPr>
            <w:tcW w:w="5190" w:type="dxa"/>
          </w:tcPr>
          <w:p w14:paraId="0DC34ECA" w14:textId="228099F9" w:rsidR="00036F4F" w:rsidRPr="00A845A7" w:rsidRDefault="00036F4F" w:rsidP="00A5645A">
            <w:pPr>
              <w:tabs>
                <w:tab w:val="clear" w:pos="794"/>
                <w:tab w:val="clear" w:pos="1191"/>
                <w:tab w:val="clear" w:pos="1588"/>
                <w:tab w:val="clear" w:pos="1985"/>
                <w:tab w:val="left" w:pos="284"/>
              </w:tabs>
              <w:spacing w:after="120"/>
              <w:ind w:left="284" w:hanging="227"/>
            </w:pPr>
            <w:r w:rsidRPr="00A845A7">
              <w:t>Genève, le</w:t>
            </w:r>
            <w:r w:rsidR="004419E9" w:rsidRPr="00A845A7">
              <w:t xml:space="preserve"> </w:t>
            </w:r>
            <w:r w:rsidR="008814F4" w:rsidRPr="00A845A7">
              <w:t>14</w:t>
            </w:r>
            <w:r w:rsidR="008D27AF" w:rsidRPr="00A845A7">
              <w:t xml:space="preserve"> </w:t>
            </w:r>
            <w:r w:rsidR="008814F4" w:rsidRPr="00A845A7">
              <w:t>août</w:t>
            </w:r>
            <w:r w:rsidR="008D27AF" w:rsidRPr="00A845A7">
              <w:t xml:space="preserve"> 2026</w:t>
            </w:r>
          </w:p>
        </w:tc>
      </w:tr>
      <w:tr w:rsidR="008D27AF" w:rsidRPr="00A845A7" w14:paraId="16CDDFEF" w14:textId="77777777" w:rsidTr="008D27AF">
        <w:trPr>
          <w:cantSplit/>
          <w:trHeight w:val="340"/>
        </w:trPr>
        <w:tc>
          <w:tcPr>
            <w:tcW w:w="0" w:type="auto"/>
          </w:tcPr>
          <w:p w14:paraId="3EFF375D" w14:textId="58556577" w:rsidR="008D27AF" w:rsidRPr="00A845A7" w:rsidRDefault="008D27AF" w:rsidP="00307FB4">
            <w:pPr>
              <w:tabs>
                <w:tab w:val="left" w:pos="4111"/>
              </w:tabs>
              <w:spacing w:before="10"/>
              <w:ind w:left="57"/>
              <w:rPr>
                <w:b/>
                <w:bCs/>
              </w:rPr>
            </w:pPr>
            <w:r w:rsidRPr="00A845A7">
              <w:rPr>
                <w:b/>
                <w:bCs/>
              </w:rPr>
              <w:t>Réf.:</w:t>
            </w:r>
          </w:p>
        </w:tc>
        <w:tc>
          <w:tcPr>
            <w:tcW w:w="3260" w:type="dxa"/>
          </w:tcPr>
          <w:p w14:paraId="5FFBBC9B" w14:textId="6072572E" w:rsidR="008D27AF" w:rsidRPr="00A845A7" w:rsidRDefault="008D27AF" w:rsidP="00A5280F">
            <w:pPr>
              <w:tabs>
                <w:tab w:val="left" w:pos="4111"/>
              </w:tabs>
              <w:spacing w:before="10"/>
              <w:ind w:left="57"/>
              <w:rPr>
                <w:b/>
              </w:rPr>
            </w:pPr>
            <w:r w:rsidRPr="00A845A7">
              <w:rPr>
                <w:b/>
              </w:rPr>
              <w:t>Circulaire TSB 16</w:t>
            </w:r>
            <w:r w:rsidR="008814F4" w:rsidRPr="00A845A7">
              <w:rPr>
                <w:b/>
              </w:rPr>
              <w:t>2</w:t>
            </w:r>
          </w:p>
          <w:p w14:paraId="577F6DA2" w14:textId="21CDF707" w:rsidR="008D27AF" w:rsidRPr="00A845A7" w:rsidRDefault="008814F4" w:rsidP="00307FB4">
            <w:pPr>
              <w:tabs>
                <w:tab w:val="left" w:pos="4111"/>
              </w:tabs>
              <w:spacing w:before="10"/>
              <w:ind w:left="57"/>
              <w:rPr>
                <w:b/>
                <w:bCs/>
              </w:rPr>
            </w:pPr>
            <w:r w:rsidRPr="00A845A7">
              <w:rPr>
                <w:b/>
                <w:bCs/>
              </w:rPr>
              <w:t>BSG/RC</w:t>
            </w:r>
          </w:p>
        </w:tc>
        <w:tc>
          <w:tcPr>
            <w:tcW w:w="5190" w:type="dxa"/>
            <w:vMerge w:val="restart"/>
          </w:tcPr>
          <w:p w14:paraId="35271D8E" w14:textId="6BB3525A" w:rsidR="008D27AF" w:rsidRPr="00A845A7" w:rsidRDefault="008D27AF" w:rsidP="00307FB4">
            <w:pPr>
              <w:tabs>
                <w:tab w:val="left" w:pos="4111"/>
              </w:tabs>
              <w:spacing w:before="0"/>
              <w:ind w:left="426" w:hanging="426"/>
            </w:pPr>
            <w:bookmarkStart w:id="0" w:name="Addressee_F"/>
            <w:bookmarkEnd w:id="0"/>
            <w:r w:rsidRPr="00A845A7">
              <w:t>–</w:t>
            </w:r>
            <w:r w:rsidRPr="00A845A7">
              <w:tab/>
              <w:t>Aux Administrations des États Membres de l'Union;</w:t>
            </w:r>
          </w:p>
          <w:p w14:paraId="11924D81" w14:textId="76BDD097" w:rsidR="008D27AF" w:rsidRPr="00A845A7" w:rsidRDefault="008D27AF" w:rsidP="00307FB4">
            <w:pPr>
              <w:tabs>
                <w:tab w:val="left" w:pos="4111"/>
              </w:tabs>
              <w:spacing w:before="0"/>
              <w:ind w:left="426" w:hanging="426"/>
            </w:pPr>
            <w:r w:rsidRPr="00A845A7">
              <w:t>–</w:t>
            </w:r>
            <w:r w:rsidRPr="00A845A7">
              <w:tab/>
              <w:t xml:space="preserve">À l'État de Palestine </w:t>
            </w:r>
            <w:r w:rsidR="00656825" w:rsidRPr="00A845A7">
              <w:br/>
            </w:r>
            <w:r w:rsidRPr="00A845A7">
              <w:t>(Rés</w:t>
            </w:r>
            <w:r w:rsidR="0075120D" w:rsidRPr="00A845A7">
              <w:t>olution</w:t>
            </w:r>
            <w:r w:rsidRPr="00A845A7">
              <w:t xml:space="preserve"> 99 (Rév. Dubaï, 2018));</w:t>
            </w:r>
          </w:p>
          <w:p w14:paraId="38A5A6AE" w14:textId="409EC079" w:rsidR="008D27AF" w:rsidRPr="00A845A7" w:rsidRDefault="008D27AF" w:rsidP="00307FB4">
            <w:pPr>
              <w:tabs>
                <w:tab w:val="left" w:pos="4111"/>
              </w:tabs>
              <w:spacing w:before="0"/>
              <w:ind w:left="426" w:hanging="426"/>
            </w:pPr>
            <w:r w:rsidRPr="00A845A7">
              <w:t>–</w:t>
            </w:r>
            <w:r w:rsidRPr="00A845A7">
              <w:tab/>
              <w:t>Aux Membres du Secteur de l'UIT-T;</w:t>
            </w:r>
          </w:p>
          <w:p w14:paraId="45F82FBC" w14:textId="708F2FC6" w:rsidR="008D27AF" w:rsidRPr="00A845A7" w:rsidRDefault="008D27AF" w:rsidP="00307FB4">
            <w:pPr>
              <w:tabs>
                <w:tab w:val="left" w:pos="4111"/>
              </w:tabs>
              <w:spacing w:before="0"/>
              <w:ind w:left="426" w:hanging="426"/>
            </w:pPr>
            <w:r w:rsidRPr="00A845A7">
              <w:t>–</w:t>
            </w:r>
            <w:r w:rsidRPr="00A845A7">
              <w:tab/>
              <w:t>Aux Associés de l'UIT-T;</w:t>
            </w:r>
          </w:p>
          <w:p w14:paraId="1DD6972E" w14:textId="77777777" w:rsidR="008D27AF" w:rsidRPr="00A845A7" w:rsidRDefault="008D27AF" w:rsidP="00307FB4">
            <w:pPr>
              <w:tabs>
                <w:tab w:val="left" w:pos="4111"/>
              </w:tabs>
              <w:spacing w:before="0"/>
              <w:ind w:left="426" w:hanging="426"/>
            </w:pPr>
            <w:r w:rsidRPr="00A845A7">
              <w:t>–</w:t>
            </w:r>
            <w:r w:rsidRPr="00A845A7">
              <w:tab/>
              <w:t>Aux établissements universitaires participant aux travaux de l'UIT</w:t>
            </w:r>
          </w:p>
          <w:p w14:paraId="4C727B34" w14:textId="77777777" w:rsidR="008D27AF" w:rsidRPr="00A845A7" w:rsidRDefault="008D27AF" w:rsidP="00307FB4">
            <w:pPr>
              <w:tabs>
                <w:tab w:val="clear" w:pos="794"/>
                <w:tab w:val="left" w:pos="226"/>
                <w:tab w:val="left" w:pos="4111"/>
              </w:tabs>
              <w:spacing w:before="0"/>
              <w:ind w:left="226" w:hanging="226"/>
              <w:rPr>
                <w:b/>
                <w:bCs/>
              </w:rPr>
            </w:pPr>
            <w:r w:rsidRPr="00A845A7">
              <w:rPr>
                <w:b/>
                <w:bCs/>
              </w:rPr>
              <w:t>Copie:</w:t>
            </w:r>
          </w:p>
          <w:p w14:paraId="5EED5C45" w14:textId="1FFCBD91" w:rsidR="008D27AF" w:rsidRPr="00A845A7" w:rsidRDefault="008D27AF" w:rsidP="00307FB4">
            <w:pPr>
              <w:tabs>
                <w:tab w:val="clear" w:pos="794"/>
                <w:tab w:val="left" w:pos="4111"/>
              </w:tabs>
              <w:spacing w:before="0"/>
              <w:ind w:left="426" w:hanging="426"/>
            </w:pPr>
            <w:r w:rsidRPr="00A845A7">
              <w:t>–</w:t>
            </w:r>
            <w:r w:rsidRPr="00A845A7">
              <w:tab/>
              <w:t>Aux Présidents et Vice-Présidents des commissions d'études de l'UIT-T;</w:t>
            </w:r>
          </w:p>
          <w:p w14:paraId="52F9AFDD" w14:textId="77777777" w:rsidR="008D27AF" w:rsidRPr="00A845A7" w:rsidRDefault="008D27AF" w:rsidP="00307FB4">
            <w:pPr>
              <w:tabs>
                <w:tab w:val="clear" w:pos="794"/>
                <w:tab w:val="left" w:pos="4111"/>
              </w:tabs>
              <w:spacing w:before="0"/>
              <w:ind w:left="426" w:hanging="426"/>
            </w:pPr>
            <w:r w:rsidRPr="00A845A7">
              <w:t>–</w:t>
            </w:r>
            <w:r w:rsidRPr="00A845A7">
              <w:tab/>
              <w:t>Au Directeur du Bureau de développement des télécommunications;</w:t>
            </w:r>
          </w:p>
          <w:p w14:paraId="461460AE" w14:textId="4FDC813C" w:rsidR="008D27AF" w:rsidRPr="00A845A7" w:rsidRDefault="008D27AF" w:rsidP="00307FB4">
            <w:pPr>
              <w:tabs>
                <w:tab w:val="left" w:pos="4111"/>
              </w:tabs>
              <w:spacing w:before="0"/>
              <w:ind w:left="426" w:hanging="426"/>
            </w:pPr>
            <w:r w:rsidRPr="00A845A7">
              <w:t>–</w:t>
            </w:r>
            <w:r w:rsidRPr="00A845A7">
              <w:tab/>
              <w:t>Au Directeur du Bureau des radiocommunications</w:t>
            </w:r>
          </w:p>
        </w:tc>
      </w:tr>
      <w:tr w:rsidR="008D27AF" w:rsidRPr="00A845A7" w14:paraId="0682966F" w14:textId="77777777" w:rsidTr="008D27AF">
        <w:trPr>
          <w:cantSplit/>
          <w:trHeight w:val="340"/>
        </w:trPr>
        <w:tc>
          <w:tcPr>
            <w:tcW w:w="0" w:type="auto"/>
          </w:tcPr>
          <w:p w14:paraId="6AB23F62" w14:textId="686987E7" w:rsidR="008D27AF" w:rsidRPr="00A845A7" w:rsidRDefault="00B00C59" w:rsidP="00307FB4">
            <w:pPr>
              <w:tabs>
                <w:tab w:val="left" w:pos="4111"/>
              </w:tabs>
              <w:spacing w:before="10"/>
              <w:ind w:left="57"/>
            </w:pPr>
            <w:r w:rsidRPr="00A845A7">
              <w:rPr>
                <w:b/>
                <w:bCs/>
              </w:rPr>
              <w:t>Tél.:</w:t>
            </w:r>
          </w:p>
        </w:tc>
        <w:tc>
          <w:tcPr>
            <w:tcW w:w="3260" w:type="dxa"/>
          </w:tcPr>
          <w:p w14:paraId="53367368" w14:textId="355977FE" w:rsidR="008D27AF" w:rsidRPr="00A845A7" w:rsidRDefault="00B00C59" w:rsidP="00A5280F">
            <w:pPr>
              <w:tabs>
                <w:tab w:val="left" w:pos="4111"/>
              </w:tabs>
              <w:spacing w:before="10"/>
              <w:ind w:left="57"/>
            </w:pPr>
            <w:r w:rsidRPr="00A845A7">
              <w:t>+41 22 331 2268</w:t>
            </w:r>
          </w:p>
        </w:tc>
        <w:tc>
          <w:tcPr>
            <w:tcW w:w="5190" w:type="dxa"/>
            <w:vMerge/>
          </w:tcPr>
          <w:p w14:paraId="6AF650B1" w14:textId="77777777" w:rsidR="008D27AF" w:rsidRPr="00A845A7" w:rsidRDefault="008D27AF" w:rsidP="00307FB4">
            <w:pPr>
              <w:tabs>
                <w:tab w:val="left" w:pos="4111"/>
              </w:tabs>
              <w:spacing w:before="0"/>
              <w:ind w:left="426" w:hanging="426"/>
            </w:pPr>
          </w:p>
        </w:tc>
      </w:tr>
      <w:tr w:rsidR="00B00C59" w:rsidRPr="00A845A7" w14:paraId="42077A52" w14:textId="77777777" w:rsidTr="008D27AF">
        <w:trPr>
          <w:cantSplit/>
        </w:trPr>
        <w:tc>
          <w:tcPr>
            <w:tcW w:w="0" w:type="auto"/>
          </w:tcPr>
          <w:p w14:paraId="4B604BA9" w14:textId="65321235" w:rsidR="00B00C59" w:rsidRPr="00A845A7" w:rsidRDefault="00B00C59" w:rsidP="00A5280F">
            <w:pPr>
              <w:tabs>
                <w:tab w:val="left" w:pos="4111"/>
              </w:tabs>
              <w:spacing w:before="10"/>
              <w:ind w:left="57"/>
              <w:rPr>
                <w:b/>
                <w:bCs/>
              </w:rPr>
            </w:pPr>
            <w:r w:rsidRPr="00A845A7">
              <w:rPr>
                <w:b/>
                <w:bCs/>
              </w:rPr>
              <w:t>Télécopie:</w:t>
            </w:r>
          </w:p>
        </w:tc>
        <w:tc>
          <w:tcPr>
            <w:tcW w:w="3260" w:type="dxa"/>
          </w:tcPr>
          <w:p w14:paraId="48437F31" w14:textId="05B17933" w:rsidR="00B00C59" w:rsidRPr="00A845A7" w:rsidRDefault="00B00C59" w:rsidP="00B00C59">
            <w:pPr>
              <w:tabs>
                <w:tab w:val="left" w:pos="4111"/>
              </w:tabs>
              <w:spacing w:before="0"/>
              <w:ind w:left="57"/>
            </w:pPr>
            <w:r w:rsidRPr="00A845A7">
              <w:t>+41 22 730 5853</w:t>
            </w:r>
          </w:p>
        </w:tc>
        <w:tc>
          <w:tcPr>
            <w:tcW w:w="5190" w:type="dxa"/>
            <w:vMerge/>
          </w:tcPr>
          <w:p w14:paraId="60734ABF" w14:textId="77777777" w:rsidR="00B00C59" w:rsidRPr="00A845A7" w:rsidRDefault="00B00C59" w:rsidP="00307FB4">
            <w:pPr>
              <w:tabs>
                <w:tab w:val="left" w:pos="4111"/>
              </w:tabs>
              <w:spacing w:before="0"/>
              <w:ind w:left="426" w:hanging="426"/>
              <w:rPr>
                <w:b/>
              </w:rPr>
            </w:pPr>
          </w:p>
        </w:tc>
      </w:tr>
      <w:tr w:rsidR="008D27AF" w:rsidRPr="00A845A7" w14:paraId="724FD23E" w14:textId="77777777" w:rsidTr="008D27AF">
        <w:trPr>
          <w:cantSplit/>
        </w:trPr>
        <w:tc>
          <w:tcPr>
            <w:tcW w:w="0" w:type="auto"/>
          </w:tcPr>
          <w:p w14:paraId="73149CCD" w14:textId="2E215A8F" w:rsidR="008D27AF" w:rsidRPr="00A845A7" w:rsidRDefault="00B00C59" w:rsidP="00A5280F">
            <w:pPr>
              <w:tabs>
                <w:tab w:val="left" w:pos="4111"/>
              </w:tabs>
              <w:spacing w:before="10"/>
              <w:ind w:left="57"/>
              <w:rPr>
                <w:b/>
                <w:bCs/>
                <w:sz w:val="20"/>
              </w:rPr>
            </w:pPr>
            <w:r w:rsidRPr="00A845A7">
              <w:rPr>
                <w:b/>
                <w:bCs/>
              </w:rPr>
              <w:t>Courriel:</w:t>
            </w:r>
          </w:p>
        </w:tc>
        <w:tc>
          <w:tcPr>
            <w:tcW w:w="3260" w:type="dxa"/>
          </w:tcPr>
          <w:p w14:paraId="78D06186" w14:textId="7DFDDE57" w:rsidR="00B00C59" w:rsidRPr="00A845A7" w:rsidRDefault="00A845A7" w:rsidP="00B00C59">
            <w:pPr>
              <w:tabs>
                <w:tab w:val="left" w:pos="4111"/>
              </w:tabs>
              <w:spacing w:before="0"/>
              <w:ind w:left="57"/>
            </w:pPr>
            <w:hyperlink r:id="rId9" w:history="1">
              <w:r w:rsidRPr="00A845A7">
                <w:rPr>
                  <w:rStyle w:val="Hyperlink"/>
                </w:rPr>
                <w:t>tsbbsg@itu.int</w:t>
              </w:r>
            </w:hyperlink>
          </w:p>
        </w:tc>
        <w:tc>
          <w:tcPr>
            <w:tcW w:w="5190" w:type="dxa"/>
            <w:vMerge/>
          </w:tcPr>
          <w:p w14:paraId="6D3A5806" w14:textId="2FD178B2" w:rsidR="008D27AF" w:rsidRPr="00A845A7" w:rsidRDefault="008D27AF" w:rsidP="00307FB4">
            <w:pPr>
              <w:tabs>
                <w:tab w:val="left" w:pos="4111"/>
              </w:tabs>
              <w:spacing w:before="0"/>
              <w:ind w:left="426" w:hanging="426"/>
              <w:rPr>
                <w:b/>
              </w:rPr>
            </w:pPr>
          </w:p>
        </w:tc>
      </w:tr>
      <w:tr w:rsidR="008D27AF" w:rsidRPr="00A845A7" w14:paraId="030F9AE5" w14:textId="77777777" w:rsidTr="008D27AF">
        <w:trPr>
          <w:cantSplit/>
          <w:trHeight w:val="339"/>
        </w:trPr>
        <w:tc>
          <w:tcPr>
            <w:tcW w:w="0" w:type="auto"/>
          </w:tcPr>
          <w:p w14:paraId="7B417C4C" w14:textId="4E16BF10" w:rsidR="008D27AF" w:rsidRPr="00A845A7" w:rsidRDefault="00B00C59" w:rsidP="00A5280F">
            <w:pPr>
              <w:tabs>
                <w:tab w:val="left" w:pos="4111"/>
              </w:tabs>
              <w:spacing w:before="10"/>
              <w:ind w:left="57"/>
              <w:rPr>
                <w:b/>
                <w:bCs/>
                <w:sz w:val="20"/>
              </w:rPr>
            </w:pPr>
            <w:r w:rsidRPr="00A845A7">
              <w:rPr>
                <w:b/>
                <w:bCs/>
                <w:color w:val="000000"/>
                <w:szCs w:val="22"/>
              </w:rPr>
              <w:t>Site web:</w:t>
            </w:r>
          </w:p>
        </w:tc>
        <w:tc>
          <w:tcPr>
            <w:tcW w:w="3260" w:type="dxa"/>
          </w:tcPr>
          <w:p w14:paraId="1A4A5F7B" w14:textId="02545836" w:rsidR="008D27AF" w:rsidRPr="00A845A7" w:rsidRDefault="00A845A7" w:rsidP="00A5280F">
            <w:pPr>
              <w:tabs>
                <w:tab w:val="left" w:pos="4111"/>
              </w:tabs>
              <w:spacing w:before="0"/>
              <w:ind w:left="57"/>
            </w:pPr>
            <w:hyperlink r:id="rId10" w:history="1">
              <w:r w:rsidR="00656825" w:rsidRPr="00A845A7">
                <w:rPr>
                  <w:rStyle w:val="Hyperlink"/>
                </w:rPr>
                <w:t>https://www.itu.int/bsg/</w:t>
              </w:r>
            </w:hyperlink>
          </w:p>
        </w:tc>
        <w:tc>
          <w:tcPr>
            <w:tcW w:w="5190" w:type="dxa"/>
            <w:vMerge/>
          </w:tcPr>
          <w:p w14:paraId="323DAC81" w14:textId="68D7251E" w:rsidR="008D27AF" w:rsidRPr="00A845A7" w:rsidRDefault="008D27AF" w:rsidP="00307FB4">
            <w:pPr>
              <w:tabs>
                <w:tab w:val="left" w:pos="4111"/>
              </w:tabs>
              <w:spacing w:before="0"/>
              <w:ind w:left="426" w:hanging="426"/>
              <w:rPr>
                <w:b/>
              </w:rPr>
            </w:pPr>
          </w:p>
        </w:tc>
      </w:tr>
      <w:tr w:rsidR="008D27AF" w:rsidRPr="00A845A7" w14:paraId="640FB6B9" w14:textId="77777777" w:rsidTr="008D27AF">
        <w:trPr>
          <w:cantSplit/>
        </w:trPr>
        <w:tc>
          <w:tcPr>
            <w:tcW w:w="0" w:type="auto"/>
          </w:tcPr>
          <w:p w14:paraId="15527369" w14:textId="2A66358E" w:rsidR="008D27AF" w:rsidRPr="00A845A7" w:rsidRDefault="008D27AF" w:rsidP="00A5280F">
            <w:pPr>
              <w:tabs>
                <w:tab w:val="left" w:pos="4111"/>
              </w:tabs>
              <w:spacing w:before="10"/>
              <w:ind w:left="57"/>
              <w:rPr>
                <w:b/>
                <w:bCs/>
              </w:rPr>
            </w:pPr>
          </w:p>
        </w:tc>
        <w:tc>
          <w:tcPr>
            <w:tcW w:w="3260" w:type="dxa"/>
          </w:tcPr>
          <w:p w14:paraId="172249CE" w14:textId="555EB9CA" w:rsidR="008D27AF" w:rsidRPr="00A845A7" w:rsidRDefault="008D27AF" w:rsidP="00A5280F">
            <w:pPr>
              <w:tabs>
                <w:tab w:val="left" w:pos="4111"/>
              </w:tabs>
              <w:spacing w:before="0"/>
              <w:ind w:left="57"/>
            </w:pPr>
          </w:p>
        </w:tc>
        <w:tc>
          <w:tcPr>
            <w:tcW w:w="5190" w:type="dxa"/>
            <w:vMerge/>
          </w:tcPr>
          <w:p w14:paraId="19762254" w14:textId="6C62D09E" w:rsidR="008D27AF" w:rsidRPr="00A845A7" w:rsidRDefault="008D27AF" w:rsidP="00307FB4">
            <w:pPr>
              <w:tabs>
                <w:tab w:val="clear" w:pos="794"/>
                <w:tab w:val="left" w:pos="4111"/>
              </w:tabs>
              <w:spacing w:before="0"/>
              <w:ind w:left="426" w:hanging="426"/>
            </w:pPr>
          </w:p>
        </w:tc>
      </w:tr>
      <w:tr w:rsidR="00517A03" w:rsidRPr="00A845A7" w14:paraId="5435C04A" w14:textId="77777777" w:rsidTr="00C41B89">
        <w:trPr>
          <w:cantSplit/>
          <w:trHeight w:val="397"/>
        </w:trPr>
        <w:tc>
          <w:tcPr>
            <w:tcW w:w="0" w:type="auto"/>
          </w:tcPr>
          <w:p w14:paraId="2A0B9B4F" w14:textId="77777777" w:rsidR="00517A03" w:rsidRPr="00A845A7" w:rsidRDefault="00517A03" w:rsidP="00307FB4">
            <w:pPr>
              <w:tabs>
                <w:tab w:val="left" w:pos="4111"/>
              </w:tabs>
              <w:ind w:left="57"/>
              <w:rPr>
                <w:b/>
                <w:bCs/>
                <w:szCs w:val="22"/>
              </w:rPr>
            </w:pPr>
            <w:r w:rsidRPr="00A845A7">
              <w:rPr>
                <w:b/>
                <w:bCs/>
                <w:szCs w:val="22"/>
              </w:rPr>
              <w:t>Objet:</w:t>
            </w:r>
          </w:p>
        </w:tc>
        <w:tc>
          <w:tcPr>
            <w:tcW w:w="0" w:type="auto"/>
            <w:gridSpan w:val="2"/>
          </w:tcPr>
          <w:p w14:paraId="1A51EE75" w14:textId="74E7FE2C" w:rsidR="00517A03" w:rsidRPr="00A845A7" w:rsidRDefault="00C82C78" w:rsidP="0048088B">
            <w:pPr>
              <w:tabs>
                <w:tab w:val="left" w:pos="4111"/>
              </w:tabs>
              <w:spacing w:after="120"/>
              <w:ind w:left="57"/>
              <w:rPr>
                <w:b/>
                <w:bCs/>
                <w:szCs w:val="22"/>
              </w:rPr>
            </w:pPr>
            <w:r w:rsidRPr="00A845A7">
              <w:rPr>
                <w:b/>
                <w:bCs/>
                <w:szCs w:val="22"/>
              </w:rPr>
              <w:t>Évaluation des activités de l'UIT-T relatives à la réduction de l'écart en matière de normalisation – Annonce et invitation à participer</w:t>
            </w:r>
          </w:p>
        </w:tc>
      </w:tr>
    </w:tbl>
    <w:p w14:paraId="2D1EC328" w14:textId="77777777" w:rsidR="00517A03" w:rsidRPr="00A845A7" w:rsidRDefault="00517A03" w:rsidP="0075120D">
      <w:pPr>
        <w:pStyle w:val="Normalaftertitle"/>
      </w:pPr>
      <w:bookmarkStart w:id="1" w:name="StartTyping_F"/>
      <w:bookmarkEnd w:id="1"/>
      <w:r w:rsidRPr="00A845A7">
        <w:t>Madame, Monsieur,</w:t>
      </w:r>
    </w:p>
    <w:p w14:paraId="33FA1AA1" w14:textId="3008FA1B" w:rsidR="008D27AF" w:rsidRPr="00A845A7" w:rsidRDefault="00C82C78" w:rsidP="008D27AF">
      <w:pPr>
        <w:rPr>
          <w:bCs/>
        </w:rPr>
      </w:pPr>
      <w:r w:rsidRPr="00A845A7">
        <w:rPr>
          <w:bCs/>
        </w:rPr>
        <w:t xml:space="preserve">J'ai l'honneur d'annoncer le lancement d'une évaluation des activités relatives à la réduction de l'écart en matière de normalisation menées au sein du Secteur de la normalisation des télécommunications de l'Union internationale des télécommunications (UIT-T), conformément au plan d'action présenté dans la </w:t>
      </w:r>
      <w:r w:rsidRPr="00A845A7">
        <w:t xml:space="preserve">Résolution </w:t>
      </w:r>
      <w:hyperlink r:id="rId11" w:history="1">
        <w:r w:rsidRPr="00A845A7">
          <w:rPr>
            <w:rStyle w:val="Hyperlink"/>
          </w:rPr>
          <w:t>44</w:t>
        </w:r>
      </w:hyperlink>
      <w:r w:rsidRPr="00A845A7">
        <w:t xml:space="preserve"> (Rév. New Delh</w:t>
      </w:r>
      <w:r w:rsidRPr="00A845A7">
        <w:t>i</w:t>
      </w:r>
      <w:r w:rsidRPr="00A845A7">
        <w:t>, 2024) de l'Assemblée mondiale de normalisation des télécommunications (AMNT)</w:t>
      </w:r>
      <w:r w:rsidRPr="00A845A7">
        <w:rPr>
          <w:bCs/>
        </w:rPr>
        <w:t>. Comme indiqué par le Conseil à sa session de 2026 (</w:t>
      </w:r>
      <w:hyperlink r:id="rId12" w:history="1">
        <w:r w:rsidRPr="00A845A7">
          <w:rPr>
            <w:bCs/>
          </w:rPr>
          <w:t xml:space="preserve">Document </w:t>
        </w:r>
        <w:r w:rsidRPr="00A845A7">
          <w:rPr>
            <w:rStyle w:val="Hyperlink"/>
          </w:rPr>
          <w:t>C2</w:t>
        </w:r>
        <w:r w:rsidRPr="00A845A7">
          <w:rPr>
            <w:rStyle w:val="Hyperlink"/>
          </w:rPr>
          <w:t>6</w:t>
        </w:r>
        <w:r w:rsidRPr="00A845A7">
          <w:rPr>
            <w:rStyle w:val="Hyperlink"/>
          </w:rPr>
          <w:t>/45</w:t>
        </w:r>
        <w:r w:rsidR="00BD2E38" w:rsidRPr="00A845A7">
          <w:rPr>
            <w:rStyle w:val="Hyperlink"/>
            <w:u w:val="none"/>
          </w:rPr>
          <w:t xml:space="preserve"> </w:t>
        </w:r>
        <w:r w:rsidRPr="00A845A7">
          <w:rPr>
            <w:bCs/>
          </w:rPr>
          <w:t>du Conseil</w:t>
        </w:r>
      </w:hyperlink>
      <w:r w:rsidRPr="00A845A7">
        <w:rPr>
          <w:bCs/>
        </w:rPr>
        <w:t xml:space="preserve">), cette évaluation est actuellement réalisée par le Bureau de la </w:t>
      </w:r>
      <w:hyperlink r:id="rId13" w:anchor="/fr" w:history="1">
        <w:r w:rsidRPr="00A845A7">
          <w:rPr>
            <w:rStyle w:val="Hyperlink"/>
          </w:rPr>
          <w:t>normalisation des télécommunic</w:t>
        </w:r>
        <w:r w:rsidRPr="00A845A7">
          <w:rPr>
            <w:rStyle w:val="Hyperlink"/>
          </w:rPr>
          <w:t>a</w:t>
        </w:r>
        <w:r w:rsidRPr="00A845A7">
          <w:rPr>
            <w:rStyle w:val="Hyperlink"/>
          </w:rPr>
          <w:t>tions (TSB</w:t>
        </w:r>
        <w:r w:rsidRPr="00A845A7">
          <w:rPr>
            <w:rStyle w:val="Hyperlink"/>
            <w:u w:val="none"/>
          </w:rPr>
          <w:t>)</w:t>
        </w:r>
      </w:hyperlink>
      <w:r w:rsidRPr="00A845A7">
        <w:rPr>
          <w:bCs/>
        </w:rPr>
        <w:t xml:space="preserve"> avec l'appui de l'</w:t>
      </w:r>
      <w:hyperlink r:id="rId14" w:history="1">
        <w:r w:rsidRPr="00A845A7">
          <w:rPr>
            <w:rStyle w:val="Hyperlink"/>
          </w:rPr>
          <w:t>Unité du contrôle</w:t>
        </w:r>
        <w:r w:rsidRPr="00A845A7">
          <w:rPr>
            <w:rStyle w:val="Hyperlink"/>
          </w:rPr>
          <w:t xml:space="preserve"> </w:t>
        </w:r>
        <w:r w:rsidRPr="00A845A7">
          <w:rPr>
            <w:rStyle w:val="Hyperlink"/>
          </w:rPr>
          <w:t>interne de l'UIT</w:t>
        </w:r>
      </w:hyperlink>
      <w:r w:rsidR="008D27AF" w:rsidRPr="00A845A7">
        <w:rPr>
          <w:bCs/>
        </w:rPr>
        <w:t>.</w:t>
      </w:r>
    </w:p>
    <w:p w14:paraId="1CDC539A" w14:textId="02497576" w:rsidR="008D27AF" w:rsidRPr="00A845A7" w:rsidRDefault="00105017" w:rsidP="008D27AF">
      <w:pPr>
        <w:rPr>
          <w:bCs/>
        </w:rPr>
      </w:pPr>
      <w:r w:rsidRPr="00A845A7">
        <w:rPr>
          <w:bCs/>
        </w:rPr>
        <w:t xml:space="preserve">Cette évaluation portera sur la mise en œuvre de la Résolution 44 et permettra de recenser les lacunes ainsi que les possibilités de renforcer les activités relatives à la réduction de l'écart en matière de normalisation et la valeur qu'elles apportent aux membres de l'UIT. Elle permettra également d'informer les États Membres de la mise en œuvre de la résolution et de faciliter les travaux préparatoires en vue de l'Assemblée mondiale de normalisation des télécommunications de 2028 (AMNT-28). Le cadre de l'évaluation figure dans le Document </w:t>
      </w:r>
      <w:hyperlink r:id="rId15" w:history="1">
        <w:r w:rsidRPr="00A845A7">
          <w:rPr>
            <w:rStyle w:val="Hyperlink"/>
          </w:rPr>
          <w:t>TSAG-</w:t>
        </w:r>
        <w:r w:rsidRPr="00A845A7">
          <w:rPr>
            <w:rStyle w:val="Hyperlink"/>
          </w:rPr>
          <w:t>T</w:t>
        </w:r>
        <w:r w:rsidRPr="00A845A7">
          <w:rPr>
            <w:rStyle w:val="Hyperlink"/>
          </w:rPr>
          <w:t>D</w:t>
        </w:r>
        <w:r w:rsidRPr="00A845A7">
          <w:rPr>
            <w:rStyle w:val="Hyperlink"/>
          </w:rPr>
          <w:t>4</w:t>
        </w:r>
        <w:r w:rsidRPr="00A845A7">
          <w:rPr>
            <w:rStyle w:val="Hyperlink"/>
          </w:rPr>
          <w:t>37</w:t>
        </w:r>
      </w:hyperlink>
      <w:r w:rsidRPr="00A845A7">
        <w:rPr>
          <w:bCs/>
        </w:rPr>
        <w:t>. Le rapport final, y compris les conclusions et recommandations formulées, sera communiqué aux membres de l'UIT-T au plus tard en décembre 2026</w:t>
      </w:r>
      <w:r w:rsidR="008D27AF" w:rsidRPr="00A845A7">
        <w:rPr>
          <w:bCs/>
        </w:rPr>
        <w:t>.</w:t>
      </w:r>
    </w:p>
    <w:p w14:paraId="09A3986B" w14:textId="40E5D9BC" w:rsidR="0075120D" w:rsidRPr="00A845A7" w:rsidRDefault="00105017" w:rsidP="0075120D">
      <w:pPr>
        <w:rPr>
          <w:bCs/>
        </w:rPr>
      </w:pPr>
      <w:r w:rsidRPr="00A845A7">
        <w:rPr>
          <w:bCs/>
        </w:rPr>
        <w:t xml:space="preserve">Les données d'expérience et les points de vue des membres de l'UIT et d'autres parties prenantes sont essentiels pour que les activités relatives à la réduction de l'écart en matière de normalisation répondent aux besoins des membres. Qu'ils aient ou non déjà contribué aux activités relatives à la réduction de l'écart en matière de normalisation, tous les experts participant aux travaux de l'UIT-T sont invités à apporter leur contribution en remplissant un </w:t>
      </w:r>
      <w:hyperlink r:id="rId16" w:history="1">
        <w:r w:rsidRPr="00A845A7">
          <w:rPr>
            <w:rStyle w:val="Hyperlink"/>
          </w:rPr>
          <w:t>questio</w:t>
        </w:r>
        <w:r w:rsidRPr="00A845A7">
          <w:rPr>
            <w:rStyle w:val="Hyperlink"/>
          </w:rPr>
          <w:t>n</w:t>
        </w:r>
        <w:r w:rsidRPr="00A845A7">
          <w:rPr>
            <w:rStyle w:val="Hyperlink"/>
          </w:rPr>
          <w:t>naire à l'intention des membres de l'UIT-T</w:t>
        </w:r>
      </w:hyperlink>
      <w:r w:rsidRPr="00A845A7">
        <w:rPr>
          <w:bCs/>
        </w:rPr>
        <w:t xml:space="preserve"> (accessible jusqu'au vendredi 16 octobre 2026) ou en participant à une "enquête selon la </w:t>
      </w:r>
      <w:r w:rsidR="0075120D" w:rsidRPr="00A845A7">
        <w:rPr>
          <w:bCs/>
        </w:rPr>
        <w:br w:type="page"/>
      </w:r>
    </w:p>
    <w:p w14:paraId="4B800EDD" w14:textId="109D2283" w:rsidR="008D27AF" w:rsidRPr="00A845A7" w:rsidRDefault="00105017" w:rsidP="008D27AF">
      <w:pPr>
        <w:rPr>
          <w:bCs/>
        </w:rPr>
      </w:pPr>
      <w:r w:rsidRPr="00A845A7">
        <w:rPr>
          <w:bCs/>
        </w:rPr>
        <w:lastRenderedPageBreak/>
        <w:t>méthode Delphi" (les personnes intéressées sont invitées à se manifester d'ici au vendredi</w:t>
      </w:r>
      <w:r w:rsidR="00A845A7" w:rsidRPr="00A845A7">
        <w:rPr>
          <w:bCs/>
        </w:rPr>
        <w:t> </w:t>
      </w:r>
      <w:r w:rsidRPr="00A845A7">
        <w:rPr>
          <w:bCs/>
        </w:rPr>
        <w:t>4</w:t>
      </w:r>
      <w:r w:rsidR="00BD2E38" w:rsidRPr="00A845A7">
        <w:rPr>
          <w:bCs/>
        </w:rPr>
        <w:t> </w:t>
      </w:r>
      <w:r w:rsidRPr="00A845A7">
        <w:rPr>
          <w:bCs/>
        </w:rPr>
        <w:t>septembre 2026). De plus amples informations sur chacune de ces possibilités sont données dans l'Annexe A</w:t>
      </w:r>
      <w:r w:rsidR="008D27AF" w:rsidRPr="00A845A7">
        <w:rPr>
          <w:bCs/>
        </w:rPr>
        <w:t>.</w:t>
      </w:r>
    </w:p>
    <w:p w14:paraId="243991D5" w14:textId="4EF0956D" w:rsidR="008D27AF" w:rsidRPr="00A845A7" w:rsidRDefault="00105017" w:rsidP="008D27AF">
      <w:pPr>
        <w:rPr>
          <w:bCs/>
        </w:rPr>
      </w:pPr>
      <w:r w:rsidRPr="00A845A7">
        <w:rPr>
          <w:bCs/>
        </w:rPr>
        <w:t>Une brève réunion de lancement se tiendra en septembre 2026 et un atelier sur les premières conclusions tirées sera organisé en novembre 2026, avant la publication du rapport d'évaluation. Des renseignements détaillés sur ces deux réunions seront communiqués via les listes de diffusion des commissions d'études de l'UIT-T</w:t>
      </w:r>
      <w:r w:rsidR="008D27AF" w:rsidRPr="00A845A7">
        <w:rPr>
          <w:bCs/>
        </w:rPr>
        <w:t>.</w:t>
      </w:r>
    </w:p>
    <w:p w14:paraId="7EA16902" w14:textId="59352508" w:rsidR="00105017" w:rsidRPr="00A845A7" w:rsidRDefault="00105017" w:rsidP="008D27AF">
      <w:pPr>
        <w:rPr>
          <w:bCs/>
        </w:rPr>
      </w:pPr>
      <w:r w:rsidRPr="00A845A7">
        <w:rPr>
          <w:bCs/>
        </w:rPr>
        <w:t>Je vous encourage à participer à cette évaluation et vous remercie par avance de votre précieuse contribution.</w:t>
      </w:r>
    </w:p>
    <w:p w14:paraId="76A652C5" w14:textId="5E5F055C" w:rsidR="00783144" w:rsidRPr="00A845A7" w:rsidRDefault="00783144" w:rsidP="00783144">
      <w:pPr>
        <w:rPr>
          <w:bCs/>
        </w:rPr>
      </w:pPr>
      <w:r w:rsidRPr="00A845A7">
        <w:rPr>
          <w:bCs/>
        </w:rPr>
        <w:t>Veuillez agréer, Madame, Monsieur, l'assurance de ma considération distinguée.</w:t>
      </w:r>
    </w:p>
    <w:p w14:paraId="65C23DB6" w14:textId="77777777" w:rsidR="00783144" w:rsidRPr="00A845A7" w:rsidRDefault="00783144" w:rsidP="009D31E9">
      <w:pPr>
        <w:spacing w:before="480" w:after="480"/>
        <w:rPr>
          <w:bCs/>
        </w:rPr>
      </w:pPr>
      <w:r w:rsidRPr="00A845A7">
        <w:rPr>
          <w:bCs/>
        </w:rPr>
        <w:t>(</w:t>
      </w:r>
      <w:r w:rsidRPr="00A845A7">
        <w:rPr>
          <w:bCs/>
          <w:i/>
          <w:iCs/>
        </w:rPr>
        <w:t>signé</w:t>
      </w:r>
      <w:r w:rsidRPr="00A845A7">
        <w:rPr>
          <w:bCs/>
        </w:rPr>
        <w:t>)</w:t>
      </w:r>
    </w:p>
    <w:p w14:paraId="375A0288" w14:textId="620DE300" w:rsidR="00783144" w:rsidRPr="00A845A7" w:rsidRDefault="00783144" w:rsidP="00783144">
      <w:pPr>
        <w:rPr>
          <w:bCs/>
        </w:rPr>
      </w:pPr>
      <w:r w:rsidRPr="00A845A7">
        <w:rPr>
          <w:bCs/>
        </w:rPr>
        <w:t>Seizo Onoe</w:t>
      </w:r>
      <w:r w:rsidRPr="00A845A7">
        <w:rPr>
          <w:bCs/>
        </w:rPr>
        <w:br/>
        <w:t xml:space="preserve">Directeur du Bureau de la normalisation </w:t>
      </w:r>
      <w:r w:rsidR="009D31E9" w:rsidRPr="00A845A7">
        <w:rPr>
          <w:bCs/>
        </w:rPr>
        <w:br/>
      </w:r>
      <w:r w:rsidRPr="00A845A7">
        <w:rPr>
          <w:bCs/>
        </w:rPr>
        <w:t>des télécommunications</w:t>
      </w:r>
    </w:p>
    <w:p w14:paraId="4D7CFA72" w14:textId="08DAA403" w:rsidR="008D27AF" w:rsidRPr="00A845A7" w:rsidRDefault="008D27AF" w:rsidP="008D27AF">
      <w:pPr>
        <w:rPr>
          <w:bCs/>
        </w:rPr>
      </w:pPr>
      <w:r w:rsidRPr="00A845A7">
        <w:rPr>
          <w:bCs/>
        </w:rPr>
        <w:br w:type="page"/>
      </w:r>
    </w:p>
    <w:p w14:paraId="27C089D3" w14:textId="6A15DAAC" w:rsidR="00B00C59" w:rsidRPr="00A845A7" w:rsidRDefault="00B00C59" w:rsidP="00D774E8">
      <w:pPr>
        <w:pStyle w:val="AnnexTitle"/>
      </w:pPr>
      <w:r w:rsidRPr="00A845A7">
        <w:lastRenderedPageBreak/>
        <w:t>Annexe A:</w:t>
      </w:r>
      <w:r w:rsidR="00D774E8" w:rsidRPr="00A845A7">
        <w:br/>
      </w:r>
      <w:r w:rsidRPr="00A845A7">
        <w:t>Possibilités de contribuer à l'évaluation</w:t>
      </w:r>
    </w:p>
    <w:p w14:paraId="20743660" w14:textId="77777777" w:rsidR="00B00C59" w:rsidRPr="00A845A7" w:rsidRDefault="00B00C59" w:rsidP="00A845A7">
      <w:pPr>
        <w:pStyle w:val="Normalaftertitle"/>
      </w:pPr>
      <w:r w:rsidRPr="00A845A7">
        <w:t>L'évaluation dont il est question s'appuie sur les données d'expérience et les compétences spécialisées des membres de l'UIT et d'autres parties prenantes, recueillies au moyen du questionnaire et de l'enquête selon la méthode Delphi décrits ci-dessous. Conjointement avec d'autres éléments, ces contributions permettront d'étayer les résultats, les conclusions et les recommandations issus de l'évaluation.</w:t>
      </w:r>
    </w:p>
    <w:p w14:paraId="2556C8BC" w14:textId="77777777" w:rsidR="00B00C59" w:rsidRPr="00A845A7" w:rsidRDefault="00B00C59" w:rsidP="00A845A7">
      <w:pPr>
        <w:pStyle w:val="Heading2"/>
      </w:pPr>
      <w:r w:rsidRPr="00A845A7">
        <w:t>A.1</w:t>
      </w:r>
      <w:r w:rsidRPr="00A845A7">
        <w:tab/>
        <w:t>Questionnaire à l'intention des membres de l'UIT-T</w:t>
      </w:r>
    </w:p>
    <w:p w14:paraId="0D5F8F32" w14:textId="32329DBF" w:rsidR="00B00C59" w:rsidRPr="00A845A7" w:rsidRDefault="00656825" w:rsidP="00B00C59">
      <w:pPr>
        <w:spacing w:after="120"/>
        <w:rPr>
          <w:bCs/>
        </w:rPr>
      </w:pPr>
      <w:r w:rsidRPr="00A845A7">
        <w:t xml:space="preserve">Un questionnaire informel élaboré par le TSB dans le cadre de l'évaluation est ouvert aux membres de l'UIT et à d'autres parties prenantes de pays en développement et de pays développés, qu'ils aient déjà participé ou non aux activités relatives à la réduction de l'écart en matière de normalisation. Il faut compter environ 15 minutes pour répondre à ce questionnaire, qui restera accessible jusqu'au vendredi 16 octobre 2026. Le questionnaire est disponible à l'adresse </w:t>
      </w:r>
      <w:hyperlink r:id="rId17" w:history="1">
        <w:r w:rsidRPr="00A845A7">
          <w:rPr>
            <w:rStyle w:val="Hyperlink"/>
          </w:rPr>
          <w:t>https://forms.cloud.microsoft/e/F0N</w:t>
        </w:r>
        <w:r w:rsidRPr="00A845A7">
          <w:rPr>
            <w:rStyle w:val="Hyperlink"/>
          </w:rPr>
          <w:t>V</w:t>
        </w:r>
        <w:r w:rsidRPr="00A845A7">
          <w:rPr>
            <w:rStyle w:val="Hyperlink"/>
          </w:rPr>
          <w:t>6hTmt7</w:t>
        </w:r>
      </w:hyperlink>
      <w:r w:rsidR="00B00C59" w:rsidRPr="00A845A7">
        <w:rPr>
          <w:bCs/>
        </w:rPr>
        <w:t>.</w:t>
      </w:r>
    </w:p>
    <w:p w14:paraId="26051BCD" w14:textId="77777777" w:rsidR="00B00C59" w:rsidRPr="00A845A7" w:rsidRDefault="00B00C59" w:rsidP="00A845A7">
      <w:pPr>
        <w:pStyle w:val="Heading2"/>
      </w:pPr>
      <w:r w:rsidRPr="00A845A7">
        <w:t>A.2</w:t>
      </w:r>
      <w:r w:rsidRPr="00A845A7">
        <w:tab/>
        <w:t>Enquête selon la méthode Delphi</w:t>
      </w:r>
    </w:p>
    <w:p w14:paraId="2D084883" w14:textId="77777777" w:rsidR="00B00C59" w:rsidRPr="00A845A7" w:rsidRDefault="00B00C59" w:rsidP="00B00C59">
      <w:pPr>
        <w:spacing w:after="120"/>
        <w:rPr>
          <w:bCs/>
        </w:rPr>
      </w:pPr>
      <w:r w:rsidRPr="00A845A7">
        <w:rPr>
          <w:bCs/>
        </w:rPr>
        <w:t>L'enquête selon la méthode Delphi offre à 30 volontaires la possibilité de partager leurs points de vue sur les activités relatives à la réduction de l'écart en matière de normalisation actuelles et futures, par le biais d'une consultation anonyme en trois étapes. Les trois étapes devraient se dérouler du 10 au 20 septembre, du 28 septembre au 7 octobre et du 15 au 21 octobre 2026, chacune d'entre elles d'une durée d'environ 15 à 20 minutes.</w:t>
      </w:r>
    </w:p>
    <w:p w14:paraId="6A4CD67F" w14:textId="01E85D84" w:rsidR="00307FB4" w:rsidRPr="00A845A7" w:rsidRDefault="00B00C59" w:rsidP="00B00C59">
      <w:pPr>
        <w:spacing w:after="120"/>
        <w:rPr>
          <w:bCs/>
        </w:rPr>
      </w:pPr>
      <w:r w:rsidRPr="00A845A7">
        <w:rPr>
          <w:bCs/>
        </w:rPr>
        <w:t xml:space="preserve">Les participants seront sélectionnés de manière à assurer une large représentation des différentes régions, des différents niveaux de développement, des hommes et des femmes et des différentes catégories de membres, ainsi qu'un mélange d'experts chevronnés et de nouveaux venus. Les experts qui souhaitent participer sont invités à faire part de leur intérêt avant le 4 septembre 2026. Les participants retenus en seront informés d'ici au 9 septembre 2026. Les personnes non sélectionnées seront invitées à fournir des contributions écrites ou à participer à un court entretien semi-structuré. Pour manifester votre intérêt, veuillez écrire à l'adresse </w:t>
      </w:r>
      <w:hyperlink r:id="rId18" w:history="1">
        <w:r w:rsidR="00A845A7" w:rsidRPr="00A845A7">
          <w:rPr>
            <w:rStyle w:val="Hyperlink"/>
            <w:lang w:eastAsia="ko-KR"/>
          </w:rPr>
          <w:t>tsbbsg@itu.int</w:t>
        </w:r>
      </w:hyperlink>
      <w:r w:rsidR="009D31E9" w:rsidRPr="00A845A7">
        <w:t xml:space="preserve"> </w:t>
      </w:r>
      <w:r w:rsidRPr="00A845A7">
        <w:rPr>
          <w:bCs/>
        </w:rPr>
        <w:t>en indiquant les renseignements suivants:</w:t>
      </w:r>
    </w:p>
    <w:tbl>
      <w:tblPr>
        <w:tblStyle w:val="TableGrid"/>
        <w:tblW w:w="0" w:type="auto"/>
        <w:tblLayout w:type="fixed"/>
        <w:tblLook w:val="04A0" w:firstRow="1" w:lastRow="0" w:firstColumn="1" w:lastColumn="0" w:noHBand="0" w:noVBand="1"/>
      </w:tblPr>
      <w:tblGrid>
        <w:gridCol w:w="1696"/>
        <w:gridCol w:w="8023"/>
      </w:tblGrid>
      <w:tr w:rsidR="00B00C59" w:rsidRPr="00A845A7" w14:paraId="6EE7B471" w14:textId="77777777" w:rsidTr="008935C4">
        <w:tc>
          <w:tcPr>
            <w:tcW w:w="1696" w:type="dxa"/>
            <w:shd w:val="clear" w:color="auto" w:fill="D9D9D9" w:themeFill="background1" w:themeFillShade="D9"/>
            <w:vAlign w:val="center"/>
          </w:tcPr>
          <w:p w14:paraId="7D389FAA" w14:textId="77777777" w:rsidR="00B00C59" w:rsidRPr="00A845A7" w:rsidRDefault="00B00C59" w:rsidP="00A845A7">
            <w:pPr>
              <w:pStyle w:val="TableHead"/>
              <w:keepNext w:val="0"/>
              <w:widowControl w:val="0"/>
            </w:pPr>
            <w:r w:rsidRPr="00A845A7">
              <w:t>Profil</w:t>
            </w:r>
          </w:p>
        </w:tc>
        <w:tc>
          <w:tcPr>
            <w:tcW w:w="8023" w:type="dxa"/>
            <w:shd w:val="clear" w:color="auto" w:fill="D9D9D9" w:themeFill="background1" w:themeFillShade="D9"/>
            <w:vAlign w:val="center"/>
          </w:tcPr>
          <w:p w14:paraId="0052432D" w14:textId="77777777" w:rsidR="00B00C59" w:rsidRPr="00A845A7" w:rsidRDefault="00B00C59" w:rsidP="00A845A7">
            <w:pPr>
              <w:pStyle w:val="TableHead"/>
              <w:keepNext w:val="0"/>
              <w:widowControl w:val="0"/>
            </w:pPr>
            <w:r w:rsidRPr="00A845A7">
              <w:t>Réponse attendue</w:t>
            </w:r>
          </w:p>
        </w:tc>
      </w:tr>
      <w:tr w:rsidR="00B00C59" w:rsidRPr="00A845A7" w14:paraId="0094AFBE" w14:textId="77777777" w:rsidTr="008935C4">
        <w:tc>
          <w:tcPr>
            <w:tcW w:w="1696" w:type="dxa"/>
            <w:vAlign w:val="center"/>
          </w:tcPr>
          <w:p w14:paraId="4A023B81" w14:textId="77777777" w:rsidR="00B00C59" w:rsidRPr="00A845A7" w:rsidRDefault="00B00C59" w:rsidP="00A845A7">
            <w:pPr>
              <w:pStyle w:val="TableHead"/>
              <w:keepNext w:val="0"/>
              <w:widowControl w:val="0"/>
              <w:spacing w:before="40" w:after="40"/>
            </w:pPr>
            <w:r w:rsidRPr="00A845A7">
              <w:t>Pays</w:t>
            </w:r>
          </w:p>
        </w:tc>
        <w:tc>
          <w:tcPr>
            <w:tcW w:w="8023" w:type="dxa"/>
            <w:vAlign w:val="center"/>
          </w:tcPr>
          <w:p w14:paraId="52B18DAB" w14:textId="77777777" w:rsidR="00B00C59" w:rsidRPr="00A845A7" w:rsidRDefault="00B00C59" w:rsidP="00A845A7">
            <w:pPr>
              <w:pStyle w:val="TableText"/>
              <w:widowControl w:val="0"/>
            </w:pPr>
            <w:r w:rsidRPr="00A845A7">
              <w:t>Enquête ouverte aux participants de tous les pays et de toutes les régions</w:t>
            </w:r>
          </w:p>
        </w:tc>
      </w:tr>
      <w:tr w:rsidR="00B00C59" w:rsidRPr="00A845A7" w14:paraId="7FD57D25" w14:textId="77777777" w:rsidTr="008935C4">
        <w:tc>
          <w:tcPr>
            <w:tcW w:w="1696" w:type="dxa"/>
            <w:vAlign w:val="center"/>
          </w:tcPr>
          <w:p w14:paraId="6326BE99" w14:textId="77777777" w:rsidR="00B00C59" w:rsidRPr="00A845A7" w:rsidRDefault="00B00C59" w:rsidP="00A845A7">
            <w:pPr>
              <w:pStyle w:val="TableHead"/>
              <w:keepNext w:val="0"/>
              <w:widowControl w:val="0"/>
              <w:spacing w:before="40" w:after="40"/>
            </w:pPr>
            <w:r w:rsidRPr="00A845A7">
              <w:t>Catégorie de membres</w:t>
            </w:r>
          </w:p>
        </w:tc>
        <w:tc>
          <w:tcPr>
            <w:tcW w:w="8023" w:type="dxa"/>
            <w:vAlign w:val="center"/>
          </w:tcPr>
          <w:p w14:paraId="606AE4B9" w14:textId="77777777" w:rsidR="00B00C59" w:rsidRPr="00A845A7" w:rsidRDefault="00B00C59" w:rsidP="00A845A7">
            <w:pPr>
              <w:pStyle w:val="TableText"/>
              <w:widowControl w:val="0"/>
            </w:pPr>
            <w:r w:rsidRPr="00A845A7">
              <w:t>État Membre; Membre de Secteur; Associé; Établissement universitaire; Autre partie prenante (veuillez préciser)</w:t>
            </w:r>
          </w:p>
        </w:tc>
      </w:tr>
      <w:tr w:rsidR="00B00C59" w:rsidRPr="00A845A7" w14:paraId="59B0EA85" w14:textId="77777777" w:rsidTr="008935C4">
        <w:tc>
          <w:tcPr>
            <w:tcW w:w="1696" w:type="dxa"/>
            <w:vAlign w:val="center"/>
          </w:tcPr>
          <w:p w14:paraId="3C2F02E1" w14:textId="77777777" w:rsidR="00B00C59" w:rsidRPr="00A845A7" w:rsidRDefault="00B00C59" w:rsidP="00A845A7">
            <w:pPr>
              <w:pStyle w:val="TableHead"/>
              <w:keepNext w:val="0"/>
              <w:widowControl w:val="0"/>
              <w:spacing w:before="40" w:after="40"/>
            </w:pPr>
            <w:r w:rsidRPr="00A845A7">
              <w:t>Type d'organisation</w:t>
            </w:r>
          </w:p>
        </w:tc>
        <w:tc>
          <w:tcPr>
            <w:tcW w:w="8023" w:type="dxa"/>
            <w:vAlign w:val="center"/>
          </w:tcPr>
          <w:p w14:paraId="728E571D" w14:textId="77777777" w:rsidR="00B00C59" w:rsidRPr="00A845A7" w:rsidRDefault="00B00C59" w:rsidP="00A845A7">
            <w:pPr>
              <w:pStyle w:val="TableText"/>
              <w:widowControl w:val="0"/>
            </w:pPr>
            <w:r w:rsidRPr="00A845A7">
              <w:t>Administration publique; Régulateur; Organisme de normalisation; Organisation internationale; Secteur privé; Établissement universitaire; Société civile/Organisation à but non lucratif; Autre</w:t>
            </w:r>
          </w:p>
        </w:tc>
      </w:tr>
      <w:tr w:rsidR="00B00C59" w:rsidRPr="00A845A7" w14:paraId="002A1D81" w14:textId="77777777" w:rsidTr="008935C4">
        <w:tc>
          <w:tcPr>
            <w:tcW w:w="1696" w:type="dxa"/>
            <w:vAlign w:val="center"/>
          </w:tcPr>
          <w:p w14:paraId="7321DB3C" w14:textId="77777777" w:rsidR="00B00C59" w:rsidRPr="00A845A7" w:rsidRDefault="00B00C59" w:rsidP="00A845A7">
            <w:pPr>
              <w:pStyle w:val="TableHead"/>
              <w:keepNext w:val="0"/>
              <w:widowControl w:val="0"/>
              <w:spacing w:before="40" w:after="40"/>
            </w:pPr>
            <w:r w:rsidRPr="00A845A7">
              <w:t>Domaine professionnel</w:t>
            </w:r>
          </w:p>
        </w:tc>
        <w:tc>
          <w:tcPr>
            <w:tcW w:w="8023" w:type="dxa"/>
            <w:vAlign w:val="center"/>
          </w:tcPr>
          <w:p w14:paraId="74E494B7" w14:textId="77777777" w:rsidR="00B00C59" w:rsidRPr="00A845A7" w:rsidRDefault="00B00C59" w:rsidP="00A845A7">
            <w:pPr>
              <w:pStyle w:val="TableText"/>
              <w:widowControl w:val="0"/>
            </w:pPr>
            <w:r w:rsidRPr="00A845A7">
              <w:t>Gouvernance, réglementation et politiques publiques; Droit, conformité et respect des normes; Technologie et ingénierie; Marché et activités commerciales; Recherche, enseignement supérieur et éducation; Renforcement des capacités et formation; Autre</w:t>
            </w:r>
          </w:p>
        </w:tc>
      </w:tr>
      <w:tr w:rsidR="00B00C59" w:rsidRPr="00A845A7" w14:paraId="433C2B63" w14:textId="77777777" w:rsidTr="008935C4">
        <w:tc>
          <w:tcPr>
            <w:tcW w:w="1696" w:type="dxa"/>
            <w:vAlign w:val="center"/>
          </w:tcPr>
          <w:p w14:paraId="6ABA9C6D" w14:textId="77777777" w:rsidR="00B00C59" w:rsidRPr="00A845A7" w:rsidRDefault="00B00C59" w:rsidP="00A845A7">
            <w:pPr>
              <w:pStyle w:val="TableHead"/>
              <w:keepNext w:val="0"/>
              <w:widowControl w:val="0"/>
              <w:spacing w:before="40" w:after="40"/>
            </w:pPr>
            <w:r w:rsidRPr="00A845A7">
              <w:t>Niveau d'expérience à l'UIT-T</w:t>
            </w:r>
          </w:p>
        </w:tc>
        <w:tc>
          <w:tcPr>
            <w:tcW w:w="8023" w:type="dxa"/>
            <w:vAlign w:val="center"/>
          </w:tcPr>
          <w:p w14:paraId="140FF524" w14:textId="77777777" w:rsidR="00B00C59" w:rsidRPr="00A845A7" w:rsidRDefault="00B00C59" w:rsidP="00A845A7">
            <w:pPr>
              <w:pStyle w:val="TableText"/>
              <w:widowControl w:val="0"/>
            </w:pPr>
            <w:r w:rsidRPr="00A845A7">
              <w:t>Participant novice (moins de 3 réunions); Participant expérimenté (3 réunions ou plus); Responsabilités techniques (éditeur, rapporteur); Responsabilités stratégiques (président, vice-président)</w:t>
            </w:r>
          </w:p>
        </w:tc>
      </w:tr>
      <w:tr w:rsidR="00B00C59" w:rsidRPr="00A845A7" w14:paraId="634D3BB5" w14:textId="77777777" w:rsidTr="008935C4">
        <w:tc>
          <w:tcPr>
            <w:tcW w:w="1696" w:type="dxa"/>
            <w:vAlign w:val="center"/>
          </w:tcPr>
          <w:p w14:paraId="76594F7A" w14:textId="77777777" w:rsidR="00B00C59" w:rsidRPr="00A845A7" w:rsidRDefault="00B00C59" w:rsidP="00A845A7">
            <w:pPr>
              <w:pStyle w:val="TableHead"/>
              <w:keepNext w:val="0"/>
              <w:widowControl w:val="0"/>
              <w:spacing w:before="40" w:after="40"/>
            </w:pPr>
            <w:r w:rsidRPr="00A845A7">
              <w:t>Sexe</w:t>
            </w:r>
          </w:p>
        </w:tc>
        <w:tc>
          <w:tcPr>
            <w:tcW w:w="8023" w:type="dxa"/>
            <w:vAlign w:val="center"/>
          </w:tcPr>
          <w:p w14:paraId="5B4AE558" w14:textId="5A956966" w:rsidR="00B00C59" w:rsidRPr="00A845A7" w:rsidRDefault="00B00C59" w:rsidP="00A845A7">
            <w:pPr>
              <w:pStyle w:val="TableText"/>
              <w:widowControl w:val="0"/>
            </w:pPr>
            <w:r w:rsidRPr="00A845A7">
              <w:t>Homme; Femme; Je préfère ne pas répondre</w:t>
            </w:r>
          </w:p>
        </w:tc>
      </w:tr>
    </w:tbl>
    <w:p w14:paraId="3B647157" w14:textId="01FBFEF9" w:rsidR="00517A03" w:rsidRPr="00A845A7" w:rsidRDefault="00B00C59" w:rsidP="00A845A7">
      <w:pPr>
        <w:spacing w:before="0"/>
        <w:jc w:val="center"/>
      </w:pPr>
      <w:r w:rsidRPr="00A845A7">
        <w:t>______________</w:t>
      </w:r>
    </w:p>
    <w:sectPr w:rsidR="00517A03" w:rsidRPr="00A845A7" w:rsidSect="00A15179">
      <w:headerReference w:type="default" r:id="rId19"/>
      <w:footerReference w:type="first" r:id="rId20"/>
      <w:pgSz w:w="11907" w:h="16840" w:code="9"/>
      <w:pgMar w:top="1134" w:right="1089" w:bottom="1134" w:left="1089" w:header="567" w:footer="51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C2E37" w14:textId="77777777" w:rsidR="00192F8A" w:rsidRDefault="00192F8A">
      <w:r>
        <w:separator/>
      </w:r>
    </w:p>
  </w:endnote>
  <w:endnote w:type="continuationSeparator" w:id="0">
    <w:p w14:paraId="08295961" w14:textId="77777777" w:rsidR="00192F8A" w:rsidRDefault="00192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Futura Lt BT">
    <w:altName w:val="Arial"/>
    <w:charset w:val="00"/>
    <w:family w:val="swiss"/>
    <w:pitch w:val="variable"/>
    <w:sig w:usb0="00000087" w:usb1="00000000" w:usb2="00000000" w:usb3="00000000" w:csb0="0000001B"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1A9C5" w14:textId="41C89EB5" w:rsidR="005120A2" w:rsidRPr="003E66AD" w:rsidRDefault="005120A2" w:rsidP="00085F5A">
    <w:pPr>
      <w:tabs>
        <w:tab w:val="clear" w:pos="794"/>
        <w:tab w:val="clear" w:pos="1191"/>
        <w:tab w:val="clear" w:pos="1588"/>
        <w:tab w:val="clear" w:pos="1985"/>
      </w:tabs>
      <w:overflowPunct/>
      <w:autoSpaceDE/>
      <w:autoSpaceDN/>
      <w:adjustRightInd/>
      <w:spacing w:before="40"/>
      <w:ind w:left="-397" w:right="-397"/>
      <w:jc w:val="center"/>
      <w:textAlignment w:val="auto"/>
      <w:rPr>
        <w:color w:val="0070C0"/>
        <w:sz w:val="18"/>
        <w:szCs w:val="18"/>
        <w:lang w:val="fr-CH"/>
      </w:rPr>
    </w:pPr>
    <w:r w:rsidRPr="003E66AD">
      <w:rPr>
        <w:color w:val="0070C0"/>
        <w:sz w:val="18"/>
        <w:szCs w:val="18"/>
        <w:lang w:val="fr-CH"/>
      </w:rPr>
      <w:t>Union internationale des télécommunications • Place des Nations</w:t>
    </w:r>
    <w:r w:rsidR="00085F5A" w:rsidRPr="003E66AD">
      <w:rPr>
        <w:color w:val="0070C0"/>
        <w:sz w:val="18"/>
        <w:szCs w:val="18"/>
        <w:lang w:val="fr-CH"/>
      </w:rPr>
      <w:t xml:space="preserve"> •</w:t>
    </w:r>
    <w:r w:rsidRPr="003E66AD">
      <w:rPr>
        <w:color w:val="0070C0"/>
        <w:sz w:val="18"/>
        <w:szCs w:val="18"/>
        <w:lang w:val="fr-CH"/>
      </w:rPr>
      <w:t xml:space="preserve"> CH</w:t>
    </w:r>
    <w:r w:rsidRPr="003E66AD">
      <w:rPr>
        <w:color w:val="0070C0"/>
        <w:sz w:val="18"/>
        <w:szCs w:val="18"/>
        <w:lang w:val="fr-CH"/>
      </w:rPr>
      <w:noBreakHyphen/>
      <w:t>1211 Genève 20</w:t>
    </w:r>
    <w:r w:rsidR="00085F5A" w:rsidRPr="003E66AD">
      <w:rPr>
        <w:color w:val="0070C0"/>
        <w:sz w:val="18"/>
        <w:szCs w:val="18"/>
        <w:lang w:val="fr-CH"/>
      </w:rPr>
      <w:t xml:space="preserve"> •</w:t>
    </w:r>
    <w:r w:rsidRPr="003E66AD">
      <w:rPr>
        <w:color w:val="0070C0"/>
        <w:sz w:val="18"/>
        <w:szCs w:val="18"/>
        <w:lang w:val="fr-CH"/>
      </w:rPr>
      <w:t xml:space="preserve"> Suisse </w:t>
    </w:r>
    <w:r w:rsidRPr="003E66AD">
      <w:rPr>
        <w:color w:val="0070C0"/>
        <w:sz w:val="18"/>
        <w:szCs w:val="18"/>
        <w:lang w:val="fr-CH"/>
      </w:rPr>
      <w:br/>
      <w:t>Tél</w:t>
    </w:r>
    <w:r w:rsidR="00085F5A" w:rsidRPr="003E66AD">
      <w:rPr>
        <w:color w:val="0070C0"/>
        <w:sz w:val="18"/>
        <w:szCs w:val="18"/>
        <w:lang w:val="fr-CH"/>
      </w:rPr>
      <w:t>.</w:t>
    </w:r>
    <w:r w:rsidRPr="003E66AD">
      <w:rPr>
        <w:color w:val="0070C0"/>
        <w:sz w:val="18"/>
        <w:szCs w:val="18"/>
        <w:lang w:val="fr-CH"/>
      </w:rPr>
      <w:t xml:space="preserve">: +41 22 730 5111 • </w:t>
    </w:r>
    <w:r w:rsidR="00A845A7">
      <w:rPr>
        <w:color w:val="0070C0"/>
        <w:sz w:val="18"/>
        <w:szCs w:val="18"/>
        <w:lang w:val="fr-CH"/>
      </w:rPr>
      <w:t>Télécopie</w:t>
    </w:r>
    <w:r w:rsidRPr="003E66AD">
      <w:rPr>
        <w:color w:val="0070C0"/>
        <w:sz w:val="18"/>
        <w:szCs w:val="18"/>
        <w:lang w:val="fr-CH"/>
      </w:rPr>
      <w:t xml:space="preserve">: +41 22 733 7256 • </w:t>
    </w:r>
    <w:r w:rsidR="00085F5A" w:rsidRPr="003E66AD">
      <w:rPr>
        <w:color w:val="0070C0"/>
        <w:sz w:val="18"/>
        <w:szCs w:val="18"/>
        <w:lang w:val="fr-CH"/>
      </w:rPr>
      <w:t>Courriel</w:t>
    </w:r>
    <w:r w:rsidRPr="003E66AD">
      <w:rPr>
        <w:color w:val="0070C0"/>
        <w:sz w:val="18"/>
        <w:szCs w:val="18"/>
        <w:lang w:val="fr-CH"/>
      </w:rPr>
      <w:t xml:space="preserve">: </w:t>
    </w:r>
    <w:hyperlink r:id="rId1" w:history="1">
      <w:r w:rsidRPr="003E66AD">
        <w:rPr>
          <w:rStyle w:val="Hyperlink"/>
          <w:color w:val="0070C0"/>
          <w:sz w:val="18"/>
          <w:szCs w:val="18"/>
        </w:rPr>
        <w:t>itumail@itu.int</w:t>
      </w:r>
    </w:hyperlink>
    <w:r w:rsidRPr="003E66AD">
      <w:rPr>
        <w:color w:val="0070C0"/>
        <w:sz w:val="18"/>
        <w:szCs w:val="18"/>
        <w:lang w:val="fr-CH"/>
      </w:rPr>
      <w:t xml:space="preserve"> • </w:t>
    </w:r>
    <w:hyperlink r:id="rId2" w:history="1">
      <w:r w:rsidRPr="003E66AD">
        <w:rPr>
          <w:rStyle w:val="Hyperlink"/>
          <w:color w:val="0070C0"/>
          <w:sz w:val="18"/>
          <w:szCs w:val="18"/>
        </w:rPr>
        <w:t>www.itu.int</w:t>
      </w:r>
    </w:hyperlink>
    <w:r w:rsidRPr="003E66AD">
      <w:rPr>
        <w:color w:val="0070C0"/>
        <w:sz w:val="18"/>
        <w:szCs w:val="18"/>
        <w:lang w:val="fr-CH"/>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A7DE5" w14:textId="77777777" w:rsidR="00192F8A" w:rsidRDefault="00192F8A">
      <w:r>
        <w:t>____________________</w:t>
      </w:r>
    </w:p>
  </w:footnote>
  <w:footnote w:type="continuationSeparator" w:id="0">
    <w:p w14:paraId="3F698882" w14:textId="77777777" w:rsidR="00192F8A" w:rsidRDefault="00192F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D5492" w14:textId="5D8C2DBA" w:rsidR="00697BC1" w:rsidRPr="00697BC1" w:rsidRDefault="00A845A7" w:rsidP="00697BC1">
    <w:pPr>
      <w:pStyle w:val="Header"/>
      <w:rPr>
        <w:sz w:val="18"/>
        <w:szCs w:val="16"/>
      </w:rPr>
    </w:pPr>
    <w:sdt>
      <w:sdtPr>
        <w:rPr>
          <w:sz w:val="18"/>
          <w:szCs w:val="16"/>
        </w:rPr>
        <w:id w:val="526448189"/>
        <w:docPartObj>
          <w:docPartGallery w:val="Page Numbers (Top of Page)"/>
          <w:docPartUnique/>
        </w:docPartObj>
      </w:sdtPr>
      <w:sdtEndPr>
        <w:rPr>
          <w:noProof/>
        </w:rPr>
      </w:sdtEndPr>
      <w:sdtContent>
        <w:r w:rsidR="00697BC1" w:rsidRPr="00697BC1">
          <w:rPr>
            <w:sz w:val="18"/>
            <w:szCs w:val="16"/>
          </w:rPr>
          <w:fldChar w:fldCharType="begin"/>
        </w:r>
        <w:r w:rsidR="00697BC1" w:rsidRPr="00697BC1">
          <w:rPr>
            <w:sz w:val="18"/>
            <w:szCs w:val="16"/>
          </w:rPr>
          <w:instrText xml:space="preserve"> PAGE   \* MERGEFORMAT </w:instrText>
        </w:r>
        <w:r w:rsidR="00697BC1" w:rsidRPr="00697BC1">
          <w:rPr>
            <w:sz w:val="18"/>
            <w:szCs w:val="16"/>
          </w:rPr>
          <w:fldChar w:fldCharType="separate"/>
        </w:r>
        <w:r w:rsidR="00036F4F">
          <w:rPr>
            <w:noProof/>
            <w:sz w:val="18"/>
            <w:szCs w:val="16"/>
          </w:rPr>
          <w:t>2</w:t>
        </w:r>
        <w:r w:rsidR="00697BC1" w:rsidRPr="00697BC1">
          <w:rPr>
            <w:noProof/>
            <w:sz w:val="18"/>
            <w:szCs w:val="16"/>
          </w:rPr>
          <w:fldChar w:fldCharType="end"/>
        </w:r>
      </w:sdtContent>
    </w:sdt>
    <w:r w:rsidR="00AF0D7D">
      <w:rPr>
        <w:noProof/>
        <w:sz w:val="18"/>
        <w:szCs w:val="16"/>
      </w:rPr>
      <w:br/>
      <w:t xml:space="preserve">Circulaire TSB </w:t>
    </w:r>
    <w:r w:rsidR="008D27AF">
      <w:rPr>
        <w:noProof/>
        <w:sz w:val="18"/>
        <w:szCs w:val="16"/>
      </w:rPr>
      <w:t>16</w:t>
    </w:r>
    <w:r w:rsidR="00B00C59">
      <w:rPr>
        <w:noProof/>
        <w:sz w:val="18"/>
        <w:szCs w:val="16"/>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435D"/>
    <w:multiLevelType w:val="hybridMultilevel"/>
    <w:tmpl w:val="E556B9C0"/>
    <w:lvl w:ilvl="0" w:tplc="288A8D86">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1" w15:restartNumberingAfterBreak="0">
    <w:nsid w:val="066B6C4F"/>
    <w:multiLevelType w:val="singleLevel"/>
    <w:tmpl w:val="ABE4E72C"/>
    <w:lvl w:ilvl="0">
      <w:start w:val="1"/>
      <w:numFmt w:val="decimal"/>
      <w:pStyle w:val="Style1"/>
      <w:lvlText w:val="%1. "/>
      <w:lvlJc w:val="left"/>
      <w:pPr>
        <w:tabs>
          <w:tab w:val="num" w:pos="0"/>
        </w:tabs>
        <w:ind w:left="283" w:hanging="283"/>
      </w:pPr>
      <w:rPr>
        <w:rFonts w:ascii="Times New Roman" w:hAnsi="Times New Roman" w:hint="default"/>
        <w:b w:val="0"/>
        <w:i w:val="0"/>
        <w:sz w:val="22"/>
        <w:u w:val="none"/>
      </w:rPr>
    </w:lvl>
  </w:abstractNum>
  <w:abstractNum w:abstractNumId="2" w15:restartNumberingAfterBreak="0">
    <w:nsid w:val="40437EF1"/>
    <w:multiLevelType w:val="hybridMultilevel"/>
    <w:tmpl w:val="45C875A2"/>
    <w:lvl w:ilvl="0" w:tplc="C4685C10">
      <w:start w:val="2"/>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3"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57564020">
    <w:abstractNumId w:val="1"/>
  </w:num>
  <w:num w:numId="2" w16cid:durableId="1834374321">
    <w:abstractNumId w:val="3"/>
  </w:num>
  <w:num w:numId="3" w16cid:durableId="1169981020">
    <w:abstractNumId w:val="2"/>
  </w:num>
  <w:num w:numId="4" w16cid:durableId="385761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9E9"/>
    <w:rsid w:val="000039EE"/>
    <w:rsid w:val="00005622"/>
    <w:rsid w:val="0002519E"/>
    <w:rsid w:val="00035B43"/>
    <w:rsid w:val="00036F4F"/>
    <w:rsid w:val="000758B3"/>
    <w:rsid w:val="00085F5A"/>
    <w:rsid w:val="000B0D96"/>
    <w:rsid w:val="000B3C92"/>
    <w:rsid w:val="000B59D8"/>
    <w:rsid w:val="000C1F6B"/>
    <w:rsid w:val="000C25CC"/>
    <w:rsid w:val="000C56BE"/>
    <w:rsid w:val="001026FD"/>
    <w:rsid w:val="00105017"/>
    <w:rsid w:val="001077FD"/>
    <w:rsid w:val="00115DD7"/>
    <w:rsid w:val="001246E4"/>
    <w:rsid w:val="00167472"/>
    <w:rsid w:val="00167F92"/>
    <w:rsid w:val="00173738"/>
    <w:rsid w:val="00192F8A"/>
    <w:rsid w:val="001B79A3"/>
    <w:rsid w:val="002152A3"/>
    <w:rsid w:val="0023667A"/>
    <w:rsid w:val="002937DB"/>
    <w:rsid w:val="002E395D"/>
    <w:rsid w:val="00307FB4"/>
    <w:rsid w:val="003131F0"/>
    <w:rsid w:val="00333A80"/>
    <w:rsid w:val="00341117"/>
    <w:rsid w:val="00364E95"/>
    <w:rsid w:val="00372875"/>
    <w:rsid w:val="003742F8"/>
    <w:rsid w:val="003B1E80"/>
    <w:rsid w:val="003B66E8"/>
    <w:rsid w:val="003E66AD"/>
    <w:rsid w:val="004033F1"/>
    <w:rsid w:val="00414B0C"/>
    <w:rsid w:val="00423C21"/>
    <w:rsid w:val="004257AC"/>
    <w:rsid w:val="0043711B"/>
    <w:rsid w:val="004419E9"/>
    <w:rsid w:val="00445B68"/>
    <w:rsid w:val="0048088B"/>
    <w:rsid w:val="004977C9"/>
    <w:rsid w:val="004A6CD7"/>
    <w:rsid w:val="004B732E"/>
    <w:rsid w:val="004D51F4"/>
    <w:rsid w:val="004D64E0"/>
    <w:rsid w:val="005120A2"/>
    <w:rsid w:val="0051210D"/>
    <w:rsid w:val="005136D2"/>
    <w:rsid w:val="00517A03"/>
    <w:rsid w:val="005A3DD9"/>
    <w:rsid w:val="005B1DFC"/>
    <w:rsid w:val="00601682"/>
    <w:rsid w:val="00603470"/>
    <w:rsid w:val="00625E79"/>
    <w:rsid w:val="006333F7"/>
    <w:rsid w:val="006427A1"/>
    <w:rsid w:val="00644741"/>
    <w:rsid w:val="00656825"/>
    <w:rsid w:val="00697BC1"/>
    <w:rsid w:val="006A6FFE"/>
    <w:rsid w:val="006C5A91"/>
    <w:rsid w:val="006F52F7"/>
    <w:rsid w:val="00716BBC"/>
    <w:rsid w:val="007321BC"/>
    <w:rsid w:val="0075120D"/>
    <w:rsid w:val="00760063"/>
    <w:rsid w:val="00775E4B"/>
    <w:rsid w:val="00783144"/>
    <w:rsid w:val="0079553B"/>
    <w:rsid w:val="00795679"/>
    <w:rsid w:val="007A40FE"/>
    <w:rsid w:val="00810105"/>
    <w:rsid w:val="008157E0"/>
    <w:rsid w:val="00850477"/>
    <w:rsid w:val="00854E1D"/>
    <w:rsid w:val="008814F4"/>
    <w:rsid w:val="00887FA6"/>
    <w:rsid w:val="008C4397"/>
    <w:rsid w:val="008C465A"/>
    <w:rsid w:val="008D27AF"/>
    <w:rsid w:val="008F2C9B"/>
    <w:rsid w:val="00923CD6"/>
    <w:rsid w:val="00935AA8"/>
    <w:rsid w:val="00956DF2"/>
    <w:rsid w:val="00971C9A"/>
    <w:rsid w:val="009D31E9"/>
    <w:rsid w:val="009D51FA"/>
    <w:rsid w:val="009F1E23"/>
    <w:rsid w:val="00A15179"/>
    <w:rsid w:val="00A51537"/>
    <w:rsid w:val="00A5280F"/>
    <w:rsid w:val="00A5645A"/>
    <w:rsid w:val="00A60FC1"/>
    <w:rsid w:val="00A845A7"/>
    <w:rsid w:val="00A97C37"/>
    <w:rsid w:val="00AA131B"/>
    <w:rsid w:val="00AC37B5"/>
    <w:rsid w:val="00AD752F"/>
    <w:rsid w:val="00AF08A4"/>
    <w:rsid w:val="00AF0D7D"/>
    <w:rsid w:val="00B00C59"/>
    <w:rsid w:val="00B27B41"/>
    <w:rsid w:val="00B42659"/>
    <w:rsid w:val="00B46F2D"/>
    <w:rsid w:val="00B60868"/>
    <w:rsid w:val="00B8573E"/>
    <w:rsid w:val="00BB24C0"/>
    <w:rsid w:val="00BD2E38"/>
    <w:rsid w:val="00BD6ECF"/>
    <w:rsid w:val="00C26F2E"/>
    <w:rsid w:val="00C302E3"/>
    <w:rsid w:val="00C41B89"/>
    <w:rsid w:val="00C45376"/>
    <w:rsid w:val="00C82C78"/>
    <w:rsid w:val="00C9028F"/>
    <w:rsid w:val="00CA0416"/>
    <w:rsid w:val="00CB1125"/>
    <w:rsid w:val="00CB4E80"/>
    <w:rsid w:val="00CD042E"/>
    <w:rsid w:val="00CF2560"/>
    <w:rsid w:val="00CF5B46"/>
    <w:rsid w:val="00D466CF"/>
    <w:rsid w:val="00D46B68"/>
    <w:rsid w:val="00D542A5"/>
    <w:rsid w:val="00D774E8"/>
    <w:rsid w:val="00DC3D47"/>
    <w:rsid w:val="00DD77DA"/>
    <w:rsid w:val="00E06C61"/>
    <w:rsid w:val="00E13DB3"/>
    <w:rsid w:val="00E2408B"/>
    <w:rsid w:val="00E5576D"/>
    <w:rsid w:val="00E62CEA"/>
    <w:rsid w:val="00E72AE1"/>
    <w:rsid w:val="00ED6A7A"/>
    <w:rsid w:val="00EE4C36"/>
    <w:rsid w:val="00EF6A23"/>
    <w:rsid w:val="00F31A2D"/>
    <w:rsid w:val="00F346CE"/>
    <w:rsid w:val="00F34F98"/>
    <w:rsid w:val="00F40540"/>
    <w:rsid w:val="00F67402"/>
    <w:rsid w:val="00F766A2"/>
    <w:rsid w:val="00F942F0"/>
    <w:rsid w:val="00F9451D"/>
    <w:rsid w:val="00FF619E"/>
    <w:rsid w:val="00FF7FE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4031F"/>
  <w15:docId w15:val="{C0C524F5-3929-45CC-8FD1-E984F510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6ECF"/>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fr-FR" w:eastAsia="en-US"/>
    </w:rPr>
  </w:style>
  <w:style w:type="paragraph" w:styleId="Heading1">
    <w:name w:val="heading 1"/>
    <w:basedOn w:val="Normal"/>
    <w:next w:val="Normal"/>
    <w:qFormat/>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1191"/>
      </w:tabs>
      <w:ind w:left="993" w:hanging="993"/>
      <w:outlineLvl w:val="3"/>
    </w:pPr>
  </w:style>
  <w:style w:type="paragraph" w:styleId="Heading5">
    <w:name w:val="heading 5"/>
    <w:basedOn w:val="Heading3"/>
    <w:next w:val="Normal"/>
    <w:qFormat/>
    <w:pPr>
      <w:tabs>
        <w:tab w:val="clear" w:pos="794"/>
        <w:tab w:val="left" w:pos="1191"/>
      </w:tabs>
      <w:outlineLvl w:val="4"/>
    </w:pPr>
  </w:style>
  <w:style w:type="paragraph" w:styleId="Heading6">
    <w:name w:val="heading 6"/>
    <w:basedOn w:val="Heading3"/>
    <w:next w:val="Normal"/>
    <w:qFormat/>
    <w:pPr>
      <w:tabs>
        <w:tab w:val="clear" w:pos="794"/>
        <w:tab w:val="left" w:pos="1191"/>
      </w:tabs>
      <w:outlineLvl w:val="5"/>
    </w:pPr>
  </w:style>
  <w:style w:type="paragraph" w:styleId="Heading7">
    <w:name w:val="heading 7"/>
    <w:basedOn w:val="Heading3"/>
    <w:next w:val="Normal"/>
    <w:qFormat/>
    <w:pPr>
      <w:tabs>
        <w:tab w:val="clear" w:pos="794"/>
        <w:tab w:val="left" w:pos="1191"/>
      </w:tabs>
      <w:outlineLvl w:val="6"/>
    </w:pPr>
  </w:style>
  <w:style w:type="paragraph" w:styleId="Heading8">
    <w:name w:val="heading 8"/>
    <w:basedOn w:val="Heading3"/>
    <w:next w:val="Normal"/>
    <w:qFormat/>
    <w:pPr>
      <w:tabs>
        <w:tab w:val="clear" w:pos="794"/>
        <w:tab w:val="left" w:pos="1191"/>
      </w:tabs>
      <w:outlineLvl w:val="7"/>
    </w:pPr>
  </w:style>
  <w:style w:type="paragraph" w:styleId="Heading9">
    <w:name w:val="heading 9"/>
    <w:basedOn w:val="Heading3"/>
    <w:next w:val="Normal"/>
    <w:qFormat/>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3"/>
    <w:semiHidden/>
  </w:style>
  <w:style w:type="paragraph" w:styleId="TOC7">
    <w:name w:val="toc 7"/>
    <w:basedOn w:val="TOC3"/>
    <w:semiHidden/>
  </w:style>
  <w:style w:type="paragraph" w:styleId="TOC6">
    <w:name w:val="toc 6"/>
    <w:basedOn w:val="TOC3"/>
    <w:semiHidden/>
  </w:style>
  <w:style w:type="paragraph" w:styleId="TOC5">
    <w:name w:val="toc 5"/>
    <w:basedOn w:val="TOC3"/>
    <w:semiHidden/>
  </w:style>
  <w:style w:type="paragraph" w:styleId="TOC4">
    <w:name w:val="toc 4"/>
    <w:basedOn w:val="TOC3"/>
    <w:semiHidden/>
  </w:style>
  <w:style w:type="paragraph" w:styleId="TOC3">
    <w:name w:val="toc 3"/>
    <w:basedOn w:val="TOC2"/>
    <w:semiHidden/>
    <w:pPr>
      <w:spacing w:before="80"/>
    </w:pPr>
  </w:style>
  <w:style w:type="paragraph" w:styleId="TOC2">
    <w:name w:val="toc 2"/>
    <w:basedOn w:val="TOC1"/>
    <w:semiHidden/>
    <w:pPr>
      <w:spacing w:before="120"/>
    </w:pPr>
  </w:style>
  <w:style w:type="paragraph" w:styleId="TOC1">
    <w:name w:val="toc 1"/>
    <w:basedOn w:val="Normal"/>
    <w:semiHidden/>
    <w:pPr>
      <w:tabs>
        <w:tab w:val="clear" w:pos="794"/>
        <w:tab w:val="clear" w:pos="1191"/>
        <w:tab w:val="clear" w:pos="1588"/>
        <w:tab w:val="clear" w:pos="1985"/>
        <w:tab w:val="left" w:leader="dot" w:pos="8789"/>
        <w:tab w:val="right" w:pos="9639"/>
      </w:tabs>
      <w:spacing w:before="200"/>
      <w:ind w:left="794" w:hanging="794"/>
    </w:pPr>
  </w:style>
  <w:style w:type="paragraph" w:styleId="Index7">
    <w:name w:val="index 7"/>
    <w:basedOn w:val="Normal"/>
    <w:next w:val="Normal"/>
    <w:semiHidden/>
    <w:pPr>
      <w:ind w:left="1698"/>
    </w:pPr>
  </w:style>
  <w:style w:type="paragraph" w:styleId="Index6">
    <w:name w:val="index 6"/>
    <w:basedOn w:val="Normal"/>
    <w:next w:val="Normal"/>
    <w:semiHidden/>
    <w:pPr>
      <w:ind w:left="1415"/>
    </w:pPr>
  </w:style>
  <w:style w:type="paragraph" w:styleId="Index5">
    <w:name w:val="index 5"/>
    <w:basedOn w:val="Normal"/>
    <w:next w:val="Normal"/>
    <w:semiHidden/>
    <w:pPr>
      <w:ind w:left="1132"/>
    </w:pPr>
  </w:style>
  <w:style w:type="paragraph" w:styleId="Index4">
    <w:name w:val="index 4"/>
    <w:basedOn w:val="Normal"/>
    <w:next w:val="Normal"/>
    <w:semiHidden/>
    <w:pPr>
      <w:ind w:left="849"/>
    </w:pPr>
  </w:style>
  <w:style w:type="paragraph" w:styleId="Index3">
    <w:name w:val="index 3"/>
    <w:basedOn w:val="Normal"/>
    <w:next w:val="Normal"/>
    <w:semiHidden/>
    <w:pPr>
      <w:ind w:left="566"/>
    </w:pPr>
  </w:style>
  <w:style w:type="paragraph" w:styleId="Index2">
    <w:name w:val="index 2"/>
    <w:basedOn w:val="Normal"/>
    <w:next w:val="Normal"/>
    <w:semiHidden/>
    <w:pPr>
      <w:ind w:left="283"/>
    </w:pPr>
  </w:style>
  <w:style w:type="paragraph" w:styleId="Index1">
    <w:name w:val="index 1"/>
    <w:basedOn w:val="Normal"/>
    <w:next w:val="Normal"/>
    <w:semiHidden/>
  </w:style>
  <w:style w:type="character" w:styleId="LineNumber">
    <w:name w:val="line number"/>
    <w:basedOn w:val="DefaultParagraphFont"/>
  </w:style>
  <w:style w:type="paragraph" w:styleId="IndexHeading">
    <w:name w:val="index heading"/>
    <w:basedOn w:val="Normal"/>
    <w:next w:val="Index1"/>
    <w:semiHidden/>
  </w:style>
  <w:style w:type="paragraph" w:styleId="Footer">
    <w:name w:val="footer"/>
    <w:basedOn w:val="Normal"/>
    <w:link w:val="FooterChar"/>
    <w:pPr>
      <w:tabs>
        <w:tab w:val="clear" w:pos="794"/>
        <w:tab w:val="clear" w:pos="1191"/>
        <w:tab w:val="clear" w:pos="1588"/>
        <w:tab w:val="clear" w:pos="1985"/>
        <w:tab w:val="left" w:pos="5954"/>
        <w:tab w:val="right" w:pos="9639"/>
      </w:tabs>
      <w:spacing w:before="0"/>
    </w:pPr>
    <w:rPr>
      <w:caps/>
      <w:sz w:val="18"/>
    </w:rPr>
  </w:style>
  <w:style w:type="paragraph" w:styleId="Header">
    <w:name w:val="header"/>
    <w:basedOn w:val="Normal"/>
    <w:link w:val="HeaderChar"/>
    <w:uiPriority w:val="99"/>
    <w:pPr>
      <w:tabs>
        <w:tab w:val="clear" w:pos="794"/>
        <w:tab w:val="clear" w:pos="1191"/>
        <w:tab w:val="clear" w:pos="1588"/>
        <w:tab w:val="clear" w:pos="1985"/>
      </w:tabs>
      <w:spacing w:before="0"/>
      <w:jc w:val="center"/>
    </w:pPr>
    <w:rPr>
      <w:sz w:val="22"/>
    </w:rPr>
  </w:style>
  <w:style w:type="character" w:styleId="FootnoteReference">
    <w:name w:val="footnote reference"/>
    <w:semiHidden/>
    <w:rPr>
      <w:position w:val="6"/>
      <w:sz w:val="16"/>
    </w:rPr>
  </w:style>
  <w:style w:type="paragraph" w:styleId="FootnoteText">
    <w:name w:val="footnote text"/>
    <w:basedOn w:val="Normal"/>
    <w:semiHidden/>
    <w:pPr>
      <w:keepLines/>
      <w:tabs>
        <w:tab w:val="left" w:pos="256"/>
      </w:tabs>
      <w:ind w:left="256" w:hanging="256"/>
    </w:pPr>
  </w:style>
  <w:style w:type="paragraph" w:styleId="NormalIndent">
    <w:name w:val="Normal Indent"/>
    <w:basedOn w:val="Normal"/>
    <w:pPr>
      <w:ind w:left="794"/>
    </w:pPr>
  </w:style>
  <w:style w:type="paragraph" w:customStyle="1" w:styleId="TableLegend">
    <w:name w:val="Table_Legend"/>
    <w:basedOn w:val="TableText"/>
    <w:pPr>
      <w:spacing w:before="120"/>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ableTitle">
    <w:name w:val="Table_Title"/>
    <w:basedOn w:val="Table"/>
    <w:next w:val="TableText"/>
    <w:pPr>
      <w:keepLines/>
      <w:spacing w:before="0"/>
    </w:pPr>
    <w:rPr>
      <w:b/>
      <w:caps w:val="0"/>
    </w:rPr>
  </w:style>
  <w:style w:type="paragraph" w:customStyle="1" w:styleId="Table">
    <w:name w:val="Table_#"/>
    <w:basedOn w:val="Normal"/>
    <w:next w:val="TableTitle"/>
    <w:pPr>
      <w:keepNext/>
      <w:spacing w:before="560" w:after="120"/>
      <w:jc w:val="center"/>
    </w:pPr>
    <w:rPr>
      <w:caps/>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TableHead">
    <w:name w:val="Table_Head"/>
    <w:basedOn w:val="TableText"/>
    <w:pPr>
      <w:keepNext/>
      <w:spacing w:before="80" w:after="80"/>
      <w:jc w:val="center"/>
    </w:pPr>
    <w:rPr>
      <w:b/>
    </w:r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pPr>
      <w:spacing w:before="480"/>
    </w:pPr>
  </w:style>
  <w:style w:type="paragraph" w:customStyle="1" w:styleId="FigureTitle">
    <w:name w:val="Figure_Title"/>
    <w:basedOn w:val="TableTitle"/>
    <w:next w:val="Normal"/>
    <w:pPr>
      <w:keepNext w:val="0"/>
      <w:spacing w:after="480"/>
    </w:pPr>
  </w:style>
  <w:style w:type="paragraph" w:customStyle="1" w:styleId="Annex">
    <w:name w:val="Annex_#"/>
    <w:basedOn w:val="Normal"/>
    <w:next w:val="AnnexRef"/>
    <w:pPr>
      <w:keepNext/>
      <w:keepLines/>
      <w:spacing w:before="480" w:after="80"/>
      <w:jc w:val="center"/>
    </w:pPr>
    <w:rPr>
      <w:caps/>
    </w:rPr>
  </w:style>
  <w:style w:type="paragraph" w:customStyle="1" w:styleId="AnnexRef">
    <w:name w:val="Annex_Ref"/>
    <w:basedOn w:val="Normal"/>
    <w:next w:val="AnnexTitle"/>
    <w:pPr>
      <w:keepNext/>
      <w:keepLines/>
      <w:jc w:val="center"/>
    </w:pPr>
  </w:style>
  <w:style w:type="paragraph" w:customStyle="1" w:styleId="AnnexTitle">
    <w:name w:val="Annex_Title"/>
    <w:basedOn w:val="Normal"/>
    <w:next w:val="Normal"/>
    <w:pPr>
      <w:keepNext/>
      <w:keepLines/>
      <w:spacing w:before="240" w:after="280"/>
      <w:jc w:val="center"/>
    </w:pPr>
    <w:rPr>
      <w:b/>
    </w:rPr>
  </w:style>
  <w:style w:type="paragraph" w:customStyle="1" w:styleId="Appendix">
    <w:name w:val="Appendix_#"/>
    <w:basedOn w:val="Annex"/>
    <w:next w:val="AppendixRef"/>
  </w:style>
  <w:style w:type="paragraph" w:customStyle="1" w:styleId="AppendixRef">
    <w:name w:val="Appendix_Ref"/>
    <w:basedOn w:val="AnnexRef"/>
    <w:next w:val="AppendixTitle"/>
  </w:style>
  <w:style w:type="paragraph" w:customStyle="1" w:styleId="AppendixTitle">
    <w:name w:val="Appendix_Title"/>
    <w:basedOn w:val="AnnexTitle"/>
    <w:next w:val="Normal"/>
  </w:style>
  <w:style w:type="paragraph" w:customStyle="1" w:styleId="RefTitle">
    <w:name w:val="Ref_Title"/>
    <w:basedOn w:val="Normal"/>
    <w:next w:val="RefText"/>
    <w:pPr>
      <w:spacing w:before="480"/>
      <w:jc w:val="center"/>
    </w:pPr>
    <w:rPr>
      <w:caps/>
    </w:rPr>
  </w:style>
  <w:style w:type="paragraph" w:customStyle="1" w:styleId="RefText">
    <w:name w:val="Ref_Text"/>
    <w:basedOn w:val="Normal"/>
    <w:pPr>
      <w:ind w:left="794" w:hanging="794"/>
    </w:pPr>
  </w:style>
  <w:style w:type="paragraph" w:customStyle="1" w:styleId="Equation">
    <w:name w:val="Equation"/>
    <w:basedOn w:val="Normal"/>
    <w:pPr>
      <w:tabs>
        <w:tab w:val="clear" w:pos="1191"/>
        <w:tab w:val="clear" w:pos="1588"/>
        <w:tab w:val="clear" w:pos="1985"/>
        <w:tab w:val="center" w:pos="4876"/>
        <w:tab w:val="right" w:pos="9752"/>
      </w:tabs>
    </w:pPr>
  </w:style>
  <w:style w:type="paragraph" w:customStyle="1" w:styleId="Head">
    <w:name w:val="Head"/>
    <w:basedOn w:val="Normal"/>
    <w:pPr>
      <w:tabs>
        <w:tab w:val="clear" w:pos="794"/>
        <w:tab w:val="clear" w:pos="1191"/>
        <w:tab w:val="clear" w:pos="1588"/>
        <w:tab w:val="clear" w:pos="1985"/>
        <w:tab w:val="left" w:pos="6663"/>
      </w:tabs>
      <w:spacing w:before="0"/>
    </w:pPr>
  </w:style>
  <w:style w:type="paragraph" w:customStyle="1" w:styleId="RecTitle">
    <w:name w:val="Rec_Title"/>
    <w:basedOn w:val="Normal"/>
    <w:next w:val="Heading1"/>
    <w:pPr>
      <w:keepNext/>
      <w:keepLines/>
      <w:spacing w:before="240"/>
      <w:jc w:val="center"/>
    </w:pPr>
    <w:rPr>
      <w:b/>
      <w:caps/>
    </w:rPr>
  </w:style>
  <w:style w:type="paragraph" w:customStyle="1" w:styleId="Normalaftertitle">
    <w:name w:val="Normal after title"/>
    <w:basedOn w:val="Normal"/>
    <w:next w:val="Normal"/>
    <w:pPr>
      <w:spacing w:before="320"/>
    </w:pPr>
  </w:style>
  <w:style w:type="paragraph" w:customStyle="1" w:styleId="call">
    <w:name w:val="call"/>
    <w:basedOn w:val="Normal"/>
    <w:next w:val="Normal"/>
    <w:pPr>
      <w:keepNext/>
      <w:keepLines/>
      <w:spacing w:before="160"/>
      <w:ind w:left="794"/>
    </w:pPr>
    <w:rPr>
      <w:i/>
    </w:rPr>
  </w:style>
  <w:style w:type="paragraph" w:customStyle="1" w:styleId="Rec">
    <w:name w:val="Rec_#"/>
    <w:basedOn w:val="Normal"/>
    <w:next w:val="RecTitle"/>
    <w:pPr>
      <w:keepNext/>
      <w:keepLines/>
      <w:spacing w:before="480"/>
      <w:jc w:val="center"/>
    </w:pPr>
    <w:rPr>
      <w:caps/>
    </w:rPr>
  </w:style>
  <w:style w:type="paragraph" w:customStyle="1" w:styleId="toc0">
    <w:name w:val="toc 0"/>
    <w:basedOn w:val="Normal"/>
    <w:next w:val="TOC1"/>
    <w:pPr>
      <w:tabs>
        <w:tab w:val="clear" w:pos="794"/>
        <w:tab w:val="clear" w:pos="1191"/>
        <w:tab w:val="clear" w:pos="1588"/>
        <w:tab w:val="clear" w:pos="1985"/>
        <w:tab w:val="right" w:pos="9781"/>
      </w:tabs>
    </w:pPr>
    <w:rPr>
      <w:b/>
    </w:rPr>
  </w:style>
  <w:style w:type="paragraph" w:styleId="List">
    <w:name w:val="List"/>
    <w:basedOn w:val="Normal"/>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pPr>
      <w:tabs>
        <w:tab w:val="clear" w:pos="794"/>
        <w:tab w:val="clear" w:pos="1191"/>
        <w:tab w:val="clear" w:pos="1588"/>
        <w:tab w:val="clear" w:pos="1985"/>
        <w:tab w:val="left" w:pos="1418"/>
      </w:tabs>
      <w:spacing w:before="0"/>
      <w:ind w:left="1418" w:hanging="1418"/>
    </w:pPr>
  </w:style>
  <w:style w:type="paragraph" w:customStyle="1" w:styleId="Part">
    <w:name w:val="Part"/>
    <w:basedOn w:val="Normal"/>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pPr>
      <w:tabs>
        <w:tab w:val="clear" w:pos="794"/>
        <w:tab w:val="clear" w:pos="1191"/>
        <w:tab w:val="clear" w:pos="1588"/>
        <w:tab w:val="clear" w:pos="1985"/>
        <w:tab w:val="left" w:pos="4820"/>
        <w:tab w:val="left" w:pos="5529"/>
      </w:tabs>
      <w:ind w:left="794"/>
    </w:pPr>
  </w:style>
  <w:style w:type="character" w:styleId="Hyperlink">
    <w:name w:val="Hyperlink"/>
    <w:aliases w:val="超级链接,CEO_Hyperlink,超?级链,Style 58,超????,하이퍼링크2,超链接1"/>
    <w:qFormat/>
    <w:rsid w:val="00760063"/>
    <w:rPr>
      <w:color w:val="0000FF"/>
      <w:u w:val="single"/>
    </w:rPr>
  </w:style>
  <w:style w:type="paragraph" w:customStyle="1" w:styleId="Keywords">
    <w:name w:val="Keywords"/>
    <w:basedOn w:val="Normal"/>
    <w:pPr>
      <w:tabs>
        <w:tab w:val="clear" w:pos="1191"/>
        <w:tab w:val="clear" w:pos="1588"/>
      </w:tabs>
      <w:ind w:left="794" w:hanging="794"/>
    </w:pPr>
  </w:style>
  <w:style w:type="paragraph" w:styleId="BodyText">
    <w:name w:val="Body Text"/>
    <w:basedOn w:val="Normal"/>
    <w:pPr>
      <w:spacing w:after="120"/>
    </w:pPr>
  </w:style>
  <w:style w:type="paragraph" w:customStyle="1" w:styleId="EquationLegend">
    <w:name w:val="Equation_Legend"/>
    <w:basedOn w:val="Normal"/>
    <w:pPr>
      <w:tabs>
        <w:tab w:val="clear" w:pos="794"/>
        <w:tab w:val="clear" w:pos="1191"/>
        <w:tab w:val="clear" w:pos="1588"/>
        <w:tab w:val="clear" w:pos="1985"/>
        <w:tab w:val="right" w:pos="1531"/>
        <w:tab w:val="left" w:pos="1701"/>
      </w:tabs>
      <w:spacing w:before="80"/>
      <w:ind w:left="1701" w:hanging="1701"/>
    </w:pPr>
  </w:style>
  <w:style w:type="paragraph" w:customStyle="1" w:styleId="Qlist">
    <w:name w:val="Qlist"/>
    <w:basedOn w:val="Normal"/>
    <w:pPr>
      <w:tabs>
        <w:tab w:val="clear" w:pos="794"/>
        <w:tab w:val="clear" w:pos="1191"/>
        <w:tab w:val="clear" w:pos="1588"/>
        <w:tab w:val="clear" w:pos="1985"/>
        <w:tab w:val="left" w:pos="1843"/>
        <w:tab w:val="left" w:pos="2268"/>
      </w:tabs>
      <w:ind w:left="2268" w:hanging="2268"/>
    </w:pPr>
    <w:rPr>
      <w:b/>
    </w:rPr>
  </w:style>
  <w:style w:type="paragraph" w:customStyle="1" w:styleId="meeting">
    <w:name w:val="meeting"/>
    <w:basedOn w:val="Head"/>
    <w:next w:val="Head"/>
    <w:pPr>
      <w:tabs>
        <w:tab w:val="left" w:pos="7371"/>
      </w:tabs>
      <w:spacing w:after="560"/>
    </w:p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FirstFooter">
    <w:name w:val="FirstFooter"/>
    <w:basedOn w:val="Footer"/>
    <w:pPr>
      <w:tabs>
        <w:tab w:val="clear" w:pos="5954"/>
        <w:tab w:val="clear" w:pos="9639"/>
      </w:tabs>
    </w:pPr>
    <w:rPr>
      <w:caps w:val="0"/>
    </w:rPr>
  </w:style>
  <w:style w:type="paragraph" w:customStyle="1" w:styleId="Note">
    <w:name w:val="Note"/>
    <w:basedOn w:val="Normal"/>
    <w:pPr>
      <w:tabs>
        <w:tab w:val="left" w:pos="397"/>
      </w:tabs>
    </w:pPr>
  </w:style>
  <w:style w:type="paragraph" w:styleId="TOC9">
    <w:name w:val="toc 9"/>
    <w:basedOn w:val="TOC3"/>
    <w:semiHidden/>
  </w:style>
  <w:style w:type="paragraph" w:customStyle="1" w:styleId="headingb">
    <w:name w:val="heading_b"/>
    <w:basedOn w:val="Heading3"/>
    <w:next w:val="Normal"/>
    <w:pPr>
      <w:spacing w:before="160"/>
      <w:ind w:left="0" w:firstLine="0"/>
      <w:outlineLvl w:val="9"/>
    </w:pPr>
  </w:style>
  <w:style w:type="paragraph" w:customStyle="1" w:styleId="headingi">
    <w:name w:val="heading_i"/>
    <w:basedOn w:val="Heading3"/>
    <w:next w:val="Normal"/>
    <w:pPr>
      <w:spacing w:before="160"/>
      <w:ind w:left="0" w:firstLine="0"/>
      <w:outlineLvl w:val="9"/>
    </w:pPr>
    <w:rPr>
      <w:b w:val="0"/>
      <w:i/>
    </w:rPr>
  </w:style>
  <w:style w:type="character" w:styleId="PageNumber">
    <w:name w:val="page number"/>
    <w:basedOn w:val="DefaultParagraphFont"/>
    <w:rsid w:val="00CB1125"/>
  </w:style>
  <w:style w:type="paragraph" w:customStyle="1" w:styleId="Style1">
    <w:name w:val="Style1"/>
    <w:basedOn w:val="Normal"/>
    <w:next w:val="Index1"/>
    <w:rsid w:val="00CB1125"/>
    <w:pPr>
      <w:numPr>
        <w:numId w:val="1"/>
      </w:numPr>
      <w:tabs>
        <w:tab w:val="clear" w:pos="794"/>
        <w:tab w:val="clear" w:pos="1191"/>
        <w:tab w:val="clear" w:pos="1588"/>
        <w:tab w:val="clear" w:pos="1985"/>
      </w:tabs>
      <w:spacing w:before="240"/>
      <w:ind w:right="-143"/>
    </w:pPr>
  </w:style>
  <w:style w:type="character" w:customStyle="1" w:styleId="HeaderChar">
    <w:name w:val="Header Char"/>
    <w:link w:val="Header"/>
    <w:uiPriority w:val="99"/>
    <w:rsid w:val="00644741"/>
    <w:rPr>
      <w:rFonts w:ascii="Times New Roman" w:hAnsi="Times New Roman"/>
      <w:sz w:val="22"/>
      <w:lang w:val="fr-FR" w:eastAsia="en-US"/>
    </w:rPr>
  </w:style>
  <w:style w:type="paragraph" w:customStyle="1" w:styleId="ITUintr">
    <w:name w:val="ITU_intr"/>
    <w:basedOn w:val="Normal"/>
    <w:next w:val="Normal"/>
    <w:rsid w:val="009D51FA"/>
    <w:pPr>
      <w:tabs>
        <w:tab w:val="clear" w:pos="794"/>
        <w:tab w:val="clear" w:pos="1191"/>
        <w:tab w:val="clear" w:pos="1588"/>
        <w:tab w:val="clear" w:pos="1985"/>
        <w:tab w:val="left" w:pos="737"/>
        <w:tab w:val="left" w:pos="1134"/>
      </w:tabs>
      <w:spacing w:before="567" w:after="57"/>
    </w:pPr>
    <w:rPr>
      <w:sz w:val="20"/>
    </w:rPr>
  </w:style>
  <w:style w:type="paragraph" w:customStyle="1" w:styleId="LetterStart">
    <w:name w:val="Letter_Start"/>
    <w:basedOn w:val="Normal"/>
    <w:rsid w:val="009D51FA"/>
    <w:pPr>
      <w:tabs>
        <w:tab w:val="clear" w:pos="794"/>
        <w:tab w:val="clear" w:pos="1191"/>
        <w:tab w:val="clear" w:pos="1588"/>
        <w:tab w:val="clear" w:pos="1985"/>
        <w:tab w:val="left" w:pos="1361"/>
        <w:tab w:val="left" w:pos="1758"/>
        <w:tab w:val="left" w:pos="2155"/>
        <w:tab w:val="left" w:pos="2552"/>
      </w:tabs>
      <w:spacing w:before="284"/>
      <w:ind w:left="567"/>
    </w:pPr>
  </w:style>
  <w:style w:type="paragraph" w:customStyle="1" w:styleId="itu">
    <w:name w:val="itu"/>
    <w:basedOn w:val="Normal"/>
    <w:rsid w:val="009D51FA"/>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 w:type="character" w:customStyle="1" w:styleId="FooterChar">
    <w:name w:val="Footer Char"/>
    <w:link w:val="Footer"/>
    <w:rsid w:val="005A3DD9"/>
    <w:rPr>
      <w:rFonts w:ascii="Times New Roman" w:hAnsi="Times New Roman"/>
      <w:caps/>
      <w:sz w:val="18"/>
      <w:lang w:val="fr-FR" w:eastAsia="en-US"/>
    </w:rPr>
  </w:style>
  <w:style w:type="character" w:styleId="UnresolvedMention">
    <w:name w:val="Unresolved Mention"/>
    <w:basedOn w:val="DefaultParagraphFont"/>
    <w:uiPriority w:val="99"/>
    <w:semiHidden/>
    <w:unhideWhenUsed/>
    <w:rsid w:val="00307FB4"/>
    <w:rPr>
      <w:color w:val="605E5C"/>
      <w:shd w:val="clear" w:color="auto" w:fill="E1DFDD"/>
    </w:rPr>
  </w:style>
  <w:style w:type="character" w:styleId="FollowedHyperlink">
    <w:name w:val="FollowedHyperlink"/>
    <w:basedOn w:val="DefaultParagraphFont"/>
    <w:semiHidden/>
    <w:unhideWhenUsed/>
    <w:rsid w:val="00307FB4"/>
    <w:rPr>
      <w:color w:val="800080" w:themeColor="followedHyperlink"/>
      <w:u w:val="single"/>
    </w:rPr>
  </w:style>
  <w:style w:type="table" w:styleId="TableGrid">
    <w:name w:val="Table Grid"/>
    <w:basedOn w:val="TableNormal"/>
    <w:uiPriority w:val="59"/>
    <w:rsid w:val="008D27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asons">
    <w:name w:val="Reasons"/>
    <w:basedOn w:val="Normal"/>
    <w:qFormat/>
    <w:rsid w:val="00B00C59"/>
    <w:pPr>
      <w:tabs>
        <w:tab w:val="clear" w:pos="794"/>
        <w:tab w:val="clear" w:pos="1191"/>
        <w:tab w:val="clear" w:pos="1588"/>
        <w:tab w:val="clear" w:pos="1985"/>
      </w:tabs>
      <w:overflowPunct/>
      <w:autoSpaceDE/>
      <w:autoSpaceDN/>
      <w:adjustRightInd/>
      <w:spacing w:before="0"/>
      <w:textAlignment w:val="auto"/>
    </w:pPr>
    <w:rPr>
      <w:rFonts w:ascii="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41019">
      <w:bodyDiv w:val="1"/>
      <w:marLeft w:val="0"/>
      <w:marRight w:val="0"/>
      <w:marTop w:val="0"/>
      <w:marBottom w:val="0"/>
      <w:divBdr>
        <w:top w:val="none" w:sz="0" w:space="0" w:color="auto"/>
        <w:left w:val="none" w:sz="0" w:space="0" w:color="auto"/>
        <w:bottom w:val="none" w:sz="0" w:space="0" w:color="auto"/>
        <w:right w:val="none" w:sz="0" w:space="0" w:color="auto"/>
      </w:divBdr>
    </w:div>
    <w:div w:id="1123772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tu.int/en/ITU-T/Pages/default.aspx" TargetMode="External"/><Relationship Id="rId18" Type="http://schemas.openxmlformats.org/officeDocument/2006/relationships/hyperlink" Target="mailto:tsbbsg@itu.in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itu.int/md/S26-CL-C-0045/fr" TargetMode="External"/><Relationship Id="rId17" Type="http://schemas.openxmlformats.org/officeDocument/2006/relationships/hyperlink" Target="https://forms.cloud.microsoft/e/F0NV6hTmt7" TargetMode="External"/><Relationship Id="rId2" Type="http://schemas.openxmlformats.org/officeDocument/2006/relationships/numbering" Target="numbering.xml"/><Relationship Id="rId16" Type="http://schemas.openxmlformats.org/officeDocument/2006/relationships/hyperlink" Target="https://forms.cloud.microsoft/e/F0NV6hTmt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pub/T-RES-T.44-2024/fr" TargetMode="External"/><Relationship Id="rId5" Type="http://schemas.openxmlformats.org/officeDocument/2006/relationships/webSettings" Target="webSettings.xml"/><Relationship Id="rId15" Type="http://schemas.openxmlformats.org/officeDocument/2006/relationships/hyperlink" Target="https://www.itu.int/md/T25-TSAG-270111-TD-GEN-0437/fr" TargetMode="External"/><Relationship Id="rId10" Type="http://schemas.openxmlformats.org/officeDocument/2006/relationships/hyperlink" Target="https://www.itu.int/bsg/"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sbbsg@itu.int" TargetMode="External"/><Relationship Id="rId14" Type="http://schemas.openxmlformats.org/officeDocument/2006/relationships/hyperlink" Target="https://www.itu.int/fr/oversight-unit/Pages/default.aspx"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F%20-%20ITU\TSB\PF_TSB_Circul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6824F-16C0-45D0-B266-61AC5B6DA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PF_TSB_Circular.dotx</Template>
  <TotalTime>48</TotalTime>
  <Pages>3</Pages>
  <Words>971</Words>
  <Characters>6474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UNION INTERNATIONALE DES TÉLÉCOMMUNICATIONS</vt:lpstr>
    </vt:vector>
  </TitlesOfParts>
  <Company>ITU</Company>
  <LinksUpToDate>false</LinksUpToDate>
  <CharactersWithSpaces>7431</CharactersWithSpaces>
  <SharedDoc>false</SharedDoc>
  <HLinks>
    <vt:vector size="6" baseType="variant">
      <vt:variant>
        <vt:i4>3932176</vt:i4>
      </vt:variant>
      <vt:variant>
        <vt:i4>0</vt:i4>
      </vt:variant>
      <vt:variant>
        <vt:i4>0</vt:i4>
      </vt:variant>
      <vt:variant>
        <vt:i4>5</vt:i4>
      </vt:variant>
      <vt:variant>
        <vt:lpwstr>mailto:tsbsg..@itu.int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UNION INTERNATIONALE DES TÉLÉCOMMUNICATIONS</dc:title>
  <dc:creator>French</dc:creator>
  <cp:lastModifiedBy>Froehly, Mathilde</cp:lastModifiedBy>
  <cp:revision>14</cp:revision>
  <cp:lastPrinted>2011-04-15T08:01:00Z</cp:lastPrinted>
  <dcterms:created xsi:type="dcterms:W3CDTF">2026-08-18T09:17:00Z</dcterms:created>
  <dcterms:modified xsi:type="dcterms:W3CDTF">2026-08-19T06:31:00Z</dcterms:modified>
</cp:coreProperties>
</file>