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1409"/>
        <w:gridCol w:w="3399"/>
        <w:gridCol w:w="5398"/>
      </w:tblGrid>
      <w:tr w:rsidR="007B6316" w14:paraId="57C19FE3" w14:textId="77777777" w:rsidTr="00A2600C">
        <w:trPr>
          <w:cantSplit/>
          <w:trHeight w:val="340"/>
        </w:trPr>
        <w:tc>
          <w:tcPr>
            <w:tcW w:w="1409" w:type="dxa"/>
          </w:tcPr>
          <w:p w14:paraId="4073FDEF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7AF7EF1A" wp14:editId="149CAE9C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7" w:type="dxa"/>
            <w:gridSpan w:val="2"/>
            <w:vAlign w:val="center"/>
          </w:tcPr>
          <w:p w14:paraId="3CE1A100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36EA5B69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37791E" w14:paraId="29942F58" w14:textId="77777777" w:rsidTr="006E7CA4">
        <w:trPr>
          <w:cantSplit/>
          <w:trHeight w:val="340"/>
        </w:trPr>
        <w:tc>
          <w:tcPr>
            <w:tcW w:w="1409" w:type="dxa"/>
          </w:tcPr>
          <w:p w14:paraId="3A1FB203" w14:textId="77777777" w:rsidR="007B6316" w:rsidRPr="007B6316" w:rsidRDefault="007B6316" w:rsidP="00101541">
            <w:pPr>
              <w:spacing w:after="120"/>
            </w:pPr>
          </w:p>
        </w:tc>
        <w:tc>
          <w:tcPr>
            <w:tcW w:w="3399" w:type="dxa"/>
          </w:tcPr>
          <w:p w14:paraId="6CFD022A" w14:textId="77777777" w:rsidR="007B6316" w:rsidRDefault="007B6316" w:rsidP="00101541"/>
        </w:tc>
        <w:tc>
          <w:tcPr>
            <w:tcW w:w="5398" w:type="dxa"/>
          </w:tcPr>
          <w:p w14:paraId="414906BC" w14:textId="3D2AE7FB" w:rsidR="007B6316" w:rsidRPr="0037791E" w:rsidRDefault="007B6316" w:rsidP="00101541">
            <w:pPr>
              <w:rPr>
                <w:lang w:val="pt-BR"/>
              </w:rPr>
            </w:pPr>
            <w:r w:rsidRPr="0037791E">
              <w:rPr>
                <w:lang w:val="pt-BR"/>
              </w:rPr>
              <w:t>Ginebra,</w:t>
            </w:r>
            <w:r w:rsidR="00BA6F31" w:rsidRPr="0037791E">
              <w:rPr>
                <w:lang w:val="pt-BR"/>
              </w:rPr>
              <w:t xml:space="preserve"> </w:t>
            </w:r>
            <w:r w:rsidR="006E7CA4" w:rsidRPr="006E7CA4">
              <w:rPr>
                <w:lang w:val="pt-BR"/>
              </w:rPr>
              <w:t>14 de julio de 2026</w:t>
            </w:r>
          </w:p>
        </w:tc>
      </w:tr>
      <w:tr w:rsidR="001350B9" w14:paraId="2099D7D1" w14:textId="77777777" w:rsidTr="006E7CA4">
        <w:trPr>
          <w:cantSplit/>
          <w:trHeight w:val="340"/>
        </w:trPr>
        <w:tc>
          <w:tcPr>
            <w:tcW w:w="1409" w:type="dxa"/>
          </w:tcPr>
          <w:p w14:paraId="6931DA5A" w14:textId="1C97CDAF" w:rsidR="001350B9" w:rsidRPr="00101541" w:rsidRDefault="001350B9" w:rsidP="00101541">
            <w:pPr>
              <w:spacing w:before="40" w:after="40"/>
            </w:pPr>
            <w:r w:rsidRPr="001350B9">
              <w:t>Ref.:</w:t>
            </w:r>
          </w:p>
        </w:tc>
        <w:tc>
          <w:tcPr>
            <w:tcW w:w="3399" w:type="dxa"/>
          </w:tcPr>
          <w:p w14:paraId="38928B4F" w14:textId="162F1A2C" w:rsidR="001350B9" w:rsidRPr="00101541" w:rsidRDefault="001350B9" w:rsidP="00101541">
            <w:pPr>
              <w:spacing w:before="40"/>
              <w:rPr>
                <w:b/>
                <w:bCs/>
              </w:rPr>
            </w:pPr>
            <w:r w:rsidRPr="00101541">
              <w:rPr>
                <w:b/>
                <w:bCs/>
              </w:rPr>
              <w:t xml:space="preserve">Circular TSB </w:t>
            </w:r>
            <w:r w:rsidR="006E7CA4">
              <w:rPr>
                <w:b/>
                <w:bCs/>
              </w:rPr>
              <w:t>153</w:t>
            </w:r>
          </w:p>
          <w:p w14:paraId="6B133364" w14:textId="5BA48125" w:rsidR="001350B9" w:rsidRDefault="006E7CA4" w:rsidP="00101541">
            <w:pPr>
              <w:spacing w:before="0" w:after="40"/>
            </w:pPr>
            <w:r w:rsidRPr="006E7CA4">
              <w:t>SG13/TK</w:t>
            </w:r>
          </w:p>
        </w:tc>
        <w:tc>
          <w:tcPr>
            <w:tcW w:w="5398" w:type="dxa"/>
            <w:vMerge w:val="restart"/>
          </w:tcPr>
          <w:p w14:paraId="43F6A64B" w14:textId="77777777" w:rsidR="00101541" w:rsidRPr="00FB1474" w:rsidRDefault="00101541" w:rsidP="00101541">
            <w:pPr>
              <w:spacing w:before="40" w:after="40"/>
              <w:rPr>
                <w:b/>
                <w:bCs/>
              </w:rPr>
            </w:pPr>
            <w:bookmarkStart w:id="0" w:name="Addressee_S"/>
            <w:bookmarkEnd w:id="0"/>
            <w:r w:rsidRPr="00FB1474">
              <w:rPr>
                <w:b/>
                <w:bCs/>
              </w:rPr>
              <w:t>A:</w:t>
            </w:r>
          </w:p>
          <w:p w14:paraId="6E922D91" w14:textId="77777777" w:rsidR="00A2600C" w:rsidRDefault="00101541" w:rsidP="00A2600C">
            <w:pPr>
              <w:tabs>
                <w:tab w:val="clear" w:pos="794"/>
                <w:tab w:val="left" w:pos="390"/>
              </w:tabs>
              <w:spacing w:before="40" w:after="40"/>
              <w:ind w:left="390" w:hanging="390"/>
            </w:pPr>
            <w:r w:rsidRPr="00153C97">
              <w:t>–</w:t>
            </w:r>
            <w:r w:rsidR="001350B9">
              <w:tab/>
            </w:r>
            <w:r w:rsidR="00A2600C">
              <w:t>las Administraciones de los Estados Miembros de la Unión;</w:t>
            </w:r>
          </w:p>
          <w:p w14:paraId="6DAB6D61" w14:textId="46D29246" w:rsidR="00A2600C" w:rsidRDefault="00A2600C" w:rsidP="00A2600C">
            <w:pPr>
              <w:tabs>
                <w:tab w:val="clear" w:pos="794"/>
                <w:tab w:val="left" w:pos="390"/>
              </w:tabs>
              <w:spacing w:before="40" w:after="40"/>
              <w:ind w:left="390" w:hanging="390"/>
            </w:pPr>
            <w:r w:rsidRPr="00153C97">
              <w:t>–</w:t>
            </w:r>
            <w:r>
              <w:tab/>
              <w:t>el Estado de Palestina (Res. 99 (Rev. Dubái, 2018))</w:t>
            </w:r>
          </w:p>
          <w:p w14:paraId="574E6F85" w14:textId="00F09FF3" w:rsidR="00A2600C" w:rsidRPr="00A2600C" w:rsidRDefault="00A2600C" w:rsidP="00A2600C">
            <w:pPr>
              <w:spacing w:before="40" w:after="40"/>
              <w:rPr>
                <w:b/>
                <w:bCs/>
              </w:rPr>
            </w:pPr>
            <w:r w:rsidRPr="00A2600C">
              <w:rPr>
                <w:b/>
                <w:bCs/>
              </w:rPr>
              <w:t>Copia a:</w:t>
            </w:r>
          </w:p>
          <w:p w14:paraId="01645271" w14:textId="77777777" w:rsidR="006E7CA4" w:rsidRDefault="006E7CA4" w:rsidP="006E7CA4">
            <w:pPr>
              <w:tabs>
                <w:tab w:val="clear" w:pos="794"/>
                <w:tab w:val="left" w:pos="390"/>
              </w:tabs>
              <w:spacing w:before="40" w:after="40"/>
              <w:ind w:left="390" w:hanging="390"/>
            </w:pPr>
            <w:r w:rsidRPr="00153C97">
              <w:t>–</w:t>
            </w:r>
            <w:r>
              <w:tab/>
              <w:t>los Miembros de Sector del UIT-T;</w:t>
            </w:r>
          </w:p>
          <w:p w14:paraId="430348F0" w14:textId="77777777" w:rsidR="006E7CA4" w:rsidRDefault="006E7CA4" w:rsidP="006E7CA4">
            <w:pPr>
              <w:tabs>
                <w:tab w:val="clear" w:pos="794"/>
                <w:tab w:val="left" w:pos="390"/>
              </w:tabs>
              <w:spacing w:before="40" w:after="40"/>
              <w:ind w:left="390" w:hanging="390"/>
            </w:pPr>
            <w:r w:rsidRPr="00153C97">
              <w:t>–</w:t>
            </w:r>
            <w:r>
              <w:tab/>
              <w:t>los Asociados del UIT-T;</w:t>
            </w:r>
          </w:p>
          <w:p w14:paraId="7012016A" w14:textId="7DCD44BA" w:rsidR="006E7CA4" w:rsidRDefault="006E7CA4" w:rsidP="006E7CA4">
            <w:pPr>
              <w:tabs>
                <w:tab w:val="clear" w:pos="794"/>
                <w:tab w:val="left" w:pos="390"/>
              </w:tabs>
              <w:spacing w:before="40" w:after="40"/>
            </w:pPr>
            <w:r w:rsidRPr="00153C97">
              <w:t>–</w:t>
            </w:r>
            <w:r>
              <w:tab/>
              <w:t>las Instituciones Académicas de la UIT;</w:t>
            </w:r>
          </w:p>
          <w:p w14:paraId="29D737AE" w14:textId="0754553D" w:rsidR="00A2600C" w:rsidRDefault="00101541" w:rsidP="006E7CA4">
            <w:pPr>
              <w:tabs>
                <w:tab w:val="clear" w:pos="794"/>
                <w:tab w:val="left" w:pos="390"/>
              </w:tabs>
              <w:spacing w:before="40" w:after="40"/>
              <w:ind w:left="390" w:hanging="390"/>
            </w:pPr>
            <w:r w:rsidRPr="00153C97">
              <w:t>–</w:t>
            </w:r>
            <w:r w:rsidR="001350B9">
              <w:tab/>
            </w:r>
            <w:r w:rsidR="006E7CA4">
              <w:t>e</w:t>
            </w:r>
            <w:r w:rsidR="00A2600C">
              <w:t xml:space="preserve">l Presidente y </w:t>
            </w:r>
            <w:r w:rsidR="009814D2">
              <w:t xml:space="preserve">los </w:t>
            </w:r>
            <w:r w:rsidR="00A2600C">
              <w:t>Vicepresidentes de la Comisi</w:t>
            </w:r>
            <w:r w:rsidR="006E7CA4">
              <w:t>ó</w:t>
            </w:r>
            <w:r w:rsidR="00A2600C">
              <w:t>n</w:t>
            </w:r>
            <w:r w:rsidR="006E7CA4">
              <w:t xml:space="preserve"> </w:t>
            </w:r>
            <w:r w:rsidR="00A2600C">
              <w:t>de Estudio</w:t>
            </w:r>
            <w:r w:rsidR="006E7CA4">
              <w:t xml:space="preserve"> 13 </w:t>
            </w:r>
            <w:r w:rsidR="00A2600C">
              <w:t>del UIT</w:t>
            </w:r>
            <w:r w:rsidR="00A2600C">
              <w:noBreakHyphen/>
              <w:t>T;</w:t>
            </w:r>
          </w:p>
          <w:p w14:paraId="407FCD73" w14:textId="032C9547" w:rsidR="00A2600C" w:rsidRDefault="00A2600C" w:rsidP="00A2600C">
            <w:pPr>
              <w:tabs>
                <w:tab w:val="clear" w:pos="794"/>
                <w:tab w:val="left" w:pos="390"/>
              </w:tabs>
              <w:spacing w:before="40" w:after="40"/>
              <w:ind w:left="390" w:hanging="390"/>
            </w:pPr>
            <w:r w:rsidRPr="00153C97">
              <w:t>–</w:t>
            </w:r>
            <w:r>
              <w:tab/>
              <w:t>el Director de la Oficina de Desarrollo de las Telecomunicaciones;</w:t>
            </w:r>
          </w:p>
          <w:p w14:paraId="4E2FF369" w14:textId="1BF8BC63" w:rsidR="001350B9" w:rsidRDefault="00A2600C" w:rsidP="006E7CA4">
            <w:pPr>
              <w:tabs>
                <w:tab w:val="clear" w:pos="794"/>
                <w:tab w:val="left" w:pos="390"/>
              </w:tabs>
              <w:spacing w:before="40" w:after="40"/>
              <w:ind w:left="390" w:hanging="390"/>
            </w:pPr>
            <w:r w:rsidRPr="00153C97">
              <w:t>–</w:t>
            </w:r>
            <w:r>
              <w:tab/>
              <w:t>el Director de la Oficina de Radiocomunicaciones</w:t>
            </w:r>
          </w:p>
        </w:tc>
      </w:tr>
      <w:tr w:rsidR="001350B9" w14:paraId="1A010FF9" w14:textId="77777777" w:rsidTr="006E7CA4">
        <w:trPr>
          <w:cantSplit/>
        </w:trPr>
        <w:tc>
          <w:tcPr>
            <w:tcW w:w="1409" w:type="dxa"/>
          </w:tcPr>
          <w:p w14:paraId="48F92A24" w14:textId="77777777" w:rsidR="001350B9" w:rsidRPr="00101541" w:rsidRDefault="001350B9" w:rsidP="00101541">
            <w:pPr>
              <w:spacing w:before="40" w:after="40"/>
            </w:pPr>
            <w:r w:rsidRPr="00101541">
              <w:t>Tel.:</w:t>
            </w:r>
          </w:p>
        </w:tc>
        <w:tc>
          <w:tcPr>
            <w:tcW w:w="3399" w:type="dxa"/>
          </w:tcPr>
          <w:p w14:paraId="19D29048" w14:textId="71FC1DA7" w:rsidR="001350B9" w:rsidRPr="00101541" w:rsidRDefault="00A2600C" w:rsidP="00101541">
            <w:pPr>
              <w:spacing w:before="40" w:after="40"/>
            </w:pPr>
            <w:r w:rsidRPr="00A2600C">
              <w:t xml:space="preserve">+41 22 730 </w:t>
            </w:r>
            <w:r w:rsidR="006E7CA4" w:rsidRPr="006E7CA4">
              <w:t>5126</w:t>
            </w:r>
          </w:p>
        </w:tc>
        <w:tc>
          <w:tcPr>
            <w:tcW w:w="5398" w:type="dxa"/>
            <w:vMerge/>
          </w:tcPr>
          <w:p w14:paraId="3DF5CE88" w14:textId="77777777" w:rsidR="001350B9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</w:rPr>
            </w:pPr>
          </w:p>
        </w:tc>
      </w:tr>
      <w:tr w:rsidR="001350B9" w14:paraId="07D56EDD" w14:textId="77777777" w:rsidTr="006E7CA4">
        <w:trPr>
          <w:cantSplit/>
        </w:trPr>
        <w:tc>
          <w:tcPr>
            <w:tcW w:w="1409" w:type="dxa"/>
          </w:tcPr>
          <w:p w14:paraId="35CE91C2" w14:textId="77777777" w:rsidR="001350B9" w:rsidRPr="00101541" w:rsidRDefault="001350B9" w:rsidP="00101541">
            <w:pPr>
              <w:spacing w:before="40" w:after="40"/>
            </w:pPr>
            <w:r w:rsidRPr="00101541">
              <w:t>Fax:</w:t>
            </w:r>
          </w:p>
        </w:tc>
        <w:tc>
          <w:tcPr>
            <w:tcW w:w="3399" w:type="dxa"/>
          </w:tcPr>
          <w:p w14:paraId="50BA9232" w14:textId="77777777" w:rsidR="001350B9" w:rsidRPr="00101541" w:rsidRDefault="001350B9" w:rsidP="00101541">
            <w:pPr>
              <w:spacing w:before="40" w:after="40"/>
            </w:pPr>
            <w:r>
              <w:t>+41 22 730 5853</w:t>
            </w:r>
          </w:p>
        </w:tc>
        <w:tc>
          <w:tcPr>
            <w:tcW w:w="5398" w:type="dxa"/>
            <w:vMerge/>
          </w:tcPr>
          <w:p w14:paraId="20877663" w14:textId="77777777" w:rsidR="001350B9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</w:rPr>
            </w:pPr>
          </w:p>
        </w:tc>
      </w:tr>
      <w:tr w:rsidR="001350B9" w14:paraId="30FF827C" w14:textId="77777777" w:rsidTr="006E7CA4">
        <w:trPr>
          <w:cantSplit/>
        </w:trPr>
        <w:tc>
          <w:tcPr>
            <w:tcW w:w="1409" w:type="dxa"/>
          </w:tcPr>
          <w:p w14:paraId="220ABEEC" w14:textId="77777777" w:rsidR="001350B9" w:rsidRPr="00101541" w:rsidRDefault="001350B9" w:rsidP="00101541">
            <w:pPr>
              <w:spacing w:before="40" w:after="40"/>
            </w:pPr>
            <w:r w:rsidRPr="00101541">
              <w:t>Correo-e:</w:t>
            </w:r>
          </w:p>
        </w:tc>
        <w:tc>
          <w:tcPr>
            <w:tcW w:w="3399" w:type="dxa"/>
          </w:tcPr>
          <w:p w14:paraId="114B24C6" w14:textId="7A18C674" w:rsidR="001350B9" w:rsidRDefault="006E7CA4" w:rsidP="00101541">
            <w:pPr>
              <w:spacing w:before="40" w:after="40"/>
            </w:pPr>
            <w:hyperlink r:id="rId9" w:history="1">
              <w:r w:rsidRPr="00362052">
                <w:rPr>
                  <w:rStyle w:val="Hyperlink"/>
                </w:rPr>
                <w:t>tsbsg13@itu.int</w:t>
              </w:r>
            </w:hyperlink>
          </w:p>
        </w:tc>
        <w:tc>
          <w:tcPr>
            <w:tcW w:w="5398" w:type="dxa"/>
            <w:vMerge/>
          </w:tcPr>
          <w:p w14:paraId="0ACE8CE2" w14:textId="77777777" w:rsidR="001350B9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</w:pPr>
          </w:p>
        </w:tc>
      </w:tr>
      <w:tr w:rsidR="007B6316" w14:paraId="7F4E66DD" w14:textId="77777777" w:rsidTr="00A2600C">
        <w:trPr>
          <w:cantSplit/>
        </w:trPr>
        <w:tc>
          <w:tcPr>
            <w:tcW w:w="1409" w:type="dxa"/>
          </w:tcPr>
          <w:p w14:paraId="7BBE0879" w14:textId="77777777" w:rsidR="007B6316" w:rsidRPr="00101541" w:rsidRDefault="007B6316" w:rsidP="00101541">
            <w:r w:rsidRPr="00101541">
              <w:t>Asunto:</w:t>
            </w:r>
          </w:p>
        </w:tc>
        <w:tc>
          <w:tcPr>
            <w:tcW w:w="8797" w:type="dxa"/>
            <w:gridSpan w:val="2"/>
          </w:tcPr>
          <w:p w14:paraId="445801EB" w14:textId="1A1A3117" w:rsidR="007B6316" w:rsidRPr="00A2600C" w:rsidRDefault="006E7CA4" w:rsidP="00101541">
            <w:pPr>
              <w:rPr>
                <w:b/>
                <w:bCs/>
              </w:rPr>
            </w:pPr>
            <w:r w:rsidRPr="006E7CA4">
              <w:rPr>
                <w:b/>
                <w:bCs/>
              </w:rPr>
              <w:t>Situación de la Recomendación</w:t>
            </w:r>
            <w:r w:rsidR="009814D2">
              <w:rPr>
                <w:b/>
                <w:bCs/>
              </w:rPr>
              <w:t> </w:t>
            </w:r>
            <w:r w:rsidRPr="006E7CA4">
              <w:rPr>
                <w:b/>
                <w:bCs/>
              </w:rPr>
              <w:t>UIT-T Y.2257 (ex Y.fdcs) tras la reunión de la Comisión de Estudio</w:t>
            </w:r>
            <w:r w:rsidR="009814D2">
              <w:rPr>
                <w:b/>
                <w:bCs/>
              </w:rPr>
              <w:t> </w:t>
            </w:r>
            <w:r w:rsidRPr="006E7CA4">
              <w:rPr>
                <w:b/>
                <w:bCs/>
              </w:rPr>
              <w:t>13 del UIT-T (Ginebra, 23 de junio</w:t>
            </w:r>
            <w:r w:rsidR="009814D2">
              <w:rPr>
                <w:b/>
                <w:bCs/>
              </w:rPr>
              <w:t xml:space="preserve"> </w:t>
            </w:r>
            <w:r w:rsidR="009814D2" w:rsidRPr="009814D2">
              <w:rPr>
                <w:b/>
                <w:bCs/>
              </w:rPr>
              <w:t>–</w:t>
            </w:r>
            <w:r w:rsidR="009814D2">
              <w:rPr>
                <w:b/>
                <w:bCs/>
              </w:rPr>
              <w:t xml:space="preserve"> </w:t>
            </w:r>
            <w:r w:rsidRPr="006E7CA4">
              <w:rPr>
                <w:b/>
                <w:bCs/>
              </w:rPr>
              <w:t>2 de julio de 2026)</w:t>
            </w:r>
          </w:p>
        </w:tc>
      </w:tr>
    </w:tbl>
    <w:p w14:paraId="7DCD2BF6" w14:textId="77777777" w:rsidR="00C34772" w:rsidRDefault="00C34772" w:rsidP="00101541">
      <w:pPr>
        <w:pStyle w:val="Normalaftertitle"/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>
        <w:t>Muy Señora mía/Muy Señor mío:</w:t>
      </w:r>
    </w:p>
    <w:p w14:paraId="484012A2" w14:textId="276C8C6F" w:rsidR="006E7CA4" w:rsidRPr="006E7CA4" w:rsidRDefault="006E7CA4" w:rsidP="006E7CA4">
      <w:pPr>
        <w:spacing w:after="120"/>
        <w:rPr>
          <w:lang w:val="es-ES"/>
        </w:rPr>
      </w:pPr>
      <w:r w:rsidRPr="006E7CA4">
        <w:rPr>
          <w:bCs/>
          <w:lang w:val="es-ES"/>
        </w:rPr>
        <w:t>1</w:t>
      </w:r>
      <w:r w:rsidRPr="006E7CA4">
        <w:rPr>
          <w:lang w:val="es-ES"/>
        </w:rPr>
        <w:tab/>
        <w:t xml:space="preserve">En relación con la </w:t>
      </w:r>
      <w:hyperlink r:id="rId10" w:history="1">
        <w:r w:rsidRPr="006E7CA4">
          <w:rPr>
            <w:rStyle w:val="Hyperlink"/>
            <w:lang w:val="es-ES"/>
          </w:rPr>
          <w:t>Circular</w:t>
        </w:r>
        <w:r>
          <w:rPr>
            <w:rStyle w:val="Hyperlink"/>
            <w:lang w:val="es-ES"/>
          </w:rPr>
          <w:t> </w:t>
        </w:r>
        <w:r w:rsidRPr="006E7CA4">
          <w:rPr>
            <w:rStyle w:val="Hyperlink"/>
            <w:lang w:val="es-ES"/>
          </w:rPr>
          <w:t>TSB</w:t>
        </w:r>
        <w:r>
          <w:rPr>
            <w:rStyle w:val="Hyperlink"/>
            <w:lang w:val="es-ES"/>
          </w:rPr>
          <w:t> </w:t>
        </w:r>
        <w:r w:rsidRPr="006E7CA4">
          <w:rPr>
            <w:rStyle w:val="Hyperlink"/>
            <w:lang w:val="es-ES"/>
          </w:rPr>
          <w:t>92</w:t>
        </w:r>
      </w:hyperlink>
      <w:r w:rsidRPr="006E7CA4">
        <w:rPr>
          <w:lang w:val="es-ES"/>
        </w:rPr>
        <w:t xml:space="preserve"> de 21 de noviembre de</w:t>
      </w:r>
      <w:r>
        <w:rPr>
          <w:lang w:val="es-ES"/>
        </w:rPr>
        <w:t> </w:t>
      </w:r>
      <w:r w:rsidRPr="006E7CA4">
        <w:rPr>
          <w:lang w:val="es-ES"/>
        </w:rPr>
        <w:t>2025, y conforme a lo estipulado en la cláusula</w:t>
      </w:r>
      <w:r>
        <w:rPr>
          <w:lang w:val="es-ES"/>
        </w:rPr>
        <w:t> </w:t>
      </w:r>
      <w:r w:rsidRPr="006E7CA4">
        <w:rPr>
          <w:lang w:val="es-ES"/>
        </w:rPr>
        <w:t>9.5 de la Resolución</w:t>
      </w:r>
      <w:r>
        <w:rPr>
          <w:lang w:val="es-ES"/>
        </w:rPr>
        <w:t> </w:t>
      </w:r>
      <w:r w:rsidRPr="006E7CA4">
        <w:rPr>
          <w:lang w:val="es-ES"/>
        </w:rPr>
        <w:t>1 (Rev. Ginebra, 2022), me complace comunicarle la decisión adoptada por la Comisión de Estudio</w:t>
      </w:r>
      <w:r>
        <w:rPr>
          <w:lang w:val="es-ES"/>
        </w:rPr>
        <w:t> </w:t>
      </w:r>
      <w:r w:rsidRPr="006E7CA4">
        <w:rPr>
          <w:lang w:val="es-ES"/>
        </w:rPr>
        <w:t>13 del</w:t>
      </w:r>
      <w:r>
        <w:rPr>
          <w:lang w:val="es-ES"/>
        </w:rPr>
        <w:t> </w:t>
      </w:r>
      <w:r w:rsidRPr="006E7CA4">
        <w:rPr>
          <w:lang w:val="es-ES"/>
        </w:rPr>
        <w:t>UIT</w:t>
      </w:r>
      <w:r>
        <w:rPr>
          <w:lang w:val="es-ES"/>
        </w:rPr>
        <w:noBreakHyphen/>
      </w:r>
      <w:r w:rsidRPr="006E7CA4">
        <w:rPr>
          <w:lang w:val="es-ES"/>
        </w:rPr>
        <w:t>T durante su Sesión Plenaria del 2 de julio de</w:t>
      </w:r>
      <w:r>
        <w:rPr>
          <w:lang w:val="es-ES"/>
        </w:rPr>
        <w:t> </w:t>
      </w:r>
      <w:r w:rsidRPr="006E7CA4">
        <w:rPr>
          <w:lang w:val="es-ES"/>
        </w:rPr>
        <w:t>2026 en relación con el proyecto de texto del</w:t>
      </w:r>
      <w:r>
        <w:rPr>
          <w:lang w:val="es-ES"/>
        </w:rPr>
        <w:t> </w:t>
      </w:r>
      <w:r w:rsidRPr="006E7CA4">
        <w:rPr>
          <w:lang w:val="es-ES"/>
        </w:rPr>
        <w:t>UIT</w:t>
      </w:r>
      <w:r>
        <w:rPr>
          <w:lang w:val="es-ES"/>
        </w:rPr>
        <w:noBreakHyphen/>
      </w:r>
      <w:r w:rsidRPr="006E7CA4">
        <w:rPr>
          <w:lang w:val="es-ES"/>
        </w:rPr>
        <w:t>T que figura a continuación:</w:t>
      </w:r>
    </w:p>
    <w:tbl>
      <w:tblPr>
        <w:tblStyle w:val="TableGrid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5"/>
        <w:gridCol w:w="6103"/>
        <w:gridCol w:w="1521"/>
      </w:tblGrid>
      <w:tr w:rsidR="006E7CA4" w:rsidRPr="006E7CA4" w14:paraId="3B435AC1" w14:textId="77777777" w:rsidTr="006E7CA4">
        <w:trPr>
          <w:tblHeader/>
          <w:jc w:val="center"/>
        </w:trPr>
        <w:tc>
          <w:tcPr>
            <w:tcW w:w="1045" w:type="pct"/>
            <w:tcBorders>
              <w:top w:val="single" w:sz="12" w:space="0" w:color="auto"/>
              <w:bottom w:val="single" w:sz="12" w:space="0" w:color="auto"/>
            </w:tcBorders>
          </w:tcPr>
          <w:p w14:paraId="5D17AB4A" w14:textId="77777777" w:rsidR="006E7CA4" w:rsidRPr="006E7CA4" w:rsidRDefault="006E7CA4" w:rsidP="006E7CA4">
            <w:pPr>
              <w:pStyle w:val="Tablehead0"/>
              <w:rPr>
                <w:lang w:val="es-ES"/>
              </w:rPr>
            </w:pPr>
            <w:r w:rsidRPr="006E7CA4">
              <w:rPr>
                <w:lang w:val="es-ES"/>
              </w:rPr>
              <w:t>Número</w:t>
            </w:r>
          </w:p>
        </w:tc>
        <w:tc>
          <w:tcPr>
            <w:tcW w:w="3166" w:type="pct"/>
            <w:tcBorders>
              <w:top w:val="single" w:sz="12" w:space="0" w:color="auto"/>
              <w:bottom w:val="single" w:sz="12" w:space="0" w:color="auto"/>
            </w:tcBorders>
          </w:tcPr>
          <w:p w14:paraId="701318EF" w14:textId="77777777" w:rsidR="006E7CA4" w:rsidRPr="006E7CA4" w:rsidRDefault="006E7CA4" w:rsidP="006E7CA4">
            <w:pPr>
              <w:pStyle w:val="Tablehead0"/>
              <w:rPr>
                <w:lang w:val="es-ES"/>
              </w:rPr>
            </w:pPr>
            <w:r w:rsidRPr="006E7CA4">
              <w:rPr>
                <w:lang w:val="es-ES"/>
              </w:rPr>
              <w:t>Título</w:t>
            </w:r>
          </w:p>
        </w:tc>
        <w:tc>
          <w:tcPr>
            <w:tcW w:w="789" w:type="pct"/>
            <w:tcBorders>
              <w:top w:val="single" w:sz="12" w:space="0" w:color="auto"/>
              <w:bottom w:val="single" w:sz="12" w:space="0" w:color="auto"/>
            </w:tcBorders>
          </w:tcPr>
          <w:p w14:paraId="27B08DF9" w14:textId="77777777" w:rsidR="006E7CA4" w:rsidRPr="006E7CA4" w:rsidRDefault="006E7CA4" w:rsidP="006E7CA4">
            <w:pPr>
              <w:pStyle w:val="Tablehead0"/>
              <w:rPr>
                <w:lang w:val="es-ES"/>
              </w:rPr>
            </w:pPr>
            <w:r w:rsidRPr="006E7CA4">
              <w:rPr>
                <w:lang w:val="es-ES"/>
              </w:rPr>
              <w:t>Decisión</w:t>
            </w:r>
          </w:p>
        </w:tc>
      </w:tr>
      <w:tr w:rsidR="006E7CA4" w:rsidRPr="006E7CA4" w14:paraId="5B2C0BAE" w14:textId="77777777" w:rsidTr="006E7CA4">
        <w:trPr>
          <w:jc w:val="center"/>
        </w:trPr>
        <w:tc>
          <w:tcPr>
            <w:tcW w:w="1045" w:type="pct"/>
            <w:tcBorders>
              <w:top w:val="single" w:sz="12" w:space="0" w:color="auto"/>
              <w:bottom w:val="single" w:sz="12" w:space="0" w:color="auto"/>
            </w:tcBorders>
          </w:tcPr>
          <w:p w14:paraId="21FD7B07" w14:textId="7F717AD2" w:rsidR="006E7CA4" w:rsidRPr="006E7CA4" w:rsidRDefault="006E7CA4" w:rsidP="006E7CA4">
            <w:pPr>
              <w:pStyle w:val="Tabletext0"/>
              <w:rPr>
                <w:lang w:val="fr-FR"/>
              </w:rPr>
            </w:pPr>
            <w:hyperlink r:id="rId11" w:history="1">
              <w:r w:rsidRPr="006E7CA4">
                <w:rPr>
                  <w:rStyle w:val="Hyperlink"/>
                  <w:lang w:val="fr-FR"/>
                </w:rPr>
                <w:t>UIT-T Y.2257</w:t>
              </w:r>
            </w:hyperlink>
            <w:r w:rsidRPr="006E7CA4">
              <w:rPr>
                <w:lang w:val="fr-FR"/>
              </w:rPr>
              <w:br/>
              <w:t>(ex Y.fdcs)</w:t>
            </w:r>
          </w:p>
        </w:tc>
        <w:tc>
          <w:tcPr>
            <w:tcW w:w="3166" w:type="pct"/>
            <w:tcBorders>
              <w:top w:val="single" w:sz="12" w:space="0" w:color="auto"/>
              <w:bottom w:val="single" w:sz="12" w:space="0" w:color="auto"/>
            </w:tcBorders>
          </w:tcPr>
          <w:p w14:paraId="14657803" w14:textId="77777777" w:rsidR="006E7CA4" w:rsidRPr="006E7CA4" w:rsidRDefault="006E7CA4" w:rsidP="006E7CA4">
            <w:pPr>
              <w:pStyle w:val="Tabletext0"/>
              <w:rPr>
                <w:lang w:val="es-ES"/>
              </w:rPr>
            </w:pPr>
            <w:r w:rsidRPr="006E7CA4">
              <w:rPr>
                <w:lang w:val="es-ES"/>
              </w:rPr>
              <w:t>Modelo de servicio de cooperación de datos federados en la computación periférica de acceso múltiple de las redes futuras</w:t>
            </w:r>
          </w:p>
        </w:tc>
        <w:tc>
          <w:tcPr>
            <w:tcW w:w="789" w:type="pct"/>
            <w:tcBorders>
              <w:top w:val="single" w:sz="12" w:space="0" w:color="auto"/>
              <w:bottom w:val="single" w:sz="12" w:space="0" w:color="auto"/>
            </w:tcBorders>
          </w:tcPr>
          <w:p w14:paraId="13B9D4F9" w14:textId="3F81BD28" w:rsidR="006E7CA4" w:rsidRPr="006E7CA4" w:rsidRDefault="006E7CA4" w:rsidP="006E7CA4">
            <w:pPr>
              <w:pStyle w:val="Tabletext0"/>
              <w:jc w:val="center"/>
              <w:rPr>
                <w:lang w:val="es-ES"/>
              </w:rPr>
            </w:pPr>
            <w:r w:rsidRPr="006E7CA4">
              <w:rPr>
                <w:lang w:val="es-ES"/>
              </w:rPr>
              <w:t>Aprobada</w:t>
            </w:r>
          </w:p>
        </w:tc>
      </w:tr>
    </w:tbl>
    <w:p w14:paraId="43C8E708" w14:textId="77777777" w:rsidR="006E7CA4" w:rsidRPr="006E7CA4" w:rsidRDefault="006E7CA4" w:rsidP="006E7CA4">
      <w:pPr>
        <w:pStyle w:val="Normalaftertitle"/>
        <w:rPr>
          <w:lang w:val="es-ES"/>
        </w:rPr>
      </w:pPr>
      <w:r w:rsidRPr="006E7CA4">
        <w:rPr>
          <w:lang w:val="es-ES"/>
        </w:rPr>
        <w:t>2</w:t>
      </w:r>
      <w:r w:rsidRPr="006E7CA4">
        <w:rPr>
          <w:lang w:val="es-ES"/>
        </w:rPr>
        <w:tab/>
        <w:t xml:space="preserve">Puede consultar la información disponible sobre patentes en el </w:t>
      </w:r>
      <w:hyperlink r:id="rId12" w:history="1">
        <w:r w:rsidRPr="006E7CA4">
          <w:rPr>
            <w:rStyle w:val="Hyperlink"/>
            <w:lang w:val="es-ES"/>
          </w:rPr>
          <w:t>sitio web del UIT-T</w:t>
        </w:r>
      </w:hyperlink>
      <w:r w:rsidRPr="006E7CA4">
        <w:rPr>
          <w:lang w:val="es-ES"/>
        </w:rPr>
        <w:t>.</w:t>
      </w:r>
    </w:p>
    <w:p w14:paraId="0D53E910" w14:textId="00354186" w:rsidR="006E7CA4" w:rsidRPr="006E7CA4" w:rsidRDefault="006E7CA4" w:rsidP="006E7CA4">
      <w:pPr>
        <w:rPr>
          <w:lang w:val="es-ES"/>
        </w:rPr>
      </w:pPr>
      <w:r w:rsidRPr="006E7CA4">
        <w:rPr>
          <w:lang w:val="es-ES"/>
        </w:rPr>
        <w:t>3</w:t>
      </w:r>
      <w:r w:rsidRPr="006E7CA4">
        <w:rPr>
          <w:lang w:val="es-ES"/>
        </w:rPr>
        <w:tab/>
        <w:t>El texto de la Recomendación prepublicada estará disponible en el sitio web del</w:t>
      </w:r>
      <w:r w:rsidR="009814D2">
        <w:rPr>
          <w:lang w:val="es-ES"/>
        </w:rPr>
        <w:t> </w:t>
      </w:r>
      <w:r w:rsidRPr="006E7CA4">
        <w:rPr>
          <w:lang w:val="es-ES"/>
        </w:rPr>
        <w:t>UIT</w:t>
      </w:r>
      <w:r w:rsidR="009814D2">
        <w:rPr>
          <w:lang w:val="es-ES"/>
        </w:rPr>
        <w:noBreakHyphen/>
      </w:r>
      <w:r w:rsidRPr="006E7CA4">
        <w:rPr>
          <w:lang w:val="es-ES"/>
        </w:rPr>
        <w:t xml:space="preserve">T en la dirección </w:t>
      </w:r>
      <w:hyperlink r:id="rId13" w:history="1">
        <w:r w:rsidRPr="006E7CA4">
          <w:rPr>
            <w:rStyle w:val="Hyperlink"/>
            <w:lang w:val="es-ES"/>
          </w:rPr>
          <w:t>https://itu.int/itu-t/recommendations/</w:t>
        </w:r>
      </w:hyperlink>
      <w:r w:rsidRPr="006E7CA4">
        <w:rPr>
          <w:lang w:val="es-ES"/>
        </w:rPr>
        <w:t>.</w:t>
      </w:r>
    </w:p>
    <w:p w14:paraId="6720C568" w14:textId="4B509A09" w:rsidR="006E7CA4" w:rsidRPr="006E7CA4" w:rsidRDefault="006E7CA4" w:rsidP="006E7CA4">
      <w:pPr>
        <w:rPr>
          <w:lang w:val="es-ES"/>
        </w:rPr>
      </w:pPr>
      <w:r w:rsidRPr="006E7CA4">
        <w:rPr>
          <w:lang w:val="es-ES"/>
        </w:rPr>
        <w:t>4</w:t>
      </w:r>
      <w:r w:rsidRPr="006E7CA4">
        <w:rPr>
          <w:lang w:val="es-ES"/>
        </w:rPr>
        <w:tab/>
        <w:t>La</w:t>
      </w:r>
      <w:r w:rsidR="009814D2">
        <w:rPr>
          <w:lang w:val="es-ES"/>
        </w:rPr>
        <w:t> </w:t>
      </w:r>
      <w:r w:rsidRPr="006E7CA4">
        <w:rPr>
          <w:lang w:val="es-ES"/>
        </w:rPr>
        <w:t>UIT publicará lo antes posible el texto de la Recomendación aprobada.</w:t>
      </w:r>
    </w:p>
    <w:p w14:paraId="0D1F7B10" w14:textId="77777777" w:rsidR="0037791E" w:rsidRPr="00081FE5" w:rsidRDefault="0037791E" w:rsidP="0037791E">
      <w:r w:rsidRPr="00081FE5">
        <w:t>Atentamente,</w:t>
      </w:r>
    </w:p>
    <w:p w14:paraId="0BC0BAA8" w14:textId="77777777" w:rsidR="0037791E" w:rsidRPr="00101541" w:rsidRDefault="0037791E" w:rsidP="006E7CA4">
      <w:pPr>
        <w:spacing w:before="480" w:after="480"/>
        <w:rPr>
          <w:i/>
          <w:iCs/>
          <w:sz w:val="28"/>
          <w:szCs w:val="22"/>
        </w:rPr>
      </w:pPr>
      <w:r w:rsidRPr="00101541">
        <w:rPr>
          <w:i/>
          <w:iCs/>
        </w:rPr>
        <w:t>(firmado)</w:t>
      </w:r>
    </w:p>
    <w:p w14:paraId="7BC56817" w14:textId="77777777" w:rsidR="0037791E" w:rsidRPr="00101541" w:rsidRDefault="0037791E" w:rsidP="0037791E">
      <w:r w:rsidRPr="00BC3052">
        <w:t>Seizo Onoe</w:t>
      </w:r>
      <w:r w:rsidRPr="00081FE5">
        <w:br/>
        <w:t xml:space="preserve">Director de la Oficina de </w:t>
      </w:r>
      <w:r w:rsidRPr="00081FE5">
        <w:br/>
        <w:t>Normalización de las Telecomunicaciones</w:t>
      </w:r>
    </w:p>
    <w:sectPr w:rsidR="0037791E" w:rsidRPr="00101541" w:rsidSect="00B87E9E">
      <w:headerReference w:type="default" r:id="rId14"/>
      <w:footerReference w:type="first" r:id="rId15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5AE1" w14:textId="77777777" w:rsidR="00AC1FD9" w:rsidRDefault="00AC1FD9">
      <w:r>
        <w:separator/>
      </w:r>
    </w:p>
  </w:endnote>
  <w:endnote w:type="continuationSeparator" w:id="0">
    <w:p w14:paraId="24F0E57F" w14:textId="77777777" w:rsidR="00AC1FD9" w:rsidRDefault="00AC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2DDA" w14:textId="2A7C35AE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>Tel</w:t>
    </w:r>
    <w:r w:rsidR="00101541">
      <w:rPr>
        <w:color w:val="0070C0"/>
        <w:szCs w:val="18"/>
        <w:lang w:val="es-ES"/>
      </w:rPr>
      <w:t>.</w:t>
    </w:r>
    <w:r w:rsidRPr="00D834E7">
      <w:rPr>
        <w:color w:val="0070C0"/>
        <w:szCs w:val="18"/>
        <w:lang w:val="es-ES"/>
      </w:rPr>
      <w:t xml:space="preserve">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86B32" w14:textId="77777777" w:rsidR="00AC1FD9" w:rsidRDefault="00AC1FD9">
      <w:r>
        <w:t>____________________</w:t>
      </w:r>
    </w:p>
  </w:footnote>
  <w:footnote w:type="continuationSeparator" w:id="0">
    <w:p w14:paraId="789C6B29" w14:textId="77777777" w:rsidR="00AC1FD9" w:rsidRDefault="00AC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CB14" w14:textId="4E1E967D" w:rsidR="006969B4" w:rsidRDefault="006969B4">
    <w:pPr>
      <w:pStyle w:val="Header"/>
      <w:rPr>
        <w:rStyle w:val="PageNumber"/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  <w:p w14:paraId="06800910" w14:textId="3E76A616" w:rsidR="00101541" w:rsidRPr="00303D62" w:rsidRDefault="00101541">
    <w:pPr>
      <w:pStyle w:val="Header"/>
      <w:rPr>
        <w:sz w:val="18"/>
        <w:szCs w:val="18"/>
      </w:rPr>
    </w:pPr>
    <w:r w:rsidRPr="00101541">
      <w:rPr>
        <w:sz w:val="18"/>
        <w:szCs w:val="18"/>
      </w:rPr>
      <w:t xml:space="preserve">Circular TSB </w:t>
    </w:r>
    <w:proofErr w:type="spellStart"/>
    <w:r w:rsidR="0037791E">
      <w:rPr>
        <w:sz w:val="18"/>
        <w:szCs w:val="18"/>
      </w:rPr>
      <w:t>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3C79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A36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AE8D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96A2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905B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F211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E41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E8C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AC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748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757CC"/>
    <w:multiLevelType w:val="hybridMultilevel"/>
    <w:tmpl w:val="FF622066"/>
    <w:lvl w:ilvl="0" w:tplc="927AFB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E4912"/>
    <w:multiLevelType w:val="hybridMultilevel"/>
    <w:tmpl w:val="0B1804B4"/>
    <w:lvl w:ilvl="0" w:tplc="927AFBD0">
      <w:start w:val="1"/>
      <w:numFmt w:val="bullet"/>
      <w:lvlRestart w:val="0"/>
      <w:lvlText w:val="–"/>
      <w:lvlJc w:val="left"/>
      <w:pPr>
        <w:ind w:left="720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12"/>
  </w:num>
  <w:num w:numId="2" w16cid:durableId="1345282128">
    <w:abstractNumId w:val="15"/>
  </w:num>
  <w:num w:numId="3" w16cid:durableId="1069613404">
    <w:abstractNumId w:val="14"/>
  </w:num>
  <w:num w:numId="4" w16cid:durableId="374936234">
    <w:abstractNumId w:val="13"/>
  </w:num>
  <w:num w:numId="5" w16cid:durableId="858465426">
    <w:abstractNumId w:val="11"/>
  </w:num>
  <w:num w:numId="6" w16cid:durableId="733623551">
    <w:abstractNumId w:val="10"/>
  </w:num>
  <w:num w:numId="7" w16cid:durableId="47922348">
    <w:abstractNumId w:val="9"/>
  </w:num>
  <w:num w:numId="8" w16cid:durableId="1322543239">
    <w:abstractNumId w:val="7"/>
  </w:num>
  <w:num w:numId="9" w16cid:durableId="694816818">
    <w:abstractNumId w:val="6"/>
  </w:num>
  <w:num w:numId="10" w16cid:durableId="350570074">
    <w:abstractNumId w:val="5"/>
  </w:num>
  <w:num w:numId="11" w16cid:durableId="1232081607">
    <w:abstractNumId w:val="4"/>
  </w:num>
  <w:num w:numId="12" w16cid:durableId="589042486">
    <w:abstractNumId w:val="8"/>
  </w:num>
  <w:num w:numId="13" w16cid:durableId="1075589734">
    <w:abstractNumId w:val="3"/>
  </w:num>
  <w:num w:numId="14" w16cid:durableId="38432529">
    <w:abstractNumId w:val="2"/>
  </w:num>
  <w:num w:numId="15" w16cid:durableId="474416762">
    <w:abstractNumId w:val="1"/>
  </w:num>
  <w:num w:numId="16" w16cid:durableId="8087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58"/>
    <w:rsid w:val="00002529"/>
    <w:rsid w:val="00005EBD"/>
    <w:rsid w:val="00020CC0"/>
    <w:rsid w:val="00085662"/>
    <w:rsid w:val="000B1BA2"/>
    <w:rsid w:val="000C382F"/>
    <w:rsid w:val="00101541"/>
    <w:rsid w:val="00110B04"/>
    <w:rsid w:val="001173CC"/>
    <w:rsid w:val="001350B9"/>
    <w:rsid w:val="0014464D"/>
    <w:rsid w:val="001A54CC"/>
    <w:rsid w:val="00211A65"/>
    <w:rsid w:val="002518A5"/>
    <w:rsid w:val="00257FB4"/>
    <w:rsid w:val="002E496E"/>
    <w:rsid w:val="00303D62"/>
    <w:rsid w:val="00335367"/>
    <w:rsid w:val="00370C2D"/>
    <w:rsid w:val="0037791E"/>
    <w:rsid w:val="003B0CBC"/>
    <w:rsid w:val="003C0BC5"/>
    <w:rsid w:val="003D1E8D"/>
    <w:rsid w:val="003D673B"/>
    <w:rsid w:val="003F2855"/>
    <w:rsid w:val="00401C20"/>
    <w:rsid w:val="00467293"/>
    <w:rsid w:val="004A7957"/>
    <w:rsid w:val="004C4144"/>
    <w:rsid w:val="0055719E"/>
    <w:rsid w:val="005C6450"/>
    <w:rsid w:val="0066627F"/>
    <w:rsid w:val="006969B4"/>
    <w:rsid w:val="006D720F"/>
    <w:rsid w:val="006E4F7B"/>
    <w:rsid w:val="006E7CA4"/>
    <w:rsid w:val="00766C41"/>
    <w:rsid w:val="00781E2A"/>
    <w:rsid w:val="007933A2"/>
    <w:rsid w:val="007B6316"/>
    <w:rsid w:val="00814503"/>
    <w:rsid w:val="008258C2"/>
    <w:rsid w:val="008505BD"/>
    <w:rsid w:val="00850C78"/>
    <w:rsid w:val="00876165"/>
    <w:rsid w:val="00884D12"/>
    <w:rsid w:val="008B0F3C"/>
    <w:rsid w:val="008C17AD"/>
    <w:rsid w:val="008D02CD"/>
    <w:rsid w:val="0091370C"/>
    <w:rsid w:val="0095172A"/>
    <w:rsid w:val="009814D2"/>
    <w:rsid w:val="009A0BA0"/>
    <w:rsid w:val="00A2600C"/>
    <w:rsid w:val="00A31158"/>
    <w:rsid w:val="00A54E47"/>
    <w:rsid w:val="00AB6E3A"/>
    <w:rsid w:val="00AC1FD9"/>
    <w:rsid w:val="00AE7093"/>
    <w:rsid w:val="00B03EE2"/>
    <w:rsid w:val="00B422BC"/>
    <w:rsid w:val="00B43F77"/>
    <w:rsid w:val="00B55A3E"/>
    <w:rsid w:val="00B87E9E"/>
    <w:rsid w:val="00B95F0A"/>
    <w:rsid w:val="00B96180"/>
    <w:rsid w:val="00BA6F31"/>
    <w:rsid w:val="00BC3052"/>
    <w:rsid w:val="00C116FE"/>
    <w:rsid w:val="00C17AC0"/>
    <w:rsid w:val="00C34772"/>
    <w:rsid w:val="00C405CE"/>
    <w:rsid w:val="00C5465A"/>
    <w:rsid w:val="00D54642"/>
    <w:rsid w:val="00D834E7"/>
    <w:rsid w:val="00D97832"/>
    <w:rsid w:val="00DD77C9"/>
    <w:rsid w:val="00DF3538"/>
    <w:rsid w:val="00E839B0"/>
    <w:rsid w:val="00E92C09"/>
    <w:rsid w:val="00F14380"/>
    <w:rsid w:val="00F6461F"/>
    <w:rsid w:val="00FB1474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B0B40"/>
  <w15:docId w15:val="{5B4F3BED-0458-4426-AA5D-B74EAC68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600C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A2600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3C0BC5"/>
    <w:rPr>
      <w:rFonts w:asciiTheme="minorHAnsi" w:hAnsiTheme="minorHAnsi"/>
      <w:sz w:val="24"/>
      <w:lang w:val="es-ES_tradnl" w:eastAsia="en-US"/>
    </w:rPr>
  </w:style>
  <w:style w:type="table" w:styleId="TableGrid">
    <w:name w:val="Table Grid"/>
    <w:basedOn w:val="TableNormal"/>
    <w:rsid w:val="006E7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tu.int/itu-t/recommendation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tu.int/net4/ipr/search.aspx?sector=ITU&amp;class=P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yworkspace/t-wp/item?isn=213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25-TSB-CIR-0092/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3@itu.int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EMPLATE\ITUOffice2007\POOL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2093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Spanish83</dc:creator>
  <cp:lastModifiedBy>Maguire, Mairéad</cp:lastModifiedBy>
  <cp:revision>2</cp:revision>
  <cp:lastPrinted>2011-04-15T08:24:00Z</cp:lastPrinted>
  <dcterms:created xsi:type="dcterms:W3CDTF">2026-07-24T14:28:00Z</dcterms:created>
  <dcterms:modified xsi:type="dcterms:W3CDTF">2026-07-24T14:28:00Z</dcterms:modified>
</cp:coreProperties>
</file>