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0B8589A3" w14:textId="77777777" w:rsidTr="00D517B2">
        <w:trPr>
          <w:cantSplit/>
          <w:trHeight w:val="1134"/>
        </w:trPr>
        <w:tc>
          <w:tcPr>
            <w:tcW w:w="798" w:type="pct"/>
          </w:tcPr>
          <w:p w14:paraId="5F8E6D72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4721B546" wp14:editId="73340695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7609A087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6A604D62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262"/>
        <w:gridCol w:w="4816"/>
      </w:tblGrid>
      <w:tr w:rsidR="00D517B2" w:rsidRPr="00D517B2" w14:paraId="5AC00760" w14:textId="77777777" w:rsidTr="00A743AE">
        <w:trPr>
          <w:cantSplit/>
          <w:jc w:val="center"/>
        </w:trPr>
        <w:tc>
          <w:tcPr>
            <w:tcW w:w="810" w:type="pct"/>
          </w:tcPr>
          <w:p w14:paraId="1CFDEE4F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692" w:type="pct"/>
          </w:tcPr>
          <w:p w14:paraId="54AC1A19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498" w:type="pct"/>
          </w:tcPr>
          <w:p w14:paraId="69722345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7E305214" w14:textId="77777777" w:rsidTr="00A743AE">
        <w:trPr>
          <w:cantSplit/>
          <w:jc w:val="center"/>
        </w:trPr>
        <w:tc>
          <w:tcPr>
            <w:tcW w:w="810" w:type="pct"/>
          </w:tcPr>
          <w:p w14:paraId="13E7CAA4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692" w:type="pct"/>
          </w:tcPr>
          <w:p w14:paraId="3E55A41C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498" w:type="pct"/>
          </w:tcPr>
          <w:p w14:paraId="7685984A" w14:textId="0AF9CC0E" w:rsidR="00D517B2" w:rsidRPr="00D517B2" w:rsidRDefault="00A743AE" w:rsidP="00A743AE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A743AE">
              <w:rPr>
                <w:position w:val="2"/>
                <w:rtl/>
              </w:rPr>
              <w:t>جنيف، 14 يوليو 2026</w:t>
            </w:r>
          </w:p>
        </w:tc>
      </w:tr>
      <w:tr w:rsidR="00372F67" w:rsidRPr="00D517B2" w14:paraId="04E09797" w14:textId="77777777" w:rsidTr="00A743AE">
        <w:trPr>
          <w:cantSplit/>
          <w:jc w:val="center"/>
        </w:trPr>
        <w:tc>
          <w:tcPr>
            <w:tcW w:w="810" w:type="pct"/>
          </w:tcPr>
          <w:p w14:paraId="1EC9CB91" w14:textId="77777777" w:rsidR="00372F67" w:rsidRPr="00A9156F" w:rsidRDefault="00372F6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692" w:type="pct"/>
          </w:tcPr>
          <w:p w14:paraId="3E934EB8" w14:textId="1FB22632" w:rsidR="00372F67" w:rsidRPr="00D517B2" w:rsidRDefault="00A743AE" w:rsidP="00A743AE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A743AE">
              <w:rPr>
                <w:b/>
                <w:bCs/>
                <w:position w:val="2"/>
                <w:lang w:val="pt-PT"/>
              </w:rPr>
              <w:t>TSB Circular 153</w:t>
            </w:r>
            <w:r>
              <w:rPr>
                <w:b/>
                <w:bCs/>
                <w:position w:val="2"/>
                <w:lang w:val="pt-PT"/>
              </w:rPr>
              <w:br/>
            </w:r>
            <w:r w:rsidRPr="00A743AE">
              <w:rPr>
                <w:bCs/>
                <w:position w:val="2"/>
                <w:lang w:val="pt-PT"/>
              </w:rPr>
              <w:t>SG13/TK</w:t>
            </w:r>
          </w:p>
        </w:tc>
        <w:tc>
          <w:tcPr>
            <w:tcW w:w="2498" w:type="pct"/>
            <w:vMerge w:val="restart"/>
          </w:tcPr>
          <w:p w14:paraId="46ECC078" w14:textId="77777777" w:rsidR="00A743AE" w:rsidRPr="00A743AE" w:rsidRDefault="00A743AE" w:rsidP="004B32C8">
            <w:pPr>
              <w:tabs>
                <w:tab w:val="clear" w:pos="794"/>
                <w:tab w:val="left" w:pos="284"/>
              </w:tabs>
              <w:spacing w:before="0" w:after="60" w:line="300" w:lineRule="exact"/>
              <w:jc w:val="left"/>
              <w:rPr>
                <w:b/>
                <w:bCs/>
                <w:position w:val="2"/>
              </w:rPr>
            </w:pPr>
            <w:r w:rsidRPr="00A743AE">
              <w:rPr>
                <w:b/>
                <w:bCs/>
                <w:position w:val="2"/>
                <w:rtl/>
              </w:rPr>
              <w:t>إلى:</w:t>
            </w:r>
          </w:p>
          <w:p w14:paraId="03A0863A" w14:textId="50E03CE5" w:rsidR="00A743AE" w:rsidRPr="00A743AE" w:rsidRDefault="00A743AE" w:rsidP="004B32C8">
            <w:pPr>
              <w:tabs>
                <w:tab w:val="clear" w:pos="794"/>
                <w:tab w:val="left" w:pos="284"/>
              </w:tabs>
              <w:spacing w:before="0" w:after="60" w:line="300" w:lineRule="exact"/>
              <w:ind w:left="397" w:hanging="397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  <w:lang w:bidi="ar-EG"/>
              </w:rPr>
              <w:t>-</w:t>
            </w:r>
            <w:r>
              <w:rPr>
                <w:position w:val="2"/>
                <w:rtl/>
                <w:lang w:bidi="ar-EG"/>
              </w:rPr>
              <w:tab/>
            </w:r>
            <w:r w:rsidRPr="00A743AE">
              <w:rPr>
                <w:position w:val="2"/>
                <w:rtl/>
              </w:rPr>
              <w:t>إدارات الدول الأعضاء في الاتحاد؛</w:t>
            </w:r>
          </w:p>
          <w:p w14:paraId="404A0F40" w14:textId="254AD9C2" w:rsidR="00A743AE" w:rsidRPr="00A743AE" w:rsidRDefault="00A743AE" w:rsidP="004B32C8">
            <w:pPr>
              <w:tabs>
                <w:tab w:val="clear" w:pos="794"/>
                <w:tab w:val="left" w:pos="284"/>
              </w:tabs>
              <w:spacing w:before="0" w:after="60" w:line="300" w:lineRule="exact"/>
              <w:ind w:left="397" w:hanging="397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  <w:lang w:bidi="ar-EG"/>
              </w:rPr>
              <w:t>-</w:t>
            </w:r>
            <w:r>
              <w:rPr>
                <w:position w:val="2"/>
                <w:rtl/>
                <w:lang w:bidi="ar-EG"/>
              </w:rPr>
              <w:tab/>
            </w:r>
            <w:r w:rsidRPr="00A743AE">
              <w:rPr>
                <w:position w:val="2"/>
                <w:rtl/>
              </w:rPr>
              <w:t>دولة فلسطين (القرار 99 (المراجَع في دبي، 2018)</w:t>
            </w:r>
            <w:r>
              <w:rPr>
                <w:rFonts w:hint="cs"/>
                <w:position w:val="2"/>
                <w:rtl/>
              </w:rPr>
              <w:t>)؛</w:t>
            </w:r>
          </w:p>
          <w:p w14:paraId="7437DC38" w14:textId="77777777" w:rsidR="00A743AE" w:rsidRPr="00A743AE" w:rsidRDefault="00A743AE" w:rsidP="004B32C8">
            <w:pPr>
              <w:tabs>
                <w:tab w:val="clear" w:pos="794"/>
                <w:tab w:val="left" w:pos="284"/>
              </w:tabs>
              <w:spacing w:before="0" w:after="60" w:line="300" w:lineRule="exact"/>
              <w:jc w:val="left"/>
              <w:rPr>
                <w:b/>
                <w:bCs/>
                <w:position w:val="2"/>
              </w:rPr>
            </w:pPr>
            <w:r w:rsidRPr="00A743AE">
              <w:rPr>
                <w:b/>
                <w:bCs/>
                <w:position w:val="2"/>
                <w:rtl/>
              </w:rPr>
              <w:t>نسخة إلى:</w:t>
            </w:r>
          </w:p>
          <w:p w14:paraId="1E08459C" w14:textId="20357A71" w:rsidR="00A743AE" w:rsidRPr="00A743AE" w:rsidRDefault="00A743AE" w:rsidP="004B32C8">
            <w:pPr>
              <w:tabs>
                <w:tab w:val="clear" w:pos="794"/>
                <w:tab w:val="left" w:pos="284"/>
              </w:tabs>
              <w:spacing w:before="0" w:after="60" w:line="300" w:lineRule="exact"/>
              <w:ind w:left="397" w:hanging="397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  <w:lang w:bidi="ar-EG"/>
              </w:rPr>
              <w:t>-</w:t>
            </w:r>
            <w:r>
              <w:rPr>
                <w:position w:val="2"/>
                <w:rtl/>
                <w:lang w:bidi="ar-EG"/>
              </w:rPr>
              <w:tab/>
            </w:r>
            <w:r w:rsidRPr="00A743AE">
              <w:rPr>
                <w:position w:val="2"/>
                <w:rtl/>
              </w:rPr>
              <w:t>أعضاء قطاع تقييس الاتصالات بالاتحاد؛</w:t>
            </w:r>
          </w:p>
          <w:p w14:paraId="3E632F7D" w14:textId="3EA6F5A7" w:rsidR="00A743AE" w:rsidRPr="00A743AE" w:rsidRDefault="00A743AE" w:rsidP="004B32C8">
            <w:pPr>
              <w:tabs>
                <w:tab w:val="clear" w:pos="794"/>
                <w:tab w:val="left" w:pos="284"/>
              </w:tabs>
              <w:spacing w:before="0" w:after="60" w:line="300" w:lineRule="exact"/>
              <w:ind w:left="397" w:hanging="397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  <w:lang w:bidi="ar-EG"/>
              </w:rPr>
              <w:t>-</w:t>
            </w:r>
            <w:r>
              <w:rPr>
                <w:position w:val="2"/>
                <w:rtl/>
                <w:lang w:bidi="ar-EG"/>
              </w:rPr>
              <w:tab/>
            </w:r>
            <w:r w:rsidRPr="00A743AE">
              <w:rPr>
                <w:position w:val="2"/>
                <w:rtl/>
              </w:rPr>
              <w:t>المنتسبين إلى قطاع تقييس الاتصالات؛</w:t>
            </w:r>
          </w:p>
          <w:p w14:paraId="7E21A2A0" w14:textId="262ACEC7" w:rsidR="00A743AE" w:rsidRPr="00A743AE" w:rsidRDefault="00A743AE" w:rsidP="004B32C8">
            <w:pPr>
              <w:tabs>
                <w:tab w:val="clear" w:pos="794"/>
                <w:tab w:val="left" w:pos="284"/>
              </w:tabs>
              <w:spacing w:before="0" w:after="60" w:line="300" w:lineRule="exact"/>
              <w:ind w:left="397" w:hanging="397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  <w:lang w:bidi="ar-EG"/>
              </w:rPr>
              <w:t>-</w:t>
            </w:r>
            <w:r>
              <w:rPr>
                <w:position w:val="2"/>
                <w:rtl/>
                <w:lang w:bidi="ar-EG"/>
              </w:rPr>
              <w:tab/>
            </w:r>
            <w:r w:rsidRPr="00A743AE">
              <w:rPr>
                <w:position w:val="2"/>
                <w:rtl/>
              </w:rPr>
              <w:t>الهيئات الأكاديمية المنضمة إلى الاتحاد؛</w:t>
            </w:r>
          </w:p>
          <w:p w14:paraId="6B68DA9E" w14:textId="534B6A3B" w:rsidR="00A743AE" w:rsidRPr="00A743AE" w:rsidRDefault="00A743AE" w:rsidP="004B32C8">
            <w:pPr>
              <w:tabs>
                <w:tab w:val="clear" w:pos="794"/>
                <w:tab w:val="left" w:pos="284"/>
              </w:tabs>
              <w:spacing w:before="0" w:after="60" w:line="300" w:lineRule="exact"/>
              <w:ind w:left="397" w:hanging="397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  <w:lang w:bidi="ar-EG"/>
              </w:rPr>
              <w:t>-</w:t>
            </w:r>
            <w:r>
              <w:rPr>
                <w:position w:val="2"/>
                <w:rtl/>
                <w:lang w:bidi="ar-EG"/>
              </w:rPr>
              <w:tab/>
            </w:r>
            <w:r w:rsidRPr="00A743AE">
              <w:rPr>
                <w:position w:val="2"/>
                <w:rtl/>
              </w:rPr>
              <w:t>رئيس لجنة الدراسات 13 لقطاع تقييس الاتصالات ونوابه؛</w:t>
            </w:r>
          </w:p>
          <w:p w14:paraId="3097E166" w14:textId="0F372D48" w:rsidR="00A743AE" w:rsidRPr="00A743AE" w:rsidRDefault="00A743AE" w:rsidP="004B32C8">
            <w:pPr>
              <w:tabs>
                <w:tab w:val="clear" w:pos="794"/>
                <w:tab w:val="left" w:pos="284"/>
              </w:tabs>
              <w:spacing w:before="0" w:after="60" w:line="300" w:lineRule="exact"/>
              <w:ind w:left="397" w:hanging="397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  <w:lang w:bidi="ar-EG"/>
              </w:rPr>
              <w:t>-</w:t>
            </w:r>
            <w:r>
              <w:rPr>
                <w:position w:val="2"/>
                <w:rtl/>
                <w:lang w:bidi="ar-EG"/>
              </w:rPr>
              <w:tab/>
            </w:r>
            <w:r w:rsidRPr="00A743AE">
              <w:rPr>
                <w:position w:val="2"/>
                <w:rtl/>
              </w:rPr>
              <w:t>مدير مكتب تنمية الاتصالات؛</w:t>
            </w:r>
          </w:p>
          <w:p w14:paraId="5C5D5DB4" w14:textId="52D0E072" w:rsidR="00372F67" w:rsidRPr="00A743AE" w:rsidRDefault="00A743AE" w:rsidP="004B32C8">
            <w:pPr>
              <w:tabs>
                <w:tab w:val="clear" w:pos="794"/>
                <w:tab w:val="left" w:pos="284"/>
              </w:tabs>
              <w:spacing w:before="0" w:after="60" w:line="300" w:lineRule="exact"/>
              <w:ind w:left="397" w:hanging="397"/>
              <w:jc w:val="left"/>
              <w:rPr>
                <w:b/>
                <w:bCs/>
                <w:position w:val="2"/>
                <w:rtl/>
              </w:rPr>
            </w:pPr>
            <w:r>
              <w:rPr>
                <w:rFonts w:hint="cs"/>
                <w:position w:val="2"/>
                <w:rtl/>
                <w:lang w:bidi="ar-EG"/>
              </w:rPr>
              <w:t>-</w:t>
            </w:r>
            <w:r>
              <w:rPr>
                <w:position w:val="2"/>
                <w:rtl/>
                <w:lang w:bidi="ar-EG"/>
              </w:rPr>
              <w:tab/>
            </w:r>
            <w:r w:rsidRPr="00A743AE">
              <w:rPr>
                <w:position w:val="2"/>
                <w:rtl/>
              </w:rPr>
              <w:t>مدير مكتب الاتصالات الراديوية</w:t>
            </w:r>
          </w:p>
        </w:tc>
      </w:tr>
      <w:tr w:rsidR="00A743AE" w:rsidRPr="00D517B2" w14:paraId="0C7B6F24" w14:textId="77777777" w:rsidTr="00A743AE">
        <w:trPr>
          <w:cantSplit/>
          <w:jc w:val="center"/>
        </w:trPr>
        <w:tc>
          <w:tcPr>
            <w:tcW w:w="810" w:type="pct"/>
          </w:tcPr>
          <w:p w14:paraId="37241D20" w14:textId="1D196A6A" w:rsidR="00A743AE" w:rsidRPr="00A9156F" w:rsidRDefault="00A743AE" w:rsidP="00A743AE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  <w:lang w:bidi="ar-EG"/>
              </w:rPr>
              <w:t>ال</w:t>
            </w:r>
            <w:r w:rsidRPr="00A9156F">
              <w:rPr>
                <w:rFonts w:hint="cs"/>
                <w:b/>
                <w:bCs/>
                <w:position w:val="2"/>
                <w:rtl/>
                <w:lang w:bidi="ar-SY"/>
              </w:rPr>
              <w:t>هاتف</w:t>
            </w:r>
            <w:r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692" w:type="pct"/>
          </w:tcPr>
          <w:p w14:paraId="7F7E20F9" w14:textId="64A9B310" w:rsidR="00A743AE" w:rsidRPr="00D517B2" w:rsidRDefault="00A743AE" w:rsidP="00A743AE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137FB8">
              <w:t>+41 22 730 5126</w:t>
            </w:r>
          </w:p>
        </w:tc>
        <w:tc>
          <w:tcPr>
            <w:tcW w:w="2498" w:type="pct"/>
            <w:vMerge/>
          </w:tcPr>
          <w:p w14:paraId="24C3F42F" w14:textId="77777777" w:rsidR="00A743AE" w:rsidRPr="00D517B2" w:rsidRDefault="00A743AE" w:rsidP="00A743AE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A743AE" w:rsidRPr="00D517B2" w14:paraId="1F66B4AD" w14:textId="77777777" w:rsidTr="00A743AE">
        <w:trPr>
          <w:cantSplit/>
          <w:jc w:val="center"/>
        </w:trPr>
        <w:tc>
          <w:tcPr>
            <w:tcW w:w="810" w:type="pct"/>
          </w:tcPr>
          <w:p w14:paraId="7663772A" w14:textId="5D475423" w:rsidR="00A743AE" w:rsidRDefault="00A743AE" w:rsidP="00A743AE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692" w:type="pct"/>
          </w:tcPr>
          <w:p w14:paraId="60DF8436" w14:textId="1473AF10" w:rsidR="00A743AE" w:rsidRDefault="00A743AE" w:rsidP="00A743AE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137FB8">
              <w:t>+41 22 730 5853</w:t>
            </w:r>
          </w:p>
        </w:tc>
        <w:tc>
          <w:tcPr>
            <w:tcW w:w="2498" w:type="pct"/>
            <w:vMerge/>
          </w:tcPr>
          <w:p w14:paraId="79DFF27E" w14:textId="77777777" w:rsidR="00A743AE" w:rsidRPr="00D517B2" w:rsidRDefault="00A743AE" w:rsidP="00A743AE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A743AE" w:rsidRPr="00D517B2" w14:paraId="7E2CC81D" w14:textId="77777777" w:rsidTr="00A743AE">
        <w:trPr>
          <w:cantSplit/>
          <w:trHeight w:val="880"/>
          <w:jc w:val="center"/>
        </w:trPr>
        <w:tc>
          <w:tcPr>
            <w:tcW w:w="810" w:type="pct"/>
          </w:tcPr>
          <w:p w14:paraId="422E0FB6" w14:textId="350FC551" w:rsidR="00A743AE" w:rsidRPr="00A9156F" w:rsidRDefault="00A743AE" w:rsidP="00A743AE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692" w:type="pct"/>
          </w:tcPr>
          <w:p w14:paraId="7C1DA22A" w14:textId="3911795C" w:rsidR="00A743AE" w:rsidRPr="00D517B2" w:rsidRDefault="00A743AE" w:rsidP="00A743AE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9" w:history="1">
              <w:r w:rsidRPr="00137FB8">
                <w:rPr>
                  <w:rStyle w:val="Hyperlink"/>
                </w:rPr>
                <w:t>tsbsg13@itu.int</w:t>
              </w:r>
            </w:hyperlink>
          </w:p>
        </w:tc>
        <w:tc>
          <w:tcPr>
            <w:tcW w:w="2498" w:type="pct"/>
            <w:vMerge/>
          </w:tcPr>
          <w:p w14:paraId="17E3186D" w14:textId="77777777" w:rsidR="00A743AE" w:rsidRPr="00D517B2" w:rsidRDefault="00A743AE" w:rsidP="00A743AE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CE1C08" w:rsidRPr="00D517B2" w14:paraId="090818A1" w14:textId="77777777" w:rsidTr="00A743AE">
        <w:trPr>
          <w:cantSplit/>
          <w:jc w:val="center"/>
        </w:trPr>
        <w:tc>
          <w:tcPr>
            <w:tcW w:w="810" w:type="pct"/>
          </w:tcPr>
          <w:p w14:paraId="2E0B38CD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692" w:type="pct"/>
          </w:tcPr>
          <w:p w14:paraId="7F8EED1E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498" w:type="pct"/>
          </w:tcPr>
          <w:p w14:paraId="292B9BE3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57BE9629" w14:textId="77777777" w:rsidTr="001E2788">
        <w:trPr>
          <w:cantSplit/>
          <w:jc w:val="center"/>
        </w:trPr>
        <w:tc>
          <w:tcPr>
            <w:tcW w:w="810" w:type="pct"/>
          </w:tcPr>
          <w:p w14:paraId="16A57EB4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65FA8B4A" w14:textId="1D074B0B" w:rsidR="00CE1C08" w:rsidRPr="00D517B2" w:rsidRDefault="00A743AE" w:rsidP="00A743AE">
            <w:pPr>
              <w:spacing w:before="80" w:after="60" w:line="300" w:lineRule="exact"/>
              <w:rPr>
                <w:position w:val="2"/>
                <w:rtl/>
              </w:rPr>
            </w:pPr>
            <w:r w:rsidRPr="00A743AE">
              <w:rPr>
                <w:b/>
                <w:bCs/>
                <w:position w:val="2"/>
                <w:rtl/>
              </w:rPr>
              <w:t>حالة التوصية ITU-T Y.2257 (</w:t>
            </w:r>
            <w:proofErr w:type="spellStart"/>
            <w:r w:rsidRPr="00A743AE">
              <w:rPr>
                <w:b/>
                <w:bCs/>
                <w:position w:val="2"/>
                <w:rtl/>
              </w:rPr>
              <w:t>Y.fdcs</w:t>
            </w:r>
            <w:proofErr w:type="spellEnd"/>
            <w:r w:rsidRPr="00A743AE">
              <w:rPr>
                <w:b/>
                <w:bCs/>
                <w:position w:val="2"/>
                <w:rtl/>
              </w:rPr>
              <w:t xml:space="preserve"> سابقاً) بعد اجتماع لجنة الدراسات 13 لقطاع تقييس الاتصالات (جنيف، 23 يونيو - 2 يوليو 2026)</w:t>
            </w:r>
          </w:p>
        </w:tc>
      </w:tr>
    </w:tbl>
    <w:p w14:paraId="45937B89" w14:textId="77777777" w:rsidR="00D517B2" w:rsidRPr="00D517B2" w:rsidRDefault="00D517B2" w:rsidP="004B32C8">
      <w:pPr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45F70C0A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6222E11F" w14:textId="092470D1" w:rsidR="00A743AE" w:rsidRPr="00A743AE" w:rsidRDefault="00A743AE" w:rsidP="00A743AE">
      <w:pPr>
        <w:rPr>
          <w:lang w:val="ar-SA" w:bidi="ar-SY"/>
        </w:rPr>
      </w:pPr>
      <w:r w:rsidRPr="00A743AE">
        <w:rPr>
          <w:rtl/>
        </w:rPr>
        <w:t>1</w:t>
      </w:r>
      <w:r w:rsidRPr="00A743AE">
        <w:rPr>
          <w:rtl/>
        </w:rPr>
        <w:tab/>
        <w:t xml:space="preserve">إلحاقاً </w:t>
      </w:r>
      <w:hyperlink r:id="rId10" w:history="1">
        <w:r w:rsidRPr="00A743AE">
          <w:rPr>
            <w:rStyle w:val="Hyperlink"/>
            <w:rtl/>
          </w:rPr>
          <w:t>بالرسالة المعممة 92 لمكتب تقييس الاتصالات</w:t>
        </w:r>
      </w:hyperlink>
      <w:r w:rsidRPr="00A743AE">
        <w:rPr>
          <w:rtl/>
        </w:rPr>
        <w:t xml:space="preserve"> المؤرخة 21 نوفمبر 2025، وعملاً بالفقرة 5.9 من القرار 1 (المراجع في جنيف، 2022)، أود إبلاغكم بأن لجنة الدراسات 13 لقطاع تقييس الاتصالات توصلت إلى القرار التالي في جلستها العامة التي عُقدت في 2 يوليو 2026 فيما يتعلق بمشروع النص التالي لقطاع تقييس الاتصالات: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4822"/>
        <w:gridCol w:w="2554"/>
      </w:tblGrid>
      <w:tr w:rsidR="00A743AE" w:rsidRPr="00A743AE" w14:paraId="76DAF98B" w14:textId="77777777" w:rsidTr="000E17F7">
        <w:trPr>
          <w:tblHeader/>
          <w:jc w:val="center"/>
        </w:trPr>
        <w:tc>
          <w:tcPr>
            <w:tcW w:w="1162" w:type="pct"/>
            <w:tcBorders>
              <w:top w:val="single" w:sz="12" w:space="0" w:color="auto"/>
              <w:bottom w:val="single" w:sz="12" w:space="0" w:color="auto"/>
            </w:tcBorders>
          </w:tcPr>
          <w:p w14:paraId="6F235460" w14:textId="77777777" w:rsidR="00A743AE" w:rsidRPr="00A743AE" w:rsidRDefault="00A743AE" w:rsidP="00A743AE">
            <w:pPr>
              <w:jc w:val="center"/>
              <w:rPr>
                <w:b/>
                <w:lang w:val="ar-SA" w:bidi="ar-SY"/>
              </w:rPr>
            </w:pPr>
            <w:r w:rsidRPr="00A743AE">
              <w:rPr>
                <w:b/>
                <w:bCs/>
                <w:rtl/>
              </w:rPr>
              <w:t>الرقم</w:t>
            </w:r>
          </w:p>
        </w:tc>
        <w:tc>
          <w:tcPr>
            <w:tcW w:w="2509" w:type="pct"/>
            <w:tcBorders>
              <w:top w:val="single" w:sz="12" w:space="0" w:color="auto"/>
              <w:bottom w:val="single" w:sz="12" w:space="0" w:color="auto"/>
            </w:tcBorders>
          </w:tcPr>
          <w:p w14:paraId="3968D937" w14:textId="0F673387" w:rsidR="00A743AE" w:rsidRPr="00A743AE" w:rsidRDefault="00A743AE" w:rsidP="00A743AE">
            <w:pPr>
              <w:jc w:val="center"/>
              <w:rPr>
                <w:b/>
                <w:lang w:val="ar-SA" w:bidi="ar-SY"/>
              </w:rPr>
            </w:pPr>
            <w:r w:rsidRPr="00A743AE">
              <w:rPr>
                <w:b/>
                <w:bCs/>
                <w:rtl/>
              </w:rPr>
              <w:t>العنـوان</w:t>
            </w:r>
          </w:p>
        </w:tc>
        <w:tc>
          <w:tcPr>
            <w:tcW w:w="1329" w:type="pct"/>
            <w:tcBorders>
              <w:top w:val="single" w:sz="12" w:space="0" w:color="auto"/>
              <w:bottom w:val="single" w:sz="12" w:space="0" w:color="auto"/>
            </w:tcBorders>
          </w:tcPr>
          <w:p w14:paraId="0661F404" w14:textId="77777777" w:rsidR="00A743AE" w:rsidRPr="00A743AE" w:rsidRDefault="00A743AE" w:rsidP="00A743AE">
            <w:pPr>
              <w:jc w:val="center"/>
              <w:rPr>
                <w:b/>
                <w:lang w:val="ar-SA" w:bidi="ar-SY"/>
              </w:rPr>
            </w:pPr>
            <w:r w:rsidRPr="00A743AE">
              <w:rPr>
                <w:b/>
                <w:bCs/>
                <w:rtl/>
              </w:rPr>
              <w:t>القرار</w:t>
            </w:r>
          </w:p>
        </w:tc>
      </w:tr>
      <w:tr w:rsidR="00A743AE" w:rsidRPr="00A743AE" w14:paraId="0D49EC55" w14:textId="77777777" w:rsidTr="000E17F7">
        <w:trPr>
          <w:jc w:val="center"/>
        </w:trPr>
        <w:tc>
          <w:tcPr>
            <w:tcW w:w="1162" w:type="pct"/>
            <w:tcBorders>
              <w:top w:val="single" w:sz="12" w:space="0" w:color="auto"/>
              <w:bottom w:val="single" w:sz="12" w:space="0" w:color="auto"/>
            </w:tcBorders>
          </w:tcPr>
          <w:p w14:paraId="49A43D43" w14:textId="354411AF" w:rsidR="00A743AE" w:rsidRPr="00A743AE" w:rsidRDefault="00A743AE" w:rsidP="00A743AE">
            <w:pPr>
              <w:jc w:val="left"/>
              <w:rPr>
                <w:lang w:val="fr-CH" w:bidi="ar-SY"/>
              </w:rPr>
            </w:pPr>
            <w:r>
              <w:fldChar w:fldCharType="begin"/>
            </w:r>
            <w:r w:rsidRPr="000E03D7">
              <w:rPr>
                <w:lang w:val="fr-CH"/>
              </w:rPr>
              <w:instrText>HYPERLINK "https://www.itu.int/myworkspace/t-wp/item?isn=21351"</w:instrText>
            </w:r>
            <w:r>
              <w:fldChar w:fldCharType="separate"/>
            </w:r>
            <w:r w:rsidRPr="00A743AE">
              <w:rPr>
                <w:rStyle w:val="Hyperlink"/>
                <w:rtl/>
              </w:rPr>
              <w:t>ITU-T Y.2257</w:t>
            </w:r>
            <w:r>
              <w:fldChar w:fldCharType="end"/>
            </w:r>
            <w:r w:rsidRPr="00A743AE">
              <w:rPr>
                <w:rtl/>
              </w:rPr>
              <w:br/>
            </w:r>
            <w:r w:rsidRPr="00A743AE">
              <w:rPr>
                <w:rFonts w:hint="cs"/>
                <w:rtl/>
              </w:rPr>
              <w:t>(</w:t>
            </w:r>
            <w:proofErr w:type="spellStart"/>
            <w:proofErr w:type="gramStart"/>
            <w:r w:rsidRPr="00A743AE">
              <w:rPr>
                <w:rtl/>
              </w:rPr>
              <w:t>Y.fdcs</w:t>
            </w:r>
            <w:proofErr w:type="spellEnd"/>
            <w:proofErr w:type="gramEnd"/>
            <w:r w:rsidRPr="00A743AE">
              <w:rPr>
                <w:rFonts w:hint="cs"/>
                <w:rtl/>
              </w:rPr>
              <w:t xml:space="preserve"> سابقاً)</w:t>
            </w:r>
          </w:p>
        </w:tc>
        <w:tc>
          <w:tcPr>
            <w:tcW w:w="2509" w:type="pct"/>
            <w:tcBorders>
              <w:top w:val="single" w:sz="12" w:space="0" w:color="auto"/>
              <w:bottom w:val="single" w:sz="12" w:space="0" w:color="auto"/>
            </w:tcBorders>
          </w:tcPr>
          <w:p w14:paraId="3CCEFF3E" w14:textId="77777777" w:rsidR="00A743AE" w:rsidRPr="00A743AE" w:rsidRDefault="00A743AE" w:rsidP="00A743AE">
            <w:pPr>
              <w:rPr>
                <w:lang w:val="ar-SA" w:bidi="ar-SY"/>
              </w:rPr>
            </w:pPr>
            <w:r w:rsidRPr="00A743AE">
              <w:rPr>
                <w:rtl/>
              </w:rPr>
              <w:t>نموذج خدمة التعاون في البيانات الموحدة في حوسبة الحافة متعددة النفاذ في شبكات المستقبل</w:t>
            </w:r>
          </w:p>
        </w:tc>
        <w:tc>
          <w:tcPr>
            <w:tcW w:w="1329" w:type="pct"/>
            <w:tcBorders>
              <w:top w:val="single" w:sz="12" w:space="0" w:color="auto"/>
              <w:bottom w:val="single" w:sz="12" w:space="0" w:color="auto"/>
            </w:tcBorders>
          </w:tcPr>
          <w:p w14:paraId="6C22C76F" w14:textId="77777777" w:rsidR="00A743AE" w:rsidRPr="00A743AE" w:rsidRDefault="00A743AE" w:rsidP="00A743AE">
            <w:pPr>
              <w:rPr>
                <w:lang w:val="ar-SA" w:bidi="ar-SY"/>
              </w:rPr>
            </w:pPr>
            <w:r w:rsidRPr="00A743AE">
              <w:rPr>
                <w:rtl/>
              </w:rPr>
              <w:t xml:space="preserve">تمت الموافقة عليها </w:t>
            </w:r>
          </w:p>
        </w:tc>
      </w:tr>
    </w:tbl>
    <w:p w14:paraId="67FC27DB" w14:textId="23570FCF" w:rsidR="00A743AE" w:rsidRPr="00A743AE" w:rsidRDefault="00A743AE" w:rsidP="004B32C8">
      <w:pPr>
        <w:spacing w:before="0"/>
        <w:rPr>
          <w:lang w:val="ar-SA" w:bidi="ar-SY"/>
        </w:rPr>
      </w:pPr>
      <w:r w:rsidRPr="00A743AE">
        <w:rPr>
          <w:rtl/>
        </w:rPr>
        <w:t>2</w:t>
      </w:r>
      <w:r w:rsidRPr="00A743AE">
        <w:rPr>
          <w:rtl/>
        </w:rPr>
        <w:tab/>
        <w:t xml:space="preserve">يمكن النفاذ إلى المعلومات المتاحة بشأن البراءات إلكترونياً من خلال </w:t>
      </w:r>
      <w:hyperlink r:id="rId11" w:history="1">
        <w:r w:rsidRPr="00A743AE">
          <w:rPr>
            <w:rStyle w:val="Hyperlink"/>
            <w:rtl/>
          </w:rPr>
          <w:t>الموقع الإلكتروني لقطاع تقييس الاتصالات</w:t>
        </w:r>
      </w:hyperlink>
      <w:r w:rsidRPr="00A743AE">
        <w:rPr>
          <w:rtl/>
        </w:rPr>
        <w:t>.</w:t>
      </w:r>
    </w:p>
    <w:p w14:paraId="187875D7" w14:textId="604D6BAE" w:rsidR="004B32C8" w:rsidRPr="004B32C8" w:rsidRDefault="00A743AE" w:rsidP="004B32C8">
      <w:pPr>
        <w:keepNext/>
        <w:spacing w:before="0"/>
        <w:rPr>
          <w:lang w:val="fr-CH"/>
        </w:rPr>
      </w:pPr>
      <w:r w:rsidRPr="00A743AE">
        <w:rPr>
          <w:rtl/>
        </w:rPr>
        <w:t>3</w:t>
      </w:r>
      <w:r w:rsidRPr="00A743AE">
        <w:rPr>
          <w:rtl/>
        </w:rPr>
        <w:tab/>
      </w:r>
      <w:r w:rsidRPr="00A743AE">
        <w:rPr>
          <w:rFonts w:hint="eastAsia"/>
          <w:rtl/>
        </w:rPr>
        <w:t>وسيُتاح</w:t>
      </w:r>
      <w:r w:rsidRPr="00A743AE">
        <w:rPr>
          <w:rtl/>
        </w:rPr>
        <w:t xml:space="preserve"> </w:t>
      </w:r>
      <w:r w:rsidRPr="00A743AE">
        <w:rPr>
          <w:rFonts w:hint="eastAsia"/>
          <w:rtl/>
        </w:rPr>
        <w:t>نصُّ</w:t>
      </w:r>
      <w:r w:rsidRPr="00A743AE">
        <w:rPr>
          <w:rtl/>
        </w:rPr>
        <w:t xml:space="preserve"> </w:t>
      </w:r>
      <w:r w:rsidRPr="00A743AE">
        <w:rPr>
          <w:rFonts w:hint="eastAsia"/>
          <w:rtl/>
        </w:rPr>
        <w:t>التوصية</w:t>
      </w:r>
      <w:r w:rsidRPr="00A743AE">
        <w:rPr>
          <w:rtl/>
        </w:rPr>
        <w:t xml:space="preserve"> </w:t>
      </w:r>
      <w:r w:rsidRPr="00A743AE">
        <w:rPr>
          <w:rFonts w:hint="eastAsia"/>
          <w:rtl/>
        </w:rPr>
        <w:t>بصيغتها</w:t>
      </w:r>
      <w:r w:rsidRPr="00A743AE">
        <w:rPr>
          <w:rtl/>
        </w:rPr>
        <w:t xml:space="preserve"> </w:t>
      </w:r>
      <w:r w:rsidRPr="00A743AE">
        <w:rPr>
          <w:rFonts w:hint="eastAsia"/>
          <w:rtl/>
        </w:rPr>
        <w:t>السابقة</w:t>
      </w:r>
      <w:r w:rsidRPr="00A743AE">
        <w:rPr>
          <w:rtl/>
        </w:rPr>
        <w:t xml:space="preserve"> </w:t>
      </w:r>
      <w:r w:rsidRPr="00A743AE">
        <w:rPr>
          <w:rFonts w:hint="eastAsia"/>
          <w:rtl/>
        </w:rPr>
        <w:t>للنشر</w:t>
      </w:r>
      <w:r w:rsidRPr="00A743AE">
        <w:rPr>
          <w:rtl/>
        </w:rPr>
        <w:t xml:space="preserve"> في الموقع الإلكتروني لقطاع تقييس الاتصالات في العنوان</w:t>
      </w:r>
      <w:r w:rsidRPr="00A743AE">
        <w:rPr>
          <w:lang w:val="en-GB" w:bidi="ar-SY"/>
        </w:rPr>
        <w:t>:</w:t>
      </w:r>
      <w:r w:rsidRPr="00A743AE">
        <w:rPr>
          <w:rtl/>
        </w:rPr>
        <w:t xml:space="preserve"> </w:t>
      </w:r>
      <w:hyperlink r:id="rId12" w:history="1">
        <w:r w:rsidRPr="00A743AE">
          <w:rPr>
            <w:rStyle w:val="Hyperlink"/>
            <w:lang w:val="en-GB"/>
          </w:rPr>
          <w:t>https://itu.int/itu-t/recommendations/</w:t>
        </w:r>
      </w:hyperlink>
      <w:r w:rsidRPr="00A743AE">
        <w:rPr>
          <w:rtl/>
        </w:rPr>
        <w:t>.</w:t>
      </w:r>
    </w:p>
    <w:p w14:paraId="2DF6BDE2" w14:textId="77777777" w:rsidR="00A743AE" w:rsidRPr="00A743AE" w:rsidRDefault="00A743AE" w:rsidP="004B32C8">
      <w:pPr>
        <w:keepNext/>
        <w:spacing w:before="0"/>
        <w:rPr>
          <w:lang w:val="ar-SA" w:bidi="ar-SY"/>
        </w:rPr>
      </w:pPr>
      <w:r w:rsidRPr="00A743AE">
        <w:rPr>
          <w:rtl/>
        </w:rPr>
        <w:t>4</w:t>
      </w:r>
      <w:r w:rsidRPr="00A743AE">
        <w:rPr>
          <w:rtl/>
        </w:rPr>
        <w:tab/>
        <w:t>وسينشر الاتحاد نص التوصية الموافق عليها في أقرب وقت ممكن.</w:t>
      </w:r>
    </w:p>
    <w:p w14:paraId="55B08807" w14:textId="305B9602" w:rsidR="00E84438" w:rsidRDefault="00E84438" w:rsidP="004B32C8">
      <w:pPr>
        <w:keepNext/>
        <w:spacing w:before="0" w:after="0"/>
        <w:jc w:val="left"/>
        <w:rPr>
          <w:lang w:val="fr-CH" w:bidi="ar-EG"/>
        </w:rPr>
      </w:pPr>
      <w:r w:rsidRPr="00D517B2">
        <w:rPr>
          <w:rFonts w:hint="cs"/>
          <w:rtl/>
          <w:lang w:bidi="ar-EG"/>
        </w:rPr>
        <w:t>وتفضلوا بقبول فائق التقدير والاحترام.</w:t>
      </w:r>
    </w:p>
    <w:p w14:paraId="36D55331" w14:textId="77777777" w:rsidR="004B32C8" w:rsidRPr="004B32C8" w:rsidRDefault="004B32C8" w:rsidP="004B32C8">
      <w:pPr>
        <w:keepNext/>
        <w:spacing w:before="0" w:after="0"/>
        <w:jc w:val="left"/>
        <w:rPr>
          <w:lang w:val="fr-CH" w:bidi="ar-EG"/>
        </w:rPr>
      </w:pPr>
    </w:p>
    <w:p w14:paraId="705F5247" w14:textId="0AD3FD05" w:rsidR="00E84438" w:rsidRDefault="00E84438" w:rsidP="004B32C8">
      <w:pPr>
        <w:tabs>
          <w:tab w:val="left" w:pos="4335"/>
        </w:tabs>
        <w:spacing w:before="0" w:after="0"/>
        <w:jc w:val="left"/>
        <w:rPr>
          <w:lang w:val="fr-CH" w:bidi="ar-SY"/>
        </w:rPr>
      </w:pPr>
      <w:proofErr w:type="gramStart"/>
      <w:r w:rsidRPr="001E2788">
        <w:rPr>
          <w:rFonts w:hint="cs"/>
          <w:rtl/>
          <w:lang w:bidi="ar-SY"/>
        </w:rPr>
        <w:t>(</w:t>
      </w:r>
      <w:r w:rsidR="001E2788">
        <w:rPr>
          <w:rFonts w:hint="eastAsia"/>
          <w:rtl/>
          <w:lang w:bidi="ar-SY"/>
        </w:rPr>
        <w:t> </w:t>
      </w:r>
      <w:r w:rsidRPr="00D517B2">
        <w:rPr>
          <w:rFonts w:hint="cs"/>
          <w:i/>
          <w:iCs/>
          <w:rtl/>
          <w:lang w:bidi="ar-SY"/>
        </w:rPr>
        <w:t>توقيع</w:t>
      </w:r>
      <w:proofErr w:type="gramEnd"/>
      <w:r w:rsidRPr="001E2788">
        <w:rPr>
          <w:rFonts w:hint="cs"/>
          <w:rtl/>
          <w:lang w:bidi="ar-SY"/>
        </w:rPr>
        <w:t>)</w:t>
      </w:r>
    </w:p>
    <w:p w14:paraId="67B79212" w14:textId="77777777" w:rsidR="004B32C8" w:rsidRPr="004B32C8" w:rsidRDefault="004B32C8" w:rsidP="004B32C8">
      <w:pPr>
        <w:tabs>
          <w:tab w:val="left" w:pos="4335"/>
        </w:tabs>
        <w:spacing w:before="0" w:after="0"/>
        <w:jc w:val="left"/>
        <w:rPr>
          <w:i/>
          <w:iCs/>
          <w:lang w:val="fr-CH" w:bidi="ar-SY"/>
        </w:rPr>
      </w:pPr>
    </w:p>
    <w:p w14:paraId="19254DAD" w14:textId="6D63B83C" w:rsidR="00DD6915" w:rsidRDefault="00807031" w:rsidP="004B32C8">
      <w:pPr>
        <w:spacing w:before="0" w:after="0"/>
        <w:jc w:val="left"/>
      </w:pPr>
      <w:proofErr w:type="spellStart"/>
      <w:r>
        <w:rPr>
          <w:rFonts w:hint="cs"/>
          <w:rtl/>
          <w:lang w:bidi="ar-SY"/>
        </w:rPr>
        <w:t>سيزو</w:t>
      </w:r>
      <w:proofErr w:type="spellEnd"/>
      <w:r>
        <w:rPr>
          <w:rFonts w:hint="cs"/>
          <w:rtl/>
          <w:lang w:bidi="ar-SY"/>
        </w:rPr>
        <w:t xml:space="preserve"> </w:t>
      </w:r>
      <w:proofErr w:type="spellStart"/>
      <w:r>
        <w:rPr>
          <w:rFonts w:hint="cs"/>
          <w:rtl/>
          <w:lang w:bidi="ar-SY"/>
        </w:rPr>
        <w:t>أونوي</w:t>
      </w:r>
      <w:proofErr w:type="spellEnd"/>
      <w:r w:rsidR="00E84438" w:rsidRPr="00D517B2">
        <w:rPr>
          <w:rtl/>
          <w:lang w:bidi="ar-SY"/>
        </w:rPr>
        <w:br/>
      </w:r>
      <w:r w:rsidR="00E84438" w:rsidRPr="00D517B2">
        <w:rPr>
          <w:rFonts w:hint="cs"/>
          <w:rtl/>
          <w:lang w:bidi="ar-SY"/>
        </w:rPr>
        <w:t>مدير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مكتب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تقييس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الاتصالات</w:t>
      </w:r>
    </w:p>
    <w:sectPr w:rsidR="00DD6915" w:rsidSect="006C3242">
      <w:head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A484" w14:textId="77777777" w:rsidR="00F67D1F" w:rsidRDefault="00F67D1F" w:rsidP="006C3242">
      <w:pPr>
        <w:spacing w:before="0" w:line="240" w:lineRule="auto"/>
      </w:pPr>
      <w:r>
        <w:separator/>
      </w:r>
    </w:p>
  </w:endnote>
  <w:endnote w:type="continuationSeparator" w:id="0">
    <w:p w14:paraId="64167624" w14:textId="77777777" w:rsidR="00F67D1F" w:rsidRDefault="00F67D1F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D6C1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AAFD" w14:textId="77777777" w:rsidR="00F67D1F" w:rsidRDefault="00F67D1F" w:rsidP="006C3242">
      <w:pPr>
        <w:spacing w:before="0" w:line="240" w:lineRule="auto"/>
      </w:pPr>
      <w:r>
        <w:separator/>
      </w:r>
    </w:p>
  </w:footnote>
  <w:footnote w:type="continuationSeparator" w:id="0">
    <w:p w14:paraId="4BF260A9" w14:textId="77777777" w:rsidR="00F67D1F" w:rsidRDefault="00F67D1F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B743" w14:textId="6C9BDAE5" w:rsidR="00447F32" w:rsidRPr="00596808" w:rsidRDefault="00596808" w:rsidP="00B916A7">
    <w:pPr>
      <w:pStyle w:val="Header"/>
      <w:spacing w:after="240" w:line="192" w:lineRule="auto"/>
      <w:jc w:val="center"/>
      <w:rPr>
        <w:rtl/>
      </w:rPr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A743AE">
      <w:rPr>
        <w:sz w:val="20"/>
        <w:szCs w:val="20"/>
        <w:lang w:bidi="ar-EG"/>
      </w:rPr>
      <w:t>153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0181218">
    <w:abstractNumId w:val="9"/>
  </w:num>
  <w:num w:numId="2" w16cid:durableId="376005570">
    <w:abstractNumId w:val="7"/>
  </w:num>
  <w:num w:numId="3" w16cid:durableId="639193220">
    <w:abstractNumId w:val="6"/>
  </w:num>
  <w:num w:numId="4" w16cid:durableId="340160401">
    <w:abstractNumId w:val="5"/>
  </w:num>
  <w:num w:numId="5" w16cid:durableId="109589037">
    <w:abstractNumId w:val="4"/>
  </w:num>
  <w:num w:numId="6" w16cid:durableId="2048142625">
    <w:abstractNumId w:val="8"/>
  </w:num>
  <w:num w:numId="7" w16cid:durableId="1013265783">
    <w:abstractNumId w:val="3"/>
  </w:num>
  <w:num w:numId="8" w16cid:durableId="1496919553">
    <w:abstractNumId w:val="2"/>
  </w:num>
  <w:num w:numId="9" w16cid:durableId="49110613">
    <w:abstractNumId w:val="1"/>
  </w:num>
  <w:num w:numId="10" w16cid:durableId="1100763512">
    <w:abstractNumId w:val="0"/>
  </w:num>
  <w:num w:numId="11" w16cid:durableId="459147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AE"/>
    <w:rsid w:val="00002A63"/>
    <w:rsid w:val="0006468A"/>
    <w:rsid w:val="00090574"/>
    <w:rsid w:val="000C1C0E"/>
    <w:rsid w:val="000C548A"/>
    <w:rsid w:val="000E03D7"/>
    <w:rsid w:val="000E327F"/>
    <w:rsid w:val="00146FE2"/>
    <w:rsid w:val="001C0169"/>
    <w:rsid w:val="001D1D50"/>
    <w:rsid w:val="001D6745"/>
    <w:rsid w:val="001E2788"/>
    <w:rsid w:val="001E446E"/>
    <w:rsid w:val="001F4353"/>
    <w:rsid w:val="002154EE"/>
    <w:rsid w:val="002276D2"/>
    <w:rsid w:val="0023283D"/>
    <w:rsid w:val="0026373E"/>
    <w:rsid w:val="00271C43"/>
    <w:rsid w:val="00290728"/>
    <w:rsid w:val="002978F4"/>
    <w:rsid w:val="002B028D"/>
    <w:rsid w:val="002E196B"/>
    <w:rsid w:val="002E6541"/>
    <w:rsid w:val="00334924"/>
    <w:rsid w:val="003409BC"/>
    <w:rsid w:val="00357185"/>
    <w:rsid w:val="00372F67"/>
    <w:rsid w:val="00383829"/>
    <w:rsid w:val="003A3046"/>
    <w:rsid w:val="003C7EDF"/>
    <w:rsid w:val="003F4B29"/>
    <w:rsid w:val="00400EC6"/>
    <w:rsid w:val="0042686F"/>
    <w:rsid w:val="004317D8"/>
    <w:rsid w:val="00434183"/>
    <w:rsid w:val="00443869"/>
    <w:rsid w:val="00447F32"/>
    <w:rsid w:val="004B32C8"/>
    <w:rsid w:val="004E11DC"/>
    <w:rsid w:val="00525DDD"/>
    <w:rsid w:val="005409AC"/>
    <w:rsid w:val="0055516A"/>
    <w:rsid w:val="005731DD"/>
    <w:rsid w:val="0058491B"/>
    <w:rsid w:val="00592EA5"/>
    <w:rsid w:val="00595B52"/>
    <w:rsid w:val="00596808"/>
    <w:rsid w:val="005A3170"/>
    <w:rsid w:val="006019C6"/>
    <w:rsid w:val="006103E3"/>
    <w:rsid w:val="0065393B"/>
    <w:rsid w:val="006635B2"/>
    <w:rsid w:val="00677396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22F0D"/>
    <w:rsid w:val="0074420E"/>
    <w:rsid w:val="00783E26"/>
    <w:rsid w:val="007C3BC7"/>
    <w:rsid w:val="007C3BCD"/>
    <w:rsid w:val="007D4ACF"/>
    <w:rsid w:val="007F0787"/>
    <w:rsid w:val="00807031"/>
    <w:rsid w:val="00810B7B"/>
    <w:rsid w:val="0082358A"/>
    <w:rsid w:val="008235CD"/>
    <w:rsid w:val="008247DE"/>
    <w:rsid w:val="00840B10"/>
    <w:rsid w:val="008513CB"/>
    <w:rsid w:val="00873469"/>
    <w:rsid w:val="00877F4B"/>
    <w:rsid w:val="00891703"/>
    <w:rsid w:val="008A7F84"/>
    <w:rsid w:val="0091702E"/>
    <w:rsid w:val="00923B0C"/>
    <w:rsid w:val="00926F44"/>
    <w:rsid w:val="0094021C"/>
    <w:rsid w:val="0094432F"/>
    <w:rsid w:val="00952F86"/>
    <w:rsid w:val="00982B28"/>
    <w:rsid w:val="0099778F"/>
    <w:rsid w:val="009D313F"/>
    <w:rsid w:val="009F17C2"/>
    <w:rsid w:val="00A47A5A"/>
    <w:rsid w:val="00A6683B"/>
    <w:rsid w:val="00A743AE"/>
    <w:rsid w:val="00A77C90"/>
    <w:rsid w:val="00A9156F"/>
    <w:rsid w:val="00A97F94"/>
    <w:rsid w:val="00AA7EA2"/>
    <w:rsid w:val="00AB0BC9"/>
    <w:rsid w:val="00AF6B5C"/>
    <w:rsid w:val="00B03099"/>
    <w:rsid w:val="00B05BC8"/>
    <w:rsid w:val="00B64B47"/>
    <w:rsid w:val="00B916A7"/>
    <w:rsid w:val="00BB0F08"/>
    <w:rsid w:val="00C002DE"/>
    <w:rsid w:val="00C53BF8"/>
    <w:rsid w:val="00C66157"/>
    <w:rsid w:val="00C674FE"/>
    <w:rsid w:val="00C67501"/>
    <w:rsid w:val="00C75633"/>
    <w:rsid w:val="00CE1C08"/>
    <w:rsid w:val="00CE2EE1"/>
    <w:rsid w:val="00CE3349"/>
    <w:rsid w:val="00CE36E5"/>
    <w:rsid w:val="00CF27F5"/>
    <w:rsid w:val="00CF3FFD"/>
    <w:rsid w:val="00D10CCF"/>
    <w:rsid w:val="00D22846"/>
    <w:rsid w:val="00D517B2"/>
    <w:rsid w:val="00D76170"/>
    <w:rsid w:val="00D77D0F"/>
    <w:rsid w:val="00DA1CF0"/>
    <w:rsid w:val="00DC1E02"/>
    <w:rsid w:val="00DC24B4"/>
    <w:rsid w:val="00DC5FB0"/>
    <w:rsid w:val="00DD1EBB"/>
    <w:rsid w:val="00DD6915"/>
    <w:rsid w:val="00DF16DC"/>
    <w:rsid w:val="00E45211"/>
    <w:rsid w:val="00E473C5"/>
    <w:rsid w:val="00E84438"/>
    <w:rsid w:val="00E92863"/>
    <w:rsid w:val="00EB796D"/>
    <w:rsid w:val="00F058DC"/>
    <w:rsid w:val="00F24FC4"/>
    <w:rsid w:val="00F2676C"/>
    <w:rsid w:val="00F52941"/>
    <w:rsid w:val="00F67D1F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C2824"/>
  <w15:chartTrackingRefBased/>
  <w15:docId w15:val="{563B1ECC-421F-4296-91E0-333D41F3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tu.int/itu-t/recommendation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net4/ipr/search.aspx?sector=ITU&amp;class=P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T25-TSB-CIR-0092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atelb\ITU\Riz,%20Imad%20-%20Arabic%20Pool%20Drive\Templates\Arabic%20Templates%202026\ITU-T%20(TSB)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</dc:creator>
  <cp:keywords/>
  <dc:description/>
  <cp:lastModifiedBy>Maguire, Mairéad</cp:lastModifiedBy>
  <cp:revision>2</cp:revision>
  <dcterms:created xsi:type="dcterms:W3CDTF">2026-07-24T14:30:00Z</dcterms:created>
  <dcterms:modified xsi:type="dcterms:W3CDTF">2026-07-24T14:30:00Z</dcterms:modified>
</cp:coreProperties>
</file>