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8" w:type="dxa"/>
        <w:tblLayout w:type="fixed"/>
        <w:tblLook w:val="0000" w:firstRow="0" w:lastRow="0" w:firstColumn="0" w:lastColumn="0" w:noHBand="0" w:noVBand="0"/>
      </w:tblPr>
      <w:tblGrid>
        <w:gridCol w:w="1409"/>
        <w:gridCol w:w="3470"/>
        <w:gridCol w:w="5327"/>
      </w:tblGrid>
      <w:tr w:rsidR="007B6316" w14:paraId="57C19FE3" w14:textId="77777777" w:rsidTr="00A2600C">
        <w:trPr>
          <w:cantSplit/>
          <w:trHeight w:val="340"/>
        </w:trPr>
        <w:tc>
          <w:tcPr>
            <w:tcW w:w="1409" w:type="dxa"/>
          </w:tcPr>
          <w:p w14:paraId="4073FDEF"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7AF7EF1A" wp14:editId="149CAE9C">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7" w:type="dxa"/>
            <w:gridSpan w:val="2"/>
            <w:vAlign w:val="center"/>
          </w:tcPr>
          <w:p w14:paraId="3CE1A100"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36EA5B69"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37791E" w14:paraId="29942F58" w14:textId="77777777" w:rsidTr="00A2600C">
        <w:trPr>
          <w:cantSplit/>
          <w:trHeight w:val="340"/>
        </w:trPr>
        <w:tc>
          <w:tcPr>
            <w:tcW w:w="1409" w:type="dxa"/>
          </w:tcPr>
          <w:p w14:paraId="3A1FB203" w14:textId="77777777" w:rsidR="007B6316" w:rsidRPr="007B6316" w:rsidRDefault="007B6316" w:rsidP="00101541">
            <w:pPr>
              <w:spacing w:after="120"/>
            </w:pPr>
          </w:p>
        </w:tc>
        <w:tc>
          <w:tcPr>
            <w:tcW w:w="3470" w:type="dxa"/>
          </w:tcPr>
          <w:p w14:paraId="6CFD022A" w14:textId="77777777" w:rsidR="007B6316" w:rsidRDefault="007B6316" w:rsidP="00101541"/>
        </w:tc>
        <w:tc>
          <w:tcPr>
            <w:tcW w:w="5327" w:type="dxa"/>
          </w:tcPr>
          <w:p w14:paraId="414906BC" w14:textId="0B973332" w:rsidR="007B6316" w:rsidRPr="0037791E" w:rsidRDefault="007B6316" w:rsidP="00101541">
            <w:pPr>
              <w:rPr>
                <w:lang w:val="pt-BR"/>
              </w:rPr>
            </w:pPr>
            <w:r w:rsidRPr="0037791E">
              <w:rPr>
                <w:lang w:val="pt-BR"/>
              </w:rPr>
              <w:t>Ginebra,</w:t>
            </w:r>
            <w:r w:rsidR="00BA6F31" w:rsidRPr="0037791E">
              <w:rPr>
                <w:lang w:val="pt-BR"/>
              </w:rPr>
              <w:t xml:space="preserve"> </w:t>
            </w:r>
            <w:r w:rsidR="003B1434" w:rsidRPr="003B1434">
              <w:rPr>
                <w:lang w:val="pt-BR"/>
              </w:rPr>
              <w:t>19 de junio de 2026</w:t>
            </w:r>
          </w:p>
        </w:tc>
      </w:tr>
      <w:tr w:rsidR="001350B9" w14:paraId="2099D7D1" w14:textId="77777777" w:rsidTr="00A2600C">
        <w:trPr>
          <w:cantSplit/>
          <w:trHeight w:val="340"/>
        </w:trPr>
        <w:tc>
          <w:tcPr>
            <w:tcW w:w="1409" w:type="dxa"/>
          </w:tcPr>
          <w:p w14:paraId="6931DA5A" w14:textId="1C97CDAF" w:rsidR="001350B9" w:rsidRPr="00101541" w:rsidRDefault="001350B9" w:rsidP="00101541">
            <w:pPr>
              <w:spacing w:before="40" w:after="40"/>
            </w:pPr>
            <w:r w:rsidRPr="001350B9">
              <w:t>Ref.:</w:t>
            </w:r>
          </w:p>
        </w:tc>
        <w:tc>
          <w:tcPr>
            <w:tcW w:w="3470" w:type="dxa"/>
          </w:tcPr>
          <w:p w14:paraId="38928B4F" w14:textId="4D8F30A6" w:rsidR="001350B9" w:rsidRPr="003B1434" w:rsidRDefault="001350B9" w:rsidP="00101541">
            <w:pPr>
              <w:spacing w:before="40"/>
              <w:rPr>
                <w:b/>
                <w:bCs/>
                <w:lang w:val="pt-BR"/>
              </w:rPr>
            </w:pPr>
            <w:r w:rsidRPr="003B1434">
              <w:rPr>
                <w:b/>
                <w:bCs/>
                <w:lang w:val="pt-BR"/>
              </w:rPr>
              <w:t xml:space="preserve">Circular TSB </w:t>
            </w:r>
            <w:r w:rsidR="003B1434" w:rsidRPr="003B1434">
              <w:rPr>
                <w:b/>
                <w:bCs/>
                <w:lang w:val="pt-BR"/>
              </w:rPr>
              <w:t>147</w:t>
            </w:r>
          </w:p>
          <w:p w14:paraId="6B133364" w14:textId="467C9936" w:rsidR="001350B9" w:rsidRPr="003B1434" w:rsidRDefault="003B1434" w:rsidP="00101541">
            <w:pPr>
              <w:spacing w:before="0" w:after="40"/>
              <w:rPr>
                <w:lang w:val="pt-BR"/>
              </w:rPr>
            </w:pPr>
            <w:r w:rsidRPr="003B1434">
              <w:rPr>
                <w:lang w:val="pt-BR"/>
              </w:rPr>
              <w:t>FG-AI4SSC/YZ</w:t>
            </w:r>
          </w:p>
        </w:tc>
        <w:tc>
          <w:tcPr>
            <w:tcW w:w="5327" w:type="dxa"/>
            <w:vMerge w:val="restart"/>
          </w:tcPr>
          <w:p w14:paraId="43F6A64B" w14:textId="77777777" w:rsidR="00101541" w:rsidRPr="00FB1474" w:rsidRDefault="00101541" w:rsidP="00101541">
            <w:pPr>
              <w:spacing w:before="40" w:after="40"/>
              <w:rPr>
                <w:b/>
                <w:bCs/>
              </w:rPr>
            </w:pPr>
            <w:bookmarkStart w:id="0" w:name="Addressee_S"/>
            <w:bookmarkEnd w:id="0"/>
            <w:r w:rsidRPr="00FB1474">
              <w:rPr>
                <w:b/>
                <w:bCs/>
              </w:rPr>
              <w:t>A:</w:t>
            </w:r>
          </w:p>
          <w:p w14:paraId="6E922D91" w14:textId="77777777" w:rsidR="00A2600C" w:rsidRDefault="00101541" w:rsidP="00A2600C">
            <w:pPr>
              <w:tabs>
                <w:tab w:val="clear" w:pos="794"/>
                <w:tab w:val="left" w:pos="390"/>
              </w:tabs>
              <w:spacing w:before="40" w:after="40"/>
              <w:ind w:left="390" w:hanging="390"/>
            </w:pPr>
            <w:r w:rsidRPr="00153C97">
              <w:t>–</w:t>
            </w:r>
            <w:r w:rsidR="001350B9">
              <w:tab/>
            </w:r>
            <w:r w:rsidR="00A2600C">
              <w:t>las Administraciones de los Estados Miembros de la Unión;</w:t>
            </w:r>
          </w:p>
          <w:p w14:paraId="7F416FFD" w14:textId="77777777" w:rsidR="003B1434" w:rsidRDefault="003B1434" w:rsidP="003B1434">
            <w:pPr>
              <w:tabs>
                <w:tab w:val="clear" w:pos="794"/>
                <w:tab w:val="left" w:pos="390"/>
              </w:tabs>
              <w:spacing w:before="40" w:after="40"/>
              <w:ind w:left="390" w:hanging="390"/>
            </w:pPr>
            <w:r w:rsidRPr="00153C97">
              <w:t>–</w:t>
            </w:r>
            <w:r>
              <w:tab/>
              <w:t>el Estado de Palestina (Res. 99 (Rev. Dubái, 2018));</w:t>
            </w:r>
          </w:p>
          <w:p w14:paraId="78EB15AC" w14:textId="208A3AF9" w:rsidR="00A2600C" w:rsidRDefault="00A2600C" w:rsidP="00A2600C">
            <w:pPr>
              <w:tabs>
                <w:tab w:val="clear" w:pos="794"/>
                <w:tab w:val="left" w:pos="390"/>
              </w:tabs>
              <w:spacing w:before="40" w:after="40"/>
              <w:ind w:left="390" w:hanging="390"/>
            </w:pPr>
            <w:r w:rsidRPr="00153C97">
              <w:t>–</w:t>
            </w:r>
            <w:r>
              <w:tab/>
              <w:t>los Miembros de Sector del UIT-T;</w:t>
            </w:r>
          </w:p>
          <w:p w14:paraId="649012DB" w14:textId="79DD1F00" w:rsidR="00A2600C" w:rsidRDefault="00A2600C" w:rsidP="00A2600C">
            <w:pPr>
              <w:tabs>
                <w:tab w:val="clear" w:pos="794"/>
                <w:tab w:val="left" w:pos="390"/>
              </w:tabs>
              <w:spacing w:before="40" w:after="40"/>
              <w:ind w:left="390" w:hanging="390"/>
            </w:pPr>
            <w:r w:rsidRPr="00153C97">
              <w:t>–</w:t>
            </w:r>
            <w:r>
              <w:tab/>
              <w:t>los Asociados del UIT-T;</w:t>
            </w:r>
          </w:p>
          <w:p w14:paraId="4827F600" w14:textId="0CB1B752" w:rsidR="001350B9" w:rsidRDefault="00A2600C" w:rsidP="00A2600C">
            <w:pPr>
              <w:tabs>
                <w:tab w:val="clear" w:pos="794"/>
                <w:tab w:val="left" w:pos="390"/>
              </w:tabs>
              <w:spacing w:before="40" w:after="40"/>
            </w:pPr>
            <w:r w:rsidRPr="00153C97">
              <w:t>–</w:t>
            </w:r>
            <w:r>
              <w:tab/>
              <w:t>las Instituciones Académicas de la UIT</w:t>
            </w:r>
          </w:p>
          <w:p w14:paraId="574E6F85" w14:textId="00F09FF3" w:rsidR="00A2600C" w:rsidRPr="00A2600C" w:rsidRDefault="00A2600C" w:rsidP="00A2600C">
            <w:pPr>
              <w:spacing w:before="40" w:after="40"/>
              <w:rPr>
                <w:b/>
                <w:bCs/>
              </w:rPr>
            </w:pPr>
            <w:r w:rsidRPr="00A2600C">
              <w:rPr>
                <w:b/>
                <w:bCs/>
              </w:rPr>
              <w:t>Copia a:</w:t>
            </w:r>
          </w:p>
          <w:p w14:paraId="29D737AE" w14:textId="22D42655" w:rsidR="00A2600C" w:rsidRDefault="00101541" w:rsidP="00A2600C">
            <w:pPr>
              <w:tabs>
                <w:tab w:val="clear" w:pos="794"/>
                <w:tab w:val="left" w:pos="390"/>
              </w:tabs>
              <w:spacing w:before="40" w:after="40"/>
              <w:ind w:left="390" w:hanging="390"/>
            </w:pPr>
            <w:r w:rsidRPr="00153C97">
              <w:t>–</w:t>
            </w:r>
            <w:r w:rsidR="001350B9">
              <w:tab/>
            </w:r>
            <w:r w:rsidR="00A2600C">
              <w:t>los Presidentes y Vicepresidentes de las Comisiones de Estudio del UIT</w:t>
            </w:r>
            <w:r w:rsidR="00A2600C">
              <w:noBreakHyphen/>
              <w:t>T;</w:t>
            </w:r>
          </w:p>
          <w:p w14:paraId="407FCD73" w14:textId="032C9547" w:rsidR="00A2600C" w:rsidRDefault="00A2600C" w:rsidP="00A2600C">
            <w:pPr>
              <w:tabs>
                <w:tab w:val="clear" w:pos="794"/>
                <w:tab w:val="left" w:pos="390"/>
              </w:tabs>
              <w:spacing w:before="40" w:after="40"/>
              <w:ind w:left="390" w:hanging="390"/>
            </w:pPr>
            <w:r w:rsidRPr="00153C97">
              <w:t>–</w:t>
            </w:r>
            <w:r>
              <w:tab/>
              <w:t>el Director de la Oficina de Desarrollo de las Telecomunicaciones;</w:t>
            </w:r>
          </w:p>
          <w:p w14:paraId="4E2FF369" w14:textId="711FD7CD" w:rsidR="001350B9" w:rsidRDefault="00A2600C" w:rsidP="003B1434">
            <w:pPr>
              <w:tabs>
                <w:tab w:val="clear" w:pos="794"/>
                <w:tab w:val="left" w:pos="390"/>
              </w:tabs>
              <w:spacing w:before="40" w:after="40"/>
              <w:ind w:left="390" w:hanging="390"/>
            </w:pPr>
            <w:r w:rsidRPr="00153C97">
              <w:t>–</w:t>
            </w:r>
            <w:r>
              <w:tab/>
              <w:t>el Director de la Oficina de Radiocomunicaciones</w:t>
            </w:r>
          </w:p>
        </w:tc>
      </w:tr>
      <w:tr w:rsidR="001350B9" w14:paraId="1A010FF9" w14:textId="77777777" w:rsidTr="00A2600C">
        <w:trPr>
          <w:cantSplit/>
        </w:trPr>
        <w:tc>
          <w:tcPr>
            <w:tcW w:w="1409" w:type="dxa"/>
          </w:tcPr>
          <w:p w14:paraId="48F92A24" w14:textId="77777777" w:rsidR="001350B9" w:rsidRPr="00101541" w:rsidRDefault="001350B9" w:rsidP="00101541">
            <w:pPr>
              <w:spacing w:before="40" w:after="40"/>
            </w:pPr>
            <w:r w:rsidRPr="00101541">
              <w:t>Tel.:</w:t>
            </w:r>
          </w:p>
        </w:tc>
        <w:tc>
          <w:tcPr>
            <w:tcW w:w="3470" w:type="dxa"/>
          </w:tcPr>
          <w:p w14:paraId="19D29048" w14:textId="730DB596" w:rsidR="001350B9" w:rsidRPr="00101541" w:rsidRDefault="00A2600C" w:rsidP="00101541">
            <w:pPr>
              <w:spacing w:before="40" w:after="40"/>
            </w:pPr>
            <w:r w:rsidRPr="00A2600C">
              <w:t xml:space="preserve">+41 22 730 </w:t>
            </w:r>
            <w:r w:rsidR="003B1434">
              <w:t>6465</w:t>
            </w:r>
          </w:p>
        </w:tc>
        <w:tc>
          <w:tcPr>
            <w:tcW w:w="5327" w:type="dxa"/>
            <w:vMerge/>
          </w:tcPr>
          <w:p w14:paraId="3DF5CE88" w14:textId="77777777" w:rsidR="001350B9" w:rsidRDefault="001350B9" w:rsidP="00303D62">
            <w:pPr>
              <w:tabs>
                <w:tab w:val="left" w:pos="226"/>
                <w:tab w:val="left" w:pos="510"/>
              </w:tabs>
              <w:spacing w:before="0"/>
              <w:ind w:left="226" w:hanging="169"/>
              <w:rPr>
                <w:b/>
              </w:rPr>
            </w:pPr>
          </w:p>
        </w:tc>
      </w:tr>
      <w:tr w:rsidR="001350B9" w14:paraId="07D56EDD" w14:textId="77777777" w:rsidTr="00A2600C">
        <w:trPr>
          <w:cantSplit/>
        </w:trPr>
        <w:tc>
          <w:tcPr>
            <w:tcW w:w="1409" w:type="dxa"/>
          </w:tcPr>
          <w:p w14:paraId="35CE91C2" w14:textId="77777777" w:rsidR="001350B9" w:rsidRPr="00101541" w:rsidRDefault="001350B9" w:rsidP="00101541">
            <w:pPr>
              <w:spacing w:before="40" w:after="40"/>
            </w:pPr>
            <w:r w:rsidRPr="00101541">
              <w:t>Fax:</w:t>
            </w:r>
          </w:p>
        </w:tc>
        <w:tc>
          <w:tcPr>
            <w:tcW w:w="3470" w:type="dxa"/>
          </w:tcPr>
          <w:p w14:paraId="50BA9232" w14:textId="77777777" w:rsidR="001350B9" w:rsidRPr="00101541" w:rsidRDefault="001350B9" w:rsidP="00101541">
            <w:pPr>
              <w:spacing w:before="40" w:after="40"/>
            </w:pPr>
            <w:r>
              <w:t>+41 22 730 5853</w:t>
            </w:r>
          </w:p>
        </w:tc>
        <w:tc>
          <w:tcPr>
            <w:tcW w:w="5327" w:type="dxa"/>
            <w:vMerge/>
          </w:tcPr>
          <w:p w14:paraId="20877663" w14:textId="77777777" w:rsidR="001350B9" w:rsidRDefault="001350B9" w:rsidP="00303D62">
            <w:pPr>
              <w:tabs>
                <w:tab w:val="left" w:pos="226"/>
                <w:tab w:val="left" w:pos="510"/>
              </w:tabs>
              <w:spacing w:before="0"/>
              <w:ind w:left="226" w:hanging="169"/>
              <w:rPr>
                <w:b/>
              </w:rPr>
            </w:pPr>
          </w:p>
        </w:tc>
      </w:tr>
      <w:tr w:rsidR="001350B9" w14:paraId="30FF827C" w14:textId="77777777" w:rsidTr="00A2600C">
        <w:trPr>
          <w:cantSplit/>
        </w:trPr>
        <w:tc>
          <w:tcPr>
            <w:tcW w:w="1409" w:type="dxa"/>
          </w:tcPr>
          <w:p w14:paraId="220ABEEC" w14:textId="77777777" w:rsidR="001350B9" w:rsidRPr="00101541" w:rsidRDefault="001350B9" w:rsidP="00101541">
            <w:pPr>
              <w:spacing w:before="40" w:after="40"/>
            </w:pPr>
            <w:r w:rsidRPr="00101541">
              <w:t>Correo-e:</w:t>
            </w:r>
          </w:p>
        </w:tc>
        <w:tc>
          <w:tcPr>
            <w:tcW w:w="3470" w:type="dxa"/>
          </w:tcPr>
          <w:p w14:paraId="114B24C6" w14:textId="6B6CA4CB" w:rsidR="001350B9" w:rsidRDefault="003B1434" w:rsidP="00101541">
            <w:pPr>
              <w:spacing w:before="40" w:after="40"/>
            </w:pPr>
            <w:hyperlink r:id="rId9" w:history="1">
              <w:r w:rsidRPr="00D013EF">
                <w:rPr>
                  <w:rStyle w:val="Hyperlink"/>
                </w:rPr>
                <w:t>tsbfgai4ssc@itu.int</w:t>
              </w:r>
            </w:hyperlink>
          </w:p>
        </w:tc>
        <w:tc>
          <w:tcPr>
            <w:tcW w:w="5327" w:type="dxa"/>
            <w:vMerge/>
          </w:tcPr>
          <w:p w14:paraId="0ACE8CE2" w14:textId="77777777" w:rsidR="001350B9" w:rsidRDefault="001350B9" w:rsidP="00303D62">
            <w:pPr>
              <w:tabs>
                <w:tab w:val="clear" w:pos="794"/>
                <w:tab w:val="clear" w:pos="1191"/>
                <w:tab w:val="clear" w:pos="1588"/>
                <w:tab w:val="clear" w:pos="1985"/>
                <w:tab w:val="left" w:pos="226"/>
                <w:tab w:val="left" w:pos="510"/>
              </w:tabs>
              <w:spacing w:before="0"/>
              <w:ind w:left="226" w:hanging="169"/>
            </w:pPr>
          </w:p>
        </w:tc>
      </w:tr>
      <w:tr w:rsidR="007B6316" w14:paraId="7F4E66DD" w14:textId="77777777" w:rsidTr="00A2600C">
        <w:trPr>
          <w:cantSplit/>
        </w:trPr>
        <w:tc>
          <w:tcPr>
            <w:tcW w:w="1409" w:type="dxa"/>
          </w:tcPr>
          <w:p w14:paraId="7BBE0879" w14:textId="77777777" w:rsidR="007B6316" w:rsidRPr="00101541" w:rsidRDefault="007B6316" w:rsidP="00101541">
            <w:r w:rsidRPr="00101541">
              <w:t>Asunto:</w:t>
            </w:r>
          </w:p>
        </w:tc>
        <w:tc>
          <w:tcPr>
            <w:tcW w:w="8797" w:type="dxa"/>
            <w:gridSpan w:val="2"/>
          </w:tcPr>
          <w:p w14:paraId="445801EB" w14:textId="27392D9D" w:rsidR="007B6316" w:rsidRPr="00A2600C" w:rsidRDefault="003B1434" w:rsidP="00101541">
            <w:pPr>
              <w:rPr>
                <w:b/>
                <w:bCs/>
              </w:rPr>
            </w:pPr>
            <w:r w:rsidRPr="003B1434">
              <w:rPr>
                <w:b/>
                <w:bCs/>
              </w:rPr>
              <w:t>Creación y primera reunión de un nuevo Grupo Temático del UIT-T sobre IA para las ciudades y comunidades inteligentes y sostenibles (FG-AI4SSC) (Tampere (Finlandia), 10 y 11 de septiembre de</w:t>
            </w:r>
            <w:r w:rsidR="00CE404F">
              <w:rPr>
                <w:b/>
                <w:bCs/>
              </w:rPr>
              <w:t> </w:t>
            </w:r>
            <w:r w:rsidRPr="003B1434">
              <w:rPr>
                <w:b/>
                <w:bCs/>
              </w:rPr>
              <w:t>2026)</w:t>
            </w:r>
          </w:p>
        </w:tc>
      </w:tr>
    </w:tbl>
    <w:p w14:paraId="7DCD2BF6" w14:textId="77777777" w:rsidR="00C34772" w:rsidRDefault="00C34772" w:rsidP="00101541">
      <w:pPr>
        <w:pStyle w:val="Normalaftertitle"/>
      </w:pPr>
      <w:bookmarkStart w:id="1" w:name="StartTyping_S"/>
      <w:bookmarkStart w:id="2" w:name="suitetext"/>
      <w:bookmarkStart w:id="3" w:name="text"/>
      <w:bookmarkEnd w:id="1"/>
      <w:bookmarkEnd w:id="2"/>
      <w:bookmarkEnd w:id="3"/>
      <w:r>
        <w:t>Muy Señora mía/Muy Señor mío:</w:t>
      </w:r>
    </w:p>
    <w:p w14:paraId="5D060A5E" w14:textId="5585F6C3" w:rsidR="003B1434" w:rsidRPr="003B1434" w:rsidRDefault="003B1434" w:rsidP="003B1434">
      <w:pPr>
        <w:rPr>
          <w:lang w:val="es-ES"/>
        </w:rPr>
      </w:pPr>
      <w:r w:rsidRPr="003B1434">
        <w:rPr>
          <w:lang w:val="es-ES"/>
        </w:rPr>
        <w:t>1</w:t>
      </w:r>
      <w:r w:rsidRPr="003B1434">
        <w:rPr>
          <w:lang w:val="es-ES"/>
        </w:rPr>
        <w:tab/>
        <w:t>Tras lo acordado por la Comisión de Estudio</w:t>
      </w:r>
      <w:r w:rsidR="00CE404F">
        <w:rPr>
          <w:lang w:val="es-ES"/>
        </w:rPr>
        <w:t> </w:t>
      </w:r>
      <w:r w:rsidRPr="003B1434">
        <w:rPr>
          <w:lang w:val="es-ES"/>
        </w:rPr>
        <w:t>20 del</w:t>
      </w:r>
      <w:r w:rsidR="00CE404F">
        <w:rPr>
          <w:lang w:val="es-ES"/>
        </w:rPr>
        <w:t> </w:t>
      </w:r>
      <w:r w:rsidRPr="003B1434">
        <w:rPr>
          <w:lang w:val="es-ES"/>
        </w:rPr>
        <w:t>UIT</w:t>
      </w:r>
      <w:r w:rsidR="00CE404F">
        <w:rPr>
          <w:lang w:val="es-ES"/>
        </w:rPr>
        <w:noBreakHyphen/>
      </w:r>
      <w:r w:rsidRPr="003B1434">
        <w:rPr>
          <w:lang w:val="es-ES"/>
        </w:rPr>
        <w:t xml:space="preserve">T, </w:t>
      </w:r>
      <w:r w:rsidRPr="003B1434">
        <w:rPr>
          <w:i/>
          <w:iCs/>
          <w:lang w:val="es-ES"/>
        </w:rPr>
        <w:t>Internet de las cosas, gemelos digitales y ciudades y comunidades inteligentes y sostenibles</w:t>
      </w:r>
      <w:r w:rsidRPr="003B1434">
        <w:rPr>
          <w:lang w:val="es-ES"/>
        </w:rPr>
        <w:t>, en su reunión celebrada el 21 de mayo de</w:t>
      </w:r>
      <w:r w:rsidR="00CE404F">
        <w:rPr>
          <w:lang w:val="es-ES"/>
        </w:rPr>
        <w:t> </w:t>
      </w:r>
      <w:r w:rsidRPr="003B1434">
        <w:rPr>
          <w:lang w:val="es-ES"/>
        </w:rPr>
        <w:t xml:space="preserve">2026 en Ginebra y de conformidad con la </w:t>
      </w:r>
      <w:hyperlink r:id="rId10" w:history="1">
        <w:r w:rsidRPr="003B1434">
          <w:rPr>
            <w:rStyle w:val="Hyperlink"/>
            <w:lang w:val="es-ES"/>
          </w:rPr>
          <w:t>Recomendación</w:t>
        </w:r>
        <w:r w:rsidR="000C6EAA">
          <w:rPr>
            <w:rStyle w:val="Hyperlink"/>
            <w:lang w:val="es-ES"/>
          </w:rPr>
          <w:t> </w:t>
        </w:r>
        <w:r w:rsidRPr="003B1434">
          <w:rPr>
            <w:rStyle w:val="Hyperlink"/>
            <w:lang w:val="es-ES"/>
          </w:rPr>
          <w:t>UIT</w:t>
        </w:r>
        <w:r w:rsidR="000C6EAA">
          <w:rPr>
            <w:rStyle w:val="Hyperlink"/>
            <w:lang w:val="es-ES"/>
          </w:rPr>
          <w:noBreakHyphen/>
        </w:r>
        <w:r w:rsidRPr="003B1434">
          <w:rPr>
            <w:rStyle w:val="Hyperlink"/>
            <w:lang w:val="es-ES"/>
          </w:rPr>
          <w:t>T</w:t>
        </w:r>
        <w:r w:rsidR="000C6EAA">
          <w:rPr>
            <w:rStyle w:val="Hyperlink"/>
            <w:lang w:val="es-ES"/>
          </w:rPr>
          <w:t> </w:t>
        </w:r>
        <w:r w:rsidRPr="003B1434">
          <w:rPr>
            <w:rStyle w:val="Hyperlink"/>
            <w:lang w:val="es-ES"/>
          </w:rPr>
          <w:t>A.7</w:t>
        </w:r>
      </w:hyperlink>
      <w:r w:rsidRPr="003B1434">
        <w:rPr>
          <w:lang w:val="es-ES"/>
        </w:rPr>
        <w:t xml:space="preserve">, me complace anunciarle la creación del nuevo </w:t>
      </w:r>
      <w:r w:rsidRPr="003B1434">
        <w:rPr>
          <w:b/>
          <w:bCs/>
          <w:lang w:val="es-ES"/>
        </w:rPr>
        <w:t>Grupo Temático del UIT-T sobre IA para las ciudades y comunidades inteligentes y sostenibles (FG-AI4SSC)</w:t>
      </w:r>
      <w:r w:rsidRPr="003B1434">
        <w:rPr>
          <w:lang w:val="es-ES"/>
        </w:rPr>
        <w:t>.</w:t>
      </w:r>
    </w:p>
    <w:p w14:paraId="4BC8AF95" w14:textId="50D31EC4" w:rsidR="003B1434" w:rsidRPr="003B1434" w:rsidRDefault="003B1434" w:rsidP="003B1434">
      <w:pPr>
        <w:rPr>
          <w:lang w:val="es-ES"/>
        </w:rPr>
      </w:pPr>
      <w:r w:rsidRPr="003B1434">
        <w:rPr>
          <w:lang w:val="es-ES"/>
        </w:rPr>
        <w:t>2</w:t>
      </w:r>
      <w:r w:rsidRPr="003B1434">
        <w:rPr>
          <w:lang w:val="es-ES"/>
        </w:rPr>
        <w:tab/>
        <w:t xml:space="preserve">El FG-AI4SSC considerará los aspectos de integración necesarios para los sistemas y servicios urbanos con IA, incluidos los requisitos, las interfaces, los mecanismos de coordinación y los marcos necesarios para permitir el </w:t>
      </w:r>
      <w:proofErr w:type="spellStart"/>
      <w:r w:rsidRPr="003B1434">
        <w:rPr>
          <w:lang w:val="es-ES"/>
        </w:rPr>
        <w:t>interfuncionamiento</w:t>
      </w:r>
      <w:proofErr w:type="spellEnd"/>
      <w:r w:rsidRPr="003B1434">
        <w:rPr>
          <w:lang w:val="es-ES"/>
        </w:rPr>
        <w:t xml:space="preserve"> coherente, seguro y efectivo de las tecnologías de IA existentes y futuras con la</w:t>
      </w:r>
      <w:r w:rsidR="00CE404F">
        <w:rPr>
          <w:lang w:val="es-ES"/>
        </w:rPr>
        <w:t> </w:t>
      </w:r>
      <w:proofErr w:type="spellStart"/>
      <w:r w:rsidRPr="003B1434">
        <w:rPr>
          <w:lang w:val="es-ES"/>
        </w:rPr>
        <w:t>IoT</w:t>
      </w:r>
      <w:proofErr w:type="spellEnd"/>
      <w:r w:rsidRPr="003B1434">
        <w:rPr>
          <w:lang w:val="es-ES"/>
        </w:rPr>
        <w:t>, los gemelos digitales y los sistemas y servicios de ciudades y comunidades inteligentes y sostenibles en despliegues urbanos, de conformidad con la Resolución</w:t>
      </w:r>
      <w:r w:rsidR="00CE404F">
        <w:rPr>
          <w:lang w:val="es-ES"/>
        </w:rPr>
        <w:t> </w:t>
      </w:r>
      <w:r w:rsidRPr="003B1434">
        <w:rPr>
          <w:lang w:val="es-ES"/>
        </w:rPr>
        <w:t>214 (Bucarest,</w:t>
      </w:r>
      <w:r w:rsidR="000C6EAA">
        <w:rPr>
          <w:lang w:val="es-ES"/>
        </w:rPr>
        <w:t> </w:t>
      </w:r>
      <w:r w:rsidRPr="003B1434">
        <w:rPr>
          <w:lang w:val="es-ES"/>
        </w:rPr>
        <w:t xml:space="preserve">2022) de la Conferencia de Plenipotenciarios. En el mandato del Grupo Temático (véase el </w:t>
      </w:r>
      <w:r w:rsidRPr="003B1434">
        <w:rPr>
          <w:b/>
          <w:bCs/>
          <w:lang w:val="es-ES"/>
        </w:rPr>
        <w:t>Anexo</w:t>
      </w:r>
      <w:r w:rsidR="00CE404F">
        <w:rPr>
          <w:b/>
          <w:bCs/>
          <w:lang w:val="es-ES"/>
        </w:rPr>
        <w:t> </w:t>
      </w:r>
      <w:r w:rsidRPr="003B1434">
        <w:rPr>
          <w:b/>
          <w:bCs/>
          <w:lang w:val="es-ES"/>
        </w:rPr>
        <w:t>1</w:t>
      </w:r>
      <w:r w:rsidRPr="003B1434">
        <w:rPr>
          <w:lang w:val="es-ES"/>
        </w:rPr>
        <w:t>) y en su página web (</w:t>
      </w:r>
      <w:hyperlink r:id="rId11" w:history="1">
        <w:r w:rsidRPr="003B1434">
          <w:rPr>
            <w:rStyle w:val="Hyperlink"/>
            <w:lang w:val="es-ES"/>
          </w:rPr>
          <w:t>https://itu.int/go/ai4ssc</w:t>
        </w:r>
      </w:hyperlink>
      <w:r w:rsidRPr="003B1434">
        <w:rPr>
          <w:lang w:val="es-ES"/>
        </w:rPr>
        <w:t>) se detalla el alcance de sus actividades.</w:t>
      </w:r>
    </w:p>
    <w:p w14:paraId="6D04D57F" w14:textId="0B6FBBB3" w:rsidR="003B1434" w:rsidRPr="003B1434" w:rsidRDefault="003B1434" w:rsidP="003B1434">
      <w:pPr>
        <w:rPr>
          <w:lang w:val="es-ES"/>
        </w:rPr>
      </w:pPr>
      <w:r w:rsidRPr="003B1434">
        <w:rPr>
          <w:lang w:val="es-ES"/>
        </w:rPr>
        <w:t>3</w:t>
      </w:r>
      <w:r w:rsidRPr="003B1434">
        <w:rPr>
          <w:lang w:val="es-ES"/>
        </w:rPr>
        <w:tab/>
        <w:t>El equipo directivo nombrado por la Comisión de Estudio</w:t>
      </w:r>
      <w:r w:rsidR="00CE404F">
        <w:rPr>
          <w:lang w:val="es-ES"/>
        </w:rPr>
        <w:t> </w:t>
      </w:r>
      <w:r w:rsidRPr="003B1434">
        <w:rPr>
          <w:lang w:val="es-ES"/>
        </w:rPr>
        <w:t>20 del UIT-T se compone de los siguientes miembros:</w:t>
      </w:r>
    </w:p>
    <w:p w14:paraId="6D7F5854" w14:textId="11E1FE4A" w:rsidR="003B1434" w:rsidRPr="003B1434" w:rsidRDefault="003B1434" w:rsidP="003B1434">
      <w:pPr>
        <w:pStyle w:val="enumlev1"/>
        <w:rPr>
          <w:lang w:val="pt-BR"/>
        </w:rPr>
      </w:pPr>
      <w:r w:rsidRPr="003B1434">
        <w:rPr>
          <w:lang w:val="pt-BR"/>
        </w:rPr>
        <w:t>–</w:t>
      </w:r>
      <w:r w:rsidRPr="003B1434">
        <w:rPr>
          <w:lang w:val="pt-BR"/>
        </w:rPr>
        <w:tab/>
        <w:t>Copresidentes:</w:t>
      </w:r>
    </w:p>
    <w:p w14:paraId="496C7DA2" w14:textId="0DBE0B69" w:rsidR="003B1434" w:rsidRPr="003B1434" w:rsidRDefault="003B1434" w:rsidP="003B1434">
      <w:pPr>
        <w:pStyle w:val="enumlev2"/>
        <w:rPr>
          <w:lang w:val="pt-BR"/>
        </w:rPr>
      </w:pPr>
      <w:r w:rsidRPr="003B1434">
        <w:rPr>
          <w:lang w:val="pt-BR"/>
        </w:rPr>
        <w:t>•</w:t>
      </w:r>
      <w:r w:rsidRPr="003B1434">
        <w:rPr>
          <w:lang w:val="pt-BR"/>
        </w:rPr>
        <w:tab/>
        <w:t>Sr.</w:t>
      </w:r>
      <w:r w:rsidR="00CE404F">
        <w:rPr>
          <w:lang w:val="pt-BR"/>
        </w:rPr>
        <w:t> </w:t>
      </w:r>
      <w:r w:rsidRPr="003B1434">
        <w:rPr>
          <w:lang w:val="pt-BR"/>
        </w:rPr>
        <w:t>Jun Seob Lee (ETRI, República de Corea)</w:t>
      </w:r>
    </w:p>
    <w:p w14:paraId="621C9813" w14:textId="7BF7C808" w:rsidR="003B1434" w:rsidRPr="003B1434" w:rsidRDefault="003B1434" w:rsidP="003B1434">
      <w:pPr>
        <w:pStyle w:val="enumlev2"/>
        <w:rPr>
          <w:lang w:val="pt-BR"/>
        </w:rPr>
      </w:pPr>
      <w:r w:rsidRPr="003B1434">
        <w:rPr>
          <w:lang w:val="pt-BR"/>
        </w:rPr>
        <w:t>•</w:t>
      </w:r>
      <w:r w:rsidRPr="003B1434">
        <w:rPr>
          <w:lang w:val="pt-BR"/>
        </w:rPr>
        <w:tab/>
        <w:t>Sr.</w:t>
      </w:r>
      <w:r w:rsidR="00CE404F">
        <w:rPr>
          <w:lang w:val="pt-BR"/>
        </w:rPr>
        <w:t> </w:t>
      </w:r>
      <w:r w:rsidRPr="003B1434">
        <w:rPr>
          <w:lang w:val="pt-BR"/>
        </w:rPr>
        <w:t>Ramy Ahmed Fathy (Egipto)</w:t>
      </w:r>
    </w:p>
    <w:p w14:paraId="7E030423" w14:textId="36D360FD" w:rsidR="003B1434" w:rsidRPr="003B1434" w:rsidRDefault="003B1434" w:rsidP="00CE404F">
      <w:pPr>
        <w:pStyle w:val="enumlev1"/>
        <w:keepNext/>
        <w:keepLines/>
        <w:rPr>
          <w:lang w:val="it-IT"/>
        </w:rPr>
      </w:pPr>
      <w:r w:rsidRPr="003B1434">
        <w:rPr>
          <w:lang w:val="it-IT"/>
        </w:rPr>
        <w:lastRenderedPageBreak/>
        <w:t>–</w:t>
      </w:r>
      <w:r w:rsidRPr="003B1434">
        <w:rPr>
          <w:lang w:val="it-IT"/>
        </w:rPr>
        <w:tab/>
        <w:t>Vicepresidentes:</w:t>
      </w:r>
    </w:p>
    <w:p w14:paraId="54C2C0DA" w14:textId="06479B33" w:rsidR="003B1434" w:rsidRPr="003B1434" w:rsidRDefault="003B1434" w:rsidP="003B1434">
      <w:pPr>
        <w:pStyle w:val="enumlev2"/>
        <w:rPr>
          <w:lang w:val="it-IT"/>
        </w:rPr>
      </w:pPr>
      <w:r w:rsidRPr="003B1434">
        <w:rPr>
          <w:lang w:val="it-IT"/>
        </w:rPr>
        <w:t>•</w:t>
      </w:r>
      <w:r>
        <w:rPr>
          <w:lang w:val="it-IT"/>
        </w:rPr>
        <w:tab/>
      </w:r>
      <w:r w:rsidRPr="003B1434">
        <w:rPr>
          <w:lang w:val="it-IT"/>
        </w:rPr>
        <w:t>Sra.</w:t>
      </w:r>
      <w:r w:rsidR="00CE404F">
        <w:rPr>
          <w:lang w:val="it-IT"/>
        </w:rPr>
        <w:t> </w:t>
      </w:r>
      <w:r w:rsidRPr="003B1434">
        <w:rPr>
          <w:lang w:val="it-IT"/>
        </w:rPr>
        <w:t>Aline Matta (ONU-Hábitat)</w:t>
      </w:r>
    </w:p>
    <w:p w14:paraId="4E6D5B10" w14:textId="676D9FEE" w:rsidR="003B1434" w:rsidRPr="00CE404F" w:rsidRDefault="003B1434" w:rsidP="003B1434">
      <w:pPr>
        <w:pStyle w:val="enumlev2"/>
        <w:rPr>
          <w:lang w:val="it-IT"/>
        </w:rPr>
      </w:pPr>
      <w:r w:rsidRPr="00CE404F">
        <w:rPr>
          <w:lang w:val="it-IT"/>
        </w:rPr>
        <w:t>•</w:t>
      </w:r>
      <w:r w:rsidRPr="00CE404F">
        <w:rPr>
          <w:lang w:val="it-IT"/>
        </w:rPr>
        <w:tab/>
        <w:t>Sra.</w:t>
      </w:r>
      <w:r w:rsidR="00CE404F" w:rsidRPr="00CE404F">
        <w:rPr>
          <w:lang w:val="it-IT"/>
        </w:rPr>
        <w:t> </w:t>
      </w:r>
      <w:r w:rsidRPr="00CE404F">
        <w:rPr>
          <w:lang w:val="it-IT"/>
        </w:rPr>
        <w:t>Sophia Nahoza (Tanzanía)</w:t>
      </w:r>
    </w:p>
    <w:p w14:paraId="544B55EB" w14:textId="7620CB7C" w:rsidR="003B1434" w:rsidRPr="00CE404F" w:rsidRDefault="003B1434" w:rsidP="003B1434">
      <w:pPr>
        <w:pStyle w:val="enumlev2"/>
        <w:rPr>
          <w:lang w:val="it-IT"/>
        </w:rPr>
      </w:pPr>
      <w:r w:rsidRPr="00CE404F">
        <w:rPr>
          <w:lang w:val="it-IT"/>
        </w:rPr>
        <w:t>•</w:t>
      </w:r>
      <w:r w:rsidRPr="00CE404F">
        <w:rPr>
          <w:lang w:val="it-IT"/>
        </w:rPr>
        <w:tab/>
        <w:t>Sr.</w:t>
      </w:r>
      <w:r w:rsidR="00CE404F" w:rsidRPr="00CE404F">
        <w:rPr>
          <w:lang w:val="it-IT"/>
        </w:rPr>
        <w:t> </w:t>
      </w:r>
      <w:r w:rsidRPr="00CE404F">
        <w:rPr>
          <w:lang w:val="it-IT"/>
        </w:rPr>
        <w:t>Yang Liu (China)</w:t>
      </w:r>
    </w:p>
    <w:p w14:paraId="692C01CB" w14:textId="0D0492C3" w:rsidR="003B1434" w:rsidRPr="00CE404F" w:rsidRDefault="003B1434" w:rsidP="003B1434">
      <w:pPr>
        <w:pStyle w:val="enumlev2"/>
        <w:rPr>
          <w:lang w:val="pt-BR"/>
        </w:rPr>
      </w:pPr>
      <w:r w:rsidRPr="00CE404F">
        <w:rPr>
          <w:lang w:val="pt-BR"/>
        </w:rPr>
        <w:t>•</w:t>
      </w:r>
      <w:r w:rsidRPr="00CE404F">
        <w:rPr>
          <w:lang w:val="pt-BR"/>
        </w:rPr>
        <w:tab/>
        <w:t>Sr.</w:t>
      </w:r>
      <w:r w:rsidR="00CE404F" w:rsidRPr="00CE404F">
        <w:rPr>
          <w:lang w:val="pt-BR"/>
        </w:rPr>
        <w:t> </w:t>
      </w:r>
      <w:r w:rsidRPr="00CE404F">
        <w:rPr>
          <w:lang w:val="pt-BR"/>
        </w:rPr>
        <w:t>Ali Abbassene (Argelia)</w:t>
      </w:r>
    </w:p>
    <w:p w14:paraId="584DB863" w14:textId="3BD2CF89" w:rsidR="003B1434" w:rsidRPr="003B1434" w:rsidRDefault="003B1434" w:rsidP="003B1434">
      <w:pPr>
        <w:pStyle w:val="enumlev2"/>
        <w:rPr>
          <w:lang w:val="pt-BR"/>
        </w:rPr>
      </w:pPr>
      <w:r w:rsidRPr="003B1434">
        <w:rPr>
          <w:lang w:val="pt-BR"/>
        </w:rPr>
        <w:t>•</w:t>
      </w:r>
      <w:r w:rsidRPr="003B1434">
        <w:rPr>
          <w:lang w:val="pt-BR"/>
        </w:rPr>
        <w:tab/>
        <w:t>Sr.</w:t>
      </w:r>
      <w:r w:rsidR="00CE404F">
        <w:rPr>
          <w:lang w:val="pt-BR"/>
        </w:rPr>
        <w:t> </w:t>
      </w:r>
      <w:r w:rsidRPr="003B1434">
        <w:rPr>
          <w:lang w:val="pt-BR"/>
        </w:rPr>
        <w:t>Marios Angelopopoulos (Grecia)</w:t>
      </w:r>
    </w:p>
    <w:p w14:paraId="38A7A088" w14:textId="73D47AF1" w:rsidR="003B1434" w:rsidRPr="003B1434" w:rsidRDefault="003B1434" w:rsidP="003B1434">
      <w:pPr>
        <w:pStyle w:val="enumlev2"/>
        <w:rPr>
          <w:lang w:val="pt-BR"/>
        </w:rPr>
      </w:pPr>
      <w:r w:rsidRPr="003B1434">
        <w:rPr>
          <w:lang w:val="pt-BR"/>
        </w:rPr>
        <w:t>•</w:t>
      </w:r>
      <w:r w:rsidRPr="003B1434">
        <w:rPr>
          <w:lang w:val="pt-BR"/>
        </w:rPr>
        <w:tab/>
        <w:t>Sra.</w:t>
      </w:r>
      <w:r w:rsidR="00CE404F">
        <w:rPr>
          <w:lang w:val="pt-BR"/>
        </w:rPr>
        <w:t> </w:t>
      </w:r>
      <w:r w:rsidRPr="003B1434">
        <w:rPr>
          <w:lang w:val="pt-BR"/>
        </w:rPr>
        <w:t>Ricarda Rende (Brasil)</w:t>
      </w:r>
    </w:p>
    <w:p w14:paraId="11C650D5" w14:textId="18B1596B" w:rsidR="003B1434" w:rsidRPr="003B1434" w:rsidRDefault="003B1434" w:rsidP="003B1434">
      <w:pPr>
        <w:pStyle w:val="enumlev2"/>
        <w:rPr>
          <w:lang w:val="en-GB"/>
        </w:rPr>
      </w:pPr>
      <w:r w:rsidRPr="003B1434">
        <w:rPr>
          <w:lang w:val="en-GB"/>
        </w:rPr>
        <w:t>•</w:t>
      </w:r>
      <w:r w:rsidRPr="003B1434">
        <w:rPr>
          <w:lang w:val="en-GB"/>
        </w:rPr>
        <w:tab/>
        <w:t>Sr.</w:t>
      </w:r>
      <w:r w:rsidR="00CE404F">
        <w:rPr>
          <w:lang w:val="en-GB"/>
        </w:rPr>
        <w:t> </w:t>
      </w:r>
      <w:r w:rsidRPr="003B1434">
        <w:rPr>
          <w:lang w:val="en-GB"/>
        </w:rPr>
        <w:t>Martin Brynskov (Open &amp; Agile Smart Cities &amp; Communities)</w:t>
      </w:r>
    </w:p>
    <w:p w14:paraId="0017C38A" w14:textId="77777777" w:rsidR="003B1434" w:rsidRPr="003B1434" w:rsidRDefault="003B1434" w:rsidP="003B1434">
      <w:pPr>
        <w:rPr>
          <w:lang w:val="es-ES"/>
        </w:rPr>
      </w:pPr>
      <w:r w:rsidRPr="003B1434">
        <w:rPr>
          <w:lang w:val="es-ES"/>
        </w:rPr>
        <w:t>El FG-AI4SSC podrá nombrar miembros adicionales para reforzar su equipo directivo.</w:t>
      </w:r>
    </w:p>
    <w:p w14:paraId="4806437A" w14:textId="24A022D3" w:rsidR="003B1434" w:rsidRPr="003B1434" w:rsidRDefault="003B1434" w:rsidP="003B1434">
      <w:pPr>
        <w:rPr>
          <w:lang w:val="es-ES"/>
        </w:rPr>
      </w:pPr>
      <w:r w:rsidRPr="003B1434">
        <w:rPr>
          <w:lang w:val="es-ES"/>
        </w:rPr>
        <w:t>4</w:t>
      </w:r>
      <w:r w:rsidRPr="003B1434">
        <w:rPr>
          <w:lang w:val="es-ES"/>
        </w:rPr>
        <w:tab/>
        <w:t>La participación en el FG-AI4SSC es gratuita y está abierta a toda persona vinculada a un sector o disciplina pertinente que proceda de un Estado Miembro de la</w:t>
      </w:r>
      <w:r w:rsidR="00CE404F">
        <w:rPr>
          <w:lang w:val="es-ES"/>
        </w:rPr>
        <w:t> </w:t>
      </w:r>
      <w:r w:rsidRPr="003B1434">
        <w:rPr>
          <w:lang w:val="es-ES"/>
        </w:rPr>
        <w:t xml:space="preserve">UIT y desee contribuir activamente a los trabajos del Grupo. Se invita a todos los interesados en seguir dicha labor o participar en ella a inscribirse en una lista de correo electrónico específica. En la siguiente página web se proporciona información detallada sobre el proceso de inscripción </w:t>
      </w:r>
      <w:hyperlink r:id="rId12" w:history="1">
        <w:r w:rsidRPr="003B1434">
          <w:rPr>
            <w:rStyle w:val="Hyperlink"/>
            <w:lang w:val="es-ES"/>
          </w:rPr>
          <w:t>https://itu.int/go/ai4ssc/join</w:t>
        </w:r>
      </w:hyperlink>
      <w:r w:rsidRPr="003B1434">
        <w:rPr>
          <w:lang w:val="es-ES"/>
        </w:rPr>
        <w:t>.</w:t>
      </w:r>
    </w:p>
    <w:p w14:paraId="335786CC" w14:textId="294068CA" w:rsidR="003B1434" w:rsidRPr="003B1434" w:rsidRDefault="003B1434" w:rsidP="003B1434">
      <w:pPr>
        <w:rPr>
          <w:lang w:val="es-ES"/>
        </w:rPr>
      </w:pPr>
      <w:r w:rsidRPr="003B1434">
        <w:rPr>
          <w:lang w:val="es-ES"/>
        </w:rPr>
        <w:t>5</w:t>
      </w:r>
      <w:r w:rsidRPr="003B1434">
        <w:rPr>
          <w:lang w:val="es-ES"/>
        </w:rPr>
        <w:tab/>
        <w:t>El Grupo Temático ejercerá sus funciones con arreglo a los procedimientos estipulados en la Recomendación</w:t>
      </w:r>
      <w:r w:rsidR="00CE404F">
        <w:rPr>
          <w:lang w:val="es-ES"/>
        </w:rPr>
        <w:t> </w:t>
      </w:r>
      <w:r w:rsidRPr="003B1434">
        <w:rPr>
          <w:lang w:val="es-ES"/>
        </w:rPr>
        <w:t>UIT</w:t>
      </w:r>
      <w:r w:rsidR="00CE404F">
        <w:rPr>
          <w:lang w:val="es-ES"/>
        </w:rPr>
        <w:noBreakHyphen/>
      </w:r>
      <w:r w:rsidRPr="003B1434">
        <w:rPr>
          <w:lang w:val="es-ES"/>
        </w:rPr>
        <w:t>T</w:t>
      </w:r>
      <w:r w:rsidR="00CE404F">
        <w:rPr>
          <w:lang w:val="es-ES"/>
        </w:rPr>
        <w:t> </w:t>
      </w:r>
      <w:r w:rsidRPr="003B1434">
        <w:rPr>
          <w:lang w:val="es-ES"/>
        </w:rPr>
        <w:t xml:space="preserve">A.7 y de conformidad con el mandato acordado que figura en el </w:t>
      </w:r>
      <w:r w:rsidRPr="003B1434">
        <w:rPr>
          <w:b/>
          <w:bCs/>
          <w:lang w:val="es-ES"/>
        </w:rPr>
        <w:t>Anexo</w:t>
      </w:r>
      <w:r w:rsidR="00CE404F">
        <w:rPr>
          <w:b/>
          <w:bCs/>
          <w:lang w:val="es-ES"/>
        </w:rPr>
        <w:t> </w:t>
      </w:r>
      <w:r w:rsidRPr="003B1434">
        <w:rPr>
          <w:b/>
          <w:bCs/>
          <w:lang w:val="es-ES"/>
        </w:rPr>
        <w:t>1</w:t>
      </w:r>
      <w:r w:rsidRPr="003B1434">
        <w:rPr>
          <w:lang w:val="es-ES"/>
        </w:rPr>
        <w:t>. La duración prevista de la labor del Grupo Temático es de un año a partir de su primera reunión, con posibilidad de prórroga.</w:t>
      </w:r>
    </w:p>
    <w:p w14:paraId="3FDB1408" w14:textId="64B6D54A" w:rsidR="003B1434" w:rsidRPr="003B1434" w:rsidRDefault="003B1434" w:rsidP="003B1434">
      <w:pPr>
        <w:rPr>
          <w:lang w:val="es-ES"/>
        </w:rPr>
      </w:pPr>
      <w:r w:rsidRPr="003B1434">
        <w:rPr>
          <w:lang w:val="es-ES"/>
        </w:rPr>
        <w:t>6</w:t>
      </w:r>
      <w:r w:rsidRPr="003B1434">
        <w:rPr>
          <w:lang w:val="es-ES"/>
        </w:rPr>
        <w:tab/>
        <w:t>A fin de que la</w:t>
      </w:r>
      <w:r w:rsidR="00CE404F">
        <w:rPr>
          <w:lang w:val="es-ES"/>
        </w:rPr>
        <w:t> </w:t>
      </w:r>
      <w:r w:rsidRPr="003B1434">
        <w:rPr>
          <w:lang w:val="es-ES"/>
        </w:rPr>
        <w:t>UIT pueda tomar las disposiciones oportunas, se invita a los participantes a inscribirse en cada reunión del FG-AI4SSC en línea a través de la página principal del Grupo. Le rogamos tenga en cuenta que la preinscripción de los participantes en estos eventos se lleva a cabo exclusivamente en línea.</w:t>
      </w:r>
    </w:p>
    <w:p w14:paraId="529C3B2A" w14:textId="0D78F715" w:rsidR="003B1434" w:rsidRPr="003B1434" w:rsidRDefault="003B1434" w:rsidP="003B1434">
      <w:pPr>
        <w:rPr>
          <w:lang w:val="es-ES"/>
        </w:rPr>
      </w:pPr>
      <w:r w:rsidRPr="003B1434">
        <w:rPr>
          <w:lang w:val="es-ES"/>
        </w:rPr>
        <w:t>7</w:t>
      </w:r>
      <w:r w:rsidRPr="003B1434">
        <w:rPr>
          <w:lang w:val="es-ES"/>
        </w:rPr>
        <w:tab/>
        <w:t xml:space="preserve">La </w:t>
      </w:r>
      <w:r w:rsidRPr="003B1434">
        <w:rPr>
          <w:b/>
          <w:bCs/>
          <w:lang w:val="es-ES"/>
        </w:rPr>
        <w:t xml:space="preserve">primera reunión </w:t>
      </w:r>
      <w:r w:rsidRPr="003B1434">
        <w:rPr>
          <w:lang w:val="es-ES"/>
        </w:rPr>
        <w:t xml:space="preserve">del FG-AI4SSC se celebrará en Tampere </w:t>
      </w:r>
      <w:r w:rsidR="00CE404F">
        <w:rPr>
          <w:lang w:val="es-ES"/>
        </w:rPr>
        <w:t>(</w:t>
      </w:r>
      <w:r w:rsidRPr="003B1434">
        <w:rPr>
          <w:lang w:val="es-ES"/>
        </w:rPr>
        <w:t>Finlandia</w:t>
      </w:r>
      <w:r w:rsidR="00CE404F">
        <w:rPr>
          <w:lang w:val="es-ES"/>
        </w:rPr>
        <w:t>)</w:t>
      </w:r>
      <w:r w:rsidRPr="003B1434">
        <w:rPr>
          <w:lang w:val="es-ES"/>
        </w:rPr>
        <w:t>, los días 10 y 11 de septiembre de</w:t>
      </w:r>
      <w:r w:rsidR="00CE404F">
        <w:rPr>
          <w:lang w:val="es-ES"/>
        </w:rPr>
        <w:t> </w:t>
      </w:r>
      <w:r w:rsidRPr="003B1434">
        <w:rPr>
          <w:lang w:val="es-ES"/>
        </w:rPr>
        <w:t xml:space="preserve">2026, gracias a la amable invitación de la </w:t>
      </w:r>
      <w:r w:rsidR="00CE404F">
        <w:rPr>
          <w:lang w:val="es-ES"/>
        </w:rPr>
        <w:t>c</w:t>
      </w:r>
      <w:r w:rsidRPr="003B1434">
        <w:rPr>
          <w:lang w:val="es-ES"/>
        </w:rPr>
        <w:t>iudad de Tampere.</w:t>
      </w:r>
    </w:p>
    <w:p w14:paraId="4E96A64E" w14:textId="53B0FF91" w:rsidR="003B1434" w:rsidRPr="003B1434" w:rsidRDefault="003B1434" w:rsidP="003B1434">
      <w:pPr>
        <w:rPr>
          <w:lang w:val="es-ES"/>
        </w:rPr>
      </w:pPr>
      <w:r w:rsidRPr="003B1434">
        <w:rPr>
          <w:lang w:val="es-ES"/>
        </w:rPr>
        <w:t>8</w:t>
      </w:r>
      <w:r w:rsidRPr="003B1434">
        <w:rPr>
          <w:lang w:val="es-ES"/>
        </w:rPr>
        <w:tab/>
        <w:t xml:space="preserve">La primera reunión irá </w:t>
      </w:r>
      <w:r w:rsidRPr="003B1434">
        <w:rPr>
          <w:b/>
          <w:bCs/>
          <w:lang w:val="es-ES"/>
        </w:rPr>
        <w:t>precedida de un Foro</w:t>
      </w:r>
      <w:r w:rsidRPr="003B1434">
        <w:rPr>
          <w:lang w:val="es-ES"/>
        </w:rPr>
        <w:t xml:space="preserve">, que se celebrará los días 9 y 10 de septiembre de 2026 en el mismo lugar. Puede encontrar más detalles al respecto en la </w:t>
      </w:r>
      <w:hyperlink r:id="rId13" w:history="1">
        <w:r w:rsidRPr="003B1434">
          <w:rPr>
            <w:rStyle w:val="Hyperlink"/>
            <w:lang w:val="es-ES"/>
          </w:rPr>
          <w:t>Circular</w:t>
        </w:r>
        <w:r w:rsidR="00CE404F">
          <w:rPr>
            <w:rStyle w:val="Hyperlink"/>
            <w:lang w:val="es-ES"/>
          </w:rPr>
          <w:t> </w:t>
        </w:r>
        <w:r w:rsidRPr="003B1434">
          <w:rPr>
            <w:rStyle w:val="Hyperlink"/>
            <w:lang w:val="es-ES"/>
          </w:rPr>
          <w:t>TSB</w:t>
        </w:r>
        <w:r w:rsidR="00CE404F">
          <w:rPr>
            <w:rStyle w:val="Hyperlink"/>
            <w:lang w:val="es-ES"/>
          </w:rPr>
          <w:t> </w:t>
        </w:r>
        <w:r w:rsidRPr="003B1434">
          <w:rPr>
            <w:rStyle w:val="Hyperlink"/>
            <w:lang w:val="es-ES"/>
          </w:rPr>
          <w:t>146</w:t>
        </w:r>
      </w:hyperlink>
      <w:r w:rsidRPr="003B1434">
        <w:rPr>
          <w:lang w:val="es-ES"/>
        </w:rPr>
        <w:t>.</w:t>
      </w:r>
    </w:p>
    <w:p w14:paraId="0476D555" w14:textId="77777777" w:rsidR="003B1434" w:rsidRPr="003B1434" w:rsidRDefault="003B1434" w:rsidP="003B1434">
      <w:pPr>
        <w:rPr>
          <w:lang w:val="es-ES"/>
        </w:rPr>
      </w:pPr>
      <w:r w:rsidRPr="003B1434">
        <w:rPr>
          <w:lang w:val="es-ES"/>
        </w:rPr>
        <w:t>9</w:t>
      </w:r>
      <w:r w:rsidRPr="003B1434">
        <w:rPr>
          <w:lang w:val="es-ES"/>
        </w:rPr>
        <w:tab/>
        <w:t>Entre los objetivos de la primera reunión figuran:</w:t>
      </w:r>
    </w:p>
    <w:p w14:paraId="5DE2CCEF" w14:textId="663CA612" w:rsidR="003B1434" w:rsidRPr="003B1434" w:rsidRDefault="003B1434" w:rsidP="003B1434">
      <w:pPr>
        <w:pStyle w:val="enumlev1"/>
        <w:rPr>
          <w:lang w:val="es-ES"/>
        </w:rPr>
      </w:pPr>
      <w:r w:rsidRPr="003B1434">
        <w:rPr>
          <w:lang w:val="es-ES"/>
        </w:rPr>
        <w:t>–</w:t>
      </w:r>
      <w:r w:rsidRPr="003B1434">
        <w:rPr>
          <w:lang w:val="es-ES"/>
        </w:rPr>
        <w:tab/>
        <w:t>la creación de Grupos de Trabajo (GT) y el nombramiento de sus Presidentes;</w:t>
      </w:r>
    </w:p>
    <w:p w14:paraId="60DCC95C" w14:textId="3FBBEA6A" w:rsidR="003B1434" w:rsidRPr="003B1434" w:rsidRDefault="003B1434" w:rsidP="003B1434">
      <w:pPr>
        <w:pStyle w:val="enumlev1"/>
        <w:rPr>
          <w:lang w:val="es-ES"/>
        </w:rPr>
      </w:pPr>
      <w:r w:rsidRPr="003B1434">
        <w:rPr>
          <w:lang w:val="es-ES"/>
        </w:rPr>
        <w:t>–</w:t>
      </w:r>
      <w:r w:rsidRPr="003B1434">
        <w:rPr>
          <w:lang w:val="es-ES"/>
        </w:rPr>
        <w:tab/>
        <w:t>un acuerdo sobre la estructura, los productos previstos, las responsabilidades y el cronograma del Grupo;</w:t>
      </w:r>
    </w:p>
    <w:p w14:paraId="1125B4C7" w14:textId="584447AE" w:rsidR="003B1434" w:rsidRPr="003B1434" w:rsidRDefault="003B1434" w:rsidP="003B1434">
      <w:pPr>
        <w:pStyle w:val="enumlev1"/>
        <w:rPr>
          <w:lang w:val="es-ES"/>
        </w:rPr>
      </w:pPr>
      <w:r w:rsidRPr="003B1434">
        <w:rPr>
          <w:lang w:val="es-ES"/>
        </w:rPr>
        <w:t>–</w:t>
      </w:r>
      <w:r w:rsidRPr="003B1434">
        <w:rPr>
          <w:lang w:val="es-ES"/>
        </w:rPr>
        <w:tab/>
        <w:t>un acuerdo sobre los métodos de trabajo del FG-A</w:t>
      </w:r>
      <w:r w:rsidR="00E11D41">
        <w:rPr>
          <w:lang w:val="es-ES"/>
        </w:rPr>
        <w:t>I</w:t>
      </w:r>
      <w:r w:rsidRPr="003B1434">
        <w:rPr>
          <w:lang w:val="es-ES"/>
        </w:rPr>
        <w:t>4SSC sobre la base de la Recomendación</w:t>
      </w:r>
      <w:r w:rsidR="00CE404F">
        <w:rPr>
          <w:lang w:val="es-ES"/>
        </w:rPr>
        <w:t> </w:t>
      </w:r>
      <w:r w:rsidRPr="003B1434">
        <w:rPr>
          <w:lang w:val="es-ES"/>
        </w:rPr>
        <w:t>UIT</w:t>
      </w:r>
      <w:r w:rsidR="00CE404F">
        <w:rPr>
          <w:lang w:val="es-ES"/>
        </w:rPr>
        <w:noBreakHyphen/>
      </w:r>
      <w:r w:rsidRPr="003B1434">
        <w:rPr>
          <w:lang w:val="es-ES"/>
        </w:rPr>
        <w:t>T</w:t>
      </w:r>
      <w:r w:rsidR="00CE404F">
        <w:rPr>
          <w:lang w:val="es-ES"/>
        </w:rPr>
        <w:t> </w:t>
      </w:r>
      <w:r w:rsidRPr="003B1434">
        <w:rPr>
          <w:lang w:val="es-ES"/>
        </w:rPr>
        <w:t>A.7;</w:t>
      </w:r>
    </w:p>
    <w:p w14:paraId="6E94EE69" w14:textId="4E7ED0DA" w:rsidR="003B1434" w:rsidRPr="003B1434" w:rsidRDefault="003B1434" w:rsidP="003B1434">
      <w:pPr>
        <w:pStyle w:val="enumlev1"/>
        <w:rPr>
          <w:lang w:val="es-ES"/>
        </w:rPr>
      </w:pPr>
      <w:r w:rsidRPr="003B1434">
        <w:rPr>
          <w:lang w:val="es-ES"/>
        </w:rPr>
        <w:t>–</w:t>
      </w:r>
      <w:r w:rsidRPr="003B1434">
        <w:rPr>
          <w:lang w:val="es-ES"/>
        </w:rPr>
        <w:tab/>
        <w:t>un acuerdo sobre la planificación de las futuras reuniones del FG-A</w:t>
      </w:r>
      <w:r w:rsidR="00E11D41">
        <w:rPr>
          <w:lang w:val="es-ES"/>
        </w:rPr>
        <w:t>I</w:t>
      </w:r>
      <w:r w:rsidRPr="003B1434">
        <w:rPr>
          <w:lang w:val="es-ES"/>
        </w:rPr>
        <w:t>4SSC, incluida su frecuencia;</w:t>
      </w:r>
    </w:p>
    <w:p w14:paraId="628B3438" w14:textId="233252E4" w:rsidR="003B1434" w:rsidRPr="003B1434" w:rsidRDefault="003B1434" w:rsidP="003B1434">
      <w:pPr>
        <w:pStyle w:val="enumlev1"/>
        <w:rPr>
          <w:lang w:val="es-ES"/>
        </w:rPr>
      </w:pPr>
      <w:r w:rsidRPr="00E11D41">
        <w:rPr>
          <w:lang w:val="es-ES"/>
        </w:rPr>
        <w:t>–</w:t>
      </w:r>
      <w:r w:rsidRPr="00E11D41">
        <w:rPr>
          <w:lang w:val="es-ES"/>
        </w:rPr>
        <w:tab/>
      </w:r>
      <w:r w:rsidRPr="003B1434">
        <w:rPr>
          <w:lang w:val="es-ES"/>
        </w:rPr>
        <w:t>consideración de contribuciones escritas</w:t>
      </w:r>
      <w:r w:rsidRPr="003B1434">
        <w:rPr>
          <w:rFonts w:hint="eastAsia"/>
          <w:lang w:val="es-ES"/>
        </w:rPr>
        <w:t>.</w:t>
      </w:r>
    </w:p>
    <w:p w14:paraId="115F2EC6" w14:textId="721F1196" w:rsidR="003B1434" w:rsidRPr="003B1434" w:rsidRDefault="003B1434" w:rsidP="003B1434">
      <w:pPr>
        <w:rPr>
          <w:lang w:val="es-ES"/>
        </w:rPr>
      </w:pPr>
      <w:r w:rsidRPr="003B1434">
        <w:rPr>
          <w:lang w:val="es-ES"/>
        </w:rPr>
        <w:t>10</w:t>
      </w:r>
      <w:r w:rsidRPr="003B1434">
        <w:rPr>
          <w:lang w:val="es-ES"/>
        </w:rPr>
        <w:tab/>
        <w:t xml:space="preserve">Se alienta encarecidamente la presentación de contribuciones por escrito que versen sobre los objetivos mencionados </w:t>
      </w:r>
      <w:r w:rsidRPr="003B1434">
        <w:rPr>
          <w:i/>
          <w:iCs/>
          <w:lang w:val="es-ES"/>
        </w:rPr>
        <w:t xml:space="preserve">supra </w:t>
      </w:r>
      <w:r w:rsidRPr="003B1434">
        <w:rPr>
          <w:lang w:val="es-ES"/>
        </w:rPr>
        <w:t>y se ajusten al mandato del FG-A</w:t>
      </w:r>
      <w:r w:rsidR="00E11D41">
        <w:rPr>
          <w:lang w:val="es-ES"/>
        </w:rPr>
        <w:t>I</w:t>
      </w:r>
      <w:r w:rsidRPr="003B1434">
        <w:rPr>
          <w:lang w:val="es-ES"/>
        </w:rPr>
        <w:t>4SSC. Todas las contribuciones escritas deben remitirse a la Secretaría de la</w:t>
      </w:r>
      <w:r w:rsidR="00CE404F">
        <w:rPr>
          <w:lang w:val="es-ES"/>
        </w:rPr>
        <w:t> </w:t>
      </w:r>
      <w:r w:rsidRPr="003B1434">
        <w:rPr>
          <w:lang w:val="es-ES"/>
        </w:rPr>
        <w:t>TSB (</w:t>
      </w:r>
      <w:hyperlink r:id="rId14" w:history="1">
        <w:r w:rsidRPr="003B1434">
          <w:rPr>
            <w:rStyle w:val="Hyperlink"/>
            <w:lang w:val="es-ES"/>
          </w:rPr>
          <w:t>tsbfgai4ssc@itu.int</w:t>
        </w:r>
      </w:hyperlink>
      <w:r w:rsidRPr="003B1434">
        <w:rPr>
          <w:lang w:val="es-ES"/>
        </w:rPr>
        <w:t xml:space="preserve">) en formato electrónico utilizando las </w:t>
      </w:r>
      <w:hyperlink r:id="rId15" w:history="1">
        <w:r w:rsidRPr="003B1434">
          <w:rPr>
            <w:rStyle w:val="Hyperlink"/>
            <w:lang w:val="es-ES"/>
          </w:rPr>
          <w:t>plantillas</w:t>
        </w:r>
      </w:hyperlink>
      <w:r w:rsidRPr="003B1434">
        <w:rPr>
          <w:lang w:val="es-ES"/>
        </w:rPr>
        <w:t xml:space="preserve"> disponibles en la página principal del FG-AI4SSC. </w:t>
      </w:r>
      <w:r w:rsidRPr="003B1434">
        <w:rPr>
          <w:b/>
          <w:bCs/>
          <w:lang w:val="es-ES"/>
        </w:rPr>
        <w:t>El plazo de presentación de contribuciones a la primera reunión finaliza el 28 de agosto de</w:t>
      </w:r>
      <w:r w:rsidR="00CE404F">
        <w:rPr>
          <w:b/>
          <w:bCs/>
          <w:lang w:val="es-ES"/>
        </w:rPr>
        <w:t> </w:t>
      </w:r>
      <w:r w:rsidRPr="003B1434">
        <w:rPr>
          <w:b/>
          <w:bCs/>
          <w:lang w:val="es-ES"/>
        </w:rPr>
        <w:t>202</w:t>
      </w:r>
      <w:r w:rsidRPr="003B1434">
        <w:rPr>
          <w:rFonts w:hint="eastAsia"/>
          <w:b/>
          <w:bCs/>
          <w:lang w:val="es-ES"/>
        </w:rPr>
        <w:t>6</w:t>
      </w:r>
      <w:r w:rsidRPr="003B1434">
        <w:rPr>
          <w:b/>
          <w:bCs/>
          <w:lang w:val="es-ES"/>
        </w:rPr>
        <w:t>.</w:t>
      </w:r>
    </w:p>
    <w:p w14:paraId="0B922106" w14:textId="0F3F5409" w:rsidR="003B1434" w:rsidRPr="003B1434" w:rsidRDefault="003B1434" w:rsidP="003B1434">
      <w:pPr>
        <w:rPr>
          <w:lang w:val="es-ES"/>
        </w:rPr>
      </w:pPr>
      <w:r w:rsidRPr="003B1434">
        <w:rPr>
          <w:lang w:val="es-ES"/>
        </w:rPr>
        <w:lastRenderedPageBreak/>
        <w:t>11</w:t>
      </w:r>
      <w:r w:rsidRPr="003B1434">
        <w:rPr>
          <w:lang w:val="es-ES"/>
        </w:rPr>
        <w:tab/>
      </w:r>
      <w:r w:rsidR="00CE404F" w:rsidRPr="003B1434">
        <w:rPr>
          <w:lang w:val="es-ES"/>
        </w:rPr>
        <w:t xml:space="preserve">El </w:t>
      </w:r>
      <w:r w:rsidRPr="003B1434">
        <w:rPr>
          <w:lang w:val="es-ES"/>
        </w:rPr>
        <w:t>orden del día y los documentos de la reunión, entre otros datos prácticos (incluida información sobre la participación a distancia) se publicarán en la página principal del FG</w:t>
      </w:r>
      <w:r w:rsidR="00D706C9">
        <w:rPr>
          <w:lang w:val="es-ES"/>
        </w:rPr>
        <w:noBreakHyphen/>
      </w:r>
      <w:r w:rsidRPr="003B1434">
        <w:rPr>
          <w:lang w:val="es-ES"/>
        </w:rPr>
        <w:t>AI4SSC antes de la reunión.</w:t>
      </w:r>
    </w:p>
    <w:p w14:paraId="00099469" w14:textId="77777777" w:rsidR="003B1434" w:rsidRPr="003B1434" w:rsidRDefault="003B1434" w:rsidP="003B1434">
      <w:pPr>
        <w:rPr>
          <w:lang w:val="es-ES"/>
        </w:rPr>
      </w:pPr>
      <w:r w:rsidRPr="003B1434">
        <w:rPr>
          <w:lang w:val="es-ES"/>
        </w:rPr>
        <w:t>12</w:t>
      </w:r>
      <w:r w:rsidRPr="003B1434">
        <w:rPr>
          <w:lang w:val="es-ES"/>
        </w:rPr>
        <w:tab/>
        <w:t>Le recuerdo que los ciudadanos de algunos países están obligados a obtener un visado para entrar y permanecer en Finlandia. Si es necesario, los visados deben solicitarse antes de la fecha de llegada en la embajada o consulado que representa a Finlandia en su país o, si no existe dicha oficina en su país, en la más cercana al país de partida. Habida cuenta de que los plazos aplicables pueden variar, se recomienda consultar directamente a la representación adecuada y presentar la solicitud con antelación.</w:t>
      </w:r>
    </w:p>
    <w:p w14:paraId="0A8F4096" w14:textId="77777777" w:rsidR="003B1434" w:rsidRPr="003B1434" w:rsidRDefault="003B1434" w:rsidP="003B1434">
      <w:pPr>
        <w:rPr>
          <w:lang w:val="es-ES"/>
        </w:rPr>
      </w:pPr>
      <w:r w:rsidRPr="003B1434">
        <w:rPr>
          <w:lang w:val="es-ES"/>
        </w:rPr>
        <w:t>En la página principal del FG-AI4SSC se publicará más información al respecto y, en el documento sobre los aspectos logísticos de la reunión, se indicará la documentación necesaria para solicitar el visado, en su caso.</w:t>
      </w:r>
    </w:p>
    <w:p w14:paraId="34AD7610" w14:textId="77777777" w:rsidR="003B1434" w:rsidRPr="003B1434" w:rsidRDefault="003B1434" w:rsidP="00CE404F">
      <w:pPr>
        <w:spacing w:after="120"/>
        <w:rPr>
          <w:lang w:val="es-ES"/>
        </w:rPr>
      </w:pPr>
      <w:r w:rsidRPr="003B1434">
        <w:rPr>
          <w:lang w:val="es-ES"/>
        </w:rPr>
        <w:t>13</w:t>
      </w:r>
      <w:r w:rsidRPr="003B1434">
        <w:rPr>
          <w:lang w:val="es-ES"/>
        </w:rPr>
        <w:tab/>
        <w:t>Plazos:</w:t>
      </w:r>
    </w:p>
    <w:tbl>
      <w:tblPr>
        <w:tblStyle w:val="TableGrid"/>
        <w:tblW w:w="9628" w:type="dxa"/>
        <w:jc w:val="center"/>
        <w:tblLayout w:type="fixed"/>
        <w:tblLook w:val="04A0" w:firstRow="1" w:lastRow="0" w:firstColumn="1" w:lastColumn="0" w:noHBand="0" w:noVBand="1"/>
      </w:tblPr>
      <w:tblGrid>
        <w:gridCol w:w="2263"/>
        <w:gridCol w:w="7365"/>
      </w:tblGrid>
      <w:tr w:rsidR="003B1434" w:rsidRPr="003B1434" w14:paraId="04B4221A" w14:textId="77777777" w:rsidTr="003B1434">
        <w:trPr>
          <w:jc w:val="center"/>
        </w:trPr>
        <w:tc>
          <w:tcPr>
            <w:tcW w:w="2263" w:type="dxa"/>
          </w:tcPr>
          <w:p w14:paraId="7D971473" w14:textId="77777777" w:rsidR="003B1434" w:rsidRPr="00E11D41" w:rsidRDefault="003B1434" w:rsidP="003B1434">
            <w:pPr>
              <w:pStyle w:val="Tabletext0"/>
              <w:rPr>
                <w:lang w:val="es-ES"/>
              </w:rPr>
            </w:pPr>
            <w:bookmarkStart w:id="4" w:name="_Hlk124850442"/>
            <w:r w:rsidRPr="00E11D41">
              <w:rPr>
                <w:lang w:val="es-ES"/>
              </w:rPr>
              <w:t>28 de agosto de 2026</w:t>
            </w:r>
          </w:p>
        </w:tc>
        <w:tc>
          <w:tcPr>
            <w:tcW w:w="7365" w:type="dxa"/>
          </w:tcPr>
          <w:p w14:paraId="27F88933" w14:textId="0DD11400" w:rsidR="003B1434" w:rsidRPr="00E11D41" w:rsidRDefault="003B1434" w:rsidP="00D706C9">
            <w:pPr>
              <w:pStyle w:val="Tabletext0"/>
              <w:ind w:left="284" w:hanging="284"/>
              <w:rPr>
                <w:lang w:val="es-ES"/>
              </w:rPr>
            </w:pPr>
            <w:r w:rsidRPr="00E11D41">
              <w:rPr>
                <w:lang w:val="es-ES"/>
              </w:rPr>
              <w:t>–</w:t>
            </w:r>
            <w:r w:rsidRPr="00E11D41">
              <w:rPr>
                <w:lang w:val="es-ES"/>
              </w:rPr>
              <w:tab/>
              <w:t xml:space="preserve">Presentación de contribuciones por escrito (por correo-e a la dirección </w:t>
            </w:r>
            <w:hyperlink r:id="rId16" w:history="1">
              <w:r w:rsidRPr="00E11D41">
                <w:rPr>
                  <w:rStyle w:val="Hyperlink"/>
                  <w:lang w:val="es-ES"/>
                </w:rPr>
                <w:t>tsbfgai4ssc@itu.int</w:t>
              </w:r>
            </w:hyperlink>
            <w:r w:rsidRPr="00E11D41">
              <w:rPr>
                <w:lang w:val="es-ES"/>
              </w:rPr>
              <w:t>)</w:t>
            </w:r>
          </w:p>
        </w:tc>
      </w:tr>
      <w:tr w:rsidR="003B1434" w:rsidRPr="003B1434" w14:paraId="7872E268" w14:textId="77777777" w:rsidTr="003B1434">
        <w:trPr>
          <w:jc w:val="center"/>
        </w:trPr>
        <w:tc>
          <w:tcPr>
            <w:tcW w:w="2263" w:type="dxa"/>
          </w:tcPr>
          <w:p w14:paraId="0D8CF83F" w14:textId="77777777" w:rsidR="003B1434" w:rsidRPr="00E11D41" w:rsidRDefault="003B1434" w:rsidP="003B1434">
            <w:pPr>
              <w:pStyle w:val="Tabletext0"/>
              <w:rPr>
                <w:lang w:val="es-ES"/>
              </w:rPr>
            </w:pPr>
            <w:r w:rsidRPr="00E11D41">
              <w:rPr>
                <w:lang w:val="es-ES"/>
              </w:rPr>
              <w:t>10 de agosto de 2026</w:t>
            </w:r>
          </w:p>
        </w:tc>
        <w:tc>
          <w:tcPr>
            <w:tcW w:w="7365" w:type="dxa"/>
          </w:tcPr>
          <w:p w14:paraId="741C3039" w14:textId="74573CAD" w:rsidR="003B1434" w:rsidRPr="00E11D41" w:rsidRDefault="003B1434" w:rsidP="003B1434">
            <w:pPr>
              <w:pStyle w:val="Tabletext0"/>
              <w:rPr>
                <w:lang w:val="es-ES"/>
              </w:rPr>
            </w:pPr>
            <w:r w:rsidRPr="00E11D41">
              <w:rPr>
                <w:lang w:val="es-ES"/>
              </w:rPr>
              <w:t>–</w:t>
            </w:r>
            <w:r w:rsidRPr="00E11D41">
              <w:rPr>
                <w:lang w:val="es-ES"/>
              </w:rPr>
              <w:tab/>
              <w:t>Preinscripción (</w:t>
            </w:r>
            <w:hyperlink r:id="rId17" w:history="1">
              <w:r w:rsidRPr="00E11D41">
                <w:rPr>
                  <w:rStyle w:val="Hyperlink"/>
                  <w:lang w:val="es-ES"/>
                </w:rPr>
                <w:t>en línea</w:t>
              </w:r>
            </w:hyperlink>
            <w:r w:rsidRPr="00E11D41">
              <w:rPr>
                <w:lang w:val="es-ES"/>
              </w:rPr>
              <w:t xml:space="preserve"> a través de la </w:t>
            </w:r>
            <w:hyperlink r:id="rId18" w:history="1">
              <w:r w:rsidRPr="00E11D41">
                <w:rPr>
                  <w:rStyle w:val="Hyperlink"/>
                  <w:lang w:val="es-ES"/>
                </w:rPr>
                <w:t>página principal del FG-AI4SSC</w:t>
              </w:r>
            </w:hyperlink>
            <w:r w:rsidRPr="00E11D41">
              <w:rPr>
                <w:lang w:val="es-ES"/>
              </w:rPr>
              <w:t>)</w:t>
            </w:r>
          </w:p>
        </w:tc>
      </w:tr>
    </w:tbl>
    <w:bookmarkEnd w:id="4"/>
    <w:p w14:paraId="6A64989B" w14:textId="77777777" w:rsidR="003B1434" w:rsidRPr="003B1434" w:rsidRDefault="003B1434" w:rsidP="003B1434">
      <w:pPr>
        <w:rPr>
          <w:lang w:val="es-ES"/>
        </w:rPr>
      </w:pPr>
      <w:r w:rsidRPr="003B1434">
        <w:rPr>
          <w:lang w:val="es-ES"/>
        </w:rPr>
        <w:t>Le deseo una reunión agradable y productiva.</w:t>
      </w:r>
    </w:p>
    <w:p w14:paraId="0D1F7B10" w14:textId="77777777" w:rsidR="0037791E" w:rsidRPr="00081FE5" w:rsidRDefault="0037791E" w:rsidP="0037791E">
      <w:r w:rsidRPr="00081FE5">
        <w:t>Atentamente,</w:t>
      </w:r>
    </w:p>
    <w:p w14:paraId="0BC0BAA8" w14:textId="77777777" w:rsidR="0037791E" w:rsidRPr="00101541" w:rsidRDefault="0037791E" w:rsidP="0037791E">
      <w:pPr>
        <w:spacing w:before="480" w:after="480"/>
        <w:rPr>
          <w:i/>
          <w:iCs/>
          <w:sz w:val="28"/>
          <w:szCs w:val="22"/>
        </w:rPr>
      </w:pPr>
      <w:r w:rsidRPr="00101541">
        <w:rPr>
          <w:i/>
          <w:iCs/>
        </w:rPr>
        <w:t>(firmado)</w:t>
      </w:r>
    </w:p>
    <w:p w14:paraId="7BC56817" w14:textId="77777777" w:rsidR="0037791E" w:rsidRPr="00101541" w:rsidRDefault="0037791E" w:rsidP="0037791E">
      <w:r w:rsidRPr="00BC3052">
        <w:t>Seizo Onoe</w:t>
      </w:r>
      <w:r w:rsidRPr="00081FE5">
        <w:br/>
        <w:t xml:space="preserve">Director de la Oficina de </w:t>
      </w:r>
      <w:r w:rsidRPr="00081FE5">
        <w:br/>
        <w:t>Normalización de las Telecomunicaciones</w:t>
      </w:r>
    </w:p>
    <w:p w14:paraId="043D567F" w14:textId="2F4DF51F" w:rsidR="00A2600C" w:rsidRPr="00D706C9" w:rsidRDefault="00A2600C" w:rsidP="00A2600C">
      <w:pPr>
        <w:spacing w:before="1080"/>
        <w:ind w:right="91"/>
        <w:rPr>
          <w:lang w:val="es-ES"/>
        </w:rPr>
      </w:pPr>
      <w:r w:rsidRPr="00D706C9">
        <w:rPr>
          <w:b/>
          <w:bCs/>
          <w:lang w:val="es-ES"/>
        </w:rPr>
        <w:t>Anexo</w:t>
      </w:r>
      <w:r w:rsidRPr="00D706C9">
        <w:rPr>
          <w:lang w:val="es-ES"/>
        </w:rPr>
        <w:t xml:space="preserve">: </w:t>
      </w:r>
      <w:r w:rsidR="00D706C9" w:rsidRPr="00D706C9">
        <w:rPr>
          <w:lang w:val="es-ES"/>
        </w:rPr>
        <w:t>1</w:t>
      </w:r>
    </w:p>
    <w:p w14:paraId="5F163E18" w14:textId="7358FA5A" w:rsidR="00101541" w:rsidRPr="00D706C9" w:rsidRDefault="00101541" w:rsidP="00101541">
      <w:pPr>
        <w:rPr>
          <w:lang w:val="es-ES"/>
        </w:rPr>
      </w:pPr>
      <w:r w:rsidRPr="00D706C9">
        <w:rPr>
          <w:lang w:val="es-ES"/>
        </w:rPr>
        <w:br w:type="page"/>
      </w:r>
    </w:p>
    <w:p w14:paraId="284633C0" w14:textId="75315BD5" w:rsidR="00A2600C" w:rsidRPr="003B1434" w:rsidRDefault="00A2600C" w:rsidP="00A2600C">
      <w:pPr>
        <w:pStyle w:val="AnnexNotitle"/>
        <w:rPr>
          <w:lang w:val="es-ES"/>
        </w:rPr>
      </w:pPr>
      <w:r w:rsidRPr="003B1434">
        <w:rPr>
          <w:lang w:val="es-ES"/>
        </w:rPr>
        <w:lastRenderedPageBreak/>
        <w:t>ANEXO</w:t>
      </w:r>
      <w:bookmarkStart w:id="5" w:name="_Toc199956517"/>
      <w:r w:rsidRPr="003B1434">
        <w:rPr>
          <w:lang w:val="es-ES"/>
        </w:rPr>
        <w:t xml:space="preserve"> </w:t>
      </w:r>
      <w:r w:rsidR="00D706C9">
        <w:rPr>
          <w:lang w:val="es-ES"/>
        </w:rPr>
        <w:t>1</w:t>
      </w:r>
      <w:r w:rsidR="00D706C9">
        <w:rPr>
          <w:lang w:val="es-ES"/>
        </w:rPr>
        <w:br/>
      </w:r>
      <w:r w:rsidRPr="003B1434">
        <w:rPr>
          <w:lang w:val="es-ES"/>
        </w:rPr>
        <w:br/>
      </w:r>
      <w:bookmarkEnd w:id="5"/>
      <w:r w:rsidR="003B1434" w:rsidRPr="003B1434">
        <w:rPr>
          <w:lang w:val="es-ES"/>
        </w:rPr>
        <w:t xml:space="preserve">Mandato del Grupo Temático del UIT-T sobre IA para las ciudades </w:t>
      </w:r>
      <w:r w:rsidR="00D706C9">
        <w:rPr>
          <w:lang w:val="es-ES"/>
        </w:rPr>
        <w:br/>
      </w:r>
      <w:r w:rsidR="003B1434" w:rsidRPr="003B1434">
        <w:rPr>
          <w:lang w:val="es-ES"/>
        </w:rPr>
        <w:t>y comunidades inteligentes y sostenibles (FG-AI4SSC)</w:t>
      </w:r>
    </w:p>
    <w:p w14:paraId="237DE57E" w14:textId="77777777" w:rsidR="003B1434" w:rsidRPr="003B1434" w:rsidRDefault="003B1434" w:rsidP="003B1434">
      <w:pPr>
        <w:pStyle w:val="Heading1"/>
        <w:rPr>
          <w:lang w:val="es-ES"/>
        </w:rPr>
      </w:pPr>
      <w:bookmarkStart w:id="6" w:name="_Hlk205379990"/>
      <w:r w:rsidRPr="003B1434">
        <w:rPr>
          <w:lang w:val="es-ES"/>
        </w:rPr>
        <w:t>1</w:t>
      </w:r>
      <w:r w:rsidRPr="003B1434">
        <w:rPr>
          <w:lang w:val="es-ES"/>
        </w:rPr>
        <w:tab/>
        <w:t>Fundamento</w:t>
      </w:r>
    </w:p>
    <w:p w14:paraId="2FD9D430" w14:textId="660778AE" w:rsidR="003B1434" w:rsidRPr="003B1434" w:rsidRDefault="003B1434" w:rsidP="003B1434">
      <w:pPr>
        <w:rPr>
          <w:lang w:val="es-ES"/>
        </w:rPr>
      </w:pPr>
      <w:r w:rsidRPr="003B1434">
        <w:rPr>
          <w:lang w:val="es-ES"/>
        </w:rPr>
        <w:t>La inteligencia artificial (IA) está iniciando una nueva fase operativa. En muchos sectores, la</w:t>
      </w:r>
      <w:r w:rsidR="00D706C9">
        <w:rPr>
          <w:lang w:val="es-ES"/>
        </w:rPr>
        <w:t> </w:t>
      </w:r>
      <w:r w:rsidRPr="003B1434">
        <w:rPr>
          <w:lang w:val="es-ES"/>
        </w:rPr>
        <w:t>IA se está integrando en sistemas y servicios de manera directa y, por tanto, permite la planificación autónoma, la coordinación de la toma de decisiones entre sistemas y la interacción directa con los entornos físicos mediante el uso de tecnologías de IA existentes y futuros, como la</w:t>
      </w:r>
      <w:r w:rsidR="00D706C9">
        <w:rPr>
          <w:lang w:val="es-ES"/>
        </w:rPr>
        <w:t> </w:t>
      </w:r>
      <w:r w:rsidRPr="003B1434">
        <w:rPr>
          <w:lang w:val="es-ES"/>
        </w:rPr>
        <w:t>IA generativa, la</w:t>
      </w:r>
      <w:r w:rsidR="00D706C9">
        <w:rPr>
          <w:lang w:val="es-ES"/>
        </w:rPr>
        <w:t> </w:t>
      </w:r>
      <w:r w:rsidRPr="003B1434">
        <w:rPr>
          <w:lang w:val="es-ES"/>
        </w:rPr>
        <w:t xml:space="preserve">IA </w:t>
      </w:r>
      <w:proofErr w:type="spellStart"/>
      <w:r w:rsidRPr="003B1434">
        <w:rPr>
          <w:lang w:val="es-ES"/>
        </w:rPr>
        <w:t>agéntica</w:t>
      </w:r>
      <w:proofErr w:type="spellEnd"/>
      <w:r w:rsidRPr="003B1434">
        <w:rPr>
          <w:lang w:val="es-ES"/>
        </w:rPr>
        <w:t>, la</w:t>
      </w:r>
      <w:r w:rsidR="00D706C9">
        <w:rPr>
          <w:lang w:val="es-ES"/>
        </w:rPr>
        <w:t> </w:t>
      </w:r>
      <w:r w:rsidRPr="003B1434">
        <w:rPr>
          <w:lang w:val="es-ES"/>
        </w:rPr>
        <w:t>IA física o la</w:t>
      </w:r>
      <w:r w:rsidR="00D706C9">
        <w:rPr>
          <w:lang w:val="es-ES"/>
        </w:rPr>
        <w:t> </w:t>
      </w:r>
      <w:r w:rsidRPr="003B1434">
        <w:rPr>
          <w:lang w:val="es-ES"/>
        </w:rPr>
        <w:t>IA espacial. Estas tecnologías de IA son cada vez más importantes para los ecosistemas digitales urbanos, ya que permiten el funcionamiento de sistemas y servicios urbanos con IA capaces de razonar, coordinar acciones autónomas e interactuar directamente con el tejido físico de las ciudades.</w:t>
      </w:r>
    </w:p>
    <w:p w14:paraId="52ADFEDE" w14:textId="3C3C9AA0" w:rsidR="003B1434" w:rsidRPr="003B1434" w:rsidRDefault="003B1434" w:rsidP="003B1434">
      <w:pPr>
        <w:rPr>
          <w:lang w:val="es-ES"/>
        </w:rPr>
      </w:pPr>
      <w:r w:rsidRPr="003B1434">
        <w:t>En este contexto, la</w:t>
      </w:r>
      <w:r w:rsidR="00D706C9">
        <w:t> </w:t>
      </w:r>
      <w:r w:rsidRPr="003B1434">
        <w:t xml:space="preserve">IA ya no es una herramienta aislada, sino una capacidad integrada en los servicios urbanos, las operaciones de infraestructura, los procesos de gobernanza y los entornos digitales y físicos, que actúa como catalizador clave del </w:t>
      </w:r>
      <w:proofErr w:type="spellStart"/>
      <w:r w:rsidRPr="003B1434">
        <w:t>urbaverso</w:t>
      </w:r>
      <w:proofErr w:type="spellEnd"/>
      <w:r w:rsidRPr="003B1434">
        <w:t xml:space="preserve"> y apunta a un nuevo tipo de transformación digital con IA</w:t>
      </w:r>
      <w:r w:rsidRPr="003B1434">
        <w:rPr>
          <w:lang w:val="es-ES"/>
        </w:rPr>
        <w:t>.</w:t>
      </w:r>
    </w:p>
    <w:p w14:paraId="781764C9" w14:textId="6AE6A694" w:rsidR="003B1434" w:rsidRPr="003B1434" w:rsidRDefault="003B1434" w:rsidP="003B1434">
      <w:pPr>
        <w:rPr>
          <w:lang w:val="es-ES"/>
        </w:rPr>
      </w:pPr>
      <w:r w:rsidRPr="003B1434">
        <w:t>Esta transformación abarca múltiples ámbitos urbanos y comunitarios, como la movilidad, la agricultura, la industria, el turismo, los servicios públicos, la seguridad pública, la vigilancia medioambiental y la planificación urbana. También comprende múltiples capas de sistemas, desde dispositivos y entornos periféricos hasta plataformas, gemelos digitales y sistemas operativos a nivel urbano</w:t>
      </w:r>
      <w:r w:rsidRPr="003B1434">
        <w:rPr>
          <w:lang w:val="es-ES"/>
        </w:rPr>
        <w:t xml:space="preserve">. </w:t>
      </w:r>
      <w:r w:rsidRPr="003B1434">
        <w:t>Sin embargo, el panorama actual de la normalización aún no refleja plenamente el ritmo, dimensión e influencia sistémica estos desarrollos tecnológicos en el tejido de los sistemas urbanos</w:t>
      </w:r>
      <w:r w:rsidRPr="003B1434">
        <w:rPr>
          <w:lang w:val="es-ES"/>
        </w:rPr>
        <w:t xml:space="preserve">. </w:t>
      </w:r>
      <w:r w:rsidRPr="003B1434">
        <w:t>Las actividades de normalización existentes se suelen centrar en tecnologías particulares o ámbitos de aplicación específicos, pero no abordan todavía la integración de la</w:t>
      </w:r>
      <w:r w:rsidR="00D706C9">
        <w:t> </w:t>
      </w:r>
      <w:r w:rsidRPr="003B1434">
        <w:t>IA a nivel de las ciudades y comunidades inteligentes y sostenibles como sistemas sociotécnicos interconectados</w:t>
      </w:r>
      <w:r w:rsidRPr="003B1434">
        <w:rPr>
          <w:lang w:val="es-ES"/>
        </w:rPr>
        <w:t>.</w:t>
      </w:r>
    </w:p>
    <w:p w14:paraId="34826091" w14:textId="351994C2" w:rsidR="003B1434" w:rsidRPr="003B1434" w:rsidRDefault="003B1434" w:rsidP="003B1434">
      <w:pPr>
        <w:rPr>
          <w:lang w:val="es-ES"/>
        </w:rPr>
      </w:pPr>
      <w:r w:rsidRPr="003B1434">
        <w:t xml:space="preserve">Concretamente, los trabajos se llevan a cabo en relación con las ciudades y comunidades inteligentes, los gemelos digitales o los sistemas </w:t>
      </w:r>
      <w:proofErr w:type="spellStart"/>
      <w:r w:rsidRPr="003B1434">
        <w:t>IoT</w:t>
      </w:r>
      <w:proofErr w:type="spellEnd"/>
      <w:r w:rsidRPr="003B1434">
        <w:t xml:space="preserve"> no abordan suficientemente los aspectos de integración de los sistemas y servicios urbanos con IA, por ejemplo, las interfaces, a interoperabilidad, los mecanismos de coordinación y los marcos necesarios </w:t>
      </w:r>
      <w:r w:rsidRPr="003B1434">
        <w:rPr>
          <w:lang w:val="es-ES"/>
        </w:rPr>
        <w:t>para permitir la integración coherente, segura y efectiva de las tecnologías de IA con la</w:t>
      </w:r>
      <w:r w:rsidR="00D706C9">
        <w:rPr>
          <w:lang w:val="es-ES"/>
        </w:rPr>
        <w:t> </w:t>
      </w:r>
      <w:proofErr w:type="spellStart"/>
      <w:r w:rsidRPr="003B1434">
        <w:rPr>
          <w:lang w:val="es-ES"/>
        </w:rPr>
        <w:t>IoT</w:t>
      </w:r>
      <w:proofErr w:type="spellEnd"/>
      <w:r w:rsidRPr="003B1434">
        <w:rPr>
          <w:lang w:val="es-ES"/>
        </w:rPr>
        <w:t>, los gemelos digitales y los sistemas y servicios de ciudades y comunidades inteligentes y sostenibles en despliegues urbanos.</w:t>
      </w:r>
    </w:p>
    <w:p w14:paraId="08BF63BC" w14:textId="6A3AB447" w:rsidR="003B1434" w:rsidRPr="003B1434" w:rsidRDefault="003B1434" w:rsidP="003B1434">
      <w:pPr>
        <w:rPr>
          <w:lang w:val="es-ES"/>
        </w:rPr>
      </w:pPr>
      <w:r w:rsidRPr="003B1434">
        <w:rPr>
          <w:lang w:val="es-ES"/>
        </w:rPr>
        <w:t>Este Grupo Temático proporcionará una plataforma mundial previa a la normalización para desarrollar un entendimiento común, identificar las carencias y preparar el terreno para futuras Recomendaciones</w:t>
      </w:r>
      <w:r w:rsidR="00D706C9">
        <w:rPr>
          <w:lang w:val="es-ES"/>
        </w:rPr>
        <w:t> </w:t>
      </w:r>
      <w:r w:rsidRPr="003B1434">
        <w:rPr>
          <w:lang w:val="es-ES"/>
        </w:rPr>
        <w:t>UIT-T en el marco de la CE</w:t>
      </w:r>
      <w:r w:rsidR="00D706C9">
        <w:rPr>
          <w:lang w:val="es-ES"/>
        </w:rPr>
        <w:t> </w:t>
      </w:r>
      <w:r w:rsidRPr="003B1434">
        <w:rPr>
          <w:lang w:val="es-ES"/>
        </w:rPr>
        <w:t>20 del</w:t>
      </w:r>
      <w:r w:rsidR="00D706C9">
        <w:rPr>
          <w:lang w:val="es-ES"/>
        </w:rPr>
        <w:t> </w:t>
      </w:r>
      <w:r w:rsidRPr="003B1434">
        <w:rPr>
          <w:lang w:val="es-ES"/>
        </w:rPr>
        <w:t>UIT</w:t>
      </w:r>
      <w:r w:rsidR="00D706C9">
        <w:rPr>
          <w:lang w:val="es-ES"/>
        </w:rPr>
        <w:noBreakHyphen/>
      </w:r>
      <w:r w:rsidRPr="003B1434">
        <w:rPr>
          <w:lang w:val="es-ES"/>
        </w:rPr>
        <w:t>T.</w:t>
      </w:r>
    </w:p>
    <w:p w14:paraId="3161DA98" w14:textId="77777777" w:rsidR="003B1434" w:rsidRPr="003B1434" w:rsidRDefault="003B1434" w:rsidP="003B1434">
      <w:pPr>
        <w:pStyle w:val="Heading1"/>
        <w:rPr>
          <w:lang w:val="es-ES"/>
        </w:rPr>
      </w:pPr>
      <w:r w:rsidRPr="003B1434">
        <w:rPr>
          <w:lang w:val="es-ES"/>
        </w:rPr>
        <w:lastRenderedPageBreak/>
        <w:t>2</w:t>
      </w:r>
      <w:r w:rsidRPr="003B1434">
        <w:rPr>
          <w:lang w:val="es-ES"/>
        </w:rPr>
        <w:tab/>
        <w:t>Alcance</w:t>
      </w:r>
    </w:p>
    <w:p w14:paraId="120BD502" w14:textId="771AA044" w:rsidR="003B1434" w:rsidRPr="003B1434" w:rsidRDefault="003B1434" w:rsidP="00D706C9">
      <w:pPr>
        <w:keepNext/>
        <w:keepLines/>
        <w:rPr>
          <w:lang w:val="es-ES"/>
        </w:rPr>
      </w:pPr>
      <w:r w:rsidRPr="003B1434">
        <w:rPr>
          <w:lang w:val="es-ES"/>
        </w:rPr>
        <w:t xml:space="preserve">Este Grupo Temático lleva a cabo actividades previas a la normalización para considerar los aspectos de integración necesarios para los sistemas y servicios urbanos con IA, incluidos los requisitos, las interfaces, los mecanismos de coordinación y los marcos necesarios para permitir el </w:t>
      </w:r>
      <w:proofErr w:type="spellStart"/>
      <w:r w:rsidRPr="003B1434">
        <w:rPr>
          <w:lang w:val="es-ES"/>
        </w:rPr>
        <w:t>interfuncionamiento</w:t>
      </w:r>
      <w:proofErr w:type="spellEnd"/>
      <w:r w:rsidRPr="003B1434">
        <w:rPr>
          <w:lang w:val="es-ES"/>
        </w:rPr>
        <w:t xml:space="preserve"> coherente, seguro y efectivo de las tecnologías de IA existentes y futuras con la</w:t>
      </w:r>
      <w:r w:rsidR="00D706C9">
        <w:rPr>
          <w:lang w:val="es-ES"/>
        </w:rPr>
        <w:t> </w:t>
      </w:r>
      <w:proofErr w:type="spellStart"/>
      <w:r w:rsidRPr="003B1434">
        <w:rPr>
          <w:lang w:val="es-ES"/>
        </w:rPr>
        <w:t>IoT</w:t>
      </w:r>
      <w:proofErr w:type="spellEnd"/>
      <w:r w:rsidRPr="003B1434">
        <w:rPr>
          <w:lang w:val="es-ES"/>
        </w:rPr>
        <w:t>, los gemelos digitales y los sistemas y servicios de ciudades y comunidades inteligentes y sostenibles en despliegues urbanos, de conformidad con la Resolución</w:t>
      </w:r>
      <w:r w:rsidR="00D706C9">
        <w:rPr>
          <w:lang w:val="es-ES"/>
        </w:rPr>
        <w:t> </w:t>
      </w:r>
      <w:r w:rsidRPr="003B1434">
        <w:rPr>
          <w:lang w:val="es-ES"/>
        </w:rPr>
        <w:t>214 (Bucarest, 2022) de la Conferencia de Plenipotenciarios.</w:t>
      </w:r>
    </w:p>
    <w:p w14:paraId="6AF774C2" w14:textId="77777777" w:rsidR="003B1434" w:rsidRPr="003B1434" w:rsidRDefault="003B1434" w:rsidP="003B1434">
      <w:pPr>
        <w:rPr>
          <w:lang w:val="es-ES"/>
        </w:rPr>
      </w:pPr>
      <w:r w:rsidRPr="003B1434">
        <w:t>El Grupo Temático se ocupará de los aspectos siguientes</w:t>
      </w:r>
      <w:r w:rsidRPr="003B1434">
        <w:rPr>
          <w:lang w:val="es-ES"/>
        </w:rPr>
        <w:t>:</w:t>
      </w:r>
    </w:p>
    <w:p w14:paraId="324717CF" w14:textId="6F3F472F" w:rsidR="003B1434" w:rsidRPr="003B1434" w:rsidRDefault="003B1434" w:rsidP="003B1434">
      <w:pPr>
        <w:pStyle w:val="enumlev1"/>
        <w:rPr>
          <w:lang w:val="es-ES"/>
        </w:rPr>
      </w:pPr>
      <w:r w:rsidRPr="003B1434">
        <w:rPr>
          <w:lang w:val="es-ES"/>
        </w:rPr>
        <w:t>–</w:t>
      </w:r>
      <w:r w:rsidRPr="003B1434">
        <w:rPr>
          <w:lang w:val="es-ES"/>
        </w:rPr>
        <w:tab/>
      </w:r>
      <w:r w:rsidRPr="003B1434">
        <w:t>definiciones, terminología, taxonomía, conceptos y perspectivas relacionados con la</w:t>
      </w:r>
      <w:r w:rsidR="00D706C9">
        <w:t> </w:t>
      </w:r>
      <w:r w:rsidRPr="003B1434">
        <w:t>IA para las ciudades y comunidades inteligentes y sostenibles, servicios y sistemas urbanos con IA, incluidos casos de uso representativos que atañan a diferentes dominios</w:t>
      </w:r>
      <w:r w:rsidRPr="003B1434">
        <w:rPr>
          <w:lang w:val="es-ES"/>
        </w:rPr>
        <w:t>;</w:t>
      </w:r>
    </w:p>
    <w:p w14:paraId="6C69383D" w14:textId="77777777" w:rsidR="003B1434" w:rsidRPr="003B1434" w:rsidRDefault="003B1434" w:rsidP="003B1434">
      <w:pPr>
        <w:pStyle w:val="enumlev1"/>
        <w:rPr>
          <w:lang w:val="es-ES"/>
        </w:rPr>
      </w:pPr>
      <w:r w:rsidRPr="003B1434">
        <w:rPr>
          <w:lang w:val="es-ES"/>
        </w:rPr>
        <w:t>–</w:t>
      </w:r>
      <w:r w:rsidRPr="003B1434">
        <w:rPr>
          <w:lang w:val="es-ES"/>
        </w:rPr>
        <w:tab/>
      </w:r>
      <w:r w:rsidRPr="003B1434">
        <w:t>características, requisitos y marcos de las tecnologías de IA para las ciudades y comunidades inteligentes y sostenibles</w:t>
      </w:r>
      <w:r w:rsidRPr="003B1434">
        <w:rPr>
          <w:lang w:val="es-ES"/>
        </w:rPr>
        <w:t>;</w:t>
      </w:r>
    </w:p>
    <w:p w14:paraId="1B9F6669" w14:textId="77777777" w:rsidR="003B1434" w:rsidRPr="003B1434" w:rsidRDefault="003B1434" w:rsidP="003B1434">
      <w:pPr>
        <w:pStyle w:val="enumlev1"/>
        <w:rPr>
          <w:lang w:val="es-ES"/>
        </w:rPr>
      </w:pPr>
      <w:r w:rsidRPr="003B1434">
        <w:rPr>
          <w:lang w:val="es-ES"/>
        </w:rPr>
        <w:t>–</w:t>
      </w:r>
      <w:r w:rsidRPr="003B1434">
        <w:rPr>
          <w:lang w:val="es-ES"/>
        </w:rPr>
        <w:tab/>
      </w:r>
      <w:r w:rsidRPr="003B1434">
        <w:t xml:space="preserve">marcos arquitectónicos y modelos de referencia para sistemas y servicios urbanos con IA que permitan despliegues interoperables y </w:t>
      </w:r>
      <w:proofErr w:type="spellStart"/>
      <w:r w:rsidRPr="003B1434">
        <w:t>redimensionables</w:t>
      </w:r>
      <w:proofErr w:type="spellEnd"/>
      <w:r w:rsidRPr="003B1434">
        <w:t xml:space="preserve"> en dominios verticales</w:t>
      </w:r>
      <w:r w:rsidRPr="003B1434">
        <w:rPr>
          <w:lang w:val="es-ES"/>
        </w:rPr>
        <w:t>;</w:t>
      </w:r>
    </w:p>
    <w:p w14:paraId="4D289380" w14:textId="77777777" w:rsidR="003B1434" w:rsidRPr="003B1434" w:rsidRDefault="003B1434" w:rsidP="003B1434">
      <w:pPr>
        <w:pStyle w:val="enumlev1"/>
        <w:rPr>
          <w:lang w:val="es-ES"/>
        </w:rPr>
      </w:pPr>
      <w:r w:rsidRPr="003B1434">
        <w:rPr>
          <w:lang w:val="es-ES"/>
        </w:rPr>
        <w:t>–</w:t>
      </w:r>
      <w:r w:rsidRPr="003B1434">
        <w:rPr>
          <w:lang w:val="es-ES"/>
        </w:rPr>
        <w:tab/>
      </w:r>
      <w:r w:rsidRPr="003B1434">
        <w:t>mecanismos de interoperabilidad y coordinación habilitados con tecnologías de IA para las ciudades y comunidades inteligentes y sostenibles en diferentes sistemas operativos urbanos, incluidos los mecanismos de interoperabilidad mínima (MIM)</w:t>
      </w:r>
      <w:r w:rsidRPr="003B1434">
        <w:rPr>
          <w:lang w:val="es-ES"/>
        </w:rPr>
        <w:t>;</w:t>
      </w:r>
    </w:p>
    <w:p w14:paraId="28AF68AC" w14:textId="77777777" w:rsidR="003B1434" w:rsidRPr="003B1434" w:rsidRDefault="003B1434" w:rsidP="003B1434">
      <w:pPr>
        <w:pStyle w:val="enumlev1"/>
        <w:rPr>
          <w:lang w:val="es-ES"/>
        </w:rPr>
      </w:pPr>
      <w:r w:rsidRPr="003B1434">
        <w:rPr>
          <w:lang w:val="es-ES"/>
        </w:rPr>
        <w:t>–</w:t>
      </w:r>
      <w:r w:rsidRPr="003B1434">
        <w:rPr>
          <w:lang w:val="es-ES"/>
        </w:rPr>
        <w:tab/>
        <w:t>consideraciones sobre los requisitos relacionados con los mecanismos de supervisión y control en los sistemas y servicios urbanos basados en IA, teniendo en cuenta la criticidad del servicio y los requisitos operativos;</w:t>
      </w:r>
    </w:p>
    <w:p w14:paraId="6C4F59C9" w14:textId="77777777" w:rsidR="003B1434" w:rsidRPr="003B1434" w:rsidRDefault="003B1434" w:rsidP="003B1434">
      <w:pPr>
        <w:pStyle w:val="enumlev1"/>
        <w:rPr>
          <w:lang w:val="es-ES"/>
        </w:rPr>
      </w:pPr>
      <w:r w:rsidRPr="003B1434">
        <w:rPr>
          <w:lang w:val="es-ES"/>
        </w:rPr>
        <w:t>–</w:t>
      </w:r>
      <w:r w:rsidRPr="003B1434">
        <w:rPr>
          <w:lang w:val="es-ES"/>
        </w:rPr>
        <w:tab/>
      </w:r>
      <w:r w:rsidRPr="003B1434">
        <w:t>cuestiones relacionadas con los datos de las tecnologías de IA para las ciudades y comunidades inteligentes y sostenibles, como la interoperabilidad, el intercambio, la calidad y el ciclo de vida de los datos</w:t>
      </w:r>
      <w:r w:rsidRPr="003B1434">
        <w:rPr>
          <w:lang w:val="es-ES"/>
        </w:rPr>
        <w:t>;</w:t>
      </w:r>
    </w:p>
    <w:p w14:paraId="3B3462EA" w14:textId="77777777" w:rsidR="003B1434" w:rsidRPr="003B1434" w:rsidRDefault="003B1434" w:rsidP="003B1434">
      <w:pPr>
        <w:pStyle w:val="enumlev1"/>
        <w:rPr>
          <w:lang w:val="es-ES"/>
        </w:rPr>
      </w:pPr>
      <w:r w:rsidRPr="003B1434">
        <w:rPr>
          <w:lang w:val="es-ES"/>
        </w:rPr>
        <w:t>–</w:t>
      </w:r>
      <w:r w:rsidRPr="003B1434">
        <w:rPr>
          <w:lang w:val="es-ES"/>
        </w:rPr>
        <w:tab/>
      </w:r>
      <w:r w:rsidRPr="003B1434">
        <w:t>marcos de gestión, evaluación y valoración de los ciclos de vida de las tecnologías de IA para las ciudades y comunidades inteligentes y sostenibles, como las referencias comparativas, la supervisión y los mecanismos de comparabilidad internacionales</w:t>
      </w:r>
      <w:r w:rsidRPr="003B1434">
        <w:rPr>
          <w:lang w:val="es-ES"/>
        </w:rPr>
        <w:t>;</w:t>
      </w:r>
    </w:p>
    <w:p w14:paraId="63C37E40" w14:textId="1A27E44F" w:rsidR="003B1434" w:rsidRPr="003B1434" w:rsidRDefault="003B1434" w:rsidP="003B1434">
      <w:pPr>
        <w:pStyle w:val="enumlev1"/>
        <w:rPr>
          <w:lang w:val="es-ES"/>
        </w:rPr>
      </w:pPr>
      <w:r w:rsidRPr="003B1434">
        <w:rPr>
          <w:lang w:val="es-ES"/>
        </w:rPr>
        <w:t>–</w:t>
      </w:r>
      <w:r w:rsidRPr="003B1434">
        <w:rPr>
          <w:lang w:val="es-ES"/>
        </w:rPr>
        <w:tab/>
      </w:r>
      <w:r w:rsidRPr="003B1434">
        <w:t>aspectos inclusivos y centrados en las personas de las tecnologías de IA para las ciudades y comunidades inteligentes y sostenibles, incluida la accesibilidad y la salud digital en relación con la</w:t>
      </w:r>
      <w:r w:rsidR="005B1EB6">
        <w:t> </w:t>
      </w:r>
      <w:proofErr w:type="spellStart"/>
      <w:r w:rsidRPr="003B1434">
        <w:t>IoT</w:t>
      </w:r>
      <w:proofErr w:type="spellEnd"/>
      <w:r w:rsidRPr="003B1434">
        <w:t xml:space="preserve"> y las ciudades y comunidades inteligentes y sostenibles, y la colaboración entre humanos e IA en los servicios urbanos</w:t>
      </w:r>
      <w:r w:rsidRPr="003B1434">
        <w:rPr>
          <w:lang w:val="es-ES"/>
        </w:rPr>
        <w:t>;</w:t>
      </w:r>
    </w:p>
    <w:p w14:paraId="5DCF55E2" w14:textId="052638BF" w:rsidR="003B1434" w:rsidRPr="003B1434" w:rsidRDefault="003B1434" w:rsidP="003B1434">
      <w:pPr>
        <w:pStyle w:val="enumlev1"/>
        <w:rPr>
          <w:lang w:val="es-ES"/>
        </w:rPr>
      </w:pPr>
      <w:r w:rsidRPr="003B1434">
        <w:rPr>
          <w:lang w:val="es-ES"/>
        </w:rPr>
        <w:t>–</w:t>
      </w:r>
      <w:r w:rsidRPr="003B1434">
        <w:rPr>
          <w:lang w:val="es-ES"/>
        </w:rPr>
        <w:tab/>
        <w:t>preparación para la</w:t>
      </w:r>
      <w:r w:rsidR="005B1EB6">
        <w:rPr>
          <w:lang w:val="es-ES"/>
        </w:rPr>
        <w:t> </w:t>
      </w:r>
      <w:r w:rsidRPr="003B1434">
        <w:rPr>
          <w:lang w:val="es-ES"/>
        </w:rPr>
        <w:t>IA y evaluación de su incidencia en las ciudades y comunidades inteligentes y sostenibles, aprovechando las Recomendaciones y metodologías del</w:t>
      </w:r>
      <w:r w:rsidR="005B1EB6">
        <w:rPr>
          <w:lang w:val="es-ES"/>
        </w:rPr>
        <w:t> </w:t>
      </w:r>
      <w:r w:rsidRPr="003B1434">
        <w:rPr>
          <w:lang w:val="es-ES"/>
        </w:rPr>
        <w:t>UIT</w:t>
      </w:r>
      <w:r w:rsidR="005B1EB6">
        <w:rPr>
          <w:lang w:val="es-ES"/>
        </w:rPr>
        <w:noBreakHyphen/>
      </w:r>
      <w:r w:rsidRPr="003B1434">
        <w:rPr>
          <w:lang w:val="es-ES"/>
        </w:rPr>
        <w:t>T existentes, llegado el caso;</w:t>
      </w:r>
    </w:p>
    <w:p w14:paraId="761EA9DF" w14:textId="268E4842" w:rsidR="003B1434" w:rsidRPr="003B1434" w:rsidRDefault="003B1434" w:rsidP="003B1434">
      <w:pPr>
        <w:pStyle w:val="enumlev1"/>
        <w:rPr>
          <w:lang w:val="es-ES"/>
        </w:rPr>
      </w:pPr>
      <w:r w:rsidRPr="003B1434">
        <w:rPr>
          <w:lang w:val="es-ES"/>
        </w:rPr>
        <w:t>–</w:t>
      </w:r>
      <w:r w:rsidRPr="003B1434">
        <w:rPr>
          <w:lang w:val="es-ES"/>
        </w:rPr>
        <w:tab/>
        <w:t>evaluación de la preparación para la adopción e integración de la</w:t>
      </w:r>
      <w:r w:rsidR="005B1EB6">
        <w:rPr>
          <w:lang w:val="es-ES"/>
        </w:rPr>
        <w:t> </w:t>
      </w:r>
      <w:r w:rsidRPr="003B1434">
        <w:rPr>
          <w:lang w:val="es-ES"/>
        </w:rPr>
        <w:t>IA e investigación de hojas de ruta para ciudades y comunidades inteligentes y sostenibles;</w:t>
      </w:r>
    </w:p>
    <w:p w14:paraId="1167CA00" w14:textId="77777777" w:rsidR="003B1434" w:rsidRPr="003B1434" w:rsidRDefault="003B1434" w:rsidP="003B1434">
      <w:pPr>
        <w:pStyle w:val="enumlev1"/>
        <w:rPr>
          <w:lang w:val="es-ES"/>
        </w:rPr>
      </w:pPr>
      <w:r w:rsidRPr="003B1434">
        <w:rPr>
          <w:lang w:val="es-ES"/>
        </w:rPr>
        <w:t>–</w:t>
      </w:r>
      <w:r w:rsidRPr="003B1434">
        <w:rPr>
          <w:lang w:val="es-ES"/>
        </w:rPr>
        <w:tab/>
        <w:t>IA espacial para la convergencia digital-física en las ciudades, mediante la integración de sistemas geoespaciales, gemelos digitales y sensores en tiempo real para generar productos reutilizables;</w:t>
      </w:r>
    </w:p>
    <w:p w14:paraId="55BD0A63" w14:textId="0A9B29A2" w:rsidR="003B1434" w:rsidRPr="003B1434" w:rsidRDefault="003B1434" w:rsidP="003B1434">
      <w:pPr>
        <w:pStyle w:val="enumlev1"/>
        <w:rPr>
          <w:lang w:val="es-ES"/>
        </w:rPr>
      </w:pPr>
      <w:r w:rsidRPr="003B1434">
        <w:rPr>
          <w:lang w:val="es-ES"/>
        </w:rPr>
        <w:t>–</w:t>
      </w:r>
      <w:r w:rsidRPr="003B1434">
        <w:rPr>
          <w:lang w:val="es-ES"/>
        </w:rPr>
        <w:tab/>
      </w:r>
      <w:r w:rsidRPr="003B1434">
        <w:t>orientaciones para la adopción e integración de tecnologías de IA habilitadoras pertinentes para las ciudades y comunidades inteligentes y so</w:t>
      </w:r>
      <w:r w:rsidR="005B1EB6">
        <w:t>s</w:t>
      </w:r>
      <w:r w:rsidRPr="003B1434">
        <w:t>tenibles</w:t>
      </w:r>
      <w:r w:rsidRPr="003B1434">
        <w:rPr>
          <w:lang w:val="es-ES"/>
        </w:rPr>
        <w:t>;</w:t>
      </w:r>
    </w:p>
    <w:p w14:paraId="50444E22" w14:textId="3BA6EA6B" w:rsidR="003B1434" w:rsidRPr="003B1434" w:rsidRDefault="003B1434" w:rsidP="005B1EB6">
      <w:pPr>
        <w:pStyle w:val="enumlev1"/>
        <w:keepNext/>
        <w:keepLines/>
        <w:rPr>
          <w:lang w:val="es-ES"/>
        </w:rPr>
      </w:pPr>
      <w:r w:rsidRPr="003B1434">
        <w:rPr>
          <w:lang w:val="es-ES"/>
        </w:rPr>
        <w:lastRenderedPageBreak/>
        <w:t>–</w:t>
      </w:r>
      <w:r w:rsidRPr="003B1434">
        <w:rPr>
          <w:lang w:val="es-ES"/>
        </w:rPr>
        <w:tab/>
      </w:r>
      <w:r w:rsidR="005B1EB6">
        <w:rPr>
          <w:lang w:val="es-ES"/>
        </w:rPr>
        <w:t>a</w:t>
      </w:r>
      <w:r w:rsidRPr="003B1434">
        <w:rPr>
          <w:lang w:val="es-ES"/>
        </w:rPr>
        <w:t>spectos de sostenibilidad de los sistemas basados en IA, incluida la aplicación y notificación del consumo energético y la huella de carbono de los despliegues de IA a escala urbana, aprovechando las Recomendaciones y metodologías del UIT-T existentes, cuando proceda.</w:t>
      </w:r>
    </w:p>
    <w:p w14:paraId="677643D8" w14:textId="3CF9CD25" w:rsidR="003B1434" w:rsidRPr="003B1434" w:rsidRDefault="003B1434" w:rsidP="003B1434">
      <w:pPr>
        <w:rPr>
          <w:lang w:val="es-ES"/>
        </w:rPr>
      </w:pPr>
      <w:r w:rsidRPr="003B1434">
        <w:rPr>
          <w:lang w:val="es-ES"/>
        </w:rPr>
        <w:t>El Grupo Temático no abordará la política urbana general, la gobernanza, la política social, los marcos éticos o reglamentarios de la</w:t>
      </w:r>
      <w:r w:rsidR="005B1EB6">
        <w:rPr>
          <w:lang w:val="es-ES"/>
        </w:rPr>
        <w:t> </w:t>
      </w:r>
      <w:r w:rsidRPr="003B1434">
        <w:rPr>
          <w:lang w:val="es-ES"/>
        </w:rPr>
        <w:t>IA, ni la reglamentación específica del sector, excepto cuando esté directamente relacionada con la interoperabilidad, los sistemas basados en las</w:t>
      </w:r>
      <w:r w:rsidR="005B1EB6">
        <w:rPr>
          <w:lang w:val="es-ES"/>
        </w:rPr>
        <w:t> </w:t>
      </w:r>
      <w:r w:rsidRPr="003B1434">
        <w:rPr>
          <w:lang w:val="es-ES"/>
        </w:rPr>
        <w:t>TIC, la integración de sistemas o las actividades previas a la normalización en el marco del mandato del</w:t>
      </w:r>
      <w:r w:rsidR="005B1EB6">
        <w:rPr>
          <w:lang w:val="es-ES"/>
        </w:rPr>
        <w:t> </w:t>
      </w:r>
      <w:r w:rsidRPr="003B1434">
        <w:rPr>
          <w:lang w:val="es-ES"/>
        </w:rPr>
        <w:t>UIT-T, teniendo en cuenta la Resolución</w:t>
      </w:r>
      <w:r w:rsidR="005B1EB6">
        <w:rPr>
          <w:lang w:val="es-ES"/>
        </w:rPr>
        <w:t> </w:t>
      </w:r>
      <w:r w:rsidRPr="003B1434">
        <w:rPr>
          <w:lang w:val="es-ES"/>
        </w:rPr>
        <w:t>214 (Bucarest, 2022) de la</w:t>
      </w:r>
      <w:r w:rsidR="005B1EB6">
        <w:rPr>
          <w:lang w:val="es-ES"/>
        </w:rPr>
        <w:t> </w:t>
      </w:r>
      <w:r w:rsidRPr="003B1434">
        <w:rPr>
          <w:lang w:val="es-ES"/>
        </w:rPr>
        <w:t>PP.</w:t>
      </w:r>
    </w:p>
    <w:p w14:paraId="3F1598F9" w14:textId="5DD51BC5" w:rsidR="003B1434" w:rsidRPr="003B1434" w:rsidRDefault="003B1434" w:rsidP="003B1434">
      <w:pPr>
        <w:rPr>
          <w:lang w:val="es-ES"/>
        </w:rPr>
      </w:pPr>
      <w:r w:rsidRPr="003B1434">
        <w:t>El Grupo Temático no abordará el diseño de modelos de IA detallados, los aspectos medioambientales de la</w:t>
      </w:r>
      <w:r w:rsidR="005B1EB6">
        <w:t> </w:t>
      </w:r>
      <w:r w:rsidRPr="003B1434">
        <w:t>IA, los métodos de entrenamiento y prueba, la robótica con fines polivalentes, los aspectos multimedios ni cuestiones fundamentales de ciberseguridad que correspondan al mandato de otras Comisiones de Estudio y Grupos Temáticos del</w:t>
      </w:r>
      <w:r w:rsidR="005B1EB6">
        <w:t> </w:t>
      </w:r>
      <w:r w:rsidRPr="003B1434">
        <w:t>UIT</w:t>
      </w:r>
      <w:r w:rsidR="005B1EB6">
        <w:noBreakHyphen/>
      </w:r>
      <w:r w:rsidRPr="003B1434">
        <w:t>T</w:t>
      </w:r>
      <w:r w:rsidRPr="003B1434">
        <w:rPr>
          <w:lang w:val="es-ES"/>
        </w:rPr>
        <w:t>.</w:t>
      </w:r>
    </w:p>
    <w:p w14:paraId="3A9A6AB0" w14:textId="446CBBFB" w:rsidR="003B1434" w:rsidRPr="003B1434" w:rsidRDefault="003B1434" w:rsidP="003B1434">
      <w:pPr>
        <w:rPr>
          <w:lang w:val="es-ES"/>
        </w:rPr>
      </w:pPr>
      <w:r w:rsidRPr="003B1434">
        <w:rPr>
          <w:lang w:val="es-ES"/>
        </w:rPr>
        <w:t>El Grupo Temático identificará las partes interesadas y socios con los que podría colaborar el</w:t>
      </w:r>
      <w:r w:rsidR="005B1EB6">
        <w:rPr>
          <w:lang w:val="es-ES"/>
        </w:rPr>
        <w:t> </w:t>
      </w:r>
      <w:r w:rsidRPr="003B1434">
        <w:rPr>
          <w:lang w:val="es-ES"/>
        </w:rPr>
        <w:t>UIT</w:t>
      </w:r>
      <w:r w:rsidR="005B1EB6">
        <w:rPr>
          <w:lang w:val="es-ES"/>
        </w:rPr>
        <w:noBreakHyphen/>
      </w:r>
      <w:r w:rsidRPr="003B1434">
        <w:rPr>
          <w:lang w:val="es-ES"/>
        </w:rPr>
        <w:t xml:space="preserve">T y permitirá la participación de entidades ajenas a la organización en las actividades técnicas previas a la normalización. </w:t>
      </w:r>
      <w:r w:rsidRPr="003B1434">
        <w:t>Cabe la posibilidad de establecer una colaboración entre las instituciones académicas, la industria, los organismos reguladores, las entidades de las Naciones Unidas y las organizaciones de normalización, a fin de garantizar unos fundamentos técnicos inclusivos e interoperables</w:t>
      </w:r>
      <w:r w:rsidRPr="003B1434">
        <w:rPr>
          <w:lang w:val="es-ES"/>
        </w:rPr>
        <w:t>.</w:t>
      </w:r>
    </w:p>
    <w:p w14:paraId="50FBC0CC" w14:textId="77777777" w:rsidR="003B1434" w:rsidRPr="003B1434" w:rsidRDefault="003B1434" w:rsidP="003B1434">
      <w:pPr>
        <w:pStyle w:val="Heading1"/>
        <w:rPr>
          <w:lang w:val="es-ES"/>
        </w:rPr>
      </w:pPr>
      <w:r w:rsidRPr="003B1434">
        <w:rPr>
          <w:lang w:val="es-ES"/>
        </w:rPr>
        <w:t>3</w:t>
      </w:r>
      <w:r w:rsidRPr="003B1434">
        <w:rPr>
          <w:lang w:val="es-ES"/>
        </w:rPr>
        <w:tab/>
        <w:t>Objetivos</w:t>
      </w:r>
    </w:p>
    <w:p w14:paraId="65202A4C" w14:textId="36CE109F" w:rsidR="003B1434" w:rsidRPr="003B1434" w:rsidRDefault="003B1434" w:rsidP="003B1434">
      <w:pPr>
        <w:rPr>
          <w:lang w:val="es-ES"/>
        </w:rPr>
      </w:pPr>
      <w:r w:rsidRPr="003B1434">
        <w:t>El objetivo del Grupo Temático es apoyar las actividades previas a la normalización para un estudio coherente y en el nivel del sistema de las tecnologías urbanas de IA en las ciudades y comunidades, incluida la integración de la</w:t>
      </w:r>
      <w:r w:rsidR="005B1EB6">
        <w:t> </w:t>
      </w:r>
      <w:r w:rsidRPr="003B1434">
        <w:t>IA para las ciudades y comunidades inteligentes y sostenibles tanto en el nivel del sistema como entre los diferentes dominios</w:t>
      </w:r>
      <w:r w:rsidRPr="003B1434">
        <w:rPr>
          <w:lang w:val="es-ES"/>
        </w:rPr>
        <w:t>.</w:t>
      </w:r>
    </w:p>
    <w:p w14:paraId="1E039DCC" w14:textId="023554D4" w:rsidR="003B1434" w:rsidRPr="003B1434" w:rsidRDefault="003B1434" w:rsidP="003B1434">
      <w:pPr>
        <w:rPr>
          <w:lang w:val="es-ES"/>
        </w:rPr>
      </w:pPr>
      <w:r w:rsidRPr="003B1434">
        <w:t>El Grupo Temático tiene por objeto proporcionar una plataforma abierta para la colaboración, la coordinación y el intercambio de conocimientos relacionados con la</w:t>
      </w:r>
      <w:r w:rsidR="005B1EB6">
        <w:t> </w:t>
      </w:r>
      <w:r w:rsidRPr="003B1434">
        <w:t>IA para las ciudades y comunidades inteligentes y sostenibles</w:t>
      </w:r>
      <w:r w:rsidRPr="003B1434">
        <w:rPr>
          <w:lang w:val="es-ES"/>
        </w:rPr>
        <w:t xml:space="preserve">. </w:t>
      </w:r>
      <w:r w:rsidRPr="003B1434">
        <w:t xml:space="preserve">El propósito de sus trabajos consiste en facilitar la futura normalización internacional de los marcos arquitectónicos, los enfoques de interoperabilidad y las metodologías de evaluación, lo que resulta esencial para que los sistemas urbanos y comunitarios inteligentes y sostenibles con IA sean </w:t>
      </w:r>
      <w:proofErr w:type="spellStart"/>
      <w:r w:rsidRPr="003B1434">
        <w:t>dimensionables</w:t>
      </w:r>
      <w:proofErr w:type="spellEnd"/>
      <w:r w:rsidRPr="003B1434">
        <w:t xml:space="preserve"> e interoperables</w:t>
      </w:r>
      <w:r w:rsidRPr="003B1434">
        <w:rPr>
          <w:lang w:val="es-ES"/>
        </w:rPr>
        <w:t>.</w:t>
      </w:r>
    </w:p>
    <w:p w14:paraId="0BC95C13" w14:textId="77777777" w:rsidR="003B1434" w:rsidRPr="003B1434" w:rsidRDefault="003B1434" w:rsidP="003B1434">
      <w:pPr>
        <w:rPr>
          <w:lang w:val="es-ES"/>
        </w:rPr>
      </w:pPr>
      <w:r w:rsidRPr="003B1434">
        <w:t>Más concretamente, el Grupo Temático</w:t>
      </w:r>
      <w:r w:rsidRPr="003B1434">
        <w:rPr>
          <w:lang w:val="es-ES"/>
        </w:rPr>
        <w:t>:</w:t>
      </w:r>
    </w:p>
    <w:p w14:paraId="46DE0AE3" w14:textId="77777777" w:rsidR="003B1434" w:rsidRPr="003B1434" w:rsidRDefault="003B1434" w:rsidP="003B1434">
      <w:pPr>
        <w:pStyle w:val="enumlev1"/>
        <w:rPr>
          <w:lang w:val="es-ES"/>
        </w:rPr>
      </w:pPr>
      <w:r w:rsidRPr="003B1434">
        <w:rPr>
          <w:lang w:val="es-ES"/>
        </w:rPr>
        <w:t>–</w:t>
      </w:r>
      <w:r w:rsidRPr="003B1434">
        <w:rPr>
          <w:lang w:val="es-ES"/>
        </w:rPr>
        <w:tab/>
      </w:r>
      <w:r w:rsidRPr="003B1434">
        <w:t>creará y consolidará una comunidad intersectorial de expertos y profesionales que trabajen en IA para las ciudades y comunidades inteligentes y sostenibles, fomentando una visión compartida, una terminología común y un entendimiento común</w:t>
      </w:r>
      <w:r w:rsidRPr="003B1434">
        <w:rPr>
          <w:lang w:val="es-ES"/>
        </w:rPr>
        <w:t>;</w:t>
      </w:r>
    </w:p>
    <w:p w14:paraId="4F5472F7" w14:textId="2A799368" w:rsidR="003B1434" w:rsidRPr="003B1434" w:rsidRDefault="003B1434" w:rsidP="003B1434">
      <w:pPr>
        <w:pStyle w:val="enumlev1"/>
        <w:rPr>
          <w:lang w:val="es-ES"/>
        </w:rPr>
      </w:pPr>
      <w:r w:rsidRPr="003B1434">
        <w:rPr>
          <w:lang w:val="es-ES"/>
        </w:rPr>
        <w:t>–</w:t>
      </w:r>
      <w:r w:rsidRPr="003B1434">
        <w:rPr>
          <w:lang w:val="es-ES"/>
        </w:rPr>
        <w:tab/>
      </w:r>
      <w:r w:rsidR="005B1EB6">
        <w:rPr>
          <w:lang w:val="es-ES"/>
        </w:rPr>
        <w:t>i</w:t>
      </w:r>
      <w:r w:rsidRPr="003B1434">
        <w:rPr>
          <w:lang w:val="es-ES"/>
        </w:rPr>
        <w:t>dentificará y documentará el valor que las tecnologías de IA (como la</w:t>
      </w:r>
      <w:r w:rsidR="005B1EB6">
        <w:rPr>
          <w:lang w:val="es-ES"/>
        </w:rPr>
        <w:t> </w:t>
      </w:r>
      <w:r w:rsidRPr="003B1434">
        <w:rPr>
          <w:lang w:val="es-ES"/>
        </w:rPr>
        <w:t>IA generativa, la</w:t>
      </w:r>
      <w:r w:rsidR="005B1EB6">
        <w:rPr>
          <w:lang w:val="es-ES"/>
        </w:rPr>
        <w:t> </w:t>
      </w:r>
      <w:r w:rsidRPr="003B1434">
        <w:rPr>
          <w:lang w:val="es-ES"/>
        </w:rPr>
        <w:t xml:space="preserve">IA </w:t>
      </w:r>
      <w:proofErr w:type="spellStart"/>
      <w:r w:rsidRPr="003B1434">
        <w:rPr>
          <w:lang w:val="es-ES"/>
        </w:rPr>
        <w:t>agéntica</w:t>
      </w:r>
      <w:proofErr w:type="spellEnd"/>
      <w:r w:rsidRPr="003B1434">
        <w:rPr>
          <w:lang w:val="es-ES"/>
        </w:rPr>
        <w:t>, la</w:t>
      </w:r>
      <w:r w:rsidR="005B1EB6">
        <w:rPr>
          <w:lang w:val="es-ES"/>
        </w:rPr>
        <w:t> </w:t>
      </w:r>
      <w:r w:rsidRPr="003B1434">
        <w:rPr>
          <w:lang w:val="es-ES"/>
        </w:rPr>
        <w:t>IA física y la</w:t>
      </w:r>
      <w:r w:rsidR="005B1EB6">
        <w:rPr>
          <w:lang w:val="es-ES"/>
        </w:rPr>
        <w:t> </w:t>
      </w:r>
      <w:r w:rsidRPr="003B1434">
        <w:rPr>
          <w:lang w:val="es-ES"/>
        </w:rPr>
        <w:t>IA espacial) pueden aportar a las ciudades y comunidades inteligentes y sostenibles, sector por sector (movilidad, energía, agua, residuos, seguridad, sanidad, medioambiente, servicios públicos, planificación urbana) a fin de que este Grupo Temático se convierta en el grupo de referencia sobre el valor de la</w:t>
      </w:r>
      <w:r w:rsidR="005B1EB6">
        <w:rPr>
          <w:lang w:val="es-ES"/>
        </w:rPr>
        <w:t> </w:t>
      </w:r>
      <w:r w:rsidRPr="003B1434">
        <w:rPr>
          <w:lang w:val="es-ES"/>
        </w:rPr>
        <w:t>IA en el dominio urbano;</w:t>
      </w:r>
    </w:p>
    <w:p w14:paraId="75CB5906" w14:textId="43ED0147" w:rsidR="003B1434" w:rsidRPr="003B1434" w:rsidRDefault="003B1434" w:rsidP="003B1434">
      <w:pPr>
        <w:pStyle w:val="enumlev1"/>
        <w:rPr>
          <w:lang w:val="es-ES"/>
        </w:rPr>
      </w:pPr>
      <w:r w:rsidRPr="003B1434">
        <w:rPr>
          <w:lang w:val="es-ES"/>
        </w:rPr>
        <w:t>–</w:t>
      </w:r>
      <w:r w:rsidRPr="003B1434">
        <w:rPr>
          <w:lang w:val="es-ES"/>
        </w:rPr>
        <w:tab/>
      </w:r>
      <w:r w:rsidRPr="003B1434">
        <w:t>identificará y estudiará los conceptos clave, las capacidades y las tecnologías de IA habilitadoras para las ciudades y comunidades inteligentes y sostenibles, incluidas la</w:t>
      </w:r>
      <w:r w:rsidR="00093196">
        <w:t> </w:t>
      </w:r>
      <w:r w:rsidRPr="003B1434">
        <w:t>IA generativa, la</w:t>
      </w:r>
      <w:r w:rsidR="00093196">
        <w:t> </w:t>
      </w:r>
      <w:r w:rsidRPr="003B1434">
        <w:t xml:space="preserve">IA </w:t>
      </w:r>
      <w:proofErr w:type="spellStart"/>
      <w:r w:rsidRPr="003B1434">
        <w:t>agéntica</w:t>
      </w:r>
      <w:proofErr w:type="spellEnd"/>
      <w:r w:rsidRPr="003B1434">
        <w:t>, la</w:t>
      </w:r>
      <w:r w:rsidR="00093196">
        <w:t> </w:t>
      </w:r>
      <w:r w:rsidRPr="003B1434">
        <w:t>IA física, la</w:t>
      </w:r>
      <w:r w:rsidR="00093196">
        <w:t> </w:t>
      </w:r>
      <w:r w:rsidRPr="003B1434">
        <w:t>IA espacial y los servicios urbanos basados en IA</w:t>
      </w:r>
      <w:r w:rsidRPr="003B1434">
        <w:rPr>
          <w:lang w:val="es-ES"/>
        </w:rPr>
        <w:t>;</w:t>
      </w:r>
    </w:p>
    <w:p w14:paraId="15233F95" w14:textId="4C9548A2" w:rsidR="003B1434" w:rsidRPr="003B1434" w:rsidRDefault="003B1434" w:rsidP="003B1434">
      <w:pPr>
        <w:pStyle w:val="enumlev1"/>
        <w:rPr>
          <w:lang w:val="es-ES"/>
        </w:rPr>
      </w:pPr>
      <w:r w:rsidRPr="003B1434">
        <w:rPr>
          <w:lang w:val="es-ES"/>
        </w:rPr>
        <w:lastRenderedPageBreak/>
        <w:t>–</w:t>
      </w:r>
      <w:r w:rsidRPr="003B1434">
        <w:rPr>
          <w:lang w:val="es-ES"/>
        </w:rPr>
        <w:tab/>
      </w:r>
      <w:r w:rsidR="00093196">
        <w:rPr>
          <w:lang w:val="es-ES"/>
        </w:rPr>
        <w:t>i</w:t>
      </w:r>
      <w:r w:rsidRPr="003B1434">
        <w:rPr>
          <w:lang w:val="es-ES"/>
        </w:rPr>
        <w:t>dentificará los casos de uso, las características, los requisitos de desarrollo, los marcos arquitectónicos, las consideraciones operativas y las prácticas idóneas de la</w:t>
      </w:r>
      <w:r w:rsidR="00093196">
        <w:rPr>
          <w:lang w:val="es-ES"/>
        </w:rPr>
        <w:t> </w:t>
      </w:r>
      <w:r w:rsidRPr="003B1434">
        <w:rPr>
          <w:lang w:val="es-ES"/>
        </w:rPr>
        <w:t>IA para ciudades y comunidades inteligentes y sostenibles;</w:t>
      </w:r>
    </w:p>
    <w:p w14:paraId="044AE91C" w14:textId="0846110C" w:rsidR="003B1434" w:rsidRPr="003B1434" w:rsidRDefault="003B1434" w:rsidP="003B1434">
      <w:pPr>
        <w:pStyle w:val="enumlev1"/>
        <w:rPr>
          <w:lang w:val="es-ES"/>
        </w:rPr>
      </w:pPr>
      <w:r w:rsidRPr="003B1434">
        <w:rPr>
          <w:lang w:val="es-ES"/>
        </w:rPr>
        <w:t>–</w:t>
      </w:r>
      <w:r w:rsidRPr="003B1434">
        <w:rPr>
          <w:lang w:val="es-ES"/>
        </w:rPr>
        <w:tab/>
      </w:r>
      <w:r w:rsidR="00093196">
        <w:rPr>
          <w:lang w:val="es-ES"/>
        </w:rPr>
        <w:t>a</w:t>
      </w:r>
      <w:r w:rsidRPr="003B1434">
        <w:rPr>
          <w:lang w:val="es-ES"/>
        </w:rPr>
        <w:t>nalizará las tendencias evolutivas de las ciudades y comunidades inteligentes y sostenibles, estudiará los marcos de evaluación de la madurez mediante IA y los servicios urbanos con IA;</w:t>
      </w:r>
    </w:p>
    <w:p w14:paraId="48DD9091" w14:textId="7FD2944A" w:rsidR="003B1434" w:rsidRPr="003B1434" w:rsidRDefault="003B1434" w:rsidP="003B1434">
      <w:pPr>
        <w:pStyle w:val="enumlev1"/>
        <w:rPr>
          <w:lang w:val="es-ES"/>
        </w:rPr>
      </w:pPr>
      <w:r w:rsidRPr="003B1434">
        <w:rPr>
          <w:lang w:val="es-ES"/>
        </w:rPr>
        <w:t>–</w:t>
      </w:r>
      <w:r w:rsidRPr="003B1434">
        <w:rPr>
          <w:lang w:val="es-ES"/>
        </w:rPr>
        <w:tab/>
      </w:r>
      <w:r w:rsidRPr="003B1434">
        <w:t>analizará las carencias e identificará los solapamientos y las necesidades de coordinación entre las actividades de normalización en curso relacionadas con la</w:t>
      </w:r>
      <w:r w:rsidR="00093196">
        <w:t> </w:t>
      </w:r>
      <w:r w:rsidRPr="003B1434">
        <w:t>IA para las ciudades y comunidades inteligentes y sostenibles</w:t>
      </w:r>
      <w:r w:rsidRPr="003B1434">
        <w:rPr>
          <w:lang w:val="es-ES"/>
        </w:rPr>
        <w:t>;</w:t>
      </w:r>
    </w:p>
    <w:p w14:paraId="76FFE9C2" w14:textId="77777777" w:rsidR="003B1434" w:rsidRPr="003B1434" w:rsidRDefault="003B1434" w:rsidP="003B1434">
      <w:pPr>
        <w:pStyle w:val="enumlev1"/>
        <w:rPr>
          <w:lang w:val="es-ES"/>
        </w:rPr>
      </w:pPr>
      <w:r w:rsidRPr="003B1434">
        <w:rPr>
          <w:lang w:val="es-ES"/>
        </w:rPr>
        <w:t>–</w:t>
      </w:r>
      <w:r w:rsidRPr="003B1434">
        <w:rPr>
          <w:lang w:val="es-ES"/>
        </w:rPr>
        <w:tab/>
      </w:r>
      <w:r w:rsidRPr="003B1434">
        <w:t>elaborará marcos técnicos, modelos de referencia y enfoques comunes en el nivel del sistema que apoyen la interoperabilidad y la integración entre dominios y capas</w:t>
      </w:r>
      <w:r w:rsidRPr="003B1434">
        <w:rPr>
          <w:lang w:val="es-ES"/>
        </w:rPr>
        <w:t>;</w:t>
      </w:r>
    </w:p>
    <w:p w14:paraId="52B7A492" w14:textId="77777777" w:rsidR="003B1434" w:rsidRPr="003B1434" w:rsidRDefault="003B1434" w:rsidP="003B1434">
      <w:pPr>
        <w:pStyle w:val="enumlev1"/>
        <w:rPr>
          <w:lang w:val="es-ES"/>
        </w:rPr>
      </w:pPr>
      <w:r w:rsidRPr="003B1434">
        <w:rPr>
          <w:lang w:val="es-ES"/>
        </w:rPr>
        <w:t>–</w:t>
      </w:r>
      <w:r w:rsidRPr="003B1434">
        <w:rPr>
          <w:lang w:val="es-ES"/>
        </w:rPr>
        <w:tab/>
      </w:r>
      <w:r w:rsidRPr="003B1434">
        <w:t xml:space="preserve">promoverá la colaboración internacional y el intercambio de prácticas idóneas relacionadas con la adopción de una IA interoperable, </w:t>
      </w:r>
      <w:proofErr w:type="spellStart"/>
      <w:r w:rsidRPr="003B1434">
        <w:t>dimensionable</w:t>
      </w:r>
      <w:proofErr w:type="spellEnd"/>
      <w:r w:rsidRPr="003B1434">
        <w:t xml:space="preserve"> y sostenible</w:t>
      </w:r>
      <w:r w:rsidRPr="003B1434">
        <w:rPr>
          <w:lang w:val="es-ES"/>
        </w:rPr>
        <w:t>;</w:t>
      </w:r>
    </w:p>
    <w:p w14:paraId="6A3160DC" w14:textId="77777777" w:rsidR="003B1434" w:rsidRPr="003B1434" w:rsidRDefault="003B1434" w:rsidP="003B1434">
      <w:pPr>
        <w:pStyle w:val="enumlev1"/>
        <w:rPr>
          <w:lang w:val="es-ES"/>
        </w:rPr>
      </w:pPr>
      <w:r w:rsidRPr="003B1434">
        <w:rPr>
          <w:lang w:val="es-ES"/>
        </w:rPr>
        <w:t>–</w:t>
      </w:r>
      <w:r w:rsidRPr="003B1434">
        <w:rPr>
          <w:lang w:val="es-ES"/>
        </w:rPr>
        <w:tab/>
      </w:r>
      <w:r w:rsidRPr="003B1434">
        <w:t>estudiará los aspectos de la gestión del ciclo de vida, incluidos los marcos de evaluación y análisis que pueden utilizar las ciudades, los gobiernos, los reguladores, los operadores y la industria</w:t>
      </w:r>
      <w:r w:rsidRPr="003B1434">
        <w:rPr>
          <w:lang w:val="es-ES"/>
        </w:rPr>
        <w:t>;</w:t>
      </w:r>
    </w:p>
    <w:p w14:paraId="035DC060" w14:textId="2225A294" w:rsidR="003B1434" w:rsidRPr="003B1434" w:rsidRDefault="003B1434" w:rsidP="003B1434">
      <w:pPr>
        <w:pStyle w:val="enumlev1"/>
        <w:rPr>
          <w:lang w:val="es-ES"/>
        </w:rPr>
      </w:pPr>
      <w:r w:rsidRPr="003B1434">
        <w:rPr>
          <w:lang w:val="es-ES"/>
        </w:rPr>
        <w:t>–</w:t>
      </w:r>
      <w:r w:rsidRPr="003B1434">
        <w:rPr>
          <w:lang w:val="es-ES"/>
        </w:rPr>
        <w:tab/>
      </w:r>
      <w:r w:rsidR="00093196">
        <w:rPr>
          <w:lang w:val="es-ES"/>
        </w:rPr>
        <w:t>p</w:t>
      </w:r>
      <w:r w:rsidRPr="003B1434">
        <w:rPr>
          <w:lang w:val="es-ES"/>
        </w:rPr>
        <w:t>roporcionará una plataforma para la compartición de las conclusiones y el diálogo sobre las implicaciones políticas y reglamentarias relacionadas con la integración de la</w:t>
      </w:r>
      <w:r w:rsidR="00093196">
        <w:rPr>
          <w:lang w:val="es-ES"/>
        </w:rPr>
        <w:t> </w:t>
      </w:r>
      <w:r w:rsidRPr="003B1434">
        <w:rPr>
          <w:lang w:val="es-ES"/>
        </w:rPr>
        <w:t>IA en las ciudades y comunidades inteligentes y sostenibles</w:t>
      </w:r>
      <w:r w:rsidR="00093196">
        <w:rPr>
          <w:lang w:val="es-ES"/>
        </w:rPr>
        <w:t>;</w:t>
      </w:r>
    </w:p>
    <w:p w14:paraId="3EA9DE4B" w14:textId="73761B07" w:rsidR="003B1434" w:rsidRPr="003B1434" w:rsidRDefault="003B1434" w:rsidP="003B1434">
      <w:pPr>
        <w:pStyle w:val="enumlev1"/>
        <w:rPr>
          <w:lang w:val="es-ES"/>
        </w:rPr>
      </w:pPr>
      <w:r w:rsidRPr="003B1434">
        <w:rPr>
          <w:lang w:val="es-ES"/>
        </w:rPr>
        <w:t>–</w:t>
      </w:r>
      <w:r w:rsidRPr="003B1434">
        <w:rPr>
          <w:lang w:val="es-ES"/>
        </w:rPr>
        <w:tab/>
      </w:r>
      <w:r w:rsidRPr="003B1434">
        <w:t>identificará a las partes interesadas y los socios con los que el</w:t>
      </w:r>
      <w:r w:rsidR="00093196">
        <w:t> </w:t>
      </w:r>
      <w:r w:rsidRPr="003B1434">
        <w:t>UIT</w:t>
      </w:r>
      <w:r w:rsidR="00093196">
        <w:noBreakHyphen/>
      </w:r>
      <w:r w:rsidRPr="003B1434">
        <w:t>T podría seguir colaborando, y definirá posibles actuaciones futuras y una vía de transición para convertir los productos de los Grupos Temáticos en Recomendaciones</w:t>
      </w:r>
      <w:r w:rsidR="00093196">
        <w:t> </w:t>
      </w:r>
      <w:r w:rsidRPr="003B1434">
        <w:t>UIT-T en el marco de la</w:t>
      </w:r>
      <w:r w:rsidR="00093196">
        <w:t> </w:t>
      </w:r>
      <w:r w:rsidRPr="003B1434">
        <w:t>CE 20 del</w:t>
      </w:r>
      <w:r w:rsidR="00093196">
        <w:t> </w:t>
      </w:r>
      <w:r w:rsidRPr="003B1434">
        <w:t>UIT</w:t>
      </w:r>
      <w:r w:rsidR="00093196">
        <w:noBreakHyphen/>
      </w:r>
      <w:r w:rsidRPr="003B1434">
        <w:t>T</w:t>
      </w:r>
      <w:r w:rsidRPr="003B1434">
        <w:rPr>
          <w:lang w:val="es-ES"/>
        </w:rPr>
        <w:t>.</w:t>
      </w:r>
    </w:p>
    <w:p w14:paraId="15C1BEA9" w14:textId="77777777" w:rsidR="003B1434" w:rsidRPr="003B1434" w:rsidRDefault="003B1434" w:rsidP="003B1434">
      <w:pPr>
        <w:pStyle w:val="Heading1"/>
        <w:rPr>
          <w:lang w:val="es-ES"/>
        </w:rPr>
      </w:pPr>
      <w:r w:rsidRPr="003B1434">
        <w:rPr>
          <w:lang w:val="es-ES"/>
        </w:rPr>
        <w:t>4</w:t>
      </w:r>
      <w:r w:rsidRPr="003B1434">
        <w:rPr>
          <w:lang w:val="es-ES"/>
        </w:rPr>
        <w:tab/>
        <w:t>Tareas específicas y productos finales</w:t>
      </w:r>
    </w:p>
    <w:p w14:paraId="44BC23F3" w14:textId="77777777" w:rsidR="003B1434" w:rsidRPr="003B1434" w:rsidRDefault="003B1434" w:rsidP="003B1434">
      <w:pPr>
        <w:rPr>
          <w:lang w:val="es-ES"/>
        </w:rPr>
      </w:pPr>
      <w:r w:rsidRPr="003B1434">
        <w:t>El Grupo Temático elaborará informes técnicos, especificaciones técnicas y otros productos, tales como</w:t>
      </w:r>
      <w:r w:rsidRPr="003B1434">
        <w:rPr>
          <w:lang w:val="es-ES"/>
        </w:rPr>
        <w:t>:</w:t>
      </w:r>
    </w:p>
    <w:p w14:paraId="00BBF0DB" w14:textId="4C26CB44" w:rsidR="003B1434" w:rsidRPr="003B1434" w:rsidRDefault="003B1434" w:rsidP="003B1434">
      <w:pPr>
        <w:pStyle w:val="enumlev1"/>
        <w:rPr>
          <w:lang w:val="es-ES"/>
        </w:rPr>
      </w:pPr>
      <w:r w:rsidRPr="003B1434">
        <w:rPr>
          <w:lang w:val="es-ES"/>
        </w:rPr>
        <w:t>–</w:t>
      </w:r>
      <w:r w:rsidRPr="003B1434">
        <w:rPr>
          <w:lang w:val="es-ES"/>
        </w:rPr>
        <w:tab/>
      </w:r>
      <w:r w:rsidRPr="003B1434">
        <w:t>productos sobre el estudio, la investigación y el análisis de normalización de la</w:t>
      </w:r>
      <w:r w:rsidR="0050775D">
        <w:t> </w:t>
      </w:r>
      <w:r w:rsidRPr="003B1434">
        <w:t>IA para las ciudades y comunidades inteligentes y sostenibles, incluidas la</w:t>
      </w:r>
      <w:r w:rsidR="0050775D">
        <w:t> </w:t>
      </w:r>
      <w:r w:rsidRPr="003B1434">
        <w:t>IA generativa, la</w:t>
      </w:r>
      <w:r w:rsidR="0050775D">
        <w:t> </w:t>
      </w:r>
      <w:r w:rsidRPr="003B1434">
        <w:t xml:space="preserve">IA </w:t>
      </w:r>
      <w:proofErr w:type="spellStart"/>
      <w:r w:rsidRPr="003B1434">
        <w:t>agéntica</w:t>
      </w:r>
      <w:proofErr w:type="spellEnd"/>
      <w:r w:rsidRPr="003B1434">
        <w:t>, la</w:t>
      </w:r>
      <w:r w:rsidR="0050775D">
        <w:t> </w:t>
      </w:r>
      <w:r w:rsidRPr="003B1434">
        <w:t>IA física, la</w:t>
      </w:r>
      <w:r w:rsidR="0050775D">
        <w:t> </w:t>
      </w:r>
      <w:r w:rsidRPr="003B1434">
        <w:t>IA espacial y los servicios urbanos basados en IA, que podrían dar lugar a nuevos temas de trabajo del</w:t>
      </w:r>
      <w:r w:rsidR="0050775D">
        <w:t> </w:t>
      </w:r>
      <w:r w:rsidRPr="003B1434">
        <w:t>UIT</w:t>
      </w:r>
      <w:r w:rsidR="0050775D">
        <w:noBreakHyphen/>
      </w:r>
      <w:r w:rsidRPr="003B1434">
        <w:t>T</w:t>
      </w:r>
      <w:r w:rsidRPr="003B1434">
        <w:rPr>
          <w:lang w:val="es-ES"/>
        </w:rPr>
        <w:t>;</w:t>
      </w:r>
    </w:p>
    <w:p w14:paraId="4513B14A" w14:textId="446167DD" w:rsidR="003B1434" w:rsidRPr="003B1434" w:rsidRDefault="003B1434" w:rsidP="003B1434">
      <w:pPr>
        <w:pStyle w:val="enumlev1"/>
        <w:rPr>
          <w:lang w:val="es-ES"/>
        </w:rPr>
      </w:pPr>
      <w:r w:rsidRPr="003B1434">
        <w:rPr>
          <w:lang w:val="es-ES"/>
        </w:rPr>
        <w:t>–</w:t>
      </w:r>
      <w:r w:rsidRPr="003B1434">
        <w:rPr>
          <w:lang w:val="es-ES"/>
        </w:rPr>
        <w:tab/>
        <w:t xml:space="preserve">productos relacionados con </w:t>
      </w:r>
      <w:r w:rsidRPr="003B1434">
        <w:t>definiciones, terminología, taxonomía, conceptos y perspectivas relacionados con la</w:t>
      </w:r>
      <w:r w:rsidR="0050775D">
        <w:t> </w:t>
      </w:r>
      <w:r w:rsidRPr="003B1434">
        <w:t>IA para las ciudades y comunidades inteligentes y sostenibles, servicios y sistemas urbanos con IA, incluidos casos de uso representativos que atañan a diferentes dominios</w:t>
      </w:r>
      <w:r w:rsidRPr="003B1434">
        <w:rPr>
          <w:lang w:val="es-ES"/>
        </w:rPr>
        <w:t>;</w:t>
      </w:r>
    </w:p>
    <w:p w14:paraId="1F853269" w14:textId="71E9A2DA" w:rsidR="003B1434" w:rsidRPr="003B1434" w:rsidRDefault="003B1434" w:rsidP="003B1434">
      <w:pPr>
        <w:pStyle w:val="enumlev1"/>
        <w:rPr>
          <w:lang w:val="es-ES"/>
        </w:rPr>
      </w:pPr>
      <w:r w:rsidRPr="003B1434">
        <w:rPr>
          <w:lang w:val="es-ES"/>
        </w:rPr>
        <w:t>–</w:t>
      </w:r>
      <w:r w:rsidRPr="003B1434">
        <w:rPr>
          <w:lang w:val="es-ES"/>
        </w:rPr>
        <w:tab/>
      </w:r>
      <w:r w:rsidR="0050775D">
        <w:rPr>
          <w:lang w:val="es-ES"/>
        </w:rPr>
        <w:t>p</w:t>
      </w:r>
      <w:r w:rsidRPr="003B1434">
        <w:rPr>
          <w:lang w:val="es-ES"/>
        </w:rPr>
        <w:t>roductos relacionados con el diseño sistémico de sistemas y servicios urbanos con IA;</w:t>
      </w:r>
    </w:p>
    <w:p w14:paraId="53EBB2DF" w14:textId="77410F92" w:rsidR="003B1434" w:rsidRPr="003B1434" w:rsidRDefault="003B1434" w:rsidP="003B1434">
      <w:pPr>
        <w:pStyle w:val="enumlev1"/>
        <w:rPr>
          <w:lang w:val="es-ES"/>
        </w:rPr>
      </w:pPr>
      <w:r w:rsidRPr="003B1434">
        <w:rPr>
          <w:lang w:val="es-ES"/>
        </w:rPr>
        <w:t>–</w:t>
      </w:r>
      <w:r w:rsidRPr="003B1434">
        <w:rPr>
          <w:lang w:val="es-ES"/>
        </w:rPr>
        <w:tab/>
        <w:t>productos relacionados con los casos de uso, las características, los requisitos de desarrollo, los marcos arquitectónicos, las consideraciones operativas y las prácticas idóneas de la</w:t>
      </w:r>
      <w:r w:rsidR="0050775D">
        <w:rPr>
          <w:lang w:val="es-ES"/>
        </w:rPr>
        <w:t> </w:t>
      </w:r>
      <w:r w:rsidRPr="003B1434">
        <w:rPr>
          <w:lang w:val="es-ES"/>
        </w:rPr>
        <w:t>IA para ciudades y comunidades inteligentes y sostenibles;</w:t>
      </w:r>
    </w:p>
    <w:p w14:paraId="1439EEDB" w14:textId="77777777" w:rsidR="003B1434" w:rsidRPr="003B1434" w:rsidRDefault="003B1434" w:rsidP="003B1434">
      <w:pPr>
        <w:pStyle w:val="enumlev1"/>
        <w:rPr>
          <w:lang w:val="es-ES"/>
        </w:rPr>
      </w:pPr>
      <w:r w:rsidRPr="003B1434">
        <w:rPr>
          <w:lang w:val="es-ES"/>
        </w:rPr>
        <w:t>–</w:t>
      </w:r>
      <w:r w:rsidRPr="003B1434">
        <w:rPr>
          <w:lang w:val="es-ES"/>
        </w:rPr>
        <w:tab/>
      </w:r>
      <w:r w:rsidRPr="003B1434">
        <w:t>productos sobre la interoperabilidad, los mecanismos de coordinación, la gestión de datos y la interacción entre los sistemas digitales y físicos gracias a las tecnologías de IA</w:t>
      </w:r>
      <w:r w:rsidRPr="003B1434">
        <w:rPr>
          <w:lang w:val="es-ES"/>
        </w:rPr>
        <w:t>;</w:t>
      </w:r>
    </w:p>
    <w:p w14:paraId="0D8CF2DF" w14:textId="77777777" w:rsidR="003B1434" w:rsidRPr="003B1434" w:rsidRDefault="003B1434" w:rsidP="003B1434">
      <w:pPr>
        <w:pStyle w:val="enumlev1"/>
        <w:rPr>
          <w:lang w:val="es-ES"/>
        </w:rPr>
      </w:pPr>
      <w:r w:rsidRPr="003B1434">
        <w:rPr>
          <w:lang w:val="es-ES"/>
        </w:rPr>
        <w:t>–</w:t>
      </w:r>
      <w:r w:rsidRPr="003B1434">
        <w:rPr>
          <w:lang w:val="es-ES"/>
        </w:rPr>
        <w:tab/>
        <w:t xml:space="preserve">productos relacionados con </w:t>
      </w:r>
      <w:r w:rsidRPr="003B1434">
        <w:t>marcos de gestión, evaluación y valoración de los ciclos de vida de las tecnologías de IA para las ciudades y comunidades inteligentes y sostenibles, como las referencias comparativas, la supervisión y los mecanismos de comparabilidad internacionales</w:t>
      </w:r>
      <w:r w:rsidRPr="003B1434">
        <w:rPr>
          <w:lang w:val="es-ES"/>
        </w:rPr>
        <w:t>;</w:t>
      </w:r>
    </w:p>
    <w:p w14:paraId="734E0809" w14:textId="3EE0DA0D" w:rsidR="003B1434" w:rsidRPr="003B1434" w:rsidRDefault="003B1434" w:rsidP="003B1434">
      <w:pPr>
        <w:pStyle w:val="enumlev1"/>
        <w:rPr>
          <w:lang w:val="es-ES"/>
        </w:rPr>
      </w:pPr>
      <w:r w:rsidRPr="003B1434">
        <w:rPr>
          <w:lang w:val="es-ES"/>
        </w:rPr>
        <w:lastRenderedPageBreak/>
        <w:t>–</w:t>
      </w:r>
      <w:r w:rsidRPr="003B1434">
        <w:rPr>
          <w:lang w:val="es-ES"/>
        </w:rPr>
        <w:tab/>
      </w:r>
      <w:r w:rsidRPr="003B1434">
        <w:t>productos sobre usos inclusivos y accesibles de la</w:t>
      </w:r>
      <w:r w:rsidR="0050775D">
        <w:t> </w:t>
      </w:r>
      <w:r w:rsidRPr="003B1434">
        <w:t>IA para las ciudades y comunidades inteligentes y sostenibles</w:t>
      </w:r>
      <w:r w:rsidRPr="003B1434">
        <w:rPr>
          <w:lang w:val="es-ES"/>
        </w:rPr>
        <w:t>;</w:t>
      </w:r>
    </w:p>
    <w:p w14:paraId="139735DC" w14:textId="287EFA0E" w:rsidR="003B1434" w:rsidRPr="003B1434" w:rsidRDefault="003B1434" w:rsidP="003B1434">
      <w:pPr>
        <w:pStyle w:val="enumlev1"/>
        <w:rPr>
          <w:lang w:val="es-ES"/>
        </w:rPr>
      </w:pPr>
      <w:r w:rsidRPr="003B1434">
        <w:rPr>
          <w:lang w:val="es-ES"/>
        </w:rPr>
        <w:t>–</w:t>
      </w:r>
      <w:r w:rsidRPr="003B1434">
        <w:rPr>
          <w:lang w:val="es-ES"/>
        </w:rPr>
        <w:tab/>
      </w:r>
      <w:r w:rsidR="0050775D">
        <w:rPr>
          <w:lang w:val="es-ES"/>
        </w:rPr>
        <w:t>d</w:t>
      </w:r>
      <w:r w:rsidRPr="003B1434">
        <w:rPr>
          <w:lang w:val="es-ES"/>
        </w:rPr>
        <w:t>irectrices sobre la aplicabilidad de los principios de sostenibilidad de la</w:t>
      </w:r>
      <w:r w:rsidR="0050775D">
        <w:rPr>
          <w:lang w:val="es-ES"/>
        </w:rPr>
        <w:t> </w:t>
      </w:r>
      <w:r w:rsidRPr="003B1434">
        <w:rPr>
          <w:lang w:val="es-ES"/>
        </w:rPr>
        <w:t>IA en ciudades y comunidades inteligentes y sostenibles;</w:t>
      </w:r>
    </w:p>
    <w:p w14:paraId="2AFA04AD" w14:textId="3550667B" w:rsidR="003B1434" w:rsidRPr="003B1434" w:rsidRDefault="003B1434" w:rsidP="003B1434">
      <w:pPr>
        <w:pStyle w:val="enumlev1"/>
        <w:rPr>
          <w:lang w:val="es-ES"/>
        </w:rPr>
      </w:pPr>
      <w:r w:rsidRPr="003B1434">
        <w:rPr>
          <w:lang w:val="es-ES"/>
        </w:rPr>
        <w:t>–</w:t>
      </w:r>
      <w:r w:rsidRPr="003B1434">
        <w:rPr>
          <w:lang w:val="es-ES"/>
        </w:rPr>
        <w:tab/>
        <w:t>evaluación de la preparación para la adopción e integración de la</w:t>
      </w:r>
      <w:r w:rsidR="0050775D">
        <w:rPr>
          <w:lang w:val="es-ES"/>
        </w:rPr>
        <w:t> </w:t>
      </w:r>
      <w:r w:rsidRPr="003B1434">
        <w:rPr>
          <w:lang w:val="es-ES"/>
        </w:rPr>
        <w:t>IA e investigación de hojas de ruta para ciudades y comunidades inteligentes y sostenibles;</w:t>
      </w:r>
    </w:p>
    <w:p w14:paraId="54922CD3" w14:textId="77777777" w:rsidR="003B1434" w:rsidRPr="003B1434" w:rsidRDefault="003B1434" w:rsidP="003B1434">
      <w:pPr>
        <w:pStyle w:val="enumlev1"/>
        <w:rPr>
          <w:lang w:val="es-ES"/>
        </w:rPr>
      </w:pPr>
      <w:r w:rsidRPr="003B1434">
        <w:rPr>
          <w:lang w:val="es-ES"/>
        </w:rPr>
        <w:t>–</w:t>
      </w:r>
      <w:r w:rsidRPr="003B1434">
        <w:rPr>
          <w:lang w:val="es-ES"/>
        </w:rPr>
        <w:tab/>
        <w:t>IA espacial para la convergencia digital-física en las ciudades, mediante la integración de sistemas geoespaciales, gemelos digitales y sensores en tiempo real para generar productos reutilizables;</w:t>
      </w:r>
    </w:p>
    <w:p w14:paraId="06CE7B8A" w14:textId="77777777" w:rsidR="003B1434" w:rsidRPr="003B1434" w:rsidRDefault="003B1434" w:rsidP="003B1434">
      <w:pPr>
        <w:pStyle w:val="enumlev1"/>
        <w:rPr>
          <w:lang w:val="es-ES"/>
        </w:rPr>
      </w:pPr>
      <w:r w:rsidRPr="003B1434">
        <w:rPr>
          <w:lang w:val="es-ES"/>
        </w:rPr>
        <w:t>–</w:t>
      </w:r>
      <w:r w:rsidRPr="003B1434">
        <w:rPr>
          <w:lang w:val="es-ES"/>
        </w:rPr>
        <w:tab/>
        <w:t>orientaciones para la adopción e integración de tecnologías de IA habilitadoras pertinentes para las ciudades y comunidades inteligentes y sostenibles;</w:t>
      </w:r>
    </w:p>
    <w:p w14:paraId="3A660B4A" w14:textId="07D482EC" w:rsidR="003B1434" w:rsidRPr="003B1434" w:rsidRDefault="003B1434" w:rsidP="003B1434">
      <w:pPr>
        <w:pStyle w:val="enumlev1"/>
        <w:rPr>
          <w:lang w:val="es-ES"/>
        </w:rPr>
      </w:pPr>
      <w:r w:rsidRPr="003B1434">
        <w:rPr>
          <w:lang w:val="es-ES"/>
        </w:rPr>
        <w:t>–</w:t>
      </w:r>
      <w:r w:rsidRPr="003B1434">
        <w:rPr>
          <w:lang w:val="es-ES"/>
        </w:rPr>
        <w:tab/>
        <w:t>aspectos relacionados con la sostenibilidad de los sistemas basados en IA, incluida la aplicación y notificación del consumo energético y la huella de carbono de los despliegues de IA a escala urbana</w:t>
      </w:r>
      <w:r w:rsidR="0050775D">
        <w:rPr>
          <w:lang w:val="es-ES"/>
        </w:rPr>
        <w:t>.</w:t>
      </w:r>
    </w:p>
    <w:p w14:paraId="77CBEB86" w14:textId="520860DF" w:rsidR="003B1434" w:rsidRPr="003B1434" w:rsidRDefault="003B1434" w:rsidP="003B1434">
      <w:pPr>
        <w:rPr>
          <w:lang w:val="es-ES"/>
        </w:rPr>
      </w:pPr>
      <w:r w:rsidRPr="003B1434">
        <w:rPr>
          <w:lang w:val="es-ES"/>
        </w:rPr>
        <w:t>Para facilitar la coordinación con las</w:t>
      </w:r>
      <w:r w:rsidR="00E11D41">
        <w:rPr>
          <w:lang w:val="es-ES"/>
        </w:rPr>
        <w:t xml:space="preserve"> </w:t>
      </w:r>
      <w:r w:rsidR="00E11D41" w:rsidRPr="00E11D41">
        <w:rPr>
          <w:lang w:val="es-ES"/>
        </w:rPr>
        <w:t>Comisiones de Estudio</w:t>
      </w:r>
      <w:r w:rsidRPr="003B1434">
        <w:rPr>
          <w:lang w:val="es-ES"/>
        </w:rPr>
        <w:t xml:space="preserve"> del UIT-T, las entidades industriales y otras organizaciones externas pertinentes, en particular:</w:t>
      </w:r>
    </w:p>
    <w:p w14:paraId="6517651F" w14:textId="6600AB88" w:rsidR="003B1434" w:rsidRPr="003B1434" w:rsidRDefault="003B1434" w:rsidP="003B1434">
      <w:pPr>
        <w:pStyle w:val="enumlev1"/>
        <w:rPr>
          <w:lang w:val="es-ES"/>
        </w:rPr>
      </w:pPr>
      <w:r w:rsidRPr="003B1434">
        <w:rPr>
          <w:lang w:val="es-ES"/>
        </w:rPr>
        <w:t>−</w:t>
      </w:r>
      <w:r w:rsidRPr="003B1434">
        <w:rPr>
          <w:lang w:val="es-ES"/>
        </w:rPr>
        <w:tab/>
        <w:t>colaborará con las Comisiones de Estudio y los Grupos Temáticos del</w:t>
      </w:r>
      <w:r w:rsidR="00D35262">
        <w:rPr>
          <w:lang w:val="es-ES"/>
        </w:rPr>
        <w:t> </w:t>
      </w:r>
      <w:r w:rsidRPr="003B1434">
        <w:rPr>
          <w:lang w:val="es-ES"/>
        </w:rPr>
        <w:t>UIT-T y con otros organismos de normalización.</w:t>
      </w:r>
    </w:p>
    <w:p w14:paraId="4D8F3066" w14:textId="77777777" w:rsidR="003B1434" w:rsidRPr="003B1434" w:rsidRDefault="003B1434" w:rsidP="003B1434">
      <w:pPr>
        <w:rPr>
          <w:lang w:val="es-ES"/>
        </w:rPr>
      </w:pPr>
      <w:r w:rsidRPr="003B1434">
        <w:t>Para facilitar la colaboración y el intercambio de conocimientos, el Grupo Temático también emprenderá las siguientes actividades</w:t>
      </w:r>
      <w:r w:rsidRPr="003B1434">
        <w:rPr>
          <w:lang w:val="es-ES"/>
        </w:rPr>
        <w:t>:</w:t>
      </w:r>
    </w:p>
    <w:p w14:paraId="0940A69A" w14:textId="66A4B4EF" w:rsidR="003B1434" w:rsidRPr="003B1434" w:rsidRDefault="003B1434" w:rsidP="003B1434">
      <w:pPr>
        <w:pStyle w:val="enumlev1"/>
        <w:rPr>
          <w:lang w:val="es-ES"/>
        </w:rPr>
      </w:pPr>
      <w:r w:rsidRPr="003B1434">
        <w:rPr>
          <w:lang w:val="es-ES"/>
        </w:rPr>
        <w:t>–</w:t>
      </w:r>
      <w:r w:rsidRPr="003B1434">
        <w:rPr>
          <w:lang w:val="es-ES"/>
        </w:rPr>
        <w:tab/>
        <w:t xml:space="preserve">organización de foros, talleres, mesas redondas, desafíos, </w:t>
      </w:r>
      <w:proofErr w:type="spellStart"/>
      <w:r w:rsidRPr="003B1434">
        <w:rPr>
          <w:lang w:val="es-ES"/>
        </w:rPr>
        <w:t>hackatones</w:t>
      </w:r>
      <w:proofErr w:type="spellEnd"/>
      <w:r w:rsidRPr="003B1434">
        <w:rPr>
          <w:lang w:val="es-ES"/>
        </w:rPr>
        <w:t>, y actividades de colaboración para recopilar conocimientos especializados y fomentar una participación amplia, incluida la coordinación con las iniciativas pertinentes de la</w:t>
      </w:r>
      <w:r w:rsidR="00D35262">
        <w:rPr>
          <w:lang w:val="es-ES"/>
        </w:rPr>
        <w:t> </w:t>
      </w:r>
      <w:r w:rsidRPr="003B1434">
        <w:rPr>
          <w:lang w:val="es-ES"/>
        </w:rPr>
        <w:t xml:space="preserve">UIT y las Naciones Unidas, como la Cumbre Mundial AI for Good, la iniciativa Unidos por las </w:t>
      </w:r>
      <w:r w:rsidR="00D35262" w:rsidRPr="003B1434">
        <w:rPr>
          <w:lang w:val="es-ES"/>
        </w:rPr>
        <w:t xml:space="preserve">Ciudades Inteligentes </w:t>
      </w:r>
      <w:r w:rsidRPr="003B1434">
        <w:rPr>
          <w:lang w:val="es-ES"/>
        </w:rPr>
        <w:t xml:space="preserve">y </w:t>
      </w:r>
      <w:r w:rsidR="00D35262" w:rsidRPr="003B1434">
        <w:rPr>
          <w:lang w:val="es-ES"/>
        </w:rPr>
        <w:t>Sostenibles</w:t>
      </w:r>
      <w:r w:rsidRPr="003B1434">
        <w:rPr>
          <w:lang w:val="es-ES"/>
        </w:rPr>
        <w:t xml:space="preserve">, el Día de los Mundos Virtuales de las Naciones Unidas y la Iniciativa mundial sobre IA y mundos virtuales para descubrir el </w:t>
      </w:r>
      <w:proofErr w:type="spellStart"/>
      <w:r w:rsidRPr="003B1434">
        <w:rPr>
          <w:lang w:val="es-ES"/>
        </w:rPr>
        <w:t>urbaverso</w:t>
      </w:r>
      <w:proofErr w:type="spellEnd"/>
      <w:r w:rsidRPr="003B1434">
        <w:rPr>
          <w:lang w:val="es-ES"/>
        </w:rPr>
        <w:t>;</w:t>
      </w:r>
    </w:p>
    <w:p w14:paraId="10442ADB" w14:textId="30D8D38F" w:rsidR="003B1434" w:rsidRPr="003B1434" w:rsidRDefault="003B1434" w:rsidP="003B1434">
      <w:pPr>
        <w:pStyle w:val="enumlev1"/>
        <w:rPr>
          <w:lang w:val="es-ES"/>
        </w:rPr>
      </w:pPr>
      <w:r w:rsidRPr="003B1434">
        <w:rPr>
          <w:lang w:val="es-ES"/>
        </w:rPr>
        <w:t>–</w:t>
      </w:r>
      <w:r w:rsidRPr="003B1434">
        <w:rPr>
          <w:lang w:val="es-ES"/>
        </w:rPr>
        <w:tab/>
      </w:r>
      <w:r w:rsidRPr="003B1434">
        <w:t>identificación de las partes interesadas con quienes podría colaborar el</w:t>
      </w:r>
      <w:r w:rsidR="00D35262">
        <w:t> </w:t>
      </w:r>
      <w:r w:rsidRPr="003B1434">
        <w:t>UIT</w:t>
      </w:r>
      <w:r w:rsidR="00D35262">
        <w:noBreakHyphen/>
      </w:r>
      <w:r w:rsidRPr="003B1434">
        <w:t>T, establecimiento de relaciones de coordinación con otras organizaciones que podrían contribuir a las actividades previas a la normalización, e identificación de posibles ámbitos de actuación colectiva y pasos específicos para el futuro</w:t>
      </w:r>
      <w:r w:rsidRPr="003B1434">
        <w:rPr>
          <w:lang w:val="es-ES"/>
        </w:rPr>
        <w:t>;</w:t>
      </w:r>
    </w:p>
    <w:p w14:paraId="222CBCEC" w14:textId="77777777" w:rsidR="003B1434" w:rsidRPr="003B1434" w:rsidRDefault="003B1434" w:rsidP="003B1434">
      <w:pPr>
        <w:pStyle w:val="enumlev1"/>
        <w:rPr>
          <w:lang w:val="es-ES"/>
        </w:rPr>
      </w:pPr>
      <w:r w:rsidRPr="003B1434">
        <w:rPr>
          <w:lang w:val="es-ES"/>
        </w:rPr>
        <w:t>–</w:t>
      </w:r>
      <w:r w:rsidRPr="003B1434">
        <w:rPr>
          <w:lang w:val="es-ES"/>
        </w:rPr>
        <w:tab/>
      </w:r>
      <w:r w:rsidRPr="003B1434">
        <w:t>provisión de una plataforma para estimular la colaboración internacional, compartir conocimientos y prácticas idóneas y explorar oportunidades y desafíos relacionados con la IA para las ciudades y comunidades inteligentes y sostenibles</w:t>
      </w:r>
      <w:r w:rsidRPr="003B1434">
        <w:rPr>
          <w:lang w:val="es-ES"/>
        </w:rPr>
        <w:t>.</w:t>
      </w:r>
    </w:p>
    <w:p w14:paraId="29586767" w14:textId="0353911B" w:rsidR="003B1434" w:rsidRPr="003B1434" w:rsidRDefault="003B1434" w:rsidP="003B1434">
      <w:pPr>
        <w:rPr>
          <w:lang w:val="es-ES"/>
        </w:rPr>
      </w:pPr>
      <w:r w:rsidRPr="003B1434">
        <w:t>Tras finalizar su mandato, el Grupo Temático presentará su informe final y un conjunto completo de productos a la CE 20 del</w:t>
      </w:r>
      <w:r w:rsidR="00D35262">
        <w:t> </w:t>
      </w:r>
      <w:r w:rsidRPr="003B1434">
        <w:t>UIT</w:t>
      </w:r>
      <w:r w:rsidR="00D35262">
        <w:noBreakHyphen/>
      </w:r>
      <w:r w:rsidRPr="003B1434">
        <w:t>T</w:t>
      </w:r>
      <w:r w:rsidRPr="003B1434">
        <w:rPr>
          <w:lang w:val="es-ES"/>
        </w:rPr>
        <w:t>.</w:t>
      </w:r>
    </w:p>
    <w:p w14:paraId="3F83A0B3" w14:textId="77777777" w:rsidR="003B1434" w:rsidRPr="003B1434" w:rsidRDefault="003B1434" w:rsidP="003B1434">
      <w:pPr>
        <w:pStyle w:val="Heading1"/>
        <w:rPr>
          <w:lang w:val="es-ES"/>
        </w:rPr>
      </w:pPr>
      <w:r w:rsidRPr="003B1434">
        <w:rPr>
          <w:lang w:val="es-ES"/>
        </w:rPr>
        <w:t>5</w:t>
      </w:r>
      <w:r w:rsidRPr="003B1434">
        <w:rPr>
          <w:lang w:val="es-ES"/>
        </w:rPr>
        <w:tab/>
        <w:t>Relaciones</w:t>
      </w:r>
    </w:p>
    <w:p w14:paraId="37B8DB67" w14:textId="38FF04E3" w:rsidR="003B1434" w:rsidRPr="003B1434" w:rsidRDefault="003B1434" w:rsidP="003B1434">
      <w:r w:rsidRPr="003B1434">
        <w:t>El Grupo Temático desarrollará su actividad mediante reuniones periódicas con la CE 20 del</w:t>
      </w:r>
      <w:r w:rsidR="00D35262">
        <w:t> </w:t>
      </w:r>
      <w:r w:rsidRPr="003B1434">
        <w:t>UIT</w:t>
      </w:r>
      <w:r w:rsidR="00D35262">
        <w:noBreakHyphen/>
      </w:r>
      <w:r w:rsidRPr="003B1434">
        <w:t>T cuando sea posible. Su labor previa a la normalización sirve de apoyo, complemento y base para las actividades de normalización de la CE 20, sin duplicar los esfuerzos en curso</w:t>
      </w:r>
      <w:r w:rsidRPr="003B1434">
        <w:rPr>
          <w:lang w:val="es-ES"/>
        </w:rPr>
        <w:t xml:space="preserve">. </w:t>
      </w:r>
      <w:r w:rsidRPr="003B1434">
        <w:t>Además, se coordinará con otras Comisiones de Estudio competentes del UIT-T, según sea necesario, para garantizar la coherencia, promover sinergias y evitar duplicaciones, promoviendo al mismo tiempo la complementariedad y la utilización efectiva de las Recomendaciones y metodologías del</w:t>
      </w:r>
      <w:r w:rsidR="00D35262">
        <w:t> </w:t>
      </w:r>
      <w:r w:rsidRPr="003B1434">
        <w:t>UIT</w:t>
      </w:r>
      <w:r w:rsidR="00D35262">
        <w:noBreakHyphen/>
      </w:r>
      <w:r w:rsidRPr="003B1434">
        <w:t>T existentes para los dominios conexos. De conformidad con la</w:t>
      </w:r>
      <w:r w:rsidR="00D35262">
        <w:t xml:space="preserve"> </w:t>
      </w:r>
      <w:r w:rsidRPr="003B1434">
        <w:t>Recomendación</w:t>
      </w:r>
      <w:r w:rsidR="00D35262">
        <w:t> </w:t>
      </w:r>
      <w:r w:rsidRPr="003B1434">
        <w:t>UIT</w:t>
      </w:r>
      <w:r w:rsidR="00D35262">
        <w:noBreakHyphen/>
      </w:r>
      <w:r w:rsidRPr="003B1434">
        <w:t>T</w:t>
      </w:r>
      <w:r w:rsidR="00D35262">
        <w:t> </w:t>
      </w:r>
      <w:r w:rsidRPr="003B1434">
        <w:t xml:space="preserve">A.7, el Grupo Temático puede colaborar con gobiernos, ciudades, reguladores, operadores, la industria, </w:t>
      </w:r>
      <w:r w:rsidRPr="003B1434">
        <w:lastRenderedPageBreak/>
        <w:t>instituciones académicas, instituciones de investigación, organizaciones de normalización, foros y consorcios industriales, empresas y otras partes interesadas pertinentes</w:t>
      </w:r>
      <w:r w:rsidR="00D35262">
        <w:t>.</w:t>
      </w:r>
    </w:p>
    <w:p w14:paraId="49C5D93B" w14:textId="20B72AC8" w:rsidR="003B1434" w:rsidRPr="003B1434" w:rsidRDefault="003B1434" w:rsidP="003B1434">
      <w:pPr>
        <w:rPr>
          <w:lang w:val="es-ES"/>
        </w:rPr>
      </w:pPr>
      <w:r w:rsidRPr="003B1434">
        <w:t>El Grupo Temático alentará la participación tanto de los Miembros de la</w:t>
      </w:r>
      <w:r w:rsidR="00D35262">
        <w:t> </w:t>
      </w:r>
      <w:r w:rsidRPr="003B1434">
        <w:t>UIT como de entidades ajenas a la Unión a fin de fomentar una implicación amplia, inclusiva e internacional de la</w:t>
      </w:r>
      <w:r w:rsidR="00D35262">
        <w:t> </w:t>
      </w:r>
      <w:r w:rsidRPr="003B1434">
        <w:t>IA para las ciudades y comunidades inteligentes y sostenibles</w:t>
      </w:r>
      <w:r w:rsidRPr="003B1434">
        <w:rPr>
          <w:lang w:val="es-ES"/>
        </w:rPr>
        <w:t>.</w:t>
      </w:r>
    </w:p>
    <w:p w14:paraId="462B8BF8" w14:textId="0FD8156C" w:rsidR="003B1434" w:rsidRPr="003B1434" w:rsidRDefault="003B1434" w:rsidP="003B1434">
      <w:pPr>
        <w:rPr>
          <w:lang w:val="es-ES"/>
        </w:rPr>
      </w:pPr>
      <w:r w:rsidRPr="003B1434">
        <w:t>El Grupo Temático organizará seminarios web, talleres y foros para promover sus actividades, animando tanto a los Miembros de la</w:t>
      </w:r>
      <w:r w:rsidR="00D35262">
        <w:t> </w:t>
      </w:r>
      <w:r w:rsidRPr="003B1434">
        <w:t>UIT como a las entidades ajenas a la Unión a contribuir conjuntamente a este Grupo Temático y a sus objetivos</w:t>
      </w:r>
      <w:r w:rsidRPr="003B1434">
        <w:rPr>
          <w:lang w:val="es-ES"/>
        </w:rPr>
        <w:t>.</w:t>
      </w:r>
    </w:p>
    <w:p w14:paraId="0FA57347" w14:textId="77777777" w:rsidR="003B1434" w:rsidRPr="003B1434" w:rsidRDefault="003B1434" w:rsidP="003B1434">
      <w:pPr>
        <w:pStyle w:val="Heading1"/>
        <w:rPr>
          <w:lang w:val="es-ES"/>
        </w:rPr>
      </w:pPr>
      <w:r w:rsidRPr="003B1434">
        <w:rPr>
          <w:lang w:val="es-ES"/>
        </w:rPr>
        <w:t>6</w:t>
      </w:r>
      <w:r w:rsidRPr="003B1434">
        <w:rPr>
          <w:lang w:val="es-ES"/>
        </w:rPr>
        <w:tab/>
        <w:t>Estructura</w:t>
      </w:r>
    </w:p>
    <w:p w14:paraId="59441786" w14:textId="77777777" w:rsidR="003B1434" w:rsidRPr="003B1434" w:rsidRDefault="003B1434" w:rsidP="003B1434">
      <w:r w:rsidRPr="003B1434">
        <w:t>El Grupo Temático propuesto puede establecer una estructura de subgrupos si es necesario.</w:t>
      </w:r>
    </w:p>
    <w:p w14:paraId="24475A61" w14:textId="77777777" w:rsidR="003B1434" w:rsidRPr="003B1434" w:rsidRDefault="003B1434" w:rsidP="003B1434">
      <w:pPr>
        <w:pStyle w:val="Heading1"/>
        <w:rPr>
          <w:lang w:val="es-ES"/>
        </w:rPr>
      </w:pPr>
      <w:r w:rsidRPr="003B1434">
        <w:rPr>
          <w:lang w:val="es-ES"/>
        </w:rPr>
        <w:t>7</w:t>
      </w:r>
      <w:r w:rsidRPr="003B1434">
        <w:rPr>
          <w:lang w:val="es-ES"/>
        </w:rPr>
        <w:tab/>
        <w:t>Comisión de Estudio rectora</w:t>
      </w:r>
    </w:p>
    <w:p w14:paraId="606307E3" w14:textId="62DE1DE4" w:rsidR="003B1434" w:rsidRPr="003B1434" w:rsidRDefault="003B1434" w:rsidP="003B1434">
      <w:r w:rsidRPr="003B1434">
        <w:t>La Comisión de Estudio rectora de este Grupo Temático es la CE 20 del</w:t>
      </w:r>
      <w:r w:rsidR="00D35262">
        <w:t> </w:t>
      </w:r>
      <w:r w:rsidRPr="003B1434">
        <w:t>UIT</w:t>
      </w:r>
      <w:r w:rsidR="00D35262">
        <w:noBreakHyphen/>
      </w:r>
      <w:r w:rsidRPr="003B1434">
        <w:t>T.</w:t>
      </w:r>
    </w:p>
    <w:p w14:paraId="523288B3" w14:textId="77777777" w:rsidR="003B1434" w:rsidRPr="003B1434" w:rsidRDefault="003B1434" w:rsidP="003B1434">
      <w:pPr>
        <w:pStyle w:val="Heading1"/>
        <w:rPr>
          <w:lang w:val="es-ES"/>
        </w:rPr>
      </w:pPr>
      <w:r w:rsidRPr="003B1434">
        <w:rPr>
          <w:lang w:val="es-ES"/>
        </w:rPr>
        <w:t>8</w:t>
      </w:r>
      <w:r w:rsidRPr="003B1434">
        <w:rPr>
          <w:lang w:val="es-ES"/>
        </w:rPr>
        <w:tab/>
        <w:t>Dirección</w:t>
      </w:r>
    </w:p>
    <w:p w14:paraId="77B310D1" w14:textId="2DC8EC5A" w:rsidR="003B1434" w:rsidRPr="003B1434" w:rsidRDefault="003B1434" w:rsidP="003B1434">
      <w:r w:rsidRPr="003B1434">
        <w:t>Véase la cláusula</w:t>
      </w:r>
      <w:r w:rsidR="00D35262">
        <w:t> </w:t>
      </w:r>
      <w:r w:rsidRPr="003B1434">
        <w:t>2.3 de la Recomendación</w:t>
      </w:r>
      <w:r w:rsidR="00D35262">
        <w:t> </w:t>
      </w:r>
      <w:r w:rsidRPr="003B1434">
        <w:t>UIT</w:t>
      </w:r>
      <w:r w:rsidR="00D35262">
        <w:noBreakHyphen/>
      </w:r>
      <w:r w:rsidRPr="003B1434">
        <w:t>T</w:t>
      </w:r>
      <w:r w:rsidR="00D35262">
        <w:t> </w:t>
      </w:r>
      <w:r w:rsidRPr="003B1434">
        <w:t>A.7.</w:t>
      </w:r>
    </w:p>
    <w:p w14:paraId="2B99214E" w14:textId="77777777" w:rsidR="003B1434" w:rsidRPr="003B1434" w:rsidRDefault="003B1434" w:rsidP="003B1434">
      <w:pPr>
        <w:pStyle w:val="Heading1"/>
        <w:rPr>
          <w:lang w:val="es-ES"/>
        </w:rPr>
      </w:pPr>
      <w:r w:rsidRPr="003B1434">
        <w:rPr>
          <w:lang w:val="es-ES"/>
        </w:rPr>
        <w:t>9</w:t>
      </w:r>
      <w:r w:rsidRPr="003B1434">
        <w:rPr>
          <w:lang w:val="es-ES"/>
        </w:rPr>
        <w:tab/>
        <w:t>Participación</w:t>
      </w:r>
    </w:p>
    <w:p w14:paraId="2C9F7F16" w14:textId="123C4BB8" w:rsidR="003B1434" w:rsidRPr="003B1434" w:rsidRDefault="003B1434" w:rsidP="003B1434">
      <w:r w:rsidRPr="003B1434">
        <w:t>Véase la cláusula</w:t>
      </w:r>
      <w:r w:rsidR="00D35262">
        <w:t> </w:t>
      </w:r>
      <w:r w:rsidRPr="003B1434">
        <w:t>3.1 de la Recomendación</w:t>
      </w:r>
      <w:r w:rsidR="00D35262">
        <w:t> </w:t>
      </w:r>
      <w:r w:rsidRPr="003B1434">
        <w:t>UIT</w:t>
      </w:r>
      <w:r w:rsidR="00D35262">
        <w:noBreakHyphen/>
      </w:r>
      <w:r w:rsidRPr="003B1434">
        <w:t>T</w:t>
      </w:r>
      <w:r w:rsidR="00D35262">
        <w:t> </w:t>
      </w:r>
      <w:r w:rsidRPr="003B1434">
        <w:t>A.7. Se mantendrá, a efectos de referencia, una lista de participantes que se comunicará a la Comisión de Estudio rectora.</w:t>
      </w:r>
    </w:p>
    <w:p w14:paraId="7DDB28FC" w14:textId="77777777" w:rsidR="003B1434" w:rsidRPr="003B1434" w:rsidRDefault="003B1434" w:rsidP="003B1434">
      <w:pPr>
        <w:pStyle w:val="Heading1"/>
        <w:rPr>
          <w:lang w:val="es-ES"/>
        </w:rPr>
      </w:pPr>
      <w:r w:rsidRPr="003B1434">
        <w:rPr>
          <w:lang w:val="es-ES"/>
        </w:rPr>
        <w:t>10</w:t>
      </w:r>
      <w:r w:rsidRPr="003B1434">
        <w:rPr>
          <w:lang w:val="es-ES"/>
        </w:rPr>
        <w:tab/>
        <w:t>Apoyo administrativo</w:t>
      </w:r>
    </w:p>
    <w:p w14:paraId="5BC03C03" w14:textId="17A6C339" w:rsidR="003B1434" w:rsidRPr="003B1434" w:rsidRDefault="003B1434" w:rsidP="003B1434">
      <w:r w:rsidRPr="003B1434">
        <w:t>Véase la cláusula</w:t>
      </w:r>
      <w:r w:rsidR="00D35262">
        <w:t> </w:t>
      </w:r>
      <w:r w:rsidRPr="003B1434">
        <w:t>5 de la Recomendación</w:t>
      </w:r>
      <w:r w:rsidR="00D35262">
        <w:t> </w:t>
      </w:r>
      <w:r w:rsidRPr="003B1434">
        <w:t>UIT</w:t>
      </w:r>
      <w:r w:rsidR="00D35262">
        <w:noBreakHyphen/>
      </w:r>
      <w:r w:rsidRPr="003B1434">
        <w:t>T</w:t>
      </w:r>
      <w:r w:rsidR="00D35262">
        <w:t> </w:t>
      </w:r>
      <w:r w:rsidRPr="003B1434">
        <w:t>A.7.</w:t>
      </w:r>
    </w:p>
    <w:p w14:paraId="78CB31A7" w14:textId="77777777" w:rsidR="003B1434" w:rsidRPr="003B1434" w:rsidRDefault="003B1434" w:rsidP="003B1434">
      <w:pPr>
        <w:pStyle w:val="Heading1"/>
        <w:rPr>
          <w:lang w:val="es-ES"/>
        </w:rPr>
      </w:pPr>
      <w:r w:rsidRPr="003B1434">
        <w:rPr>
          <w:lang w:val="es-ES"/>
        </w:rPr>
        <w:t>11</w:t>
      </w:r>
      <w:r w:rsidRPr="003B1434">
        <w:rPr>
          <w:lang w:val="es-ES"/>
        </w:rPr>
        <w:tab/>
        <w:t>Financiación del Grupo Temático</w:t>
      </w:r>
    </w:p>
    <w:p w14:paraId="263CC975" w14:textId="12264ED7" w:rsidR="003B1434" w:rsidRPr="003B1434" w:rsidRDefault="003B1434" w:rsidP="003B1434">
      <w:r w:rsidRPr="003B1434">
        <w:t>Véase la cláusula</w:t>
      </w:r>
      <w:r w:rsidR="00D35262">
        <w:t> </w:t>
      </w:r>
      <w:r w:rsidRPr="003B1434">
        <w:t>4 de la Recomendación</w:t>
      </w:r>
      <w:r w:rsidR="00D35262">
        <w:t> </w:t>
      </w:r>
      <w:r w:rsidRPr="003B1434">
        <w:t>UIT</w:t>
      </w:r>
      <w:r w:rsidR="00D35262">
        <w:noBreakHyphen/>
      </w:r>
      <w:r w:rsidRPr="003B1434">
        <w:t>T</w:t>
      </w:r>
      <w:r w:rsidR="00D35262">
        <w:t> </w:t>
      </w:r>
      <w:r w:rsidRPr="003B1434">
        <w:t>A.7.</w:t>
      </w:r>
    </w:p>
    <w:p w14:paraId="050955AA" w14:textId="77777777" w:rsidR="003B1434" w:rsidRPr="003B1434" w:rsidRDefault="003B1434" w:rsidP="003B1434">
      <w:pPr>
        <w:pStyle w:val="Heading1"/>
        <w:rPr>
          <w:lang w:val="es-ES"/>
        </w:rPr>
      </w:pPr>
      <w:r w:rsidRPr="003B1434">
        <w:rPr>
          <w:lang w:val="es-ES"/>
        </w:rPr>
        <w:t>12</w:t>
      </w:r>
      <w:r w:rsidRPr="003B1434">
        <w:rPr>
          <w:lang w:val="es-ES"/>
        </w:rPr>
        <w:tab/>
        <w:t>Reuniones</w:t>
      </w:r>
    </w:p>
    <w:p w14:paraId="52280B29" w14:textId="77777777" w:rsidR="003B1434" w:rsidRPr="003B1434" w:rsidRDefault="003B1434" w:rsidP="003B1434">
      <w:r w:rsidRPr="003B1434">
        <w:t>El Grupo Temático celebrará reuniones periódicas. El equipo directivo del Grupo determinará la frecuencia y el lugar de las reuniones. El Grupo Temático utilizará herramientas de colaboración a distancia siempre que sea posible.</w:t>
      </w:r>
    </w:p>
    <w:p w14:paraId="65410AC5" w14:textId="77777777" w:rsidR="003B1434" w:rsidRPr="003B1434" w:rsidRDefault="003B1434" w:rsidP="003B1434">
      <w:r w:rsidRPr="003B1434">
        <w:t>La fecha de las reuniones se anunciará por medios electrónicos (por ejemplo, correos electrónicos y páginas web) al menos con cuatro semanas de antelación.</w:t>
      </w:r>
    </w:p>
    <w:p w14:paraId="0B471078" w14:textId="77777777" w:rsidR="003B1434" w:rsidRPr="003B1434" w:rsidRDefault="003B1434" w:rsidP="003B1434">
      <w:pPr>
        <w:pStyle w:val="Heading1"/>
        <w:rPr>
          <w:lang w:val="es-ES"/>
        </w:rPr>
      </w:pPr>
      <w:r w:rsidRPr="003B1434">
        <w:rPr>
          <w:lang w:val="es-ES"/>
        </w:rPr>
        <w:t>13</w:t>
      </w:r>
      <w:r w:rsidRPr="003B1434">
        <w:rPr>
          <w:lang w:val="es-ES"/>
        </w:rPr>
        <w:tab/>
        <w:t>Productos</w:t>
      </w:r>
    </w:p>
    <w:p w14:paraId="404F8A75" w14:textId="668EB40E" w:rsidR="003B1434" w:rsidRPr="003B1434" w:rsidRDefault="003B1434" w:rsidP="003B1434">
      <w:r w:rsidRPr="003B1434">
        <w:t>Véase la cláusula</w:t>
      </w:r>
      <w:r w:rsidR="00E11D41">
        <w:t> </w:t>
      </w:r>
      <w:r w:rsidRPr="003B1434">
        <w:t>8 de la Recomendación</w:t>
      </w:r>
      <w:r w:rsidR="00E11D41">
        <w:t> </w:t>
      </w:r>
      <w:r w:rsidRPr="003B1434">
        <w:t>UIT</w:t>
      </w:r>
      <w:r w:rsidR="00E11D41">
        <w:noBreakHyphen/>
      </w:r>
      <w:r w:rsidRPr="003B1434">
        <w:t>T</w:t>
      </w:r>
      <w:r w:rsidR="00E11D41">
        <w:t> </w:t>
      </w:r>
      <w:r w:rsidRPr="003B1434">
        <w:t>A.7.</w:t>
      </w:r>
    </w:p>
    <w:p w14:paraId="467F938E" w14:textId="77777777" w:rsidR="003B1434" w:rsidRPr="003B1434" w:rsidRDefault="003B1434" w:rsidP="003B1434">
      <w:pPr>
        <w:pStyle w:val="Heading1"/>
        <w:rPr>
          <w:lang w:val="es-ES"/>
        </w:rPr>
      </w:pPr>
      <w:r w:rsidRPr="003B1434">
        <w:rPr>
          <w:lang w:val="es-ES"/>
        </w:rPr>
        <w:lastRenderedPageBreak/>
        <w:t>14</w:t>
      </w:r>
      <w:r w:rsidRPr="003B1434">
        <w:rPr>
          <w:lang w:val="es-ES"/>
        </w:rPr>
        <w:tab/>
        <w:t>Idioma de trabajo</w:t>
      </w:r>
    </w:p>
    <w:p w14:paraId="274C7B64" w14:textId="77777777" w:rsidR="003B1434" w:rsidRPr="003B1434" w:rsidRDefault="003B1434" w:rsidP="003B1434">
      <w:r w:rsidRPr="003B1434">
        <w:t>El idioma de trabajo es el inglés.</w:t>
      </w:r>
    </w:p>
    <w:p w14:paraId="3C2665C6" w14:textId="77777777" w:rsidR="003B1434" w:rsidRPr="003B1434" w:rsidRDefault="003B1434" w:rsidP="003B1434">
      <w:pPr>
        <w:pStyle w:val="Heading1"/>
        <w:rPr>
          <w:lang w:val="es-ES"/>
        </w:rPr>
      </w:pPr>
      <w:r w:rsidRPr="003B1434">
        <w:rPr>
          <w:lang w:val="es-ES"/>
        </w:rPr>
        <w:t>15</w:t>
      </w:r>
      <w:r w:rsidRPr="003B1434">
        <w:rPr>
          <w:lang w:val="es-ES"/>
        </w:rPr>
        <w:tab/>
        <w:t>Aprobación de los productos</w:t>
      </w:r>
    </w:p>
    <w:p w14:paraId="281B2A7B" w14:textId="75A7BD1F" w:rsidR="003B1434" w:rsidRPr="003B1434" w:rsidRDefault="003B1434" w:rsidP="003B1434">
      <w:r w:rsidRPr="003B1434">
        <w:t>La aprobación se obtendrá por consenso con arreglo a la cláusula</w:t>
      </w:r>
      <w:r w:rsidR="00E11D41">
        <w:t> </w:t>
      </w:r>
      <w:r w:rsidRPr="003B1434">
        <w:t>8.2 de la Recomendación</w:t>
      </w:r>
      <w:r w:rsidR="00E11D41">
        <w:t> </w:t>
      </w:r>
      <w:r w:rsidRPr="003B1434">
        <w:t>UIT</w:t>
      </w:r>
      <w:r w:rsidRPr="003B1434">
        <w:noBreakHyphen/>
        <w:t>T A.7.</w:t>
      </w:r>
    </w:p>
    <w:p w14:paraId="35398A73" w14:textId="77777777" w:rsidR="003B1434" w:rsidRPr="003B1434" w:rsidRDefault="003B1434" w:rsidP="003B1434">
      <w:pPr>
        <w:pStyle w:val="Heading1"/>
        <w:rPr>
          <w:lang w:val="es-ES"/>
        </w:rPr>
      </w:pPr>
      <w:r w:rsidRPr="003B1434">
        <w:rPr>
          <w:lang w:val="es-ES"/>
        </w:rPr>
        <w:t>16</w:t>
      </w:r>
      <w:r w:rsidRPr="003B1434">
        <w:rPr>
          <w:lang w:val="es-ES"/>
        </w:rPr>
        <w:tab/>
        <w:t>Directrices relativas a los trabajos</w:t>
      </w:r>
    </w:p>
    <w:p w14:paraId="7B81287A" w14:textId="77777777" w:rsidR="003B1434" w:rsidRPr="003B1434" w:rsidRDefault="003B1434" w:rsidP="003B1434">
      <w:r w:rsidRPr="003B1434">
        <w:t>Los procedimientos de trabajo se ajustarán a los procedimientos de las reuniones de Relator (UIT</w:t>
      </w:r>
      <w:r w:rsidRPr="003B1434">
        <w:noBreakHyphen/>
        <w:t>T A.1). No se definen directrices de trabajo adicionales.</w:t>
      </w:r>
    </w:p>
    <w:p w14:paraId="24FAD432" w14:textId="77777777" w:rsidR="003B1434" w:rsidRPr="003B1434" w:rsidRDefault="003B1434" w:rsidP="003B1434">
      <w:pPr>
        <w:pStyle w:val="Heading1"/>
        <w:rPr>
          <w:lang w:val="es-ES"/>
        </w:rPr>
      </w:pPr>
      <w:r w:rsidRPr="003B1434">
        <w:rPr>
          <w:lang w:val="es-ES"/>
        </w:rPr>
        <w:t>17</w:t>
      </w:r>
      <w:r w:rsidRPr="003B1434">
        <w:rPr>
          <w:lang w:val="es-ES"/>
        </w:rPr>
        <w:tab/>
        <w:t>Informes sobre la marcha de los trabajos</w:t>
      </w:r>
    </w:p>
    <w:p w14:paraId="45AB5004" w14:textId="514009C3" w:rsidR="003B1434" w:rsidRPr="003B1434" w:rsidRDefault="003B1434" w:rsidP="003B1434">
      <w:r w:rsidRPr="003B1434">
        <w:t>Véase la cláusula</w:t>
      </w:r>
      <w:r w:rsidR="00E11D41">
        <w:t> </w:t>
      </w:r>
      <w:r w:rsidRPr="003B1434">
        <w:t>3.6 de la Recomendación</w:t>
      </w:r>
      <w:r w:rsidR="00E11D41">
        <w:t> </w:t>
      </w:r>
      <w:r w:rsidRPr="003B1434">
        <w:t>UIT</w:t>
      </w:r>
      <w:r w:rsidR="00E11D41">
        <w:noBreakHyphen/>
      </w:r>
      <w:r w:rsidRPr="003B1434">
        <w:t>T</w:t>
      </w:r>
      <w:r w:rsidR="00E11D41">
        <w:t> </w:t>
      </w:r>
      <w:r w:rsidRPr="003B1434">
        <w:t>A.7.</w:t>
      </w:r>
    </w:p>
    <w:p w14:paraId="582978BA" w14:textId="77777777" w:rsidR="003B1434" w:rsidRPr="003B1434" w:rsidRDefault="003B1434" w:rsidP="003B1434">
      <w:pPr>
        <w:pStyle w:val="Heading1"/>
        <w:rPr>
          <w:lang w:val="es-ES"/>
        </w:rPr>
      </w:pPr>
      <w:r w:rsidRPr="003B1434">
        <w:rPr>
          <w:lang w:val="es-ES"/>
        </w:rPr>
        <w:t>18</w:t>
      </w:r>
      <w:r w:rsidRPr="003B1434">
        <w:rPr>
          <w:lang w:val="es-ES"/>
        </w:rPr>
        <w:tab/>
        <w:t>Anuncio de constitución de Grupo Temático</w:t>
      </w:r>
    </w:p>
    <w:p w14:paraId="4A095827" w14:textId="75FD5999" w:rsidR="003B1434" w:rsidRPr="003B1434" w:rsidRDefault="003B1434" w:rsidP="003B1434">
      <w:r w:rsidRPr="003B1434">
        <w:t>La constitución del Grupo Temático se anunciará a través de una Circular</w:t>
      </w:r>
      <w:r w:rsidR="00E11D41">
        <w:t> </w:t>
      </w:r>
      <w:r w:rsidRPr="003B1434">
        <w:t>TSB dirigida a todos los Miembros de la</w:t>
      </w:r>
      <w:r w:rsidR="00E11D41">
        <w:t> </w:t>
      </w:r>
      <w:r w:rsidRPr="003B1434">
        <w:t xml:space="preserve">UIT, a través del </w:t>
      </w:r>
      <w:proofErr w:type="spellStart"/>
      <w:r w:rsidRPr="003B1434">
        <w:rPr>
          <w:i/>
          <w:iCs/>
        </w:rPr>
        <w:t>Newslog</w:t>
      </w:r>
      <w:proofErr w:type="spellEnd"/>
      <w:r w:rsidRPr="003B1434">
        <w:t xml:space="preserve"> del</w:t>
      </w:r>
      <w:r w:rsidR="00E11D41">
        <w:t> </w:t>
      </w:r>
      <w:r w:rsidRPr="003B1434">
        <w:t>UIT</w:t>
      </w:r>
      <w:r w:rsidR="00E11D41">
        <w:noBreakHyphen/>
      </w:r>
      <w:r w:rsidRPr="003B1434">
        <w:t>T, comunicados de prensa y otros medios, incluida la comunicación con otras organizaciones colaboradoras.</w:t>
      </w:r>
    </w:p>
    <w:p w14:paraId="6387AF2D" w14:textId="77777777" w:rsidR="003B1434" w:rsidRPr="003B1434" w:rsidRDefault="003B1434" w:rsidP="003B1434">
      <w:pPr>
        <w:pStyle w:val="Heading1"/>
        <w:rPr>
          <w:lang w:val="es-ES"/>
        </w:rPr>
      </w:pPr>
      <w:r w:rsidRPr="003B1434">
        <w:rPr>
          <w:lang w:val="es-ES"/>
        </w:rPr>
        <w:t>19</w:t>
      </w:r>
      <w:r w:rsidRPr="003B1434">
        <w:rPr>
          <w:lang w:val="es-ES"/>
        </w:rPr>
        <w:tab/>
        <w:t>Etapas y duración del Grupo Temático</w:t>
      </w:r>
    </w:p>
    <w:p w14:paraId="67583779" w14:textId="77777777" w:rsidR="003B1434" w:rsidRPr="003B1434" w:rsidRDefault="003B1434" w:rsidP="003B1434">
      <w:r w:rsidRPr="003B1434">
        <w:t>La duración prevista de la labor del Grupo Temático es de un año a partir de su primera reunión, con posibilidad de prórroga.</w:t>
      </w:r>
    </w:p>
    <w:p w14:paraId="3E550CE6" w14:textId="4A43D31B" w:rsidR="003B1434" w:rsidRPr="003B1434" w:rsidRDefault="003B1434" w:rsidP="003B1434">
      <w:r w:rsidRPr="003B1434">
        <w:t>Conforme a lo estipulado en la Recomendación</w:t>
      </w:r>
      <w:r w:rsidR="00E11D41">
        <w:t> </w:t>
      </w:r>
      <w:r w:rsidRPr="003B1434">
        <w:t>UIT</w:t>
      </w:r>
      <w:r w:rsidR="00E11D41">
        <w:noBreakHyphen/>
      </w:r>
      <w:r w:rsidRPr="003B1434">
        <w:t>T</w:t>
      </w:r>
      <w:r w:rsidR="00E11D41">
        <w:t> </w:t>
      </w:r>
      <w:r w:rsidRPr="003B1434">
        <w:t>A.7, toda prórroga posterior a la fecha antes mencionada estará sujeta a la decisión de la CE 20 del UIT-T.</w:t>
      </w:r>
    </w:p>
    <w:p w14:paraId="5FDCBBA1" w14:textId="77777777" w:rsidR="003B1434" w:rsidRPr="003B1434" w:rsidRDefault="003B1434" w:rsidP="003B1434">
      <w:pPr>
        <w:pStyle w:val="Heading1"/>
        <w:rPr>
          <w:lang w:val="es-ES"/>
        </w:rPr>
      </w:pPr>
      <w:r w:rsidRPr="003B1434">
        <w:rPr>
          <w:lang w:val="es-ES"/>
        </w:rPr>
        <w:t>20</w:t>
      </w:r>
      <w:r w:rsidRPr="003B1434">
        <w:rPr>
          <w:lang w:val="es-ES"/>
        </w:rPr>
        <w:tab/>
        <w:t>Derechos de propiedad intelectual</w:t>
      </w:r>
    </w:p>
    <w:p w14:paraId="3216F4CB" w14:textId="6630FBAA" w:rsidR="003B1434" w:rsidRPr="003B1434" w:rsidRDefault="003B1434" w:rsidP="003B1434">
      <w:r w:rsidRPr="003B1434">
        <w:t>Véase la cláusula</w:t>
      </w:r>
      <w:r w:rsidR="00E11D41">
        <w:t> </w:t>
      </w:r>
      <w:r w:rsidRPr="003B1434">
        <w:t>7 de la Recomendación</w:t>
      </w:r>
      <w:r w:rsidR="00E11D41">
        <w:t> </w:t>
      </w:r>
      <w:r w:rsidRPr="003B1434">
        <w:t>UIT-T</w:t>
      </w:r>
      <w:r w:rsidR="00E11D41">
        <w:t> </w:t>
      </w:r>
      <w:r w:rsidRPr="003B1434">
        <w:t>A.7.</w:t>
      </w:r>
    </w:p>
    <w:bookmarkEnd w:id="6"/>
    <w:p w14:paraId="3D2DDC62" w14:textId="77777777" w:rsidR="00A2600C" w:rsidRPr="00B03EE2" w:rsidRDefault="00A2600C" w:rsidP="00411C49">
      <w:pPr>
        <w:pStyle w:val="Reasons"/>
        <w:rPr>
          <w:lang w:val="es-ES"/>
        </w:rPr>
      </w:pPr>
    </w:p>
    <w:p w14:paraId="236C6230" w14:textId="77777777" w:rsidR="00A2600C" w:rsidRDefault="00A2600C">
      <w:pPr>
        <w:jc w:val="center"/>
      </w:pPr>
      <w:r>
        <w:t>______________</w:t>
      </w:r>
    </w:p>
    <w:sectPr w:rsidR="00A2600C" w:rsidSect="00B87E9E">
      <w:headerReference w:type="default" r:id="rId19"/>
      <w:footerReference w:type="first" r:id="rId20"/>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7388" w14:textId="77777777" w:rsidR="00EC07B6" w:rsidRDefault="00EC07B6">
      <w:r>
        <w:separator/>
      </w:r>
    </w:p>
  </w:endnote>
  <w:endnote w:type="continuationSeparator" w:id="0">
    <w:p w14:paraId="61178145" w14:textId="77777777" w:rsidR="00EC07B6" w:rsidRDefault="00EC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2DDA" w14:textId="2A7C35AE"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Tel</w:t>
    </w:r>
    <w:r w:rsidR="00101541">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0292" w14:textId="77777777" w:rsidR="00EC07B6" w:rsidRDefault="00EC07B6">
      <w:r>
        <w:t>____________________</w:t>
      </w:r>
    </w:p>
  </w:footnote>
  <w:footnote w:type="continuationSeparator" w:id="0">
    <w:p w14:paraId="29C42473" w14:textId="77777777" w:rsidR="00EC07B6" w:rsidRDefault="00EC0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CB14" w14:textId="4E1E967D"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6800910" w14:textId="703EF7F7" w:rsidR="00101541" w:rsidRPr="00303D62" w:rsidRDefault="00101541">
    <w:pPr>
      <w:pStyle w:val="Header"/>
      <w:rPr>
        <w:sz w:val="18"/>
        <w:szCs w:val="18"/>
      </w:rPr>
    </w:pPr>
    <w:r w:rsidRPr="00101541">
      <w:rPr>
        <w:sz w:val="18"/>
        <w:szCs w:val="18"/>
      </w:rPr>
      <w:t xml:space="preserve">Circular TSB </w:t>
    </w:r>
    <w:r w:rsidR="003B1434">
      <w:rPr>
        <w:sz w:val="18"/>
        <w:szCs w:val="18"/>
      </w:rPr>
      <w:t>147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7CC"/>
    <w:multiLevelType w:val="hybridMultilevel"/>
    <w:tmpl w:val="FF622066"/>
    <w:lvl w:ilvl="0" w:tplc="927AFB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04235"/>
    <w:multiLevelType w:val="hybridMultilevel"/>
    <w:tmpl w:val="3F864442"/>
    <w:lvl w:ilvl="0" w:tplc="B8922AB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E4912"/>
    <w:multiLevelType w:val="hybridMultilevel"/>
    <w:tmpl w:val="0B1804B4"/>
    <w:lvl w:ilvl="0" w:tplc="927AFB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C35D22"/>
    <w:multiLevelType w:val="hybridMultilevel"/>
    <w:tmpl w:val="6908CCA0"/>
    <w:lvl w:ilvl="0" w:tplc="B8922AB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5B8377D3"/>
    <w:multiLevelType w:val="hybridMultilevel"/>
    <w:tmpl w:val="39143DCC"/>
    <w:lvl w:ilvl="0" w:tplc="C2B8B9E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AF0075"/>
    <w:multiLevelType w:val="hybridMultilevel"/>
    <w:tmpl w:val="7BDC3324"/>
    <w:lvl w:ilvl="0" w:tplc="C2B8B9E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4"/>
  </w:num>
  <w:num w:numId="2" w16cid:durableId="1345282128">
    <w:abstractNumId w:val="10"/>
  </w:num>
  <w:num w:numId="3" w16cid:durableId="1069613404">
    <w:abstractNumId w:val="8"/>
  </w:num>
  <w:num w:numId="4" w16cid:durableId="374936234">
    <w:abstractNumId w:val="5"/>
  </w:num>
  <w:num w:numId="5" w16cid:durableId="858465426">
    <w:abstractNumId w:val="2"/>
  </w:num>
  <w:num w:numId="6" w16cid:durableId="733623551">
    <w:abstractNumId w:val="0"/>
  </w:num>
  <w:num w:numId="7" w16cid:durableId="236209673">
    <w:abstractNumId w:val="7"/>
  </w:num>
  <w:num w:numId="8" w16cid:durableId="360790085">
    <w:abstractNumId w:val="1"/>
  </w:num>
  <w:num w:numId="9" w16cid:durableId="1887331769">
    <w:abstractNumId w:val="3"/>
  </w:num>
  <w:num w:numId="10" w16cid:durableId="1053428221">
    <w:abstractNumId w:val="6"/>
  </w:num>
  <w:num w:numId="11" w16cid:durableId="1758358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58"/>
    <w:rsid w:val="00002529"/>
    <w:rsid w:val="00005EBD"/>
    <w:rsid w:val="00020CC0"/>
    <w:rsid w:val="00085662"/>
    <w:rsid w:val="00093196"/>
    <w:rsid w:val="000B1BA2"/>
    <w:rsid w:val="000C382F"/>
    <w:rsid w:val="000C6EAA"/>
    <w:rsid w:val="00101541"/>
    <w:rsid w:val="00110B04"/>
    <w:rsid w:val="001173CC"/>
    <w:rsid w:val="001350B9"/>
    <w:rsid w:val="0014464D"/>
    <w:rsid w:val="001A54CC"/>
    <w:rsid w:val="00211A65"/>
    <w:rsid w:val="00257FB4"/>
    <w:rsid w:val="002E496E"/>
    <w:rsid w:val="00303D62"/>
    <w:rsid w:val="00335367"/>
    <w:rsid w:val="00370C2D"/>
    <w:rsid w:val="0037791E"/>
    <w:rsid w:val="003B0CBC"/>
    <w:rsid w:val="003B1434"/>
    <w:rsid w:val="003C0BC5"/>
    <w:rsid w:val="003D1E8D"/>
    <w:rsid w:val="003D673B"/>
    <w:rsid w:val="003F2855"/>
    <w:rsid w:val="00401C20"/>
    <w:rsid w:val="00403497"/>
    <w:rsid w:val="00467293"/>
    <w:rsid w:val="004A7957"/>
    <w:rsid w:val="004C1FA9"/>
    <w:rsid w:val="004C4144"/>
    <w:rsid w:val="0050775D"/>
    <w:rsid w:val="0055719E"/>
    <w:rsid w:val="005B1EB6"/>
    <w:rsid w:val="005C6450"/>
    <w:rsid w:val="0066627F"/>
    <w:rsid w:val="006969B4"/>
    <w:rsid w:val="006E4F7B"/>
    <w:rsid w:val="00766C41"/>
    <w:rsid w:val="00781E2A"/>
    <w:rsid w:val="007933A2"/>
    <w:rsid w:val="007B6316"/>
    <w:rsid w:val="00814503"/>
    <w:rsid w:val="0081525C"/>
    <w:rsid w:val="008258C2"/>
    <w:rsid w:val="008505BD"/>
    <w:rsid w:val="00850C78"/>
    <w:rsid w:val="00876165"/>
    <w:rsid w:val="00884D12"/>
    <w:rsid w:val="008C17AD"/>
    <w:rsid w:val="008D02CD"/>
    <w:rsid w:val="0091370C"/>
    <w:rsid w:val="0095172A"/>
    <w:rsid w:val="009A0BA0"/>
    <w:rsid w:val="00A2600C"/>
    <w:rsid w:val="00A31158"/>
    <w:rsid w:val="00A54E47"/>
    <w:rsid w:val="00AB6E3A"/>
    <w:rsid w:val="00AE7093"/>
    <w:rsid w:val="00B03EE2"/>
    <w:rsid w:val="00B422BC"/>
    <w:rsid w:val="00B43F77"/>
    <w:rsid w:val="00B55A3E"/>
    <w:rsid w:val="00B87E9E"/>
    <w:rsid w:val="00B95F0A"/>
    <w:rsid w:val="00B96180"/>
    <w:rsid w:val="00BA6F31"/>
    <w:rsid w:val="00BC3052"/>
    <w:rsid w:val="00C116FE"/>
    <w:rsid w:val="00C17AC0"/>
    <w:rsid w:val="00C34772"/>
    <w:rsid w:val="00C5465A"/>
    <w:rsid w:val="00CE404F"/>
    <w:rsid w:val="00D35262"/>
    <w:rsid w:val="00D54642"/>
    <w:rsid w:val="00D706C9"/>
    <w:rsid w:val="00D834E7"/>
    <w:rsid w:val="00D97832"/>
    <w:rsid w:val="00DD77C9"/>
    <w:rsid w:val="00DF3538"/>
    <w:rsid w:val="00E11D41"/>
    <w:rsid w:val="00E839B0"/>
    <w:rsid w:val="00E92C09"/>
    <w:rsid w:val="00EB15E2"/>
    <w:rsid w:val="00EC07B6"/>
    <w:rsid w:val="00F14380"/>
    <w:rsid w:val="00F638EA"/>
    <w:rsid w:val="00F6461F"/>
    <w:rsid w:val="00FB1474"/>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B0B40"/>
  <w15:docId w15:val="{5B4F3BED-0458-4426-AA5D-B74EAC6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A2600C"/>
    <w:rPr>
      <w:color w:val="605E5C"/>
      <w:shd w:val="clear" w:color="auto" w:fill="E1DFDD"/>
    </w:rPr>
  </w:style>
  <w:style w:type="paragraph" w:customStyle="1" w:styleId="Reasons">
    <w:name w:val="Reasons"/>
    <w:basedOn w:val="Normal"/>
    <w:qFormat/>
    <w:rsid w:val="00A2600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3C0BC5"/>
    <w:rPr>
      <w:rFonts w:asciiTheme="minorHAnsi" w:hAnsiTheme="minorHAnsi"/>
      <w:sz w:val="24"/>
      <w:lang w:val="es-ES_tradnl" w:eastAsia="en-US"/>
    </w:rPr>
  </w:style>
  <w:style w:type="table" w:styleId="TableGrid">
    <w:name w:val="Table Grid"/>
    <w:basedOn w:val="TableNormal"/>
    <w:rsid w:val="003B1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TSB-CIR-0146/es" TargetMode="External"/><Relationship Id="rId18" Type="http://schemas.openxmlformats.org/officeDocument/2006/relationships/hyperlink" Target="https://www.itu.int/go/fgai4ss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tu.int/go/ai4ssc/join" TargetMode="External"/><Relationship Id="rId17" Type="http://schemas.openxmlformats.org/officeDocument/2006/relationships/hyperlink" Target="https://itu.int/go/ai4ssc/reg" TargetMode="External"/><Relationship Id="rId2" Type="http://schemas.openxmlformats.org/officeDocument/2006/relationships/numbering" Target="numbering.xml"/><Relationship Id="rId16" Type="http://schemas.openxmlformats.org/officeDocument/2006/relationships/hyperlink" Target="mailto:tsbfgai4ssc@itu.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go/ai4ssc" TargetMode="External"/><Relationship Id="rId5" Type="http://schemas.openxmlformats.org/officeDocument/2006/relationships/webSettings" Target="webSettings.xml"/><Relationship Id="rId15" Type="http://schemas.openxmlformats.org/officeDocument/2006/relationships/hyperlink" Target="https://itu.int/go/fgai4ssc" TargetMode="External"/><Relationship Id="rId10" Type="http://schemas.openxmlformats.org/officeDocument/2006/relationships/hyperlink" Target="https://www.itu.int/rec/T-REC-A.7/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fgai4ssc@itu.int" TargetMode="External"/><Relationship Id="rId14" Type="http://schemas.openxmlformats.org/officeDocument/2006/relationships/hyperlink" Target="mailto:tsbfgai4ssc@itu.i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0</TotalTime>
  <Pages>10</Pages>
  <Words>3861</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25823</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Maguire, Mairéad</cp:lastModifiedBy>
  <cp:revision>2</cp:revision>
  <cp:lastPrinted>2011-04-15T08:24:00Z</cp:lastPrinted>
  <dcterms:created xsi:type="dcterms:W3CDTF">2026-07-15T13:14:00Z</dcterms:created>
  <dcterms:modified xsi:type="dcterms:W3CDTF">2026-07-15T13:14:00Z</dcterms:modified>
</cp:coreProperties>
</file>