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497"/>
        <w:gridCol w:w="4953"/>
      </w:tblGrid>
      <w:tr w:rsidR="00EF6A23" w:rsidRPr="002176A4" w14:paraId="3FDAE1F3" w14:textId="77777777" w:rsidTr="003F083D">
        <w:trPr>
          <w:cantSplit/>
        </w:trPr>
        <w:tc>
          <w:tcPr>
            <w:tcW w:w="0" w:type="auto"/>
            <w:vAlign w:val="center"/>
          </w:tcPr>
          <w:p w14:paraId="3DE42CAA" w14:textId="77777777" w:rsidR="00EF6A23" w:rsidRPr="002176A4" w:rsidRDefault="00EF6A23" w:rsidP="00D14F31">
            <w:pPr>
              <w:tabs>
                <w:tab w:val="right" w:pos="8732"/>
              </w:tabs>
              <w:spacing w:before="0"/>
              <w:rPr>
                <w:b/>
                <w:bCs/>
                <w:iCs/>
                <w:color w:val="FFFFFF"/>
                <w:sz w:val="30"/>
                <w:szCs w:val="30"/>
              </w:rPr>
            </w:pPr>
            <w:r w:rsidRPr="002176A4">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2176A4" w:rsidRDefault="00EF6A23" w:rsidP="00EF6A23">
            <w:pPr>
              <w:spacing w:before="0"/>
              <w:rPr>
                <w:rFonts w:cs="Times New Roman Bold"/>
                <w:b/>
                <w:bCs/>
                <w:iCs/>
                <w:smallCaps/>
                <w:sz w:val="34"/>
                <w:szCs w:val="34"/>
              </w:rPr>
            </w:pPr>
            <w:r w:rsidRPr="002176A4">
              <w:rPr>
                <w:rFonts w:cs="Times New Roman Bold"/>
                <w:b/>
                <w:bCs/>
                <w:iCs/>
                <w:smallCaps/>
                <w:sz w:val="34"/>
                <w:szCs w:val="34"/>
              </w:rPr>
              <w:t>Union internationale des télécommunications</w:t>
            </w:r>
          </w:p>
          <w:p w14:paraId="089E66D0" w14:textId="77777777" w:rsidR="00EF6A23" w:rsidRPr="002176A4" w:rsidRDefault="00EF6A23" w:rsidP="00EF6A23">
            <w:pPr>
              <w:spacing w:before="0"/>
              <w:rPr>
                <w:color w:val="FFFFFF"/>
                <w:sz w:val="26"/>
                <w:szCs w:val="26"/>
              </w:rPr>
            </w:pPr>
            <w:r w:rsidRPr="002176A4">
              <w:rPr>
                <w:rFonts w:cs="Times New Roman Bold"/>
                <w:b/>
                <w:bCs/>
                <w:iCs/>
                <w:smallCaps/>
                <w:sz w:val="28"/>
                <w:szCs w:val="28"/>
              </w:rPr>
              <w:t>B</w:t>
            </w:r>
            <w:r w:rsidRPr="002176A4">
              <w:rPr>
                <w:b/>
                <w:bCs/>
                <w:iCs/>
                <w:smallCaps/>
                <w:sz w:val="28"/>
                <w:szCs w:val="28"/>
              </w:rPr>
              <w:t>ureau de la Normalisation des Télécommunications</w:t>
            </w:r>
          </w:p>
        </w:tc>
      </w:tr>
      <w:tr w:rsidR="00036F4F" w:rsidRPr="002176A4" w14:paraId="18B25741" w14:textId="77777777" w:rsidTr="00307FB4">
        <w:trPr>
          <w:cantSplit/>
        </w:trPr>
        <w:tc>
          <w:tcPr>
            <w:tcW w:w="0" w:type="auto"/>
          </w:tcPr>
          <w:p w14:paraId="4B1AFD72" w14:textId="77777777" w:rsidR="00036F4F" w:rsidRPr="002176A4" w:rsidRDefault="00036F4F" w:rsidP="00A5280F">
            <w:pPr>
              <w:tabs>
                <w:tab w:val="left" w:pos="4111"/>
              </w:tabs>
              <w:spacing w:before="10"/>
              <w:ind w:left="57"/>
            </w:pPr>
          </w:p>
        </w:tc>
        <w:tc>
          <w:tcPr>
            <w:tcW w:w="3399" w:type="dxa"/>
          </w:tcPr>
          <w:p w14:paraId="6579D3E8" w14:textId="77777777" w:rsidR="00036F4F" w:rsidRPr="002176A4" w:rsidRDefault="00036F4F" w:rsidP="00A5280F">
            <w:pPr>
              <w:tabs>
                <w:tab w:val="left" w:pos="4111"/>
              </w:tabs>
              <w:spacing w:before="10"/>
              <w:ind w:left="57"/>
              <w:rPr>
                <w:b/>
              </w:rPr>
            </w:pPr>
          </w:p>
        </w:tc>
        <w:tc>
          <w:tcPr>
            <w:tcW w:w="5051" w:type="dxa"/>
          </w:tcPr>
          <w:p w14:paraId="0DC34ECA" w14:textId="0550F2BE" w:rsidR="00036F4F" w:rsidRPr="002176A4" w:rsidRDefault="00036F4F" w:rsidP="00A5645A">
            <w:pPr>
              <w:tabs>
                <w:tab w:val="clear" w:pos="794"/>
                <w:tab w:val="clear" w:pos="1191"/>
                <w:tab w:val="clear" w:pos="1588"/>
                <w:tab w:val="clear" w:pos="1985"/>
                <w:tab w:val="left" w:pos="284"/>
              </w:tabs>
              <w:spacing w:after="120"/>
              <w:ind w:left="284" w:hanging="227"/>
            </w:pPr>
            <w:r w:rsidRPr="002176A4">
              <w:t>Genève, le</w:t>
            </w:r>
            <w:r w:rsidR="004419E9" w:rsidRPr="002176A4">
              <w:t xml:space="preserve"> </w:t>
            </w:r>
            <w:r w:rsidR="008D2BA6" w:rsidRPr="002176A4">
              <w:t>19 juin 2026</w:t>
            </w:r>
          </w:p>
        </w:tc>
      </w:tr>
      <w:tr w:rsidR="00445B68" w:rsidRPr="002176A4" w14:paraId="16CDDFEF" w14:textId="77777777" w:rsidTr="00307FB4">
        <w:trPr>
          <w:cantSplit/>
          <w:trHeight w:val="340"/>
        </w:trPr>
        <w:tc>
          <w:tcPr>
            <w:tcW w:w="0" w:type="auto"/>
          </w:tcPr>
          <w:p w14:paraId="3EFF375D" w14:textId="58556577" w:rsidR="00445B68" w:rsidRPr="002176A4" w:rsidRDefault="00445B68" w:rsidP="00307FB4">
            <w:pPr>
              <w:tabs>
                <w:tab w:val="left" w:pos="4111"/>
              </w:tabs>
              <w:spacing w:before="10"/>
              <w:ind w:left="57"/>
              <w:rPr>
                <w:b/>
                <w:bCs/>
              </w:rPr>
            </w:pPr>
            <w:r w:rsidRPr="002176A4">
              <w:rPr>
                <w:b/>
                <w:bCs/>
              </w:rPr>
              <w:t>Réf.:</w:t>
            </w:r>
          </w:p>
        </w:tc>
        <w:tc>
          <w:tcPr>
            <w:tcW w:w="3399" w:type="dxa"/>
          </w:tcPr>
          <w:p w14:paraId="5FFBBC9B" w14:textId="7CCBF696" w:rsidR="00445B68" w:rsidRPr="002176A4" w:rsidRDefault="00445B68" w:rsidP="00A5280F">
            <w:pPr>
              <w:tabs>
                <w:tab w:val="left" w:pos="4111"/>
              </w:tabs>
              <w:spacing w:before="10"/>
              <w:ind w:left="57"/>
              <w:rPr>
                <w:b/>
              </w:rPr>
            </w:pPr>
            <w:r w:rsidRPr="002176A4">
              <w:rPr>
                <w:b/>
              </w:rPr>
              <w:t xml:space="preserve">Circulaire TSB </w:t>
            </w:r>
            <w:r w:rsidR="008D2BA6" w:rsidRPr="002176A4">
              <w:rPr>
                <w:b/>
              </w:rPr>
              <w:t>14</w:t>
            </w:r>
            <w:r w:rsidR="00906BCB" w:rsidRPr="002176A4">
              <w:rPr>
                <w:b/>
              </w:rPr>
              <w:t>7</w:t>
            </w:r>
          </w:p>
          <w:p w14:paraId="577F6DA2" w14:textId="7D26A90C" w:rsidR="00445B68" w:rsidRPr="002176A4" w:rsidRDefault="00906BCB" w:rsidP="00307FB4">
            <w:pPr>
              <w:tabs>
                <w:tab w:val="left" w:pos="4111"/>
              </w:tabs>
              <w:spacing w:before="10"/>
              <w:ind w:left="57"/>
              <w:rPr>
                <w:b/>
                <w:bCs/>
              </w:rPr>
            </w:pPr>
            <w:r w:rsidRPr="002176A4">
              <w:rPr>
                <w:b/>
                <w:bCs/>
              </w:rPr>
              <w:t>Groupe FG-AI4SSC/YZ</w:t>
            </w:r>
          </w:p>
        </w:tc>
        <w:tc>
          <w:tcPr>
            <w:tcW w:w="5051" w:type="dxa"/>
            <w:vMerge w:val="restart"/>
          </w:tcPr>
          <w:p w14:paraId="35271D8E" w14:textId="27599625" w:rsidR="00307FB4" w:rsidRPr="002176A4" w:rsidRDefault="00307FB4" w:rsidP="00307FB4">
            <w:pPr>
              <w:tabs>
                <w:tab w:val="left" w:pos="4111"/>
              </w:tabs>
              <w:spacing w:before="0"/>
              <w:ind w:left="426" w:hanging="426"/>
            </w:pPr>
            <w:bookmarkStart w:id="0" w:name="Addressee_F"/>
            <w:bookmarkEnd w:id="0"/>
            <w:r w:rsidRPr="002176A4">
              <w:t>–</w:t>
            </w:r>
            <w:r w:rsidRPr="002176A4">
              <w:tab/>
            </w:r>
            <w:r w:rsidR="008D2BA6" w:rsidRPr="002176A4">
              <w:t xml:space="preserve">Aux </w:t>
            </w:r>
            <w:r w:rsidRPr="002176A4">
              <w:t>Administrations des États Membres de l'Union;</w:t>
            </w:r>
          </w:p>
          <w:p w14:paraId="495BE784" w14:textId="64ABE169" w:rsidR="008D2BA6" w:rsidRPr="002176A4" w:rsidRDefault="00307FB4" w:rsidP="008D2BA6">
            <w:pPr>
              <w:tabs>
                <w:tab w:val="left" w:pos="4111"/>
              </w:tabs>
              <w:spacing w:before="0"/>
              <w:ind w:left="426" w:hanging="426"/>
            </w:pPr>
            <w:r w:rsidRPr="002176A4">
              <w:t>–</w:t>
            </w:r>
            <w:r w:rsidRPr="002176A4">
              <w:tab/>
            </w:r>
            <w:r w:rsidR="008D2BA6" w:rsidRPr="002176A4">
              <w:t>À l'État de Palestine (Résolution 99 (Rév. Dubaï, 2018));</w:t>
            </w:r>
          </w:p>
          <w:p w14:paraId="65CD9FAC" w14:textId="77777777" w:rsidR="008D2BA6" w:rsidRPr="002176A4" w:rsidRDefault="008D2BA6" w:rsidP="008D2BA6">
            <w:pPr>
              <w:tabs>
                <w:tab w:val="left" w:pos="4111"/>
              </w:tabs>
              <w:spacing w:before="0"/>
              <w:ind w:left="426" w:hanging="426"/>
            </w:pPr>
            <w:r w:rsidRPr="002176A4">
              <w:t>–</w:t>
            </w:r>
            <w:r w:rsidRPr="002176A4">
              <w:tab/>
              <w:t>Aux Membres du Secteur de l'UIT-T;</w:t>
            </w:r>
          </w:p>
          <w:p w14:paraId="1C7378D5" w14:textId="77777777" w:rsidR="008D2BA6" w:rsidRPr="002176A4" w:rsidRDefault="008D2BA6" w:rsidP="008D2BA6">
            <w:pPr>
              <w:tabs>
                <w:tab w:val="left" w:pos="4111"/>
              </w:tabs>
              <w:spacing w:before="0"/>
              <w:ind w:left="426" w:hanging="426"/>
            </w:pPr>
            <w:r w:rsidRPr="002176A4">
              <w:t>–</w:t>
            </w:r>
            <w:r w:rsidRPr="002176A4">
              <w:tab/>
              <w:t>Aux Associés de l'UIT-T;</w:t>
            </w:r>
          </w:p>
          <w:p w14:paraId="461460AE" w14:textId="06582A75" w:rsidR="00445B68" w:rsidRPr="002176A4" w:rsidRDefault="008D2BA6" w:rsidP="008D2BA6">
            <w:pPr>
              <w:tabs>
                <w:tab w:val="left" w:pos="4111"/>
              </w:tabs>
              <w:spacing w:before="0"/>
              <w:ind w:left="426" w:hanging="426"/>
            </w:pPr>
            <w:r w:rsidRPr="002176A4">
              <w:t>–</w:t>
            </w:r>
            <w:r w:rsidRPr="002176A4">
              <w:tab/>
              <w:t>Aux établissements universitaires participant aux travaux de l'UIT</w:t>
            </w:r>
          </w:p>
        </w:tc>
      </w:tr>
      <w:tr w:rsidR="00307FB4" w:rsidRPr="002176A4" w14:paraId="06A3F0E7" w14:textId="77777777" w:rsidTr="00307FB4">
        <w:trPr>
          <w:cantSplit/>
          <w:trHeight w:val="340"/>
        </w:trPr>
        <w:tc>
          <w:tcPr>
            <w:tcW w:w="0" w:type="auto"/>
          </w:tcPr>
          <w:p w14:paraId="5CF43A7B" w14:textId="5DF69414" w:rsidR="00307FB4" w:rsidRPr="002176A4" w:rsidRDefault="00307FB4" w:rsidP="00A5280F">
            <w:pPr>
              <w:tabs>
                <w:tab w:val="left" w:pos="4111"/>
              </w:tabs>
              <w:spacing w:before="10"/>
              <w:ind w:left="57"/>
              <w:rPr>
                <w:b/>
                <w:bCs/>
              </w:rPr>
            </w:pPr>
          </w:p>
        </w:tc>
        <w:tc>
          <w:tcPr>
            <w:tcW w:w="3399" w:type="dxa"/>
          </w:tcPr>
          <w:p w14:paraId="2074781F" w14:textId="09A503B7" w:rsidR="00307FB4" w:rsidRPr="002176A4" w:rsidRDefault="00307FB4" w:rsidP="00A5280F">
            <w:pPr>
              <w:tabs>
                <w:tab w:val="left" w:pos="4111"/>
              </w:tabs>
              <w:spacing w:before="10"/>
              <w:ind w:left="57"/>
              <w:rPr>
                <w:b/>
              </w:rPr>
            </w:pPr>
          </w:p>
        </w:tc>
        <w:tc>
          <w:tcPr>
            <w:tcW w:w="5051" w:type="dxa"/>
            <w:vMerge/>
          </w:tcPr>
          <w:p w14:paraId="2F310545" w14:textId="77777777" w:rsidR="00307FB4" w:rsidRPr="002176A4" w:rsidRDefault="00307FB4" w:rsidP="00A5280F">
            <w:pPr>
              <w:tabs>
                <w:tab w:val="clear" w:pos="794"/>
                <w:tab w:val="clear" w:pos="1191"/>
                <w:tab w:val="clear" w:pos="1588"/>
                <w:tab w:val="clear" w:pos="1985"/>
                <w:tab w:val="left" w:pos="284"/>
              </w:tabs>
              <w:spacing w:before="0"/>
              <w:ind w:left="284" w:hanging="227"/>
            </w:pPr>
          </w:p>
        </w:tc>
      </w:tr>
      <w:tr w:rsidR="00445B68" w:rsidRPr="002176A4" w14:paraId="724FD23E" w14:textId="77777777" w:rsidTr="00307FB4">
        <w:trPr>
          <w:cantSplit/>
        </w:trPr>
        <w:tc>
          <w:tcPr>
            <w:tcW w:w="0" w:type="auto"/>
          </w:tcPr>
          <w:p w14:paraId="73149CCD" w14:textId="77777777" w:rsidR="00445B68" w:rsidRPr="002176A4" w:rsidRDefault="00445B68" w:rsidP="00A5280F">
            <w:pPr>
              <w:tabs>
                <w:tab w:val="left" w:pos="4111"/>
              </w:tabs>
              <w:spacing w:before="10"/>
              <w:ind w:left="57"/>
              <w:rPr>
                <w:b/>
                <w:bCs/>
                <w:sz w:val="20"/>
              </w:rPr>
            </w:pPr>
            <w:r w:rsidRPr="002176A4">
              <w:rPr>
                <w:b/>
                <w:bCs/>
              </w:rPr>
              <w:t>Tél.:</w:t>
            </w:r>
          </w:p>
        </w:tc>
        <w:tc>
          <w:tcPr>
            <w:tcW w:w="3399" w:type="dxa"/>
          </w:tcPr>
          <w:p w14:paraId="78D06186" w14:textId="1D2202DE" w:rsidR="00445B68" w:rsidRPr="002176A4" w:rsidRDefault="00445B68" w:rsidP="00A5280F">
            <w:pPr>
              <w:tabs>
                <w:tab w:val="left" w:pos="4111"/>
              </w:tabs>
              <w:spacing w:before="0"/>
              <w:ind w:left="57"/>
            </w:pPr>
            <w:r w:rsidRPr="002176A4">
              <w:t>+41 22 730</w:t>
            </w:r>
            <w:r w:rsidR="00307FB4" w:rsidRPr="002176A4">
              <w:t xml:space="preserve"> 6</w:t>
            </w:r>
            <w:r w:rsidR="0016557D" w:rsidRPr="002176A4">
              <w:t>465</w:t>
            </w:r>
          </w:p>
        </w:tc>
        <w:tc>
          <w:tcPr>
            <w:tcW w:w="5051" w:type="dxa"/>
            <w:vMerge/>
          </w:tcPr>
          <w:p w14:paraId="6D3A5806" w14:textId="77777777" w:rsidR="00445B68" w:rsidRPr="002176A4" w:rsidRDefault="00445B68" w:rsidP="00A5280F">
            <w:pPr>
              <w:tabs>
                <w:tab w:val="left" w:pos="226"/>
                <w:tab w:val="left" w:pos="4111"/>
              </w:tabs>
              <w:spacing w:before="0"/>
              <w:ind w:left="226" w:hanging="226"/>
              <w:rPr>
                <w:b/>
              </w:rPr>
            </w:pPr>
          </w:p>
        </w:tc>
      </w:tr>
      <w:tr w:rsidR="00307FB4" w:rsidRPr="002176A4" w14:paraId="030F9AE5" w14:textId="77777777" w:rsidTr="00E75269">
        <w:trPr>
          <w:cantSplit/>
          <w:trHeight w:val="586"/>
        </w:trPr>
        <w:tc>
          <w:tcPr>
            <w:tcW w:w="0" w:type="auto"/>
          </w:tcPr>
          <w:p w14:paraId="7B417C4C" w14:textId="77777777" w:rsidR="00307FB4" w:rsidRPr="002176A4" w:rsidRDefault="00307FB4" w:rsidP="00A5280F">
            <w:pPr>
              <w:tabs>
                <w:tab w:val="left" w:pos="4111"/>
              </w:tabs>
              <w:spacing w:before="10"/>
              <w:ind w:left="57"/>
              <w:rPr>
                <w:b/>
                <w:bCs/>
                <w:sz w:val="20"/>
              </w:rPr>
            </w:pPr>
            <w:r w:rsidRPr="002176A4">
              <w:rPr>
                <w:b/>
                <w:bCs/>
              </w:rPr>
              <w:t>Télécopie:</w:t>
            </w:r>
          </w:p>
        </w:tc>
        <w:tc>
          <w:tcPr>
            <w:tcW w:w="3399" w:type="dxa"/>
          </w:tcPr>
          <w:p w14:paraId="1A4A5F7B" w14:textId="77777777" w:rsidR="00307FB4" w:rsidRPr="002176A4" w:rsidRDefault="00307FB4" w:rsidP="00A5280F">
            <w:pPr>
              <w:tabs>
                <w:tab w:val="left" w:pos="4111"/>
              </w:tabs>
              <w:spacing w:before="0"/>
              <w:ind w:left="57"/>
            </w:pPr>
            <w:r w:rsidRPr="002176A4">
              <w:t>+41 22 730 5853</w:t>
            </w:r>
          </w:p>
        </w:tc>
        <w:tc>
          <w:tcPr>
            <w:tcW w:w="5051" w:type="dxa"/>
            <w:vMerge/>
          </w:tcPr>
          <w:p w14:paraId="323DAC81" w14:textId="77777777" w:rsidR="00307FB4" w:rsidRPr="002176A4" w:rsidRDefault="00307FB4" w:rsidP="00A5280F">
            <w:pPr>
              <w:tabs>
                <w:tab w:val="left" w:pos="226"/>
                <w:tab w:val="left" w:pos="4111"/>
              </w:tabs>
              <w:spacing w:before="0"/>
              <w:ind w:left="226" w:hanging="226"/>
              <w:rPr>
                <w:b/>
              </w:rPr>
            </w:pPr>
          </w:p>
        </w:tc>
      </w:tr>
      <w:tr w:rsidR="00307FB4" w:rsidRPr="002176A4" w14:paraId="640FB6B9" w14:textId="77777777" w:rsidTr="00307FB4">
        <w:trPr>
          <w:cantSplit/>
        </w:trPr>
        <w:tc>
          <w:tcPr>
            <w:tcW w:w="0" w:type="auto"/>
          </w:tcPr>
          <w:p w14:paraId="15527369" w14:textId="0865F49A" w:rsidR="00307FB4" w:rsidRPr="002176A4" w:rsidRDefault="00307FB4" w:rsidP="00A5280F">
            <w:pPr>
              <w:tabs>
                <w:tab w:val="left" w:pos="4111"/>
              </w:tabs>
              <w:spacing w:before="10"/>
              <w:ind w:left="57"/>
              <w:rPr>
                <w:b/>
                <w:bCs/>
              </w:rPr>
            </w:pPr>
            <w:r w:rsidRPr="002176A4">
              <w:rPr>
                <w:b/>
                <w:bCs/>
              </w:rPr>
              <w:t>Courriel:</w:t>
            </w:r>
          </w:p>
        </w:tc>
        <w:tc>
          <w:tcPr>
            <w:tcW w:w="3399" w:type="dxa"/>
          </w:tcPr>
          <w:p w14:paraId="172249CE" w14:textId="4D6E07FC" w:rsidR="00307FB4" w:rsidRPr="002176A4" w:rsidRDefault="0016557D" w:rsidP="00A5280F">
            <w:pPr>
              <w:tabs>
                <w:tab w:val="left" w:pos="4111"/>
              </w:tabs>
              <w:spacing w:before="0"/>
              <w:ind w:left="57"/>
            </w:pPr>
            <w:hyperlink r:id="rId9" w:history="1">
              <w:r w:rsidRPr="002176A4">
                <w:rPr>
                  <w:rStyle w:val="Hyperlink"/>
                </w:rPr>
                <w:t>tsbfgai4ssc@itu.int</w:t>
              </w:r>
            </w:hyperlink>
          </w:p>
        </w:tc>
        <w:tc>
          <w:tcPr>
            <w:tcW w:w="5051" w:type="dxa"/>
          </w:tcPr>
          <w:p w14:paraId="55E5D357" w14:textId="77777777" w:rsidR="00307FB4" w:rsidRPr="002176A4" w:rsidRDefault="00307FB4" w:rsidP="00307FB4">
            <w:pPr>
              <w:tabs>
                <w:tab w:val="clear" w:pos="794"/>
                <w:tab w:val="left" w:pos="226"/>
                <w:tab w:val="left" w:pos="4111"/>
              </w:tabs>
              <w:spacing w:before="0"/>
              <w:ind w:left="226" w:hanging="226"/>
              <w:rPr>
                <w:b/>
                <w:bCs/>
              </w:rPr>
            </w:pPr>
            <w:r w:rsidRPr="002176A4">
              <w:rPr>
                <w:b/>
                <w:bCs/>
              </w:rPr>
              <w:t>Copie:</w:t>
            </w:r>
          </w:p>
          <w:p w14:paraId="6CE98CB1" w14:textId="30E34639" w:rsidR="00307FB4" w:rsidRPr="002176A4" w:rsidRDefault="00307FB4" w:rsidP="00307FB4">
            <w:pPr>
              <w:tabs>
                <w:tab w:val="clear" w:pos="794"/>
                <w:tab w:val="left" w:pos="4111"/>
              </w:tabs>
              <w:spacing w:before="0"/>
              <w:ind w:left="426" w:hanging="426"/>
            </w:pPr>
            <w:r w:rsidRPr="002176A4">
              <w:t>–</w:t>
            </w:r>
            <w:r w:rsidRPr="002176A4">
              <w:tab/>
              <w:t>Aux Présidents et Vice-Présidents des Commissions d'études;</w:t>
            </w:r>
          </w:p>
          <w:p w14:paraId="56C75C35" w14:textId="1A09D40C" w:rsidR="00307FB4" w:rsidRPr="002176A4" w:rsidRDefault="00307FB4" w:rsidP="00307FB4">
            <w:pPr>
              <w:tabs>
                <w:tab w:val="clear" w:pos="794"/>
                <w:tab w:val="left" w:pos="4111"/>
              </w:tabs>
              <w:spacing w:before="0"/>
              <w:ind w:left="426" w:hanging="426"/>
            </w:pPr>
            <w:r w:rsidRPr="002176A4">
              <w:t>–</w:t>
            </w:r>
            <w:r w:rsidRPr="002176A4">
              <w:tab/>
              <w:t>Au Directeur du Bureau de développement des télécommunications;</w:t>
            </w:r>
          </w:p>
          <w:p w14:paraId="19762254" w14:textId="061893F3" w:rsidR="00307FB4" w:rsidRPr="002176A4" w:rsidRDefault="00307FB4" w:rsidP="00307FB4">
            <w:pPr>
              <w:tabs>
                <w:tab w:val="clear" w:pos="794"/>
                <w:tab w:val="left" w:pos="4111"/>
              </w:tabs>
              <w:spacing w:before="0"/>
              <w:ind w:left="426" w:hanging="426"/>
            </w:pPr>
            <w:r w:rsidRPr="002176A4">
              <w:t>–</w:t>
            </w:r>
            <w:r w:rsidRPr="002176A4">
              <w:tab/>
              <w:t>Au Directeur du Bureau des radiocommunications</w:t>
            </w:r>
          </w:p>
        </w:tc>
      </w:tr>
      <w:tr w:rsidR="00517A03" w:rsidRPr="002176A4" w14:paraId="5435C04A" w14:textId="77777777" w:rsidTr="00C41B89">
        <w:trPr>
          <w:cantSplit/>
          <w:trHeight w:val="397"/>
        </w:trPr>
        <w:tc>
          <w:tcPr>
            <w:tcW w:w="0" w:type="auto"/>
          </w:tcPr>
          <w:p w14:paraId="2A0B9B4F" w14:textId="77777777" w:rsidR="00517A03" w:rsidRPr="002176A4" w:rsidRDefault="00517A03" w:rsidP="00307FB4">
            <w:pPr>
              <w:tabs>
                <w:tab w:val="left" w:pos="4111"/>
              </w:tabs>
              <w:ind w:left="57"/>
              <w:rPr>
                <w:b/>
                <w:bCs/>
                <w:szCs w:val="22"/>
              </w:rPr>
            </w:pPr>
            <w:r w:rsidRPr="002176A4">
              <w:rPr>
                <w:b/>
                <w:bCs/>
                <w:szCs w:val="22"/>
              </w:rPr>
              <w:t>Objet:</w:t>
            </w:r>
          </w:p>
        </w:tc>
        <w:tc>
          <w:tcPr>
            <w:tcW w:w="0" w:type="auto"/>
            <w:gridSpan w:val="2"/>
          </w:tcPr>
          <w:p w14:paraId="1A51EE75" w14:textId="664D6E5E" w:rsidR="00517A03" w:rsidRPr="002176A4" w:rsidRDefault="00906BCB" w:rsidP="0048088B">
            <w:pPr>
              <w:tabs>
                <w:tab w:val="left" w:pos="4111"/>
              </w:tabs>
              <w:spacing w:after="120"/>
              <w:ind w:left="57"/>
              <w:rPr>
                <w:b/>
                <w:bCs/>
                <w:szCs w:val="22"/>
              </w:rPr>
            </w:pPr>
            <w:r w:rsidRPr="002176A4">
              <w:rPr>
                <w:b/>
                <w:bCs/>
                <w:szCs w:val="22"/>
              </w:rPr>
              <w:t>Création d'un nouveau Groupe spécialisé de l'UIT-T sur l'intelligence artificielle au service des villes et communautés intelligentes et durables (FG-AI4SSC) et première réunion de ce Groupe (Tampere (Finlande), 10 et 11 septembre 2026)</w:t>
            </w:r>
          </w:p>
        </w:tc>
      </w:tr>
    </w:tbl>
    <w:p w14:paraId="2D1EC328" w14:textId="438FFB91" w:rsidR="00517A03" w:rsidRPr="002176A4" w:rsidRDefault="00517A03" w:rsidP="00906BCB">
      <w:pPr>
        <w:pStyle w:val="Normalaftertitle"/>
      </w:pPr>
      <w:bookmarkStart w:id="1" w:name="StartTyping_F"/>
      <w:bookmarkEnd w:id="1"/>
      <w:r w:rsidRPr="002176A4">
        <w:t>Madame, Monsieur,</w:t>
      </w:r>
    </w:p>
    <w:p w14:paraId="5F9AD372" w14:textId="5EADDB89" w:rsidR="00906BCB" w:rsidRPr="002176A4" w:rsidRDefault="00906BCB" w:rsidP="00906BCB">
      <w:r w:rsidRPr="002176A4">
        <w:t>1</w:t>
      </w:r>
      <w:r w:rsidRPr="002176A4">
        <w:tab/>
        <w:t>À la suite de l'accord donné par la Commission d'études 20 de l'UIT-T (</w:t>
      </w:r>
      <w:r w:rsidRPr="002176A4">
        <w:rPr>
          <w:i/>
          <w:iCs/>
        </w:rPr>
        <w:t>Internet des objets, jumeaux numériques et villes et communautés intelligentes et durables</w:t>
      </w:r>
      <w:r w:rsidRPr="002176A4">
        <w:t xml:space="preserve">) à sa réunion du 21 mai 2026 à Genève, et conformément à la </w:t>
      </w:r>
      <w:hyperlink r:id="rId10" w:history="1">
        <w:r w:rsidRPr="002176A4">
          <w:rPr>
            <w:rStyle w:val="Hyperlink"/>
          </w:rPr>
          <w:t>Recommandation UIT-T A.7</w:t>
        </w:r>
      </w:hyperlink>
      <w:r w:rsidRPr="002176A4">
        <w:t xml:space="preserve">, j'ai l'honneur de vous annoncer la création du nouveau </w:t>
      </w:r>
      <w:r w:rsidRPr="002176A4">
        <w:rPr>
          <w:b/>
          <w:bCs/>
        </w:rPr>
        <w:t>Groupe spécialisé de l'UIT-T sur l'intelligence artificielle au service des villes et communautés intelligentes et durables (FG-AI4SSC)</w:t>
      </w:r>
      <w:r w:rsidRPr="002176A4">
        <w:t>.</w:t>
      </w:r>
    </w:p>
    <w:p w14:paraId="51AE9A86" w14:textId="678641E4" w:rsidR="00906BCB" w:rsidRPr="002176A4" w:rsidRDefault="00906BCB" w:rsidP="00906BCB">
      <w:r w:rsidRPr="002176A4">
        <w:t>2</w:t>
      </w:r>
      <w:r w:rsidRPr="002176A4">
        <w:tab/>
        <w:t>Le Groupe FG-AI4SSC examinera les aspects d'intégration nécessaires pour les systèmes et services urbains reposant sur l'intelligence artificielle (IA), y compris les exigences, les interfaces, les mécanismes de coordination et les cadres nécessaires pour assurer l'interopérabilité cohérente, sûre et efficace des technologies d'IA existantes et futures avec les systèmes et services de l'Internet des objets (IoT), des jumeaux numériques et des villes et communautés intelligentes et durables dans le cadre de déploiements à l'échelle des villes, conformément à la Résolution 214 (Bucarest, 2022) de la Conférence de plénipotentiaires. On trouvera plus de précisions sur la portée des activités dans le mandat du Groupe spécialisé (voir l'</w:t>
      </w:r>
      <w:r w:rsidRPr="002176A4">
        <w:rPr>
          <w:b/>
          <w:bCs/>
        </w:rPr>
        <w:t>Annexe 1</w:t>
      </w:r>
      <w:r w:rsidRPr="002176A4">
        <w:t xml:space="preserve">) ainsi que sur sa page d'accueil à l'adresse </w:t>
      </w:r>
      <w:hyperlink r:id="rId11" w:anchor="/fr" w:history="1">
        <w:r w:rsidRPr="002176A4">
          <w:rPr>
            <w:rStyle w:val="Hyperlink"/>
          </w:rPr>
          <w:t>https://itu.int/go/ai4ssc</w:t>
        </w:r>
      </w:hyperlink>
      <w:r w:rsidRPr="002176A4">
        <w:t>.</w:t>
      </w:r>
      <w:r w:rsidR="005F6C52">
        <w:t xml:space="preserve"> </w:t>
      </w:r>
    </w:p>
    <w:p w14:paraId="326AE5EA" w14:textId="77777777" w:rsidR="00906BCB" w:rsidRPr="002176A4" w:rsidRDefault="00906BCB" w:rsidP="00906BCB">
      <w:r w:rsidRPr="002176A4">
        <w:t>3</w:t>
      </w:r>
      <w:r w:rsidRPr="002176A4">
        <w:tab/>
        <w:t>La Commission d'études 20 de l'UIT-T a désigné l'équipe de direction suivante:</w:t>
      </w:r>
    </w:p>
    <w:p w14:paraId="4A0316AD" w14:textId="77777777" w:rsidR="00906BCB" w:rsidRPr="002176A4" w:rsidRDefault="00906BCB" w:rsidP="00906BCB">
      <w:pPr>
        <w:pStyle w:val="enumlev1"/>
      </w:pPr>
      <w:r w:rsidRPr="002176A4">
        <w:t>–</w:t>
      </w:r>
      <w:r w:rsidRPr="002176A4">
        <w:tab/>
        <w:t>Coprésidents:</w:t>
      </w:r>
    </w:p>
    <w:p w14:paraId="7389CE6D" w14:textId="19649BD3" w:rsidR="00906BCB" w:rsidRPr="002176A4" w:rsidRDefault="00906BCB" w:rsidP="00906BCB">
      <w:pPr>
        <w:pStyle w:val="enumlev2"/>
      </w:pPr>
      <w:r w:rsidRPr="002176A4">
        <w:t>•</w:t>
      </w:r>
      <w:r w:rsidRPr="002176A4">
        <w:tab/>
        <w:t>M. Jun Seob Lee (ETRI, République de Corée)</w:t>
      </w:r>
    </w:p>
    <w:p w14:paraId="08C114CD" w14:textId="1896564E" w:rsidR="00906BCB" w:rsidRPr="00D45749" w:rsidRDefault="00906BCB" w:rsidP="00906BCB">
      <w:pPr>
        <w:pStyle w:val="enumlev2"/>
        <w:rPr>
          <w:lang w:val="en-GB"/>
        </w:rPr>
      </w:pPr>
      <w:r w:rsidRPr="00D45749">
        <w:rPr>
          <w:lang w:val="en-GB"/>
        </w:rPr>
        <w:t>•</w:t>
      </w:r>
      <w:r w:rsidRPr="00D45749">
        <w:rPr>
          <w:lang w:val="en-GB"/>
        </w:rPr>
        <w:tab/>
        <w:t>M. Ramy Ahmed Fathy (</w:t>
      </w:r>
      <w:proofErr w:type="spellStart"/>
      <w:r w:rsidRPr="00D45749">
        <w:rPr>
          <w:lang w:val="en-GB"/>
        </w:rPr>
        <w:t>Égypte</w:t>
      </w:r>
      <w:proofErr w:type="spellEnd"/>
      <w:r w:rsidRPr="00D45749">
        <w:rPr>
          <w:lang w:val="en-GB"/>
        </w:rPr>
        <w:t>)</w:t>
      </w:r>
    </w:p>
    <w:p w14:paraId="7247B0D8" w14:textId="77777777" w:rsidR="00906BCB" w:rsidRPr="002176A4" w:rsidRDefault="00906BCB" w:rsidP="00906BCB">
      <w:pPr>
        <w:pStyle w:val="enumlev1"/>
        <w:keepNext/>
        <w:keepLines/>
      </w:pPr>
      <w:r w:rsidRPr="002176A4">
        <w:lastRenderedPageBreak/>
        <w:t>–</w:t>
      </w:r>
      <w:r w:rsidRPr="002176A4">
        <w:tab/>
        <w:t>Vice-</w:t>
      </w:r>
      <w:proofErr w:type="gramStart"/>
      <w:r w:rsidRPr="002176A4">
        <w:t>Présidents:</w:t>
      </w:r>
      <w:proofErr w:type="gramEnd"/>
    </w:p>
    <w:p w14:paraId="43584D66" w14:textId="1AE72E3D" w:rsidR="00906BCB" w:rsidRPr="002176A4" w:rsidRDefault="00906BCB" w:rsidP="00906BCB">
      <w:pPr>
        <w:pStyle w:val="enumlev2"/>
        <w:keepNext/>
        <w:keepLines/>
      </w:pPr>
      <w:r w:rsidRPr="002176A4">
        <w:t>•</w:t>
      </w:r>
      <w:r w:rsidRPr="002176A4">
        <w:tab/>
        <w:t>Mme Aline Matta (ONU-Habitat)</w:t>
      </w:r>
    </w:p>
    <w:p w14:paraId="2D9E1082" w14:textId="51F28FCB" w:rsidR="00906BCB" w:rsidRPr="002176A4" w:rsidRDefault="00906BCB" w:rsidP="00906BCB">
      <w:pPr>
        <w:pStyle w:val="enumlev2"/>
      </w:pPr>
      <w:r w:rsidRPr="002176A4">
        <w:t>•</w:t>
      </w:r>
      <w:r w:rsidRPr="002176A4">
        <w:tab/>
        <w:t>Mme Sophia Nahoza (Tanzanie)</w:t>
      </w:r>
    </w:p>
    <w:p w14:paraId="23EC0586" w14:textId="061276A5" w:rsidR="00906BCB" w:rsidRPr="002176A4" w:rsidRDefault="00906BCB" w:rsidP="00906BCB">
      <w:pPr>
        <w:pStyle w:val="enumlev2"/>
      </w:pPr>
      <w:r w:rsidRPr="002176A4">
        <w:t>•</w:t>
      </w:r>
      <w:r w:rsidRPr="002176A4">
        <w:tab/>
        <w:t>M. Yang Liu (Chine)</w:t>
      </w:r>
    </w:p>
    <w:p w14:paraId="309CA54C" w14:textId="7682CDE7" w:rsidR="00906BCB" w:rsidRPr="002176A4" w:rsidRDefault="00906BCB" w:rsidP="00906BCB">
      <w:pPr>
        <w:pStyle w:val="enumlev2"/>
      </w:pPr>
      <w:r w:rsidRPr="002176A4">
        <w:t>•</w:t>
      </w:r>
      <w:r w:rsidRPr="002176A4">
        <w:tab/>
        <w:t>M. Ali Abbassene (Algérie)</w:t>
      </w:r>
    </w:p>
    <w:p w14:paraId="047E1042" w14:textId="19F57F04" w:rsidR="00906BCB" w:rsidRPr="002176A4" w:rsidRDefault="00906BCB" w:rsidP="00906BCB">
      <w:pPr>
        <w:pStyle w:val="enumlev2"/>
      </w:pPr>
      <w:r w:rsidRPr="002176A4">
        <w:t>•</w:t>
      </w:r>
      <w:r w:rsidRPr="002176A4">
        <w:tab/>
        <w:t>M. Marios Angelopopoulos (Grèce)</w:t>
      </w:r>
    </w:p>
    <w:p w14:paraId="73425791" w14:textId="4CFE4A88" w:rsidR="00906BCB" w:rsidRPr="002176A4" w:rsidRDefault="00906BCB" w:rsidP="00906BCB">
      <w:pPr>
        <w:pStyle w:val="enumlev2"/>
      </w:pPr>
      <w:r w:rsidRPr="002176A4">
        <w:t>•</w:t>
      </w:r>
      <w:r w:rsidRPr="002176A4">
        <w:tab/>
        <w:t>Mme Ricarda Rende (Brésil)</w:t>
      </w:r>
    </w:p>
    <w:p w14:paraId="53263A3B" w14:textId="4E98E480" w:rsidR="00906BCB" w:rsidRPr="002176A4" w:rsidRDefault="00906BCB" w:rsidP="00906BCB">
      <w:pPr>
        <w:pStyle w:val="enumlev2"/>
      </w:pPr>
      <w:r w:rsidRPr="002176A4">
        <w:t>•</w:t>
      </w:r>
      <w:r w:rsidRPr="002176A4">
        <w:tab/>
        <w:t>M. Martin Brynskov (Réseau Open &amp; Agile Smart Cities &amp; Communities)</w:t>
      </w:r>
    </w:p>
    <w:p w14:paraId="7C94BA47" w14:textId="77777777" w:rsidR="00906BCB" w:rsidRPr="002176A4" w:rsidRDefault="00906BCB" w:rsidP="00906BCB">
      <w:r w:rsidRPr="002176A4">
        <w:t>D'autres responsables pourront être nommés par le Groupe FG-AI4SSC afin de renforcer son équipe de direction.</w:t>
      </w:r>
    </w:p>
    <w:p w14:paraId="70BB359E" w14:textId="20237B55" w:rsidR="00906BCB" w:rsidRPr="002176A4" w:rsidRDefault="00906BCB" w:rsidP="00906BCB">
      <w:r w:rsidRPr="002176A4">
        <w:t>4</w:t>
      </w:r>
      <w:r w:rsidRPr="002176A4">
        <w:tab/>
        <w:t xml:space="preserve">La participation au Groupe FG-AI4SSC est gratuite et ouverte à toute personne de tout secteur et de toute discipline connexe issue d'un pays Membre de l'UIT qui souhaite contribuer activement aux travaux. Les personnes qui souhaitent suivre ces travaux ou y participer sont invitées à s'inscrire sur une liste de diffusion dédiée. Des précisions sur les modalités d'inscription sont disponibles à l'adresse </w:t>
      </w:r>
      <w:hyperlink r:id="rId12" w:history="1">
        <w:r w:rsidR="002176A4" w:rsidRPr="002176A4">
          <w:rPr>
            <w:rStyle w:val="Hyperlink"/>
          </w:rPr>
          <w:t>https://itu.int/go/ai4ssc/join</w:t>
        </w:r>
      </w:hyperlink>
      <w:r w:rsidRPr="002176A4">
        <w:t>.</w:t>
      </w:r>
    </w:p>
    <w:p w14:paraId="5904EA1B" w14:textId="77777777" w:rsidR="00906BCB" w:rsidRPr="002176A4" w:rsidRDefault="00906BCB" w:rsidP="00906BCB">
      <w:r w:rsidRPr="002176A4">
        <w:t>5</w:t>
      </w:r>
      <w:r w:rsidRPr="002176A4">
        <w:tab/>
        <w:t>Le Groupe exercera ses activités conformément aux procédures exposées dans la Recommandation UIT-T A.7 et dans le cadre du mandat approuvé reproduit à l'</w:t>
      </w:r>
      <w:r w:rsidRPr="002176A4">
        <w:rPr>
          <w:b/>
          <w:bCs/>
        </w:rPr>
        <w:t>Annexe 1</w:t>
      </w:r>
      <w:r w:rsidRPr="002176A4">
        <w:t>. La durée du mandat du Groupe spécialisé est d'un an à compter de la première réunion du groupe, avec possibilité de prolongation.</w:t>
      </w:r>
    </w:p>
    <w:p w14:paraId="2C95E374" w14:textId="77777777" w:rsidR="00906BCB" w:rsidRPr="002176A4" w:rsidRDefault="00906BCB" w:rsidP="00906BCB">
      <w:r w:rsidRPr="002176A4">
        <w:t>6</w:t>
      </w:r>
      <w:r w:rsidRPr="002176A4">
        <w:tab/>
        <w:t>Pour permettre à l'UIT de prévoir les dispositions nécessaires, il est demandé aux participants de s'inscrire à la réunion du Groupe FG-AI4SSC en ligne via la page d'accueil du groupe. Veuillez noter que l'inscription préalable des participants aux manifestations se fait exclusivement en ligne.</w:t>
      </w:r>
    </w:p>
    <w:p w14:paraId="0D43A439" w14:textId="77777777" w:rsidR="00906BCB" w:rsidRPr="002176A4" w:rsidRDefault="00906BCB" w:rsidP="00906BCB">
      <w:r w:rsidRPr="002176A4">
        <w:t>7</w:t>
      </w:r>
      <w:r w:rsidRPr="002176A4">
        <w:tab/>
        <w:t xml:space="preserve">La </w:t>
      </w:r>
      <w:r w:rsidRPr="002176A4">
        <w:rPr>
          <w:b/>
          <w:bCs/>
        </w:rPr>
        <w:t>première réunion</w:t>
      </w:r>
      <w:r w:rsidRPr="002176A4">
        <w:t xml:space="preserve"> du Groupe FG-AI4SSC se tiendra à Tampere (Finlande) les 10 et 11 septembre 2026, à l'aimable invitation de la ville de Tampere.</w:t>
      </w:r>
    </w:p>
    <w:p w14:paraId="76FFD254" w14:textId="124A510F" w:rsidR="00906BCB" w:rsidRPr="002176A4" w:rsidRDefault="00906BCB" w:rsidP="00906BCB">
      <w:r w:rsidRPr="002176A4">
        <w:t>8</w:t>
      </w:r>
      <w:r w:rsidRPr="002176A4">
        <w:tab/>
        <w:t xml:space="preserve">La première réunion sera </w:t>
      </w:r>
      <w:r w:rsidRPr="002176A4">
        <w:rPr>
          <w:b/>
          <w:bCs/>
        </w:rPr>
        <w:t>précédée d'un Forum</w:t>
      </w:r>
      <w:r w:rsidRPr="002176A4">
        <w:t xml:space="preserve">, qui se tiendra les 9 et 10 septembre 2026 au même endroit. On trouvera de plus amples informations dans la </w:t>
      </w:r>
      <w:hyperlink r:id="rId13" w:history="1">
        <w:r w:rsidRPr="002176A4">
          <w:rPr>
            <w:rStyle w:val="Hyperlink"/>
          </w:rPr>
          <w:t>Circulaire TSB 146</w:t>
        </w:r>
      </w:hyperlink>
      <w:r w:rsidRPr="002176A4">
        <w:t>.</w:t>
      </w:r>
    </w:p>
    <w:p w14:paraId="4F34E67D" w14:textId="77777777" w:rsidR="00906BCB" w:rsidRPr="002176A4" w:rsidRDefault="00906BCB" w:rsidP="00906BCB">
      <w:r w:rsidRPr="002176A4">
        <w:t>9</w:t>
      </w:r>
      <w:r w:rsidRPr="002176A4">
        <w:tab/>
        <w:t>Les objectifs de cette première réunion sont les suivants:</w:t>
      </w:r>
    </w:p>
    <w:p w14:paraId="3B7B1A8F" w14:textId="77777777" w:rsidR="00906BCB" w:rsidRPr="002176A4" w:rsidRDefault="00906BCB" w:rsidP="002176A4">
      <w:pPr>
        <w:pStyle w:val="enumlev1"/>
      </w:pPr>
      <w:r w:rsidRPr="002176A4">
        <w:t>–</w:t>
      </w:r>
      <w:r w:rsidRPr="002176A4">
        <w:tab/>
        <w:t>création des groupes de travail (GT) et désignation de leurs présidents;</w:t>
      </w:r>
    </w:p>
    <w:p w14:paraId="7CB6AEEC" w14:textId="77777777" w:rsidR="00906BCB" w:rsidRPr="002176A4" w:rsidRDefault="00906BCB" w:rsidP="002176A4">
      <w:pPr>
        <w:pStyle w:val="enumlev1"/>
      </w:pPr>
      <w:r w:rsidRPr="002176A4">
        <w:t>–</w:t>
      </w:r>
      <w:r w:rsidRPr="002176A4">
        <w:tab/>
        <w:t>approbation de la structure du Groupe FG-AI4SSC, des produits finals attendus, des responsabilités et du calendrier;</w:t>
      </w:r>
    </w:p>
    <w:p w14:paraId="07617ED0" w14:textId="77777777" w:rsidR="00906BCB" w:rsidRPr="002176A4" w:rsidRDefault="00906BCB" w:rsidP="002176A4">
      <w:pPr>
        <w:pStyle w:val="enumlev1"/>
      </w:pPr>
      <w:r w:rsidRPr="002176A4">
        <w:t>–</w:t>
      </w:r>
      <w:r w:rsidRPr="002176A4">
        <w:tab/>
        <w:t>approbation des méthodes de travail du Groupe FG-AI4SSC, sur la base de la Recommandation UIT-T A.7;</w:t>
      </w:r>
    </w:p>
    <w:p w14:paraId="424A9468" w14:textId="77777777" w:rsidR="00906BCB" w:rsidRPr="002176A4" w:rsidRDefault="00906BCB" w:rsidP="002176A4">
      <w:pPr>
        <w:pStyle w:val="enumlev1"/>
      </w:pPr>
      <w:r w:rsidRPr="002176A4">
        <w:t>–</w:t>
      </w:r>
      <w:r w:rsidRPr="002176A4">
        <w:tab/>
        <w:t>approbation du programme des futures réunions du Groupe FG-AI4SSC, indiquant la fréquence des réunions;</w:t>
      </w:r>
    </w:p>
    <w:p w14:paraId="422C1F04" w14:textId="77777777" w:rsidR="00906BCB" w:rsidRPr="002176A4" w:rsidRDefault="00906BCB" w:rsidP="002176A4">
      <w:pPr>
        <w:pStyle w:val="enumlev1"/>
      </w:pPr>
      <w:r w:rsidRPr="002176A4">
        <w:t>–</w:t>
      </w:r>
      <w:r w:rsidRPr="002176A4">
        <w:tab/>
        <w:t>examen des contributions écrites.</w:t>
      </w:r>
    </w:p>
    <w:p w14:paraId="31AEB000" w14:textId="327BD1BB" w:rsidR="00906BCB" w:rsidRPr="002176A4" w:rsidRDefault="00906BCB" w:rsidP="00906BCB">
      <w:r w:rsidRPr="002176A4">
        <w:t>10</w:t>
      </w:r>
      <w:r w:rsidRPr="002176A4">
        <w:tab/>
        <w:t>Nous vous encourageons vivement à soumettre des contributions écrites pour répondre aux objectifs présentés ci-dessus et conformément au mandat du Groupe FG-AI4SSC. Les contributions écrites doivent être soumises au secrétariat du TSB (</w:t>
      </w:r>
      <w:hyperlink r:id="rId14" w:history="1">
        <w:r w:rsidR="002176A4" w:rsidRPr="002176A4">
          <w:rPr>
            <w:rStyle w:val="Hyperlink"/>
          </w:rPr>
          <w:t>tsbfgai4ssc@itu.int</w:t>
        </w:r>
      </w:hyperlink>
      <w:r w:rsidRPr="002176A4">
        <w:t xml:space="preserve">) sous forme électronique en utilisant les </w:t>
      </w:r>
      <w:hyperlink r:id="rId15" w:anchor="/fr" w:history="1">
        <w:r w:rsidRPr="002176A4">
          <w:rPr>
            <w:rStyle w:val="Hyperlink"/>
          </w:rPr>
          <w:t>gabarits</w:t>
        </w:r>
      </w:hyperlink>
      <w:r w:rsidRPr="002176A4">
        <w:t xml:space="preserve"> disponibles sur la page d'accueil du Groupe FG-AI4SSC. </w:t>
      </w:r>
      <w:r w:rsidRPr="002176A4">
        <w:rPr>
          <w:b/>
          <w:bCs/>
        </w:rPr>
        <w:t>La date limite de soumission des contributions à la première réunion est fixée au 28 août 2026.</w:t>
      </w:r>
    </w:p>
    <w:p w14:paraId="15A2B7C9" w14:textId="77777777" w:rsidR="00906BCB" w:rsidRPr="002176A4" w:rsidRDefault="00906BCB" w:rsidP="00906BCB">
      <w:r w:rsidRPr="002176A4">
        <w:lastRenderedPageBreak/>
        <w:t>11</w:t>
      </w:r>
      <w:r w:rsidRPr="002176A4">
        <w:tab/>
        <w:t>L'ordre du jour de la réunion, les documents et d'autres informations pratiques (y compris sur la participation à distance) seront disponibles sur la page d'accueil du Groupe FG-AI4SSC avant la réunion.</w:t>
      </w:r>
    </w:p>
    <w:p w14:paraId="1E714DF2" w14:textId="77777777" w:rsidR="00906BCB" w:rsidRPr="002176A4" w:rsidRDefault="00906BCB" w:rsidP="00906BCB">
      <w:r w:rsidRPr="002176A4">
        <w:t>12</w:t>
      </w:r>
      <w:r w:rsidRPr="002176A4">
        <w:tab/>
        <w:t>Je vous rappelle que, pour les ressortissants de certains pays, l'entrée et le séjour, quelle qu'en soit la durée, en Finlande sont soumis à l'obtention d'un visa. Si vous avez besoin d'un visa, celui-ci doit être demandé avant la date de votre arrivée et obtenu auprès de l'ambassade ou du consulat de la Finlande dans votre pays ou, à défaut, dans le pays le plus proche de votre pays de départ. Les délais pouvant varier, nous vous suggérons de vous renseigner directement auprès de la représentation concernée et de formuler votre demande au plus tôt.</w:t>
      </w:r>
    </w:p>
    <w:p w14:paraId="7BC81207" w14:textId="77777777" w:rsidR="00906BCB" w:rsidRPr="002176A4" w:rsidRDefault="00906BCB" w:rsidP="00906BCB">
      <w:r w:rsidRPr="002176A4">
        <w:t>Vous trouverez sur la page d'accueil du Groupe FG-AI4SSC, dans le document d'informations pratiques pour la réunion, des renseignements supplémentaires et les documents nécessaires pour le traitement des demandes de visas, le cas échéant.</w:t>
      </w:r>
    </w:p>
    <w:p w14:paraId="4568A3EF" w14:textId="74AF4825" w:rsidR="00906BCB" w:rsidRPr="002176A4" w:rsidRDefault="00906BCB" w:rsidP="002176A4">
      <w:pPr>
        <w:spacing w:after="120"/>
      </w:pPr>
      <w:r w:rsidRPr="002176A4">
        <w:t>13</w:t>
      </w:r>
      <w:r w:rsidRPr="002176A4">
        <w:tab/>
        <w:t>Échéances</w:t>
      </w:r>
    </w:p>
    <w:tbl>
      <w:tblPr>
        <w:tblStyle w:val="TableGrid"/>
        <w:tblW w:w="0" w:type="auto"/>
        <w:tblLook w:val="04A0" w:firstRow="1" w:lastRow="0" w:firstColumn="1" w:lastColumn="0" w:noHBand="0" w:noVBand="1"/>
      </w:tblPr>
      <w:tblGrid>
        <w:gridCol w:w="1696"/>
        <w:gridCol w:w="8023"/>
      </w:tblGrid>
      <w:tr w:rsidR="002176A4" w:rsidRPr="002176A4" w14:paraId="732C414F" w14:textId="77777777" w:rsidTr="002176A4">
        <w:tc>
          <w:tcPr>
            <w:tcW w:w="1696" w:type="dxa"/>
            <w:vAlign w:val="center"/>
          </w:tcPr>
          <w:p w14:paraId="64D66139" w14:textId="2E30BCB6" w:rsidR="002176A4" w:rsidRPr="002176A4" w:rsidRDefault="002176A4" w:rsidP="002176A4">
            <w:pPr>
              <w:pStyle w:val="TableText"/>
              <w:spacing w:before="80" w:after="80"/>
              <w:jc w:val="center"/>
            </w:pPr>
            <w:r w:rsidRPr="002176A4">
              <w:t>28 août 2026</w:t>
            </w:r>
          </w:p>
        </w:tc>
        <w:tc>
          <w:tcPr>
            <w:tcW w:w="8023" w:type="dxa"/>
          </w:tcPr>
          <w:p w14:paraId="0F5CB8DA" w14:textId="4B394C7D" w:rsidR="002176A4" w:rsidRPr="002176A4" w:rsidRDefault="002176A4" w:rsidP="002176A4">
            <w:pPr>
              <w:pStyle w:val="TableText"/>
              <w:tabs>
                <w:tab w:val="clear" w:pos="284"/>
              </w:tabs>
              <w:spacing w:before="80" w:after="80"/>
              <w:ind w:left="325" w:hanging="325"/>
            </w:pPr>
            <w:r w:rsidRPr="002176A4">
              <w:t>–</w:t>
            </w:r>
            <w:r w:rsidRPr="002176A4">
              <w:tab/>
              <w:t xml:space="preserve">Soumission des contributions écrites (par courrier électronique à l'adresse </w:t>
            </w:r>
            <w:hyperlink r:id="rId16" w:history="1">
              <w:r w:rsidRPr="002176A4">
                <w:rPr>
                  <w:rStyle w:val="Hyperlink"/>
                </w:rPr>
                <w:t>tsbfgai4ssc@itu.int</w:t>
              </w:r>
            </w:hyperlink>
            <w:r w:rsidRPr="002176A4">
              <w:t>)</w:t>
            </w:r>
          </w:p>
        </w:tc>
      </w:tr>
      <w:tr w:rsidR="002176A4" w:rsidRPr="002176A4" w14:paraId="14D929C1" w14:textId="77777777" w:rsidTr="002176A4">
        <w:tc>
          <w:tcPr>
            <w:tcW w:w="1696" w:type="dxa"/>
          </w:tcPr>
          <w:p w14:paraId="03D263CC" w14:textId="5AACB1E0" w:rsidR="002176A4" w:rsidRPr="002176A4" w:rsidRDefault="002176A4" w:rsidP="002176A4">
            <w:pPr>
              <w:pStyle w:val="TableText"/>
              <w:spacing w:before="80" w:after="80"/>
              <w:jc w:val="center"/>
            </w:pPr>
            <w:r w:rsidRPr="002176A4">
              <w:t>10 août 2026</w:t>
            </w:r>
          </w:p>
        </w:tc>
        <w:tc>
          <w:tcPr>
            <w:tcW w:w="8023" w:type="dxa"/>
          </w:tcPr>
          <w:p w14:paraId="394B3265" w14:textId="5F167981" w:rsidR="002176A4" w:rsidRPr="002176A4" w:rsidRDefault="002176A4" w:rsidP="002176A4">
            <w:pPr>
              <w:pStyle w:val="TableText"/>
              <w:tabs>
                <w:tab w:val="clear" w:pos="284"/>
              </w:tabs>
              <w:spacing w:before="80" w:after="80"/>
              <w:ind w:left="325" w:hanging="325"/>
            </w:pPr>
            <w:r w:rsidRPr="002176A4">
              <w:t>–</w:t>
            </w:r>
            <w:r w:rsidRPr="002176A4">
              <w:tab/>
              <w:t>Inscription préalable (</w:t>
            </w:r>
            <w:hyperlink r:id="rId17" w:anchor="/fr" w:history="1">
              <w:r w:rsidRPr="002176A4">
                <w:rPr>
                  <w:rStyle w:val="Hyperlink"/>
                </w:rPr>
                <w:t>en ligne</w:t>
              </w:r>
            </w:hyperlink>
            <w:r w:rsidRPr="002176A4">
              <w:t xml:space="preserve"> depuis la </w:t>
            </w:r>
            <w:hyperlink r:id="rId18" w:anchor="/fr" w:history="1">
              <w:r w:rsidRPr="002176A4">
                <w:rPr>
                  <w:rStyle w:val="Hyperlink"/>
                </w:rPr>
                <w:t>page d'accueil du Groupe FG</w:t>
              </w:r>
              <w:r w:rsidRPr="002176A4">
                <w:rPr>
                  <w:rStyle w:val="Hyperlink"/>
                </w:rPr>
                <w:noBreakHyphen/>
                <w:t>AI4SSC</w:t>
              </w:r>
            </w:hyperlink>
            <w:r w:rsidRPr="002176A4">
              <w:t>)</w:t>
            </w:r>
          </w:p>
        </w:tc>
      </w:tr>
    </w:tbl>
    <w:p w14:paraId="4D27F2E8" w14:textId="1EC45FE5" w:rsidR="00906BCB" w:rsidRPr="002176A4" w:rsidRDefault="00906BCB" w:rsidP="009B60CC">
      <w:pPr>
        <w:spacing w:before="240"/>
      </w:pPr>
      <w:r w:rsidRPr="002176A4">
        <w:t>Je vous souhaite une réunion constructive et agréable.</w:t>
      </w:r>
    </w:p>
    <w:p w14:paraId="109E9AC8" w14:textId="77777777" w:rsidR="00906BCB" w:rsidRPr="002176A4" w:rsidRDefault="00906BCB" w:rsidP="00906BCB">
      <w:r w:rsidRPr="002176A4">
        <w:t>Veuillez agréer, Madame, Monsieur, l'assurance de ma considération distinguée.</w:t>
      </w:r>
    </w:p>
    <w:p w14:paraId="05B2C757" w14:textId="7C3548AC" w:rsidR="00906BCB" w:rsidRPr="002176A4" w:rsidRDefault="00D45749" w:rsidP="002176A4">
      <w:pPr>
        <w:spacing w:before="840"/>
      </w:pPr>
      <w:r>
        <w:rPr>
          <w:noProof/>
        </w:rPr>
        <w:drawing>
          <wp:anchor distT="0" distB="0" distL="114300" distR="114300" simplePos="0" relativeHeight="251658240" behindDoc="0" locked="0" layoutInCell="1" allowOverlap="1" wp14:anchorId="68BEC189" wp14:editId="0D6A4C1F">
            <wp:simplePos x="0" y="0"/>
            <wp:positionH relativeFrom="margin">
              <wp:align>left</wp:align>
            </wp:positionH>
            <wp:positionV relativeFrom="paragraph">
              <wp:posOffset>77470</wp:posOffset>
            </wp:positionV>
            <wp:extent cx="523875" cy="392906"/>
            <wp:effectExtent l="0" t="0" r="0" b="7620"/>
            <wp:wrapNone/>
            <wp:docPr id="381610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10965" name="Picture 381610965"/>
                    <pic:cNvPicPr/>
                  </pic:nvPicPr>
                  <pic:blipFill>
                    <a:blip r:embed="rId19">
                      <a:extLst>
                        <a:ext uri="{28A0092B-C50C-407E-A947-70E740481C1C}">
                          <a14:useLocalDpi xmlns:a14="http://schemas.microsoft.com/office/drawing/2010/main" val="0"/>
                        </a:ext>
                      </a:extLst>
                    </a:blip>
                    <a:stretch>
                      <a:fillRect/>
                    </a:stretch>
                  </pic:blipFill>
                  <pic:spPr>
                    <a:xfrm>
                      <a:off x="0" y="0"/>
                      <a:ext cx="523875" cy="392906"/>
                    </a:xfrm>
                    <a:prstGeom prst="rect">
                      <a:avLst/>
                    </a:prstGeom>
                  </pic:spPr>
                </pic:pic>
              </a:graphicData>
            </a:graphic>
            <wp14:sizeRelH relativeFrom="margin">
              <wp14:pctWidth>0</wp14:pctWidth>
            </wp14:sizeRelH>
            <wp14:sizeRelV relativeFrom="margin">
              <wp14:pctHeight>0</wp14:pctHeight>
            </wp14:sizeRelV>
          </wp:anchor>
        </w:drawing>
      </w:r>
      <w:r w:rsidR="00906BCB" w:rsidRPr="002176A4">
        <w:t>Seizo Onoe</w:t>
      </w:r>
      <w:r w:rsidR="002176A4" w:rsidRPr="002176A4">
        <w:br/>
      </w:r>
      <w:r w:rsidR="00906BCB" w:rsidRPr="002176A4">
        <w:t>Directeur du Bureau de la</w:t>
      </w:r>
      <w:r w:rsidR="002176A4" w:rsidRPr="002176A4">
        <w:t xml:space="preserve"> </w:t>
      </w:r>
      <w:r w:rsidR="00906BCB" w:rsidRPr="002176A4">
        <w:t>normalisation</w:t>
      </w:r>
      <w:r w:rsidR="002176A4" w:rsidRPr="002176A4">
        <w:br/>
      </w:r>
      <w:r w:rsidR="00906BCB" w:rsidRPr="002176A4">
        <w:t>des télécommunications</w:t>
      </w:r>
    </w:p>
    <w:p w14:paraId="3D3169BC" w14:textId="2BB21AF4" w:rsidR="00906BCB" w:rsidRPr="002176A4" w:rsidRDefault="00906BCB">
      <w:pPr>
        <w:tabs>
          <w:tab w:val="clear" w:pos="794"/>
          <w:tab w:val="clear" w:pos="1191"/>
          <w:tab w:val="clear" w:pos="1588"/>
          <w:tab w:val="clear" w:pos="1985"/>
        </w:tabs>
        <w:overflowPunct/>
        <w:autoSpaceDE/>
        <w:autoSpaceDN/>
        <w:adjustRightInd/>
        <w:spacing w:before="0"/>
        <w:textAlignment w:val="auto"/>
      </w:pPr>
      <w:r w:rsidRPr="002176A4">
        <w:br w:type="page"/>
      </w:r>
    </w:p>
    <w:p w14:paraId="172A365F" w14:textId="4F24A3BF" w:rsidR="00906BCB" w:rsidRPr="002176A4" w:rsidRDefault="00906BCB" w:rsidP="002176A4">
      <w:pPr>
        <w:pStyle w:val="AnnexTitle"/>
      </w:pPr>
      <w:r w:rsidRPr="002176A4">
        <w:lastRenderedPageBreak/>
        <w:t>ANNEXE 1</w:t>
      </w:r>
      <w:r w:rsidR="002176A4" w:rsidRPr="002176A4">
        <w:t>:</w:t>
      </w:r>
      <w:r w:rsidR="002176A4" w:rsidRPr="002176A4">
        <w:br/>
      </w:r>
      <w:r w:rsidRPr="002176A4">
        <w:t>Mandat du Groupe spécialisé de l'UIT-T sur l'intelligence artificielle au service</w:t>
      </w:r>
      <w:r w:rsidR="002176A4" w:rsidRPr="002176A4">
        <w:br/>
      </w:r>
      <w:r w:rsidRPr="002176A4">
        <w:t>des villes et communautés intelligentes et durables (FG-AI4SSC)</w:t>
      </w:r>
    </w:p>
    <w:p w14:paraId="49749362" w14:textId="77777777" w:rsidR="00906BCB" w:rsidRPr="002176A4" w:rsidRDefault="00906BCB" w:rsidP="002176A4">
      <w:pPr>
        <w:pStyle w:val="Heading1"/>
      </w:pPr>
      <w:r w:rsidRPr="002176A4">
        <w:t>1</w:t>
      </w:r>
      <w:r w:rsidRPr="002176A4">
        <w:tab/>
        <w:t>Discussion</w:t>
      </w:r>
    </w:p>
    <w:p w14:paraId="1846EB46" w14:textId="77777777" w:rsidR="00906BCB" w:rsidRPr="002176A4" w:rsidRDefault="00906BCB" w:rsidP="00906BCB">
      <w:r w:rsidRPr="002176A4">
        <w:t>L'intelligence artificielle (IA) entre dans une nouvelle phase opérationnelle. Dans de nombreux secteurs, l'IA est désormais intégrée directement dans les systèmes et les services, permettant une planification autonome, une coordination de la prise de décisions entre les systèmes et une interaction avec des environnements physiques grâce à des technologies d'IA existantes et futures, telles que l'IA générative, l'IA agentique, l'IA physique ou l'IA spatiale. Ces technologies d'IA sont de plus en plus essentielles dans les écosystèmes numériques urbains, en ce qu'elles permettent le fonctionnement de systèmes et de services urbains fondés sur l'IA, capables de raisonner, de coordonner des actions autonomes et d'interagir directement avec le tissu physique des villes.</w:t>
      </w:r>
    </w:p>
    <w:p w14:paraId="73BC99A5" w14:textId="77777777" w:rsidR="00906BCB" w:rsidRPr="002176A4" w:rsidRDefault="00906BCB" w:rsidP="00906BCB">
      <w:r w:rsidRPr="002176A4">
        <w:t>Dans ce contexte, l'IA n'est plus un outil isolé, mais une capacité intégrée dans les services urbains, l'exploitation des infrastructures, les processus de gouvernance et les environnements numériques et physiques; elle constitue ainsi un catalyseur essentiel de la métaville et marque l'avènement d'un nouveau type de transformation numérique fondée sur l'IA.</w:t>
      </w:r>
    </w:p>
    <w:p w14:paraId="255F3825" w14:textId="77777777" w:rsidR="00906BCB" w:rsidRPr="002176A4" w:rsidRDefault="00906BCB" w:rsidP="00906BCB">
      <w:r w:rsidRPr="002176A4">
        <w:t>Cette transformation concerne de multiples domaines de la ville et de la communauté, notamment la mobilité, l'agriculture, l'industrie, le tourisme, les services publics, la sécurité publique, la surveillance de l'environnement et l'urbanisme. Elle couvre également plusieurs couches système, des dispositifs et des environnements périphériques aux plates-formes, aux jumeaux numériques et aux systèmes opérationnels au niveau de la ville. Toutefois, le paysage actuel de la normalisation ne reflète pas encore pleinement le rythme, l'ampleur et les incidences systémiques de ces évolutions technologiques dans le tissu des systèmes urbains. Les activités de normalisation existantes sont souvent axées sur des technologies individuelles ou des domaines d'application particuliers, mais ne traitent pas encore de l'utilisation de l'IA au niveau des villes et communautés intelligentes et durables en tant que systèmes sociotechniques interconnectés.</w:t>
      </w:r>
    </w:p>
    <w:p w14:paraId="50F997D1" w14:textId="77777777" w:rsidR="00906BCB" w:rsidRPr="002176A4" w:rsidRDefault="00906BCB" w:rsidP="00906BCB">
      <w:r w:rsidRPr="002176A4">
        <w:t>En particulier, les travaux existants sur les villes et communautés intelligentes et durables, les jumeaux numériques et les systèmes IoT ne traitent pas suffisamment des aspects d'intégration requis pour les systèmes et services urbains fondés sur l'IA. Il s'agit notamment des interfaces, de l'interopérabilité, des mécanismes de coordination et des cadres nécessaires pour que les technologies d'IA puissent s'intégrer de manière cohérente, sûre et efficace dans les systèmes et services de l'Internet des objets (IoT), des jumeaux numériques et des villes et communautés intelligentes et durables dans le cadre de déploiements à l'échelle des villes.</w:t>
      </w:r>
    </w:p>
    <w:p w14:paraId="1242057E" w14:textId="77777777" w:rsidR="00906BCB" w:rsidRPr="002176A4" w:rsidRDefault="00906BCB" w:rsidP="00906BCB">
      <w:r w:rsidRPr="002176A4">
        <w:t>Ce Groupe spécialisé constituera une plate-forme mondiale pour mener des activités préalables à la normalisation en vue de parvenir à une compréhension commune, de recenser les lacunes et de préparer le terrain pour les futures Recommandations UIT-T relevant de la CE 20 de l'UIT-T.</w:t>
      </w:r>
    </w:p>
    <w:p w14:paraId="09D98114" w14:textId="77777777" w:rsidR="00906BCB" w:rsidRPr="002176A4" w:rsidRDefault="00906BCB" w:rsidP="002176A4">
      <w:pPr>
        <w:pStyle w:val="Heading1"/>
      </w:pPr>
      <w:r w:rsidRPr="002176A4">
        <w:t>2</w:t>
      </w:r>
      <w:r w:rsidRPr="002176A4">
        <w:tab/>
        <w:t>Mandat</w:t>
      </w:r>
    </w:p>
    <w:p w14:paraId="7839889F" w14:textId="5446C802" w:rsidR="00906BCB" w:rsidRPr="002176A4" w:rsidRDefault="00906BCB" w:rsidP="00906BCB">
      <w:r w:rsidRPr="002176A4">
        <w:t>Ce Groupe spécialisé mène des activités préalables à la normalisation pour examiner les aspects d'intégration requis pour les systèmes et services urbains reposant sur l'IA, y compris les exigences, les interfaces, les mécanismes de coordination et les cadres nécessaires pour assurer l'interopérabilité cohérente, sûre et efficace des technologies d'IA existantes et futures avec les systèmes et services de l'IoT, des jumeaux numériques et des villes et communautés intelligentes et durables dans le cadre de déploiements à l'échelle des villes, conformément à la Résolution 214 (Bucarest, 2022) de la Conférence de plénipotentiaires.</w:t>
      </w:r>
    </w:p>
    <w:p w14:paraId="523B29FB" w14:textId="77777777" w:rsidR="00906BCB" w:rsidRPr="002176A4" w:rsidRDefault="00906BCB" w:rsidP="00906BCB">
      <w:r w:rsidRPr="002176A4">
        <w:lastRenderedPageBreak/>
        <w:t>Le Groupe spécialisé examinera les questions suivantes:</w:t>
      </w:r>
    </w:p>
    <w:p w14:paraId="42C66384" w14:textId="77777777" w:rsidR="00906BCB" w:rsidRPr="002176A4" w:rsidRDefault="00906BCB" w:rsidP="002176A4">
      <w:pPr>
        <w:pStyle w:val="enumlev1"/>
      </w:pPr>
      <w:r w:rsidRPr="002176A4">
        <w:t>–</w:t>
      </w:r>
      <w:r w:rsidRPr="002176A4">
        <w:tab/>
        <w:t>Définitions, terminologie, taxonomie, concepts et vision de l'IA au service des villes et des communautés intelligentes et durables, des systèmes et services urbains reposant sur l'IA, y compris des cas d'utilisation intersectoriels représentatifs.</w:t>
      </w:r>
    </w:p>
    <w:p w14:paraId="4FE496EB" w14:textId="77777777" w:rsidR="00906BCB" w:rsidRPr="002176A4" w:rsidRDefault="00906BCB" w:rsidP="002176A4">
      <w:pPr>
        <w:pStyle w:val="enumlev1"/>
      </w:pPr>
      <w:r w:rsidRPr="002176A4">
        <w:t>–</w:t>
      </w:r>
      <w:r w:rsidRPr="002176A4">
        <w:tab/>
        <w:t>Caractéristiques, exigences et cadres des technologies d'IA au service des villes et communautés intelligentes et durables.</w:t>
      </w:r>
    </w:p>
    <w:p w14:paraId="0F7E98A8" w14:textId="77777777" w:rsidR="00906BCB" w:rsidRPr="002176A4" w:rsidRDefault="00906BCB" w:rsidP="002176A4">
      <w:pPr>
        <w:pStyle w:val="enumlev1"/>
      </w:pPr>
      <w:r w:rsidRPr="002176A4">
        <w:t>–</w:t>
      </w:r>
      <w:r w:rsidRPr="002176A4">
        <w:tab/>
        <w:t>Cadres architecturaux et modèles de référence pour les systèmes et services urbains reposant sur l'IA afin de permettre des déploiements interopérables et modulables dans l'ensemble des domaines verticaux.</w:t>
      </w:r>
    </w:p>
    <w:p w14:paraId="06B30BFF" w14:textId="77777777" w:rsidR="00906BCB" w:rsidRPr="002176A4" w:rsidRDefault="00906BCB" w:rsidP="002176A4">
      <w:pPr>
        <w:pStyle w:val="enumlev1"/>
      </w:pPr>
      <w:r w:rsidRPr="002176A4">
        <w:t>–</w:t>
      </w:r>
      <w:r w:rsidRPr="002176A4">
        <w:tab/>
        <w:t>Mécanismes d'interopérabilité et de coordination rendus possibles par les technologies d'IA pour les villes et communautés intelligentes et durables dans les systèmes opérationnels des villes, y compris les mécanismes d'interopérabilité minimale (MIM).</w:t>
      </w:r>
    </w:p>
    <w:p w14:paraId="1DDFFA80" w14:textId="77777777" w:rsidR="00906BCB" w:rsidRPr="002176A4" w:rsidRDefault="00906BCB" w:rsidP="002176A4">
      <w:pPr>
        <w:pStyle w:val="enumlev1"/>
      </w:pPr>
      <w:r w:rsidRPr="002176A4">
        <w:t>–</w:t>
      </w:r>
      <w:r w:rsidRPr="002176A4">
        <w:tab/>
        <w:t>Considérations relatives aux exigences concernant les mécanismes de surveillance et de commande dans les systèmes et services urbains fondés sur l'IA, compte tenu du caractère essentiel des services et des exigences opérationnelles.</w:t>
      </w:r>
    </w:p>
    <w:p w14:paraId="3499B134" w14:textId="77777777" w:rsidR="00906BCB" w:rsidRPr="002176A4" w:rsidRDefault="00906BCB" w:rsidP="002176A4">
      <w:pPr>
        <w:pStyle w:val="enumlev1"/>
      </w:pPr>
      <w:r w:rsidRPr="002176A4">
        <w:t>–</w:t>
      </w:r>
      <w:r w:rsidRPr="002176A4">
        <w:tab/>
        <w:t>Aspects relatifs aux données des technologies d'IA au service des villes et communautés intelligentes et durables, y compris l'interopérabilité, le partage des données, la qualité et les considérations relatives au cycle de vie.</w:t>
      </w:r>
    </w:p>
    <w:p w14:paraId="072FF448" w14:textId="77777777" w:rsidR="00906BCB" w:rsidRPr="002176A4" w:rsidRDefault="00906BCB" w:rsidP="002176A4">
      <w:pPr>
        <w:pStyle w:val="enumlev1"/>
      </w:pPr>
      <w:r w:rsidRPr="002176A4">
        <w:t>–</w:t>
      </w:r>
      <w:r w:rsidRPr="002176A4">
        <w:tab/>
        <w:t>Gestion du cycle de vie, évaluation et cadres d'évaluation du cycle de vie des technologies d'IA pour les villes et communautés intelligentes et durables, y compris les mécanismes d'analyse comparative, de suivi et de comparabilité internationale.</w:t>
      </w:r>
    </w:p>
    <w:p w14:paraId="55BB2035" w14:textId="77777777" w:rsidR="00906BCB" w:rsidRPr="002176A4" w:rsidRDefault="00906BCB" w:rsidP="002176A4">
      <w:pPr>
        <w:pStyle w:val="enumlev1"/>
      </w:pPr>
      <w:r w:rsidRPr="002176A4">
        <w:t>–</w:t>
      </w:r>
      <w:r w:rsidRPr="002176A4">
        <w:tab/>
        <w:t>Aspects des technologies d'IA centrés sur l'humain et inclusifs au service des villes et communautés intelligentes et durables, y compris l'accessibilité et la santé numérique liées à l'IoT et aux villes et communautés intelligentes et durables, et collaboration entre les humains et l'IA dans les services urbains.</w:t>
      </w:r>
    </w:p>
    <w:p w14:paraId="06CF77FC" w14:textId="77777777" w:rsidR="00906BCB" w:rsidRPr="002176A4" w:rsidRDefault="00906BCB" w:rsidP="002176A4">
      <w:pPr>
        <w:pStyle w:val="enumlev1"/>
      </w:pPr>
      <w:r w:rsidRPr="002176A4">
        <w:t>–</w:t>
      </w:r>
      <w:r w:rsidRPr="002176A4">
        <w:tab/>
        <w:t>Évaluation de l'état de préparation à l'IA et des incidences de son utilisation dans les villes et communautés intelligentes et durables, en tirant parti des Recommandations et des méthodes de l'UIT-T existantes, s'il y a lieu.</w:t>
      </w:r>
    </w:p>
    <w:p w14:paraId="603AB325" w14:textId="77777777" w:rsidR="00906BCB" w:rsidRPr="002176A4" w:rsidRDefault="00906BCB" w:rsidP="002176A4">
      <w:pPr>
        <w:pStyle w:val="enumlev1"/>
      </w:pPr>
      <w:r w:rsidRPr="002176A4">
        <w:t>–</w:t>
      </w:r>
      <w:r w:rsidRPr="002176A4">
        <w:tab/>
        <w:t>Évaluation de l'état de préparation à l'adoption et à l'intégration de l'IA, et étude d'une feuille de route pour des villes et communautés intelligentes et durables.</w:t>
      </w:r>
    </w:p>
    <w:p w14:paraId="46F77FE9" w14:textId="77777777" w:rsidR="00906BCB" w:rsidRPr="002176A4" w:rsidRDefault="00906BCB" w:rsidP="002176A4">
      <w:pPr>
        <w:pStyle w:val="enumlev1"/>
      </w:pPr>
      <w:r w:rsidRPr="002176A4">
        <w:t>–</w:t>
      </w:r>
      <w:r w:rsidRPr="002176A4">
        <w:tab/>
        <w:t>L'IA spatiale au service de la convergence numérique-physique dans les villes, en intégrant des systèmes géospatiaux, des jumeaux numériques et la détection en temps réel pour produire des résultats réutilisables.</w:t>
      </w:r>
    </w:p>
    <w:p w14:paraId="1FF2F5F2" w14:textId="77777777" w:rsidR="00906BCB" w:rsidRPr="002176A4" w:rsidRDefault="00906BCB" w:rsidP="002176A4">
      <w:pPr>
        <w:pStyle w:val="enumlev1"/>
      </w:pPr>
      <w:r w:rsidRPr="002176A4">
        <w:t>–</w:t>
      </w:r>
      <w:r w:rsidRPr="002176A4">
        <w:tab/>
        <w:t>Orientations pour l'adoption et l'intégration de technologies d'IA de base pertinentes pour les villes et les communautés intelligentes et durables.</w:t>
      </w:r>
    </w:p>
    <w:p w14:paraId="46D218C2" w14:textId="77777777" w:rsidR="00906BCB" w:rsidRPr="002176A4" w:rsidRDefault="00906BCB" w:rsidP="002176A4">
      <w:pPr>
        <w:pStyle w:val="enumlev1"/>
      </w:pPr>
      <w:r w:rsidRPr="002176A4">
        <w:t>–</w:t>
      </w:r>
      <w:r w:rsidRPr="002176A4">
        <w:tab/>
        <w:t>Aspects liés à la durabilité des systèmes fondés sur l'IA, y compris la mise en œuvre et le suivi de la consommation d'énergie et l'empreinte carbone des déploiements d'IA à l'échelle des villes, en tirant parti des Recommandations et méthodologies existantes de l'UIT-T, s'il y a lieu.</w:t>
      </w:r>
    </w:p>
    <w:p w14:paraId="050CAE23" w14:textId="07D2B270" w:rsidR="00906BCB" w:rsidRPr="002176A4" w:rsidRDefault="00906BCB" w:rsidP="00906BCB">
      <w:r w:rsidRPr="002176A4">
        <w:t>Le Groupe spécialisé n'étudiera pas les politiques urbaines générales, la gouvernance, les politiques sociales, les cadres éthiques ou réglementaires applicables à l'IA, ni la réglementation sectorielle, sauf lorsque ces questions sont directement liées à l'interopérabilité, aux systèmes fondés sur les technologies de l'information et de la communication (TIC), à l'intégration des systèmes ou aux activités préalables à la normalisation relevant du mandat de l'UIT-T, compte tenu de la Résolution</w:t>
      </w:r>
      <w:r w:rsidR="002176A4" w:rsidRPr="002176A4">
        <w:t> </w:t>
      </w:r>
      <w:r w:rsidRPr="002176A4">
        <w:t>214 (Bucarest, 2022) de la Conférence de plénipotentiaires.</w:t>
      </w:r>
    </w:p>
    <w:p w14:paraId="52811828" w14:textId="77777777" w:rsidR="00906BCB" w:rsidRPr="002176A4" w:rsidRDefault="00906BCB" w:rsidP="00906BCB">
      <w:r w:rsidRPr="002176A4">
        <w:lastRenderedPageBreak/>
        <w:t>Le Groupe spécialisé n'étudiera pas en détail la conception de modèles d'IA, les aspects environnementaux de l'IA, les méthodes d'entraînement et de test, la robotique polyvalente, les aspects multimédias ou les questions fondamentales de cybersécurité qui relèvent du mandat des autres commissions d'études et groupes spécialisés de l'UIT-T.</w:t>
      </w:r>
    </w:p>
    <w:p w14:paraId="3D888D26" w14:textId="77777777" w:rsidR="00906BCB" w:rsidRPr="002176A4" w:rsidRDefault="00906BCB" w:rsidP="00906BCB">
      <w:r w:rsidRPr="002176A4">
        <w:t>Ce Groupe spécialisé offrira un cadre pour identifier les parties prenantes et les partenaires avec lesquels l'UIT-T pourrait collaborer et pour inclure les non-membres afin qu'ils contribuent aux travaux techniques préalables nécessaires en vue de la normalisation. Une collaboration potentielle peut être établie entre les établissements universitaires, le secteur privé, les organismes de réglementation, les entités des Nations Unies et les organisations de normalisation, afin de garantir des bases techniques inclusives et interopérables.</w:t>
      </w:r>
    </w:p>
    <w:p w14:paraId="3A9BC3BF" w14:textId="63A96B68" w:rsidR="00906BCB" w:rsidRPr="002176A4" w:rsidRDefault="00906BCB" w:rsidP="002176A4">
      <w:pPr>
        <w:pStyle w:val="Heading1"/>
      </w:pPr>
      <w:r w:rsidRPr="002176A4">
        <w:t>3</w:t>
      </w:r>
      <w:r w:rsidRPr="002176A4">
        <w:tab/>
        <w:t>Objectifs</w:t>
      </w:r>
    </w:p>
    <w:p w14:paraId="04B1412B" w14:textId="77777777" w:rsidR="00906BCB" w:rsidRPr="002176A4" w:rsidRDefault="00906BCB" w:rsidP="00906BCB">
      <w:r w:rsidRPr="002176A4">
        <w:t>L'objectif du Groupe spécialisé est d'appuyer les activités préalables à la normalisation en vue de mener une étude cohérente et à l'échelle du système sur les technologies urbaines fondées sur l'IA dans les villes et les communautés intelligentes et durables, y compris la prise en charge de l'IA à l'échelle du système et dans différents domaines pour les villes et communautés intelligentes et durables.</w:t>
      </w:r>
    </w:p>
    <w:p w14:paraId="1F1DCCBD" w14:textId="77777777" w:rsidR="00906BCB" w:rsidRPr="002176A4" w:rsidRDefault="00906BCB" w:rsidP="00906BCB">
      <w:r w:rsidRPr="002176A4">
        <w:t>Le Groupe spécialisé entend fournir un cadre ouvert de collaboration, de coordination et d'échange de compétences spécialisées sur l'IA au service des villes et des communautés intelligentes et durables. Ses travaux visent à faciliter la normalisation internationale future des cadres architecturaux, des approches de l'interopérabilité et des méthodes d'évaluation, qui sont essentiels pour les systèmes de villes et de communautés intelligentes et durables modulables et interopérables reposant sur l'IA.</w:t>
      </w:r>
    </w:p>
    <w:p w14:paraId="55443863" w14:textId="77777777" w:rsidR="00906BCB" w:rsidRPr="002176A4" w:rsidRDefault="00906BCB" w:rsidP="00906BCB">
      <w:r w:rsidRPr="002176A4">
        <w:t>Plus précisément, le Groupe spécialisé effectuera les tâches suivantes:</w:t>
      </w:r>
    </w:p>
    <w:p w14:paraId="353423FA" w14:textId="77777777" w:rsidR="00906BCB" w:rsidRPr="002176A4" w:rsidRDefault="00906BCB" w:rsidP="002176A4">
      <w:pPr>
        <w:pStyle w:val="enumlev1"/>
      </w:pPr>
      <w:r w:rsidRPr="002176A4">
        <w:t>–</w:t>
      </w:r>
      <w:r w:rsidRPr="002176A4">
        <w:tab/>
        <w:t>Créer et consolider une communauté intersectorielle d'experts et de praticiens travaillant sur l'IA au service des villes et des communautés intelligentes et durables, en favorisant une vision commune, une terminologie et une compréhension communes.</w:t>
      </w:r>
    </w:p>
    <w:p w14:paraId="2C550AE2" w14:textId="77777777" w:rsidR="00906BCB" w:rsidRPr="002176A4" w:rsidRDefault="00906BCB" w:rsidP="002176A4">
      <w:pPr>
        <w:pStyle w:val="enumlev1"/>
      </w:pPr>
      <w:r w:rsidRPr="002176A4">
        <w:t>–</w:t>
      </w:r>
      <w:r w:rsidRPr="002176A4">
        <w:tab/>
        <w:t>Recenser et documenter la valeur que les technologies d'IA (par exemple, l'IA générative, l'IA agentique, l'IA physique et l'IA spatiale) peuvent apporter aux villes et aux communautés intelligentes et durables, secteur par secteur (mobilité, énergie, eau, déchets, sécurité, santé, environnement, services publics, urbanisme), afin que ce Groupe spécialisé devienne le pôle de référence en matière de valeur de l'IA dans le domaine des villes.</w:t>
      </w:r>
    </w:p>
    <w:p w14:paraId="558F4A81" w14:textId="77777777" w:rsidR="00906BCB" w:rsidRPr="002176A4" w:rsidRDefault="00906BCB" w:rsidP="002176A4">
      <w:pPr>
        <w:pStyle w:val="enumlev1"/>
      </w:pPr>
      <w:r w:rsidRPr="002176A4">
        <w:t>–</w:t>
      </w:r>
      <w:r w:rsidRPr="002176A4">
        <w:tab/>
        <w:t>Recenser et étudier les concepts, les capacités et les technologies d'IA essentiels pour les villes et communautés intelligentes et durables, comme l'IA générative, l'IA agentique, l'IA physique, l'IA spatiale et les services urbains reposant sur l'IA.</w:t>
      </w:r>
    </w:p>
    <w:p w14:paraId="752A1EDC" w14:textId="77777777" w:rsidR="00906BCB" w:rsidRPr="002176A4" w:rsidRDefault="00906BCB" w:rsidP="002176A4">
      <w:pPr>
        <w:pStyle w:val="enumlev1"/>
      </w:pPr>
      <w:r w:rsidRPr="002176A4">
        <w:t>–</w:t>
      </w:r>
      <w:r w:rsidRPr="002176A4">
        <w:tab/>
        <w:t>Recenser les cas d'utilisation et les caractéristiques, définir les exigences et les cadres architecturaux ainsi que les considérations opérationnelles et les bonnes pratiques concernant l'IA au service des villes et communautés intelligentes et durables.</w:t>
      </w:r>
    </w:p>
    <w:p w14:paraId="6BEEE29E" w14:textId="77777777" w:rsidR="00906BCB" w:rsidRPr="002176A4" w:rsidRDefault="00906BCB" w:rsidP="002176A4">
      <w:pPr>
        <w:pStyle w:val="enumlev1"/>
      </w:pPr>
      <w:r w:rsidRPr="002176A4">
        <w:t>–</w:t>
      </w:r>
      <w:r w:rsidRPr="002176A4">
        <w:tab/>
        <w:t>Analyser les tendances évolutives des villes et communautés intelligentes et durables, les travaux de recherche sur les cadres d'évaluation de la maturité fondés sur l'IA, ainsi que les services urbains fondés sur l'IA.</w:t>
      </w:r>
    </w:p>
    <w:p w14:paraId="4678BB9D" w14:textId="77777777" w:rsidR="00906BCB" w:rsidRPr="002176A4" w:rsidRDefault="00906BCB" w:rsidP="002176A4">
      <w:pPr>
        <w:pStyle w:val="enumlev1"/>
      </w:pPr>
      <w:r w:rsidRPr="002176A4">
        <w:t>–</w:t>
      </w:r>
      <w:r w:rsidRPr="002176A4">
        <w:tab/>
        <w:t>Procéder à une analyse des lacunes et recenser les chevauchements, ainsi que les besoins de coordination entre les activités de normalisation existantes liées à l'IA au service des villes et des communautés intelligentes et durables.</w:t>
      </w:r>
    </w:p>
    <w:p w14:paraId="20C24563" w14:textId="77777777" w:rsidR="00906BCB" w:rsidRPr="002176A4" w:rsidRDefault="00906BCB" w:rsidP="002176A4">
      <w:pPr>
        <w:pStyle w:val="enumlev1"/>
      </w:pPr>
      <w:r w:rsidRPr="002176A4">
        <w:lastRenderedPageBreak/>
        <w:t>–</w:t>
      </w:r>
      <w:r w:rsidRPr="002176A4">
        <w:tab/>
        <w:t>Élaborer des cadres techniques, des modèles de référence et des approches communes au niveau des systèmes pour l'interopérabilité et l'intégration entre domaines et couches.</w:t>
      </w:r>
    </w:p>
    <w:p w14:paraId="57ECA827" w14:textId="77777777" w:rsidR="00906BCB" w:rsidRPr="002176A4" w:rsidRDefault="00906BCB" w:rsidP="002176A4">
      <w:pPr>
        <w:pStyle w:val="enumlev1"/>
      </w:pPr>
      <w:r w:rsidRPr="002176A4">
        <w:t>–</w:t>
      </w:r>
      <w:r w:rsidRPr="002176A4">
        <w:tab/>
        <w:t>Promouvoir la collaboration internationale et l'échange de bonnes pratiques relatives à l'adoption de l'IA interopérable, évolutive et durable.</w:t>
      </w:r>
    </w:p>
    <w:p w14:paraId="2CFBBB0F" w14:textId="77777777" w:rsidR="00906BCB" w:rsidRPr="002176A4" w:rsidRDefault="00906BCB" w:rsidP="002176A4">
      <w:pPr>
        <w:pStyle w:val="enumlev1"/>
      </w:pPr>
      <w:r w:rsidRPr="002176A4">
        <w:t>–</w:t>
      </w:r>
      <w:r w:rsidRPr="002176A4">
        <w:tab/>
        <w:t>Étudier les aspects liés à la gestion du cycle de vie, y compris les cadres d'évaluation et d'analyse pouvant être utilisés par les villes, les pouvoirs publics, les régulateurs, les opérateurs et le secteur privé.</w:t>
      </w:r>
    </w:p>
    <w:p w14:paraId="5043EE96" w14:textId="77777777" w:rsidR="00906BCB" w:rsidRPr="002176A4" w:rsidRDefault="00906BCB" w:rsidP="002176A4">
      <w:pPr>
        <w:pStyle w:val="enumlev1"/>
      </w:pPr>
      <w:r w:rsidRPr="002176A4">
        <w:t>–</w:t>
      </w:r>
      <w:r w:rsidRPr="002176A4">
        <w:tab/>
        <w:t>Offrir un cadre pour échanger des résultats et pour faciliter le dialogue sur les incidences économiques, politiques et réglementaires de l'utilisation de l'IA au service des villes et des communautés intelligentes et durables.</w:t>
      </w:r>
    </w:p>
    <w:p w14:paraId="5924DCEA" w14:textId="77777777" w:rsidR="00906BCB" w:rsidRPr="002176A4" w:rsidRDefault="00906BCB" w:rsidP="002176A4">
      <w:pPr>
        <w:pStyle w:val="enumlev1"/>
      </w:pPr>
      <w:r w:rsidRPr="002176A4">
        <w:t>–</w:t>
      </w:r>
      <w:r w:rsidRPr="002176A4">
        <w:tab/>
        <w:t>Identifier les parties prenantes et les partenaires avec lesquels l'UIT-T pourrait collaborer plus étroitement, et définir les prochaines étapes potentielles ainsi qu'un scénario de transition pour que les résultats des travaux du Groupe spécialisé deviennent des Recommandations UIT-T relevant de la CE 20 de l'UIT-T.</w:t>
      </w:r>
    </w:p>
    <w:p w14:paraId="763BD07A" w14:textId="77777777" w:rsidR="00906BCB" w:rsidRPr="002176A4" w:rsidRDefault="00906BCB" w:rsidP="002176A4">
      <w:pPr>
        <w:pStyle w:val="Heading1"/>
      </w:pPr>
      <w:r w:rsidRPr="002176A4">
        <w:t>4</w:t>
      </w:r>
      <w:r w:rsidRPr="002176A4">
        <w:tab/>
        <w:t>Tâches spécifiques et produits</w:t>
      </w:r>
    </w:p>
    <w:p w14:paraId="6FB9BF7E" w14:textId="77777777" w:rsidR="00906BCB" w:rsidRPr="002176A4" w:rsidRDefault="00906BCB" w:rsidP="00906BCB">
      <w:r w:rsidRPr="002176A4">
        <w:t>Le Groupe spécialisé élaborera des rapports techniques, des spécifications techniques et d'autres produits, par exemple:</w:t>
      </w:r>
    </w:p>
    <w:p w14:paraId="43F4499F" w14:textId="77777777" w:rsidR="00906BCB" w:rsidRPr="002176A4" w:rsidRDefault="00906BCB" w:rsidP="002176A4">
      <w:pPr>
        <w:pStyle w:val="enumlev1"/>
      </w:pPr>
      <w:r w:rsidRPr="002176A4">
        <w:t>–</w:t>
      </w:r>
      <w:r w:rsidRPr="002176A4">
        <w:tab/>
        <w:t>Des produits de recherche, d'investigation et d'analyse en matière de normalisation relatifs à l'IA au service des villes et des communautés intelligentes et durables, y compris l'IA générative, l'IA agentique, l'IA physique, l'IA spatiale et les services urbains reposant sur l'IA, susceptibles de déboucher sur de nouveaux sujets d'étude de l'UIT-T.</w:t>
      </w:r>
    </w:p>
    <w:p w14:paraId="0DB9348D" w14:textId="77777777" w:rsidR="00906BCB" w:rsidRPr="002176A4" w:rsidRDefault="00906BCB" w:rsidP="002176A4">
      <w:pPr>
        <w:pStyle w:val="enumlev1"/>
      </w:pPr>
      <w:r w:rsidRPr="002176A4">
        <w:t>–</w:t>
      </w:r>
      <w:r w:rsidRPr="002176A4">
        <w:tab/>
        <w:t>Des produits relatifs aux définitions, à la terminologie, à la taxonomie, aux concepts et à la vision de l'IA au service des villes et communautés intelligentes et durables, y compris des cas d'utilisation intersectoriels représentatifs.</w:t>
      </w:r>
    </w:p>
    <w:p w14:paraId="1521CC42" w14:textId="77777777" w:rsidR="00906BCB" w:rsidRPr="002176A4" w:rsidRDefault="00906BCB" w:rsidP="002176A4">
      <w:pPr>
        <w:pStyle w:val="enumlev1"/>
      </w:pPr>
      <w:r w:rsidRPr="002176A4">
        <w:t>–</w:t>
      </w:r>
      <w:r w:rsidRPr="002176A4">
        <w:tab/>
        <w:t>Des produits concernant la conception de systèmes et de services urbains reposant sur l'IA.</w:t>
      </w:r>
    </w:p>
    <w:p w14:paraId="4CA5BAF2" w14:textId="77777777" w:rsidR="00906BCB" w:rsidRPr="002176A4" w:rsidRDefault="00906BCB" w:rsidP="002176A4">
      <w:pPr>
        <w:pStyle w:val="enumlev1"/>
      </w:pPr>
      <w:r w:rsidRPr="002176A4">
        <w:t>–</w:t>
      </w:r>
      <w:r w:rsidRPr="002176A4">
        <w:tab/>
        <w:t>Des produits relatifs aux cas d'utilisation, aux caractéristiques, aux exigences et aux cadres architecturaux, aux considérations opérationnelles et aux bonnes pratiques concernant l'IA au service des villes et communautés intelligentes et durables.</w:t>
      </w:r>
    </w:p>
    <w:p w14:paraId="0D01ADE2" w14:textId="77777777" w:rsidR="00906BCB" w:rsidRPr="002176A4" w:rsidRDefault="00906BCB" w:rsidP="002176A4">
      <w:pPr>
        <w:pStyle w:val="enumlev1"/>
      </w:pPr>
      <w:r w:rsidRPr="002176A4">
        <w:t>–</w:t>
      </w:r>
      <w:r w:rsidRPr="002176A4">
        <w:tab/>
        <w:t>Des produits sur l'interopérabilité, les mécanismes de coordination, la gestion des données et l'interaction entre les systèmes numériques et physiques fondés sur les technologies d'IA.</w:t>
      </w:r>
    </w:p>
    <w:p w14:paraId="14787405" w14:textId="77777777" w:rsidR="00906BCB" w:rsidRPr="002176A4" w:rsidRDefault="00906BCB" w:rsidP="002176A4">
      <w:pPr>
        <w:pStyle w:val="enumlev1"/>
      </w:pPr>
      <w:r w:rsidRPr="002176A4">
        <w:t>–</w:t>
      </w:r>
      <w:r w:rsidRPr="002176A4">
        <w:tab/>
        <w:t>Des produits liés à la gestion du cycle de vie, à l'évaluation et aux cadres d'évaluation des technologies d'IA pour les villes et communautés intelligentes et durables, y compris l'analyse comparative, le suivi et les mécanismes de comparabilité internationale.</w:t>
      </w:r>
    </w:p>
    <w:p w14:paraId="6C07B124" w14:textId="77777777" w:rsidR="00906BCB" w:rsidRPr="002176A4" w:rsidRDefault="00906BCB" w:rsidP="002176A4">
      <w:pPr>
        <w:pStyle w:val="enumlev1"/>
      </w:pPr>
      <w:r w:rsidRPr="002176A4">
        <w:t>–</w:t>
      </w:r>
      <w:r w:rsidRPr="002176A4">
        <w:tab/>
        <w:t>Des produits sur les utilisations inclusives et accessibles de l'IA pour les villes et communautés intelligentes et durables.</w:t>
      </w:r>
    </w:p>
    <w:p w14:paraId="7E239D4C" w14:textId="77777777" w:rsidR="00906BCB" w:rsidRPr="002176A4" w:rsidRDefault="00906BCB" w:rsidP="002176A4">
      <w:pPr>
        <w:pStyle w:val="enumlev1"/>
      </w:pPr>
      <w:r w:rsidRPr="002176A4">
        <w:t>–</w:t>
      </w:r>
      <w:r w:rsidRPr="002176A4">
        <w:tab/>
        <w:t>Des lignes directrices sur l'applicabilité des principes de durabilité de l'IA dans les villes et communautés intelligentes et durables.</w:t>
      </w:r>
    </w:p>
    <w:p w14:paraId="37566A1D" w14:textId="77777777" w:rsidR="00906BCB" w:rsidRPr="002176A4" w:rsidRDefault="00906BCB" w:rsidP="002176A4">
      <w:pPr>
        <w:pStyle w:val="enumlev1"/>
      </w:pPr>
      <w:r w:rsidRPr="002176A4">
        <w:t>–</w:t>
      </w:r>
      <w:r w:rsidRPr="002176A4">
        <w:tab/>
        <w:t>Une évaluation de l'état de préparation à l'adoption et à l'intégration de l'IA et des travaux de recherche sur une feuille de route pour les villes et communautés intelligentes et durables.</w:t>
      </w:r>
    </w:p>
    <w:p w14:paraId="0931BDF8" w14:textId="77777777" w:rsidR="00906BCB" w:rsidRPr="002176A4" w:rsidRDefault="00906BCB" w:rsidP="002176A4">
      <w:pPr>
        <w:pStyle w:val="enumlev1"/>
      </w:pPr>
      <w:r w:rsidRPr="002176A4">
        <w:lastRenderedPageBreak/>
        <w:t>–</w:t>
      </w:r>
      <w:r w:rsidRPr="002176A4">
        <w:tab/>
        <w:t>Des travaux sur l'IA spatiale au service de la convergence numérique-physique dans les villes, en intégrant des systèmes géospatiaux, des jumeaux numériques et la détection en temps réel pour produire des résultats réutilisables.</w:t>
      </w:r>
    </w:p>
    <w:p w14:paraId="545187FE" w14:textId="77777777" w:rsidR="00906BCB" w:rsidRPr="002176A4" w:rsidRDefault="00906BCB" w:rsidP="002176A4">
      <w:pPr>
        <w:pStyle w:val="enumlev1"/>
      </w:pPr>
      <w:r w:rsidRPr="002176A4">
        <w:t>–</w:t>
      </w:r>
      <w:r w:rsidRPr="002176A4">
        <w:tab/>
        <w:t>Des orientations pour l'adoption et l'intégration de technologies d'IA de base pertinentes pour les villes et les communautés intelligentes et durables.</w:t>
      </w:r>
    </w:p>
    <w:p w14:paraId="56DAFE41" w14:textId="77777777" w:rsidR="00906BCB" w:rsidRPr="002176A4" w:rsidRDefault="00906BCB" w:rsidP="002176A4">
      <w:pPr>
        <w:pStyle w:val="enumlev1"/>
      </w:pPr>
      <w:r w:rsidRPr="002176A4">
        <w:t>–</w:t>
      </w:r>
      <w:r w:rsidRPr="002176A4">
        <w:tab/>
        <w:t>Des aspects liés à la durabilité des systèmes fondés sur l'IA, y compris la mise en œuvre et le suivi de la consommation d'énergie et l'empreinte carbone des déploiements d'IA à l'échelle des villes.</w:t>
      </w:r>
    </w:p>
    <w:p w14:paraId="2A58DB6E" w14:textId="77777777" w:rsidR="00906BCB" w:rsidRPr="002176A4" w:rsidRDefault="00906BCB" w:rsidP="00906BCB">
      <w:r w:rsidRPr="002176A4">
        <w:t>Afin de faciliter la liaison avec les commissions d'études de l'UIT-T, les entités du secteur et les organisations extérieures concernées, le Groupe spécialisé, en particulier:</w:t>
      </w:r>
    </w:p>
    <w:p w14:paraId="2DE6E04E" w14:textId="77777777" w:rsidR="00906BCB" w:rsidRPr="002176A4" w:rsidRDefault="00906BCB" w:rsidP="002176A4">
      <w:pPr>
        <w:pStyle w:val="enumlev1"/>
      </w:pPr>
      <w:r w:rsidRPr="002176A4">
        <w:t>−</w:t>
      </w:r>
      <w:r w:rsidRPr="002176A4">
        <w:tab/>
        <w:t>collaborera avec les commissions d'études, les groupes spécialisés et d'autres organismes de normalisation concernés de l'UIT-T.</w:t>
      </w:r>
    </w:p>
    <w:p w14:paraId="0D37E5E8" w14:textId="77777777" w:rsidR="00906BCB" w:rsidRPr="002176A4" w:rsidRDefault="00906BCB" w:rsidP="00906BCB">
      <w:r w:rsidRPr="002176A4">
        <w:t>Afin de favoriser la collaboration et l'échange de connaissances, le Groupe spécialisé mènera également les activités suivantes:</w:t>
      </w:r>
    </w:p>
    <w:p w14:paraId="347BB964" w14:textId="77777777" w:rsidR="00906BCB" w:rsidRPr="002176A4" w:rsidRDefault="00906BCB" w:rsidP="002176A4">
      <w:pPr>
        <w:pStyle w:val="enumlev1"/>
      </w:pPr>
      <w:r w:rsidRPr="002176A4">
        <w:t>–</w:t>
      </w:r>
      <w:r w:rsidRPr="002176A4">
        <w:tab/>
        <w:t>Organiser des forums, des ateliers, des tables rondes, des concours et des hackathons, ainsi que des activités de collaboration pour rassembler des compétences et encourager une large participation, y compris la coordination avec les initiatives pertinentes de l'UIT et des Nations Unies (par exemple, le Sommet mondial sur l'IA au service du bien social, l'initiative "Tous unis pour des villes intelligentes et durables", la Journée des mondes virtuels des Nations Unies et l'Initiative mondiale sur l'IA et les mondes virtuels – À la découverte des métavilles).</w:t>
      </w:r>
    </w:p>
    <w:p w14:paraId="09840F71" w14:textId="77777777" w:rsidR="00906BCB" w:rsidRPr="002176A4" w:rsidRDefault="00906BCB" w:rsidP="002176A4">
      <w:pPr>
        <w:pStyle w:val="enumlev1"/>
      </w:pPr>
      <w:r w:rsidRPr="002176A4">
        <w:t>–</w:t>
      </w:r>
      <w:r w:rsidRPr="002176A4">
        <w:tab/>
        <w:t>Identifier les parties prenantes avec lesquelles l'UIT-T pourrait collaborer, établir une activité de liaison avec d'autres organisations susceptibles de contribuer aux activités à mener préalablement au travail de normalisation et définir les activités qui pourraient être menées collectivement ainsi que les prochaines étapes.</w:t>
      </w:r>
    </w:p>
    <w:p w14:paraId="2A511AEC" w14:textId="77777777" w:rsidR="00906BCB" w:rsidRPr="002176A4" w:rsidRDefault="00906BCB" w:rsidP="002176A4">
      <w:pPr>
        <w:pStyle w:val="enumlev1"/>
      </w:pPr>
      <w:r w:rsidRPr="002176A4">
        <w:t>–</w:t>
      </w:r>
      <w:r w:rsidRPr="002176A4">
        <w:tab/>
        <w:t>Offrir une plate-forme pour stimuler la collaboration internationale, échanger des connaissances et des bonnes pratiques et étudier les perspectives et les défis liés à l'utilisation de l'IA au service des villes et des communautés intelligentes et durables.</w:t>
      </w:r>
    </w:p>
    <w:p w14:paraId="0482A468" w14:textId="77777777" w:rsidR="00906BCB" w:rsidRPr="002176A4" w:rsidRDefault="00906BCB" w:rsidP="00906BCB">
      <w:r w:rsidRPr="002176A4">
        <w:t>À la fin de son mandat, le Groupe spécialisé fournira un rapport final et un ensemble complet de produits au à la CE 20 de l'UIT-T.</w:t>
      </w:r>
    </w:p>
    <w:p w14:paraId="22E9E700" w14:textId="77777777" w:rsidR="00906BCB" w:rsidRPr="002176A4" w:rsidRDefault="00906BCB" w:rsidP="002176A4">
      <w:pPr>
        <w:pStyle w:val="Heading1"/>
      </w:pPr>
      <w:r w:rsidRPr="002176A4">
        <w:t>5</w:t>
      </w:r>
      <w:r w:rsidRPr="002176A4">
        <w:tab/>
        <w:t>Relations</w:t>
      </w:r>
    </w:p>
    <w:p w14:paraId="024FADD7" w14:textId="77777777" w:rsidR="00906BCB" w:rsidRPr="002176A4" w:rsidRDefault="00906BCB" w:rsidP="00906BCB">
      <w:r w:rsidRPr="002176A4">
        <w:t>Dans la mesure du possible, le Groupe spécialisé travaillera dans le cadre de réunions ordinaires avec la CE 20 de l'UIT-T. Les travaux préalables à la normalisation menés par le Groupe spécialisé servent à appuyer, à compléter et à éclairer les activités de normalisation de la CE 20, sans faire double emploi avec les efforts en cours. En outre, le Groupe spécialisé assurera une coordination et une liaison étroites avec d'autres CE compétentes de l'UIT-T, selon les besoins, afin d'assurer la cohérence, de promouvoir les synergies et d'éviter les doubles emplois, tout en encourageant la complémentarité et l'utilisation efficace des Recommandations et des méthodes pertinentes existantes de l'UIT-T dans des domaines connexes. Conformément à la Recommandation UIT-T A.7, le Groupe spécialisé collaborera avec des villes, des pouvoirs publics, des régulateurs, des opérateurs, des entreprises, des établissements universitaires, des instituts de recherche, des organisations de normalisation, les forums et consortiums concernés, des entreprises et d'autres parties prenantes concernées.</w:t>
      </w:r>
    </w:p>
    <w:p w14:paraId="45CCC57B" w14:textId="77777777" w:rsidR="00906BCB" w:rsidRPr="002176A4" w:rsidRDefault="00906BCB" w:rsidP="00906BCB">
      <w:r w:rsidRPr="002176A4">
        <w:lastRenderedPageBreak/>
        <w:t>Le Groupe spécialisé encouragera la participation des membres de l'UIT et des entités non membres afin de favoriser un engagement large, inclusif et international en faveur de l'IA au service des villes et des communautés intelligentes et durables.</w:t>
      </w:r>
    </w:p>
    <w:p w14:paraId="5BC0D840" w14:textId="77777777" w:rsidR="00906BCB" w:rsidRPr="002176A4" w:rsidRDefault="00906BCB" w:rsidP="00906BCB">
      <w:r w:rsidRPr="002176A4">
        <w:t>Le Groupe spécialisé organisera des webinaires, des ateliers et des forums pour promouvoir ses activités, en encourageant les membres de l'UIT et les entités non membres de l'UIT à contribuer conjointement à ses activités et à la réalisation de ses objectifs.</w:t>
      </w:r>
    </w:p>
    <w:p w14:paraId="1034F48E" w14:textId="77777777" w:rsidR="00906BCB" w:rsidRPr="002176A4" w:rsidRDefault="00906BCB" w:rsidP="002176A4">
      <w:pPr>
        <w:pStyle w:val="Heading1"/>
      </w:pPr>
      <w:r w:rsidRPr="002176A4">
        <w:t>6</w:t>
      </w:r>
      <w:r w:rsidRPr="002176A4">
        <w:tab/>
        <w:t>Structure</w:t>
      </w:r>
    </w:p>
    <w:p w14:paraId="5A96B53D" w14:textId="77777777" w:rsidR="00906BCB" w:rsidRPr="002176A4" w:rsidRDefault="00906BCB" w:rsidP="00906BCB">
      <w:r w:rsidRPr="002176A4">
        <w:t>Le Groupe spécialisé peut, si nécessaire, mettre en place une structure composée de sous-groupes.</w:t>
      </w:r>
    </w:p>
    <w:p w14:paraId="62B3D434" w14:textId="77777777" w:rsidR="00906BCB" w:rsidRPr="002176A4" w:rsidRDefault="00906BCB" w:rsidP="002176A4">
      <w:pPr>
        <w:pStyle w:val="Heading1"/>
      </w:pPr>
      <w:r w:rsidRPr="002176A4">
        <w:t>7</w:t>
      </w:r>
      <w:r w:rsidRPr="002176A4">
        <w:tab/>
        <w:t>Entité de rattachement</w:t>
      </w:r>
    </w:p>
    <w:p w14:paraId="27E0B013" w14:textId="77777777" w:rsidR="00906BCB" w:rsidRPr="002176A4" w:rsidRDefault="00906BCB" w:rsidP="00906BCB">
      <w:r w:rsidRPr="002176A4">
        <w:t>L'entité de rattachement du Groupe spécialisé est la CE 20 de l'UIT-T.</w:t>
      </w:r>
    </w:p>
    <w:p w14:paraId="71CF92EE" w14:textId="77777777" w:rsidR="00906BCB" w:rsidRPr="002176A4" w:rsidRDefault="00906BCB" w:rsidP="002176A4">
      <w:pPr>
        <w:pStyle w:val="Heading1"/>
      </w:pPr>
      <w:r w:rsidRPr="002176A4">
        <w:t>8</w:t>
      </w:r>
      <w:r w:rsidRPr="002176A4">
        <w:tab/>
        <w:t>Rôle de direction</w:t>
      </w:r>
    </w:p>
    <w:p w14:paraId="43449FFC" w14:textId="77777777" w:rsidR="00906BCB" w:rsidRPr="002176A4" w:rsidRDefault="00906BCB" w:rsidP="00906BCB">
      <w:r w:rsidRPr="002176A4">
        <w:t>Voir le § 2.3 de la Recommandation UIT-T A.7.</w:t>
      </w:r>
    </w:p>
    <w:p w14:paraId="3ABA5333" w14:textId="77777777" w:rsidR="00906BCB" w:rsidRPr="002176A4" w:rsidRDefault="00906BCB" w:rsidP="002176A4">
      <w:pPr>
        <w:pStyle w:val="Heading1"/>
      </w:pPr>
      <w:r w:rsidRPr="002176A4">
        <w:t>9</w:t>
      </w:r>
      <w:r w:rsidRPr="002176A4">
        <w:tab/>
        <w:t>Participation</w:t>
      </w:r>
    </w:p>
    <w:p w14:paraId="19169E67" w14:textId="77777777" w:rsidR="00906BCB" w:rsidRPr="002176A4" w:rsidRDefault="00906BCB" w:rsidP="00906BCB">
      <w:r w:rsidRPr="002176A4">
        <w:t>Voir le § 3.1 de la Recommandation UIT-T A.7. La liste des participants sera tenue à jour à toutes fins utiles et sera transmise à l'entité de rattachement.</w:t>
      </w:r>
    </w:p>
    <w:p w14:paraId="13C784DA" w14:textId="77777777" w:rsidR="00906BCB" w:rsidRPr="002176A4" w:rsidRDefault="00906BCB" w:rsidP="002176A4">
      <w:pPr>
        <w:pStyle w:val="Heading1"/>
      </w:pPr>
      <w:r w:rsidRPr="002176A4">
        <w:t>10</w:t>
      </w:r>
      <w:r w:rsidRPr="002176A4">
        <w:tab/>
        <w:t>Appui administratif</w:t>
      </w:r>
    </w:p>
    <w:p w14:paraId="684051D8" w14:textId="77777777" w:rsidR="00906BCB" w:rsidRPr="002176A4" w:rsidRDefault="00906BCB" w:rsidP="00906BCB">
      <w:r w:rsidRPr="002176A4">
        <w:t>Voir le § 5 de la Recommandation UIT-T A.7.</w:t>
      </w:r>
    </w:p>
    <w:p w14:paraId="0690C395" w14:textId="77777777" w:rsidR="00906BCB" w:rsidRPr="002176A4" w:rsidRDefault="00906BCB" w:rsidP="002176A4">
      <w:pPr>
        <w:pStyle w:val="Heading1"/>
      </w:pPr>
      <w:r w:rsidRPr="002176A4">
        <w:t>11</w:t>
      </w:r>
      <w:r w:rsidRPr="002176A4">
        <w:tab/>
        <w:t>Financement du Groupe spécialisé</w:t>
      </w:r>
    </w:p>
    <w:p w14:paraId="7AABE51F" w14:textId="77777777" w:rsidR="00906BCB" w:rsidRPr="002176A4" w:rsidRDefault="00906BCB" w:rsidP="00906BCB">
      <w:r w:rsidRPr="002176A4">
        <w:t>Voir le § 4 de la Recommandation UIT-T A.7.</w:t>
      </w:r>
    </w:p>
    <w:p w14:paraId="2F81C6BB" w14:textId="77777777" w:rsidR="00906BCB" w:rsidRPr="002176A4" w:rsidRDefault="00906BCB" w:rsidP="002176A4">
      <w:pPr>
        <w:pStyle w:val="Heading1"/>
      </w:pPr>
      <w:r w:rsidRPr="002176A4">
        <w:t>12</w:t>
      </w:r>
      <w:r w:rsidRPr="002176A4">
        <w:tab/>
        <w:t>Réunions</w:t>
      </w:r>
    </w:p>
    <w:p w14:paraId="20B1C023" w14:textId="77777777" w:rsidR="00906BCB" w:rsidRPr="002176A4" w:rsidRDefault="00906BCB" w:rsidP="00906BCB">
      <w:r w:rsidRPr="002176A4">
        <w:t>Le Groupe spécialisé tiendra des réunions régulières. La fréquence et le lieu des réunions seront déterminés par l'équipe de direction du Groupe spécialisé. Le Groupe spécialisé utilisera les outils de collaboration à distance dans la mesure du possible.</w:t>
      </w:r>
    </w:p>
    <w:p w14:paraId="5E24CE23" w14:textId="77777777" w:rsidR="00906BCB" w:rsidRPr="002176A4" w:rsidRDefault="00906BCB" w:rsidP="00906BCB">
      <w:r w:rsidRPr="002176A4">
        <w:t>Les dates des réunions seront annoncées par voie électronique (courrier électronique, site web) au moins quatre semaines à l'avance.</w:t>
      </w:r>
    </w:p>
    <w:p w14:paraId="4505033C" w14:textId="77777777" w:rsidR="00906BCB" w:rsidRPr="002176A4" w:rsidRDefault="00906BCB" w:rsidP="002176A4">
      <w:pPr>
        <w:pStyle w:val="Heading1"/>
      </w:pPr>
      <w:r w:rsidRPr="002176A4">
        <w:t>13</w:t>
      </w:r>
      <w:r w:rsidRPr="002176A4">
        <w:tab/>
        <w:t>Produits attendus</w:t>
      </w:r>
    </w:p>
    <w:p w14:paraId="6C59EB90" w14:textId="77777777" w:rsidR="00906BCB" w:rsidRPr="002176A4" w:rsidRDefault="00906BCB" w:rsidP="00906BCB">
      <w:r w:rsidRPr="002176A4">
        <w:t>Voir le § 8 de la Recommandation UIT-T A.7.</w:t>
      </w:r>
    </w:p>
    <w:p w14:paraId="50AEDA30" w14:textId="77777777" w:rsidR="00906BCB" w:rsidRPr="002176A4" w:rsidRDefault="00906BCB" w:rsidP="002176A4">
      <w:pPr>
        <w:pStyle w:val="Heading1"/>
      </w:pPr>
      <w:r w:rsidRPr="002176A4">
        <w:t>14</w:t>
      </w:r>
      <w:r w:rsidRPr="002176A4">
        <w:tab/>
        <w:t>Langue de travail</w:t>
      </w:r>
    </w:p>
    <w:p w14:paraId="5EF54C69" w14:textId="77777777" w:rsidR="00906BCB" w:rsidRPr="002176A4" w:rsidRDefault="00906BCB" w:rsidP="00906BCB">
      <w:r w:rsidRPr="002176A4">
        <w:t>La langue de travail est l'anglais.</w:t>
      </w:r>
    </w:p>
    <w:p w14:paraId="03814458" w14:textId="77777777" w:rsidR="00906BCB" w:rsidRPr="002176A4" w:rsidRDefault="00906BCB" w:rsidP="002176A4">
      <w:pPr>
        <w:pStyle w:val="Heading1"/>
      </w:pPr>
      <w:r w:rsidRPr="002176A4">
        <w:lastRenderedPageBreak/>
        <w:t>15</w:t>
      </w:r>
      <w:r w:rsidRPr="002176A4">
        <w:tab/>
        <w:t>Approbation des produits attendus</w:t>
      </w:r>
    </w:p>
    <w:p w14:paraId="1127A289" w14:textId="77777777" w:rsidR="00906BCB" w:rsidRPr="002176A4" w:rsidRDefault="00906BCB" w:rsidP="00906BCB">
      <w:r w:rsidRPr="002176A4">
        <w:t>L'approbation est obtenue par consensus conformément au § 8.2 de la Recommandation UIT-T A.7.</w:t>
      </w:r>
    </w:p>
    <w:p w14:paraId="38932EF2" w14:textId="77777777" w:rsidR="00906BCB" w:rsidRPr="002176A4" w:rsidRDefault="00906BCB" w:rsidP="002176A4">
      <w:pPr>
        <w:pStyle w:val="Heading1"/>
      </w:pPr>
      <w:r w:rsidRPr="002176A4">
        <w:t>16</w:t>
      </w:r>
      <w:r w:rsidRPr="002176A4">
        <w:tab/>
        <w:t>Lignes directrices relatives de travail</w:t>
      </w:r>
    </w:p>
    <w:p w14:paraId="017CD734" w14:textId="77777777" w:rsidR="00906BCB" w:rsidRPr="002176A4" w:rsidRDefault="00906BCB" w:rsidP="00906BCB">
      <w:r w:rsidRPr="002176A4">
        <w:t>Les méthodes de travail seront conformes à celles des réunions des Groupes du Rapporteur (Recommandation UIT-T A.1). Aucune ligne directrice de travail supplémentaire n'est définie.</w:t>
      </w:r>
    </w:p>
    <w:p w14:paraId="2D589ED6" w14:textId="77777777" w:rsidR="00906BCB" w:rsidRPr="002176A4" w:rsidRDefault="00906BCB" w:rsidP="002176A4">
      <w:pPr>
        <w:pStyle w:val="Heading1"/>
      </w:pPr>
      <w:r w:rsidRPr="002176A4">
        <w:t>17</w:t>
      </w:r>
      <w:r w:rsidRPr="002176A4">
        <w:tab/>
        <w:t>Rapports d'activité</w:t>
      </w:r>
    </w:p>
    <w:p w14:paraId="3BD25362" w14:textId="77777777" w:rsidR="00906BCB" w:rsidRPr="002176A4" w:rsidRDefault="00906BCB" w:rsidP="00906BCB">
      <w:r w:rsidRPr="002176A4">
        <w:t>Voir le § 3.6 de la Recommandation UIT-T A.7.</w:t>
      </w:r>
    </w:p>
    <w:p w14:paraId="0ED59B34" w14:textId="77777777" w:rsidR="00906BCB" w:rsidRPr="002176A4" w:rsidRDefault="00906BCB" w:rsidP="002176A4">
      <w:pPr>
        <w:pStyle w:val="Heading1"/>
      </w:pPr>
      <w:r w:rsidRPr="002176A4">
        <w:t>18</w:t>
      </w:r>
      <w:r w:rsidRPr="002176A4">
        <w:tab/>
        <w:t>Annonce de la création du Groupe spécialisé</w:t>
      </w:r>
    </w:p>
    <w:p w14:paraId="33AFC55A" w14:textId="77777777" w:rsidR="00906BCB" w:rsidRPr="002176A4" w:rsidRDefault="00906BCB" w:rsidP="00906BCB">
      <w:r w:rsidRPr="002176A4">
        <w:t>La création du Groupe spécialisé sera annoncée par l'intermédiaire d'une Circulaire du TSB adressée à l'ensemble des membres de l'UIT, dans le bulletin d'actualités de l'UIT-T, dans des communiqués de presse et par d'autres moyens, y compris la communication avec les autres organisations concernées.</w:t>
      </w:r>
    </w:p>
    <w:p w14:paraId="7932CEA8" w14:textId="77777777" w:rsidR="00906BCB" w:rsidRPr="002176A4" w:rsidRDefault="00906BCB" w:rsidP="002176A4">
      <w:pPr>
        <w:pStyle w:val="Heading1"/>
      </w:pPr>
      <w:r w:rsidRPr="002176A4">
        <w:t>19</w:t>
      </w:r>
      <w:r w:rsidRPr="002176A4">
        <w:tab/>
        <w:t>Échéances et durée du mandat du Groupe spécialisé</w:t>
      </w:r>
    </w:p>
    <w:p w14:paraId="2D2EEF61" w14:textId="77777777" w:rsidR="00906BCB" w:rsidRPr="002176A4" w:rsidRDefault="00906BCB" w:rsidP="00906BCB">
      <w:r w:rsidRPr="002176A4">
        <w:t>La durée du mandat du groupe spécialisé est d'un an à compter de la première réunion du groupe, avec possibilité de prolongation.</w:t>
      </w:r>
    </w:p>
    <w:p w14:paraId="7CA228E3" w14:textId="77777777" w:rsidR="00906BCB" w:rsidRPr="002176A4" w:rsidRDefault="00906BCB" w:rsidP="00906BCB">
      <w:r w:rsidRPr="002176A4">
        <w:t>Toute extension au-delà de la durée indiquée ci-dessus doit faire l'objet d'une décision de la CE 20 de l'UIT-T, conformément à la Recommandation UIT-T A.7.</w:t>
      </w:r>
    </w:p>
    <w:p w14:paraId="740785B2" w14:textId="77777777" w:rsidR="00906BCB" w:rsidRPr="002176A4" w:rsidRDefault="00906BCB" w:rsidP="002176A4">
      <w:pPr>
        <w:pStyle w:val="Heading1"/>
      </w:pPr>
      <w:r w:rsidRPr="002176A4">
        <w:t>20</w:t>
      </w:r>
      <w:r w:rsidRPr="002176A4">
        <w:tab/>
        <w:t>Droits de propriété intellectuelle</w:t>
      </w:r>
    </w:p>
    <w:p w14:paraId="6AC0CB52" w14:textId="3DA2861F" w:rsidR="00906BCB" w:rsidRPr="002176A4" w:rsidRDefault="00906BCB" w:rsidP="00906BCB">
      <w:r w:rsidRPr="002176A4">
        <w:t>Voir le § 7 de la Recommandation UIT-T A.7.</w:t>
      </w:r>
    </w:p>
    <w:p w14:paraId="1F0023BD" w14:textId="01E2DD0D" w:rsidR="00906BCB" w:rsidRPr="002176A4" w:rsidRDefault="00906BCB" w:rsidP="00906BCB">
      <w:pPr>
        <w:jc w:val="center"/>
      </w:pPr>
      <w:r w:rsidRPr="002176A4">
        <w:t>______________</w:t>
      </w:r>
    </w:p>
    <w:sectPr w:rsidR="00906BCB" w:rsidRPr="002176A4" w:rsidSect="00A15179">
      <w:headerReference w:type="default" r:id="rId20"/>
      <w:footerReference w:type="first" r:id="rId21"/>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538C" w14:textId="77777777" w:rsidR="003A7DD1" w:rsidRDefault="003A7DD1">
      <w:r>
        <w:separator/>
      </w:r>
    </w:p>
  </w:endnote>
  <w:endnote w:type="continuationSeparator" w:id="0">
    <w:p w14:paraId="57D2E864" w14:textId="77777777" w:rsidR="003A7DD1" w:rsidRDefault="003A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6A50CB4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0016557D">
      <w:rPr>
        <w:color w:val="0070C0"/>
        <w:sz w:val="18"/>
        <w:szCs w:val="18"/>
        <w:lang w:val="fr-CH"/>
      </w:rPr>
      <w:t>Télécopie</w:t>
    </w:r>
    <w:r w:rsidRPr="003E66AD">
      <w:rPr>
        <w:color w:val="0070C0"/>
        <w:sz w:val="18"/>
        <w:szCs w:val="18"/>
        <w:lang w:val="fr-CH"/>
      </w:rPr>
      <w:t>:</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4001" w14:textId="77777777" w:rsidR="003A7DD1" w:rsidRDefault="003A7DD1">
      <w:r>
        <w:t>____________________</w:t>
      </w:r>
    </w:p>
  </w:footnote>
  <w:footnote w:type="continuationSeparator" w:id="0">
    <w:p w14:paraId="39FAB3FD" w14:textId="77777777" w:rsidR="003A7DD1" w:rsidRDefault="003A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D1F955B" w:rsidR="00697BC1" w:rsidRPr="00697BC1" w:rsidRDefault="003A7DD1"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8D2BA6">
      <w:rPr>
        <w:noProof/>
        <w:sz w:val="18"/>
        <w:szCs w:val="16"/>
      </w:rPr>
      <w:t>14</w:t>
    </w:r>
    <w:r w:rsidR="002176A4">
      <w:rPr>
        <w:noProof/>
        <w:sz w:val="18"/>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A5BFB"/>
    <w:rsid w:val="000B0D96"/>
    <w:rsid w:val="000B59D8"/>
    <w:rsid w:val="000C1F6B"/>
    <w:rsid w:val="000C25CC"/>
    <w:rsid w:val="000C56BE"/>
    <w:rsid w:val="001026FD"/>
    <w:rsid w:val="001077FD"/>
    <w:rsid w:val="00115DD7"/>
    <w:rsid w:val="0016557D"/>
    <w:rsid w:val="00167472"/>
    <w:rsid w:val="00167F92"/>
    <w:rsid w:val="00173738"/>
    <w:rsid w:val="001B79A3"/>
    <w:rsid w:val="002152A3"/>
    <w:rsid w:val="002176A4"/>
    <w:rsid w:val="0023667A"/>
    <w:rsid w:val="002937DB"/>
    <w:rsid w:val="002E395D"/>
    <w:rsid w:val="00307FB4"/>
    <w:rsid w:val="003131F0"/>
    <w:rsid w:val="00333A80"/>
    <w:rsid w:val="00341117"/>
    <w:rsid w:val="00364E95"/>
    <w:rsid w:val="00372875"/>
    <w:rsid w:val="003742F8"/>
    <w:rsid w:val="003A7DD1"/>
    <w:rsid w:val="003B1E80"/>
    <w:rsid w:val="003B66E8"/>
    <w:rsid w:val="003E66AD"/>
    <w:rsid w:val="004033F1"/>
    <w:rsid w:val="00414B0C"/>
    <w:rsid w:val="00423C21"/>
    <w:rsid w:val="004257AC"/>
    <w:rsid w:val="0043711B"/>
    <w:rsid w:val="004419E9"/>
    <w:rsid w:val="00445B68"/>
    <w:rsid w:val="0048088B"/>
    <w:rsid w:val="004977C9"/>
    <w:rsid w:val="004B732E"/>
    <w:rsid w:val="004C1FA9"/>
    <w:rsid w:val="004D51F4"/>
    <w:rsid w:val="004D64E0"/>
    <w:rsid w:val="005120A2"/>
    <w:rsid w:val="0051210D"/>
    <w:rsid w:val="005136D2"/>
    <w:rsid w:val="00517A03"/>
    <w:rsid w:val="005A3DD9"/>
    <w:rsid w:val="005B1DFC"/>
    <w:rsid w:val="005F6C52"/>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D2BA6"/>
    <w:rsid w:val="008F2C9B"/>
    <w:rsid w:val="00906BCB"/>
    <w:rsid w:val="00923CD6"/>
    <w:rsid w:val="00935AA8"/>
    <w:rsid w:val="00971C9A"/>
    <w:rsid w:val="009B60CC"/>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5749"/>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A5F52"/>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217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TSB-CIR-0146/fr" TargetMode="External"/><Relationship Id="rId18" Type="http://schemas.openxmlformats.org/officeDocument/2006/relationships/hyperlink" Target="https://www.itu.int/en/ITU-T/focusgroups/ai4ssc/Pages/default.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tu.int/go/ai4ssc/join" TargetMode="External"/><Relationship Id="rId17" Type="http://schemas.openxmlformats.org/officeDocument/2006/relationships/hyperlink" Target="https://www.itu.int/en/ITU-T/focusgroups/ai4ssc/Pages/default.aspx" TargetMode="External"/><Relationship Id="rId2" Type="http://schemas.openxmlformats.org/officeDocument/2006/relationships/numbering" Target="numbering.xml"/><Relationship Id="rId16" Type="http://schemas.openxmlformats.org/officeDocument/2006/relationships/hyperlink" Target="mailto:tsbfgai4ssc@itu.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focusgroups/ai4ssc/Pages/default.aspx" TargetMode="External"/><Relationship Id="rId5" Type="http://schemas.openxmlformats.org/officeDocument/2006/relationships/webSettings" Target="webSettings.xml"/><Relationship Id="rId15" Type="http://schemas.openxmlformats.org/officeDocument/2006/relationships/hyperlink" Target="https://www.itu.int/en/ITU-T/focusgroups/ai4ssc/Pages/default.aspx" TargetMode="External"/><Relationship Id="rId23" Type="http://schemas.openxmlformats.org/officeDocument/2006/relationships/theme" Target="theme/theme1.xml"/><Relationship Id="rId10" Type="http://schemas.openxmlformats.org/officeDocument/2006/relationships/hyperlink" Target="https://www.itu.int/rec/T-REC-A.7/f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fgai4ssc@itu.int" TargetMode="External"/><Relationship Id="rId14" Type="http://schemas.openxmlformats.org/officeDocument/2006/relationships/hyperlink" Target="mailto:tsbfgai4ssc@itu.i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TotalTime>
  <Pages>10</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27410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2026-07-15T13:17:00Z</dcterms:created>
  <dcterms:modified xsi:type="dcterms:W3CDTF">2026-07-15T13:17:00Z</dcterms:modified>
</cp:coreProperties>
</file>