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46"/>
        <w:tblW w:w="5000" w:type="pct"/>
        <w:tblLayout w:type="fixed"/>
        <w:tblLook w:val="0000" w:firstRow="0" w:lastRow="0" w:firstColumn="0" w:lastColumn="0" w:noHBand="0" w:noVBand="0"/>
      </w:tblPr>
      <w:tblGrid>
        <w:gridCol w:w="1134"/>
        <w:gridCol w:w="10"/>
        <w:gridCol w:w="3434"/>
        <w:gridCol w:w="3148"/>
        <w:gridCol w:w="2003"/>
      </w:tblGrid>
      <w:tr w:rsidR="00FA46A0" w:rsidRPr="00581B90" w14:paraId="2F3AEBE3" w14:textId="77777777" w:rsidTr="0001529B">
        <w:trPr>
          <w:trHeight w:val="1282"/>
        </w:trPr>
        <w:tc>
          <w:tcPr>
            <w:tcW w:w="1144" w:type="dxa"/>
            <w:gridSpan w:val="2"/>
            <w:tcMar>
              <w:left w:w="0" w:type="dxa"/>
              <w:right w:w="0" w:type="dxa"/>
            </w:tcMar>
            <w:vAlign w:val="center"/>
          </w:tcPr>
          <w:p w14:paraId="7BABF41D" w14:textId="77777777" w:rsidR="00FA46A0" w:rsidRPr="00581B90" w:rsidRDefault="009747C5" w:rsidP="0001529B">
            <w:pPr>
              <w:pStyle w:val="Tabletext"/>
              <w:jc w:val="center"/>
            </w:pPr>
            <w:r w:rsidRPr="00581B90">
              <w:rPr>
                <w:noProof/>
                <w:lang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tcMar>
              <w:left w:w="142" w:type="dxa"/>
            </w:tcMar>
            <w:vAlign w:val="center"/>
          </w:tcPr>
          <w:p w14:paraId="0EC0ECC8" w14:textId="77777777" w:rsidR="00FA46A0" w:rsidRPr="00581B90" w:rsidRDefault="00B61012" w:rsidP="0001529B">
            <w:pPr>
              <w:spacing w:before="0"/>
              <w:rPr>
                <w:rFonts w:cs="Times New Roman Bold"/>
                <w:b/>
                <w:bCs/>
                <w:smallCaps/>
                <w:sz w:val="26"/>
                <w:szCs w:val="26"/>
              </w:rPr>
            </w:pPr>
            <w:r w:rsidRPr="00581B90">
              <w:rPr>
                <w:rFonts w:cs="Times New Roman Bold"/>
                <w:b/>
                <w:bCs/>
                <w:smallCaps/>
                <w:sz w:val="36"/>
                <w:szCs w:val="36"/>
              </w:rPr>
              <w:t>International telecommunication union</w:t>
            </w:r>
          </w:p>
          <w:p w14:paraId="1A486C08" w14:textId="77777777" w:rsidR="00FA46A0" w:rsidRPr="00581B90" w:rsidRDefault="00B61012" w:rsidP="0001529B">
            <w:pPr>
              <w:spacing w:before="0"/>
              <w:rPr>
                <w:rFonts w:ascii="Verdana" w:hAnsi="Verdana"/>
                <w:color w:val="FFFFFF"/>
                <w:sz w:val="26"/>
                <w:szCs w:val="26"/>
              </w:rPr>
            </w:pPr>
            <w:r w:rsidRPr="00581B90">
              <w:rPr>
                <w:rFonts w:cs="Times New Roman Bold"/>
                <w:b/>
                <w:bCs/>
                <w:iCs/>
                <w:smallCaps/>
                <w:sz w:val="28"/>
                <w:szCs w:val="28"/>
              </w:rPr>
              <w:t>Telecommunication Standardization Bureau</w:t>
            </w:r>
          </w:p>
        </w:tc>
        <w:tc>
          <w:tcPr>
            <w:tcW w:w="2003" w:type="dxa"/>
            <w:vAlign w:val="center"/>
          </w:tcPr>
          <w:p w14:paraId="67652B4C" w14:textId="77777777" w:rsidR="00FA46A0" w:rsidRPr="00581B90" w:rsidRDefault="00FA46A0" w:rsidP="0001529B">
            <w:pPr>
              <w:spacing w:before="0"/>
              <w:jc w:val="right"/>
              <w:rPr>
                <w:rFonts w:ascii="Verdana" w:hAnsi="Verdana"/>
                <w:color w:val="FFFFFF"/>
                <w:sz w:val="26"/>
                <w:szCs w:val="26"/>
                <w:rtl/>
                <w:lang w:bidi="ar-EG"/>
              </w:rPr>
            </w:pPr>
          </w:p>
        </w:tc>
      </w:tr>
      <w:tr w:rsidR="00FA46A0" w:rsidRPr="00581B90" w14:paraId="7CBEEB9D" w14:textId="77777777" w:rsidTr="0001529B">
        <w:trPr>
          <w:cantSplit/>
          <w:trHeight w:val="539"/>
        </w:trPr>
        <w:tc>
          <w:tcPr>
            <w:tcW w:w="4578" w:type="dxa"/>
            <w:gridSpan w:val="3"/>
            <w:vAlign w:val="center"/>
          </w:tcPr>
          <w:p w14:paraId="02781ED0" w14:textId="77777777" w:rsidR="00FA46A0" w:rsidRPr="00581B90" w:rsidRDefault="00FA46A0" w:rsidP="0001529B">
            <w:pPr>
              <w:pStyle w:val="Tabletext"/>
              <w:jc w:val="right"/>
              <w:rPr>
                <w:rFonts w:cs="Calibri"/>
                <w:szCs w:val="22"/>
              </w:rPr>
            </w:pPr>
          </w:p>
        </w:tc>
        <w:tc>
          <w:tcPr>
            <w:tcW w:w="5151" w:type="dxa"/>
            <w:gridSpan w:val="2"/>
            <w:vAlign w:val="center"/>
          </w:tcPr>
          <w:p w14:paraId="5542BFA4" w14:textId="2900FFFE" w:rsidR="00FA46A0" w:rsidRPr="00581B90" w:rsidRDefault="00B61012" w:rsidP="0001529B">
            <w:pPr>
              <w:pStyle w:val="Tabletext"/>
              <w:spacing w:before="240" w:after="120"/>
              <w:ind w:left="-108"/>
              <w:rPr>
                <w:rFonts w:cs="Calibri"/>
                <w:szCs w:val="22"/>
                <w:lang w:eastAsia="zh-CN"/>
              </w:rPr>
            </w:pPr>
            <w:r w:rsidRPr="00581B90">
              <w:rPr>
                <w:rFonts w:cs="Calibri"/>
                <w:szCs w:val="22"/>
              </w:rPr>
              <w:t xml:space="preserve">Geneva, </w:t>
            </w:r>
            <w:r w:rsidR="00F94448" w:rsidRPr="00581B90">
              <w:rPr>
                <w:rFonts w:cs="Calibri"/>
                <w:szCs w:val="22"/>
                <w:lang w:eastAsia="zh-CN"/>
              </w:rPr>
              <w:t>1</w:t>
            </w:r>
            <w:r w:rsidR="004D76D6">
              <w:rPr>
                <w:rFonts w:cs="Calibri"/>
                <w:szCs w:val="22"/>
                <w:lang w:eastAsia="zh-CN"/>
              </w:rPr>
              <w:t>9</w:t>
            </w:r>
            <w:r w:rsidR="00553BB1" w:rsidRPr="00581B90">
              <w:rPr>
                <w:rFonts w:cs="Calibri"/>
                <w:szCs w:val="22"/>
                <w:lang w:eastAsia="zh-CN"/>
              </w:rPr>
              <w:t xml:space="preserve"> June</w:t>
            </w:r>
            <w:r w:rsidR="008561CB" w:rsidRPr="00581B90">
              <w:rPr>
                <w:rFonts w:cs="Calibri"/>
                <w:szCs w:val="22"/>
              </w:rPr>
              <w:t xml:space="preserve"> 202</w:t>
            </w:r>
            <w:r w:rsidR="00BF2912" w:rsidRPr="00581B90">
              <w:rPr>
                <w:rFonts w:cs="Calibri" w:hint="eastAsia"/>
                <w:szCs w:val="22"/>
                <w:lang w:eastAsia="zh-CN"/>
              </w:rPr>
              <w:t>6</w:t>
            </w:r>
          </w:p>
        </w:tc>
      </w:tr>
      <w:tr w:rsidR="00CA5E93" w:rsidRPr="00581B90" w14:paraId="5B9F57B8" w14:textId="77777777" w:rsidTr="0001529B">
        <w:trPr>
          <w:cantSplit/>
          <w:trHeight w:val="746"/>
        </w:trPr>
        <w:tc>
          <w:tcPr>
            <w:tcW w:w="1134" w:type="dxa"/>
          </w:tcPr>
          <w:p w14:paraId="4361F29A" w14:textId="77777777" w:rsidR="00CA5E93" w:rsidRPr="00581B90" w:rsidRDefault="00CA5E93" w:rsidP="0001529B">
            <w:pPr>
              <w:pStyle w:val="Tabletext"/>
              <w:ind w:left="-110"/>
              <w:rPr>
                <w:rFonts w:cs="Calibri"/>
                <w:szCs w:val="22"/>
              </w:rPr>
            </w:pPr>
            <w:r w:rsidRPr="00581B90">
              <w:rPr>
                <w:rFonts w:cs="Calibri"/>
                <w:b/>
                <w:szCs w:val="22"/>
              </w:rPr>
              <w:t>Ref:</w:t>
            </w:r>
          </w:p>
        </w:tc>
        <w:tc>
          <w:tcPr>
            <w:tcW w:w="3444" w:type="dxa"/>
            <w:gridSpan w:val="2"/>
          </w:tcPr>
          <w:p w14:paraId="101ED353" w14:textId="3978852A" w:rsidR="00CA5E93" w:rsidRPr="004D76D6" w:rsidRDefault="00CA5E93" w:rsidP="0001529B">
            <w:pPr>
              <w:pStyle w:val="CircularNo"/>
              <w:rPr>
                <w:lang w:val="pt-BR" w:eastAsia="zh-CN"/>
              </w:rPr>
            </w:pPr>
            <w:r w:rsidRPr="004D76D6">
              <w:rPr>
                <w:lang w:val="pt-BR"/>
              </w:rPr>
              <w:t xml:space="preserve">TSB Circular </w:t>
            </w:r>
            <w:r w:rsidR="00366E87" w:rsidRPr="004D76D6">
              <w:rPr>
                <w:lang w:val="pt-BR" w:eastAsia="zh-CN"/>
              </w:rPr>
              <w:t>147</w:t>
            </w:r>
          </w:p>
          <w:p w14:paraId="1FA4CE7F" w14:textId="78463FAD" w:rsidR="00CA5E93" w:rsidRPr="004D76D6" w:rsidRDefault="00CA5E93" w:rsidP="0001529B">
            <w:pPr>
              <w:pStyle w:val="Tabletext"/>
              <w:spacing w:before="0"/>
              <w:rPr>
                <w:rFonts w:cs="Calibri"/>
                <w:b/>
                <w:szCs w:val="22"/>
                <w:lang w:val="pt-BR"/>
              </w:rPr>
            </w:pPr>
            <w:r w:rsidRPr="004D76D6">
              <w:rPr>
                <w:rFonts w:cs="Calibri"/>
                <w:b/>
                <w:szCs w:val="22"/>
                <w:lang w:val="pt-BR"/>
              </w:rPr>
              <w:t>FG-</w:t>
            </w:r>
            <w:r w:rsidR="003911C7" w:rsidRPr="004D76D6">
              <w:rPr>
                <w:rFonts w:eastAsiaTheme="minorEastAsia" w:cs="Calibri"/>
                <w:b/>
                <w:szCs w:val="22"/>
                <w:lang w:val="pt-BR" w:eastAsia="zh-CN"/>
              </w:rPr>
              <w:t>AI4SSC</w:t>
            </w:r>
            <w:r w:rsidRPr="004D76D6">
              <w:rPr>
                <w:rFonts w:cs="Calibri"/>
                <w:b/>
                <w:szCs w:val="22"/>
                <w:lang w:val="pt-BR"/>
              </w:rPr>
              <w:t>/</w:t>
            </w:r>
            <w:r w:rsidR="00442B3F" w:rsidRPr="004D76D6">
              <w:rPr>
                <w:rFonts w:cs="Calibri"/>
                <w:b/>
                <w:szCs w:val="22"/>
                <w:lang w:val="pt-BR"/>
              </w:rPr>
              <w:t>YZ</w:t>
            </w:r>
          </w:p>
        </w:tc>
        <w:tc>
          <w:tcPr>
            <w:tcW w:w="5151" w:type="dxa"/>
            <w:gridSpan w:val="2"/>
            <w:vMerge w:val="restart"/>
          </w:tcPr>
          <w:p w14:paraId="10929BBB" w14:textId="77777777" w:rsidR="00CA5E93" w:rsidRPr="00581B90" w:rsidRDefault="00CA5E93" w:rsidP="0001529B">
            <w:pPr>
              <w:tabs>
                <w:tab w:val="clear" w:pos="794"/>
                <w:tab w:val="clear" w:pos="1191"/>
                <w:tab w:val="clear" w:pos="1588"/>
                <w:tab w:val="clear" w:pos="1985"/>
                <w:tab w:val="left" w:pos="241"/>
              </w:tabs>
              <w:spacing w:before="0"/>
              <w:ind w:left="283" w:hanging="391"/>
              <w:rPr>
                <w:rFonts w:cs="Calibri"/>
                <w:szCs w:val="22"/>
              </w:rPr>
            </w:pPr>
            <w:r w:rsidRPr="00581B90">
              <w:rPr>
                <w:rFonts w:cs="Calibri"/>
                <w:b/>
                <w:szCs w:val="22"/>
              </w:rPr>
              <w:t>To:</w:t>
            </w:r>
          </w:p>
          <w:p w14:paraId="59600780" w14:textId="30134FD6" w:rsidR="00CA5E93" w:rsidRPr="00581B90" w:rsidRDefault="00CA5E93" w:rsidP="0001529B">
            <w:pPr>
              <w:tabs>
                <w:tab w:val="clear" w:pos="794"/>
                <w:tab w:val="clear" w:pos="1191"/>
                <w:tab w:val="clear" w:pos="1588"/>
                <w:tab w:val="clear" w:pos="1985"/>
              </w:tabs>
              <w:spacing w:before="40" w:after="40"/>
              <w:ind w:left="283" w:hanging="391"/>
              <w:rPr>
                <w:rFonts w:cs="Calibri"/>
                <w:szCs w:val="22"/>
              </w:rPr>
            </w:pPr>
            <w:r w:rsidRPr="00581B90">
              <w:rPr>
                <w:rFonts w:cs="Calibri"/>
                <w:szCs w:val="22"/>
              </w:rPr>
              <w:t>-</w:t>
            </w:r>
            <w:r w:rsidRPr="00581B90">
              <w:rPr>
                <w:rFonts w:cs="Calibri"/>
                <w:szCs w:val="22"/>
              </w:rPr>
              <w:tab/>
              <w:t>Administrations of Member States of the Union;</w:t>
            </w:r>
          </w:p>
          <w:p w14:paraId="5AA6457E" w14:textId="64AEF1F5" w:rsidR="00CA5E93" w:rsidRPr="00581B90" w:rsidRDefault="00CA5E93" w:rsidP="0001529B">
            <w:pPr>
              <w:tabs>
                <w:tab w:val="clear" w:pos="794"/>
                <w:tab w:val="clear" w:pos="1191"/>
                <w:tab w:val="clear" w:pos="1588"/>
                <w:tab w:val="clear" w:pos="1985"/>
              </w:tabs>
              <w:spacing w:before="40" w:after="40"/>
              <w:ind w:left="283" w:hanging="391"/>
              <w:rPr>
                <w:rFonts w:cs="Calibri"/>
                <w:szCs w:val="22"/>
              </w:rPr>
            </w:pPr>
            <w:r w:rsidRPr="00581B90">
              <w:rPr>
                <w:szCs w:val="22"/>
              </w:rPr>
              <w:t>-</w:t>
            </w:r>
            <w:r w:rsidRPr="00581B90">
              <w:rPr>
                <w:szCs w:val="22"/>
              </w:rPr>
              <w:tab/>
              <w:t>The State of Palestine (Res. 99 (Rev. Dubai, 2018));</w:t>
            </w:r>
          </w:p>
          <w:p w14:paraId="6AAEA161" w14:textId="21A50735" w:rsidR="00CA5E93" w:rsidRPr="00AC3E12" w:rsidRDefault="00CA5E93" w:rsidP="0001529B">
            <w:pPr>
              <w:tabs>
                <w:tab w:val="clear" w:pos="794"/>
                <w:tab w:val="clear" w:pos="1191"/>
                <w:tab w:val="clear" w:pos="1588"/>
                <w:tab w:val="clear" w:pos="1985"/>
              </w:tabs>
              <w:spacing w:before="40" w:after="40"/>
              <w:ind w:left="283" w:hanging="391"/>
              <w:rPr>
                <w:rFonts w:cs="Calibri"/>
                <w:szCs w:val="22"/>
                <w:lang w:val="fr-FR"/>
              </w:rPr>
            </w:pPr>
            <w:r w:rsidRPr="00AC3E12">
              <w:rPr>
                <w:rFonts w:cs="Calibri"/>
                <w:szCs w:val="22"/>
                <w:lang w:val="fr-FR"/>
              </w:rPr>
              <w:t>-</w:t>
            </w:r>
            <w:r w:rsidRPr="00AC3E12">
              <w:rPr>
                <w:rFonts w:cs="Calibri"/>
                <w:szCs w:val="22"/>
                <w:lang w:val="fr-FR"/>
              </w:rPr>
              <w:tab/>
              <w:t xml:space="preserve">ITU-T </w:t>
            </w:r>
            <w:proofErr w:type="spellStart"/>
            <w:r w:rsidRPr="00AC3E12">
              <w:rPr>
                <w:rFonts w:cs="Calibri"/>
                <w:szCs w:val="22"/>
                <w:lang w:val="fr-FR"/>
              </w:rPr>
              <w:t>Sector</w:t>
            </w:r>
            <w:proofErr w:type="spellEnd"/>
            <w:r w:rsidRPr="00AC3E12">
              <w:rPr>
                <w:rFonts w:cs="Calibri"/>
                <w:szCs w:val="22"/>
                <w:lang w:val="fr-FR"/>
              </w:rPr>
              <w:t xml:space="preserve"> Members;</w:t>
            </w:r>
          </w:p>
          <w:p w14:paraId="4872070A" w14:textId="6EDDA96E" w:rsidR="00CA5E93" w:rsidRPr="00AC3E12" w:rsidRDefault="00CA5E93" w:rsidP="0001529B">
            <w:pPr>
              <w:tabs>
                <w:tab w:val="clear" w:pos="794"/>
                <w:tab w:val="clear" w:pos="1191"/>
                <w:tab w:val="clear" w:pos="1588"/>
                <w:tab w:val="clear" w:pos="1985"/>
              </w:tabs>
              <w:spacing w:before="40" w:after="40"/>
              <w:ind w:left="283" w:hanging="391"/>
              <w:rPr>
                <w:rFonts w:cs="Calibri"/>
                <w:szCs w:val="22"/>
                <w:lang w:val="fr-FR"/>
              </w:rPr>
            </w:pPr>
            <w:r w:rsidRPr="00AC3E12">
              <w:rPr>
                <w:rFonts w:cs="Calibri"/>
                <w:szCs w:val="22"/>
                <w:lang w:val="fr-FR"/>
              </w:rPr>
              <w:t>-</w:t>
            </w:r>
            <w:r w:rsidRPr="00AC3E12">
              <w:rPr>
                <w:rFonts w:cs="Calibri"/>
                <w:szCs w:val="22"/>
                <w:lang w:val="fr-FR"/>
              </w:rPr>
              <w:tab/>
              <w:t>ITU-T Associates;</w:t>
            </w:r>
          </w:p>
          <w:p w14:paraId="3D024AFE" w14:textId="77777777" w:rsidR="00CA5E93" w:rsidRPr="00581B90" w:rsidRDefault="00CA5E93" w:rsidP="0001529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Cs w:val="22"/>
              </w:rPr>
            </w:pPr>
            <w:r w:rsidRPr="00581B90">
              <w:rPr>
                <w:rFonts w:cs="Calibri"/>
                <w:szCs w:val="22"/>
              </w:rPr>
              <w:t>-</w:t>
            </w:r>
            <w:r w:rsidRPr="00581B90">
              <w:rPr>
                <w:rFonts w:cs="Calibri"/>
                <w:szCs w:val="22"/>
              </w:rPr>
              <w:tab/>
              <w:t>ITU Academia</w:t>
            </w:r>
          </w:p>
          <w:p w14:paraId="1C03CA04" w14:textId="77777777" w:rsidR="00CA5E93" w:rsidRPr="00581B90" w:rsidRDefault="00CA5E93" w:rsidP="0001529B">
            <w:pPr>
              <w:pStyle w:val="Tabletext"/>
              <w:ind w:left="283" w:hanging="391"/>
              <w:rPr>
                <w:rFonts w:cs="Calibri"/>
                <w:szCs w:val="22"/>
              </w:rPr>
            </w:pPr>
            <w:r w:rsidRPr="00581B90">
              <w:rPr>
                <w:rFonts w:cs="Calibri"/>
                <w:b/>
                <w:szCs w:val="22"/>
              </w:rPr>
              <w:t>Copy to:</w:t>
            </w:r>
          </w:p>
          <w:p w14:paraId="5869C9D4" w14:textId="77777777" w:rsidR="00CA5E93" w:rsidRPr="00581B90" w:rsidRDefault="00CA5E93" w:rsidP="0001529B">
            <w:pPr>
              <w:pStyle w:val="Tabletext"/>
              <w:tabs>
                <w:tab w:val="clear" w:pos="284"/>
              </w:tabs>
              <w:ind w:left="283" w:hanging="391"/>
              <w:rPr>
                <w:rFonts w:cs="Calibri"/>
                <w:szCs w:val="22"/>
              </w:rPr>
            </w:pPr>
            <w:r w:rsidRPr="00581B90">
              <w:rPr>
                <w:rFonts w:cs="Calibri"/>
                <w:szCs w:val="22"/>
              </w:rPr>
              <w:t>-</w:t>
            </w:r>
            <w:r w:rsidRPr="00581B90">
              <w:rPr>
                <w:rFonts w:cs="Calibri"/>
                <w:szCs w:val="22"/>
              </w:rPr>
              <w:tab/>
              <w:t>The chairs and vice-chairs of ITU-T study groups;</w:t>
            </w:r>
          </w:p>
          <w:p w14:paraId="6D70A3B4" w14:textId="77777777" w:rsidR="00CA5E93" w:rsidRPr="00581B90" w:rsidRDefault="00CA5E93" w:rsidP="0001529B">
            <w:pPr>
              <w:pStyle w:val="Tabletext"/>
              <w:tabs>
                <w:tab w:val="clear" w:pos="284"/>
              </w:tabs>
              <w:ind w:left="283" w:hanging="391"/>
              <w:rPr>
                <w:rFonts w:cs="Calibri"/>
                <w:szCs w:val="22"/>
              </w:rPr>
            </w:pPr>
            <w:r w:rsidRPr="00581B90">
              <w:rPr>
                <w:rFonts w:cs="Calibri"/>
                <w:szCs w:val="22"/>
              </w:rPr>
              <w:t>-</w:t>
            </w:r>
            <w:r w:rsidRPr="00581B90">
              <w:rPr>
                <w:rFonts w:cs="Calibri"/>
                <w:szCs w:val="22"/>
              </w:rPr>
              <w:tab/>
              <w:t>The Director of the Telecommunication Development Bureau;</w:t>
            </w:r>
          </w:p>
          <w:p w14:paraId="2273D6A5" w14:textId="77777777" w:rsidR="00CA5E93" w:rsidRDefault="00CA5E93" w:rsidP="0001529B">
            <w:pPr>
              <w:pStyle w:val="Tabletext"/>
              <w:ind w:left="283" w:hanging="391"/>
              <w:rPr>
                <w:rFonts w:cs="Calibri"/>
                <w:szCs w:val="22"/>
              </w:rPr>
            </w:pPr>
            <w:r w:rsidRPr="00581B90">
              <w:rPr>
                <w:rFonts w:cs="Calibri"/>
                <w:szCs w:val="22"/>
              </w:rPr>
              <w:t>-</w:t>
            </w:r>
            <w:r w:rsidRPr="00581B90">
              <w:rPr>
                <w:rFonts w:cs="Calibri"/>
                <w:szCs w:val="22"/>
              </w:rPr>
              <w:tab/>
              <w:t>The Director of the Radiocommunication Bureau.</w:t>
            </w:r>
          </w:p>
          <w:p w14:paraId="5984EDB0" w14:textId="15451A7E" w:rsidR="004D76D6" w:rsidRPr="00581B90" w:rsidRDefault="004D76D6" w:rsidP="0001529B">
            <w:pPr>
              <w:pStyle w:val="Tabletext"/>
              <w:ind w:left="283" w:hanging="391"/>
              <w:rPr>
                <w:rFonts w:cs="Calibri"/>
                <w:szCs w:val="22"/>
              </w:rPr>
            </w:pPr>
          </w:p>
        </w:tc>
      </w:tr>
      <w:tr w:rsidR="00CA5E93" w:rsidRPr="00581B90" w14:paraId="218C7AAB" w14:textId="77777777" w:rsidTr="0001529B">
        <w:trPr>
          <w:cantSplit/>
          <w:trHeight w:val="221"/>
        </w:trPr>
        <w:tc>
          <w:tcPr>
            <w:tcW w:w="1134" w:type="dxa"/>
          </w:tcPr>
          <w:p w14:paraId="0AF5256F" w14:textId="77777777" w:rsidR="00CA5E93" w:rsidRPr="00581B90" w:rsidRDefault="00CA5E93" w:rsidP="0001529B">
            <w:pPr>
              <w:pStyle w:val="Tabletext"/>
              <w:ind w:left="-110"/>
              <w:rPr>
                <w:rFonts w:cs="Calibri"/>
                <w:bCs/>
                <w:szCs w:val="22"/>
              </w:rPr>
            </w:pPr>
            <w:r w:rsidRPr="00581B90">
              <w:rPr>
                <w:rFonts w:cs="Calibri"/>
                <w:bCs/>
                <w:szCs w:val="22"/>
              </w:rPr>
              <w:t>Tel:</w:t>
            </w:r>
          </w:p>
        </w:tc>
        <w:tc>
          <w:tcPr>
            <w:tcW w:w="3444" w:type="dxa"/>
            <w:gridSpan w:val="2"/>
          </w:tcPr>
          <w:p w14:paraId="79A9C2E7" w14:textId="54F6BB90" w:rsidR="009B7FC3" w:rsidRPr="00581B90" w:rsidRDefault="00CA5E93" w:rsidP="0001529B">
            <w:pPr>
              <w:pStyle w:val="Tabletext"/>
              <w:rPr>
                <w:rFonts w:cs="Calibri"/>
                <w:szCs w:val="22"/>
              </w:rPr>
            </w:pPr>
            <w:r w:rsidRPr="00581B90">
              <w:rPr>
                <w:rFonts w:cs="Calibri"/>
                <w:szCs w:val="22"/>
              </w:rPr>
              <w:t xml:space="preserve">+41 22 730 </w:t>
            </w:r>
            <w:r w:rsidR="009B7FC3" w:rsidRPr="00581B90">
              <w:rPr>
                <w:rFonts w:cs="Calibri"/>
                <w:szCs w:val="22"/>
              </w:rPr>
              <w:t>6465</w:t>
            </w:r>
          </w:p>
        </w:tc>
        <w:tc>
          <w:tcPr>
            <w:tcW w:w="5151" w:type="dxa"/>
            <w:gridSpan w:val="2"/>
            <w:vMerge/>
          </w:tcPr>
          <w:p w14:paraId="00A6FEE0" w14:textId="77F64000" w:rsidR="00CA5E93" w:rsidRPr="00581B90" w:rsidRDefault="00CA5E93" w:rsidP="0001529B">
            <w:pPr>
              <w:pStyle w:val="Tabletext"/>
              <w:ind w:left="283" w:hanging="391"/>
              <w:rPr>
                <w:rFonts w:cs="Calibri"/>
                <w:szCs w:val="22"/>
              </w:rPr>
            </w:pPr>
          </w:p>
        </w:tc>
      </w:tr>
      <w:tr w:rsidR="00CA5E93" w:rsidRPr="00581B90" w14:paraId="4FB22726" w14:textId="77777777" w:rsidTr="0001529B">
        <w:trPr>
          <w:cantSplit/>
          <w:trHeight w:val="282"/>
        </w:trPr>
        <w:tc>
          <w:tcPr>
            <w:tcW w:w="1134" w:type="dxa"/>
          </w:tcPr>
          <w:p w14:paraId="254ABACE" w14:textId="77777777" w:rsidR="00CA5E93" w:rsidRPr="00581B90" w:rsidRDefault="00CA5E93" w:rsidP="0001529B">
            <w:pPr>
              <w:pStyle w:val="Tabletext"/>
              <w:ind w:left="-110"/>
              <w:rPr>
                <w:rFonts w:cs="Calibri"/>
                <w:bCs/>
                <w:szCs w:val="22"/>
              </w:rPr>
            </w:pPr>
            <w:r w:rsidRPr="00581B90">
              <w:rPr>
                <w:rFonts w:cs="Calibri"/>
                <w:bCs/>
                <w:szCs w:val="22"/>
              </w:rPr>
              <w:t>Fax:</w:t>
            </w:r>
          </w:p>
        </w:tc>
        <w:tc>
          <w:tcPr>
            <w:tcW w:w="3444" w:type="dxa"/>
            <w:gridSpan w:val="2"/>
          </w:tcPr>
          <w:p w14:paraId="3EED3728" w14:textId="6AA5D4DA" w:rsidR="00CA5E93" w:rsidRPr="00581B90" w:rsidRDefault="00CA5E93" w:rsidP="0001529B">
            <w:pPr>
              <w:pStyle w:val="Tabletext"/>
              <w:rPr>
                <w:rFonts w:cs="Calibri"/>
                <w:b/>
                <w:szCs w:val="22"/>
                <w:rtl/>
                <w:lang w:bidi="ar-EG"/>
              </w:rPr>
            </w:pPr>
            <w:r w:rsidRPr="00581B90">
              <w:rPr>
                <w:rFonts w:cs="Calibri"/>
                <w:szCs w:val="22"/>
              </w:rPr>
              <w:t xml:space="preserve">+41 22 730 </w:t>
            </w:r>
            <w:r w:rsidR="00442B3F" w:rsidRPr="00581B90">
              <w:rPr>
                <w:rFonts w:cs="Calibri"/>
                <w:szCs w:val="22"/>
              </w:rPr>
              <w:t>5853</w:t>
            </w:r>
          </w:p>
        </w:tc>
        <w:tc>
          <w:tcPr>
            <w:tcW w:w="5151" w:type="dxa"/>
            <w:gridSpan w:val="2"/>
            <w:vMerge/>
          </w:tcPr>
          <w:p w14:paraId="2D69D236" w14:textId="18C88B42" w:rsidR="00CA5E93" w:rsidRPr="00581B90" w:rsidRDefault="00CA5E93" w:rsidP="0001529B">
            <w:pPr>
              <w:pStyle w:val="Tabletext"/>
              <w:ind w:left="283" w:hanging="391"/>
              <w:rPr>
                <w:rFonts w:cs="Calibri"/>
                <w:szCs w:val="22"/>
              </w:rPr>
            </w:pPr>
          </w:p>
        </w:tc>
      </w:tr>
      <w:tr w:rsidR="00CA5E93" w:rsidRPr="00581B90" w14:paraId="5E6C09DD" w14:textId="77777777" w:rsidTr="0001529B">
        <w:trPr>
          <w:cantSplit/>
          <w:trHeight w:val="1917"/>
        </w:trPr>
        <w:tc>
          <w:tcPr>
            <w:tcW w:w="1134" w:type="dxa"/>
          </w:tcPr>
          <w:p w14:paraId="0094CC3A" w14:textId="77777777" w:rsidR="00CA5E93" w:rsidRPr="00581B90" w:rsidRDefault="00CA5E93" w:rsidP="0001529B">
            <w:pPr>
              <w:pStyle w:val="Tabletext"/>
              <w:ind w:left="-110"/>
              <w:rPr>
                <w:rFonts w:cs="Calibri"/>
                <w:bCs/>
                <w:szCs w:val="22"/>
              </w:rPr>
            </w:pPr>
            <w:r w:rsidRPr="00581B90">
              <w:rPr>
                <w:rFonts w:cs="Calibri"/>
                <w:bCs/>
                <w:szCs w:val="22"/>
              </w:rPr>
              <w:t>E-mail:</w:t>
            </w:r>
          </w:p>
        </w:tc>
        <w:tc>
          <w:tcPr>
            <w:tcW w:w="3444" w:type="dxa"/>
            <w:gridSpan w:val="2"/>
          </w:tcPr>
          <w:p w14:paraId="676B845E" w14:textId="35F427AC" w:rsidR="00CA5E93" w:rsidRPr="00581B90" w:rsidRDefault="00385396" w:rsidP="0001529B">
            <w:pPr>
              <w:pStyle w:val="Tabletext"/>
              <w:rPr>
                <w:rFonts w:cs="Calibri"/>
                <w:szCs w:val="22"/>
              </w:rPr>
            </w:pPr>
            <w:hyperlink r:id="rId11" w:history="1">
              <w:r w:rsidRPr="00581B90">
                <w:rPr>
                  <w:rStyle w:val="Hyperlink"/>
                  <w:szCs w:val="18"/>
                </w:rPr>
                <w:t>tsbfg</w:t>
              </w:r>
              <w:r w:rsidRPr="00581B90">
                <w:rPr>
                  <w:rStyle w:val="Hyperlink"/>
                  <w:szCs w:val="18"/>
                  <w:lang w:eastAsia="zh-CN"/>
                </w:rPr>
                <w:t>ai4ssc</w:t>
              </w:r>
              <w:r w:rsidRPr="00581B90">
                <w:rPr>
                  <w:rStyle w:val="Hyperlink"/>
                  <w:szCs w:val="18"/>
                </w:rPr>
                <w:t>@itu.int</w:t>
              </w:r>
            </w:hyperlink>
            <w:r w:rsidR="00CA5E93" w:rsidRPr="00581B90">
              <w:rPr>
                <w:szCs w:val="18"/>
              </w:rPr>
              <w:t xml:space="preserve"> </w:t>
            </w:r>
          </w:p>
        </w:tc>
        <w:tc>
          <w:tcPr>
            <w:tcW w:w="5151" w:type="dxa"/>
            <w:gridSpan w:val="2"/>
            <w:vMerge/>
          </w:tcPr>
          <w:p w14:paraId="0170C617" w14:textId="381E7B2F" w:rsidR="00CA5E93" w:rsidRPr="00581B90" w:rsidRDefault="00CA5E93" w:rsidP="0001529B">
            <w:pPr>
              <w:pStyle w:val="Tabletext"/>
              <w:tabs>
                <w:tab w:val="clear" w:pos="284"/>
              </w:tabs>
              <w:ind w:left="283" w:hanging="391"/>
              <w:rPr>
                <w:rFonts w:cs="Calibri"/>
                <w:szCs w:val="22"/>
              </w:rPr>
            </w:pPr>
          </w:p>
        </w:tc>
      </w:tr>
      <w:tr w:rsidR="00FA46A0" w:rsidRPr="00581B90" w14:paraId="3D692815" w14:textId="77777777" w:rsidTr="0001529B">
        <w:trPr>
          <w:cantSplit/>
          <w:trHeight w:val="711"/>
        </w:trPr>
        <w:tc>
          <w:tcPr>
            <w:tcW w:w="1134" w:type="dxa"/>
          </w:tcPr>
          <w:p w14:paraId="71C35540" w14:textId="3A5EEB69" w:rsidR="00FA46A0" w:rsidRPr="00581B90" w:rsidRDefault="00B61012" w:rsidP="0001529B">
            <w:pPr>
              <w:pStyle w:val="Tabletext"/>
              <w:ind w:left="-110"/>
              <w:rPr>
                <w:rFonts w:asciiTheme="minorHAnsi" w:hAnsiTheme="minorHAnsi" w:cstheme="minorHAnsi"/>
                <w:szCs w:val="22"/>
              </w:rPr>
            </w:pPr>
            <w:r w:rsidRPr="00581B90">
              <w:rPr>
                <w:rFonts w:asciiTheme="minorHAnsi" w:hAnsiTheme="minorHAnsi" w:cstheme="minorHAnsi"/>
                <w:b/>
                <w:szCs w:val="22"/>
              </w:rPr>
              <w:t>Subject:</w:t>
            </w:r>
          </w:p>
        </w:tc>
        <w:tc>
          <w:tcPr>
            <w:tcW w:w="8595" w:type="dxa"/>
            <w:gridSpan w:val="4"/>
          </w:tcPr>
          <w:p w14:paraId="6DAA681E" w14:textId="78305846" w:rsidR="00FA46A0" w:rsidRPr="00581B90" w:rsidRDefault="00DA1B34" w:rsidP="0001529B">
            <w:pPr>
              <w:pStyle w:val="Tabletext"/>
              <w:rPr>
                <w:rFonts w:asciiTheme="minorHAnsi" w:hAnsiTheme="minorHAnsi" w:cstheme="minorHAnsi"/>
                <w:szCs w:val="22"/>
                <w:lang w:eastAsia="zh-CN"/>
              </w:rPr>
            </w:pPr>
            <w:r w:rsidRPr="00581B90">
              <w:rPr>
                <w:rFonts w:asciiTheme="minorHAnsi" w:hAnsiTheme="minorHAnsi" w:cstheme="minorHAnsi"/>
                <w:b/>
                <w:bCs/>
                <w:szCs w:val="22"/>
              </w:rPr>
              <w:t xml:space="preserve">Creation of a new ITU-T Focus Group on </w:t>
            </w:r>
            <w:r w:rsidR="00902213" w:rsidRPr="00581B90">
              <w:rPr>
                <w:rFonts w:asciiTheme="minorHAnsi" w:hAnsiTheme="minorHAnsi" w:cstheme="minorHAnsi"/>
                <w:b/>
                <w:bCs/>
                <w:szCs w:val="22"/>
                <w:lang w:eastAsia="zh-CN"/>
              </w:rPr>
              <w:t>AI for Smart Sustainable Cities and Communities (FG-AI4SSC)</w:t>
            </w:r>
            <w:r w:rsidRPr="00581B90">
              <w:rPr>
                <w:rFonts w:asciiTheme="minorHAnsi" w:hAnsiTheme="minorHAnsi" w:cstheme="minorHAnsi"/>
                <w:b/>
                <w:bCs/>
                <w:szCs w:val="22"/>
              </w:rPr>
              <w:t xml:space="preserve">, and its </w:t>
            </w:r>
            <w:r w:rsidR="00F76BA8" w:rsidRPr="00581B90">
              <w:rPr>
                <w:rFonts w:asciiTheme="minorHAnsi" w:hAnsiTheme="minorHAnsi" w:cstheme="minorHAnsi"/>
                <w:b/>
                <w:bCs/>
                <w:szCs w:val="22"/>
              </w:rPr>
              <w:t>F</w:t>
            </w:r>
            <w:r w:rsidRPr="00581B90">
              <w:rPr>
                <w:rFonts w:asciiTheme="minorHAnsi" w:hAnsiTheme="minorHAnsi" w:cstheme="minorHAnsi"/>
                <w:b/>
                <w:bCs/>
                <w:szCs w:val="22"/>
              </w:rPr>
              <w:t xml:space="preserve">irst </w:t>
            </w:r>
            <w:r w:rsidR="00F76BA8" w:rsidRPr="00581B90">
              <w:rPr>
                <w:rFonts w:asciiTheme="minorHAnsi" w:hAnsiTheme="minorHAnsi" w:cstheme="minorHAnsi"/>
                <w:b/>
                <w:bCs/>
                <w:szCs w:val="22"/>
              </w:rPr>
              <w:t>M</w:t>
            </w:r>
            <w:r w:rsidRPr="00581B90">
              <w:rPr>
                <w:rFonts w:asciiTheme="minorHAnsi" w:hAnsiTheme="minorHAnsi" w:cstheme="minorHAnsi"/>
                <w:b/>
                <w:bCs/>
                <w:szCs w:val="22"/>
              </w:rPr>
              <w:t>eeting</w:t>
            </w:r>
            <w:r w:rsidR="00BF2912" w:rsidRPr="00581B90">
              <w:rPr>
                <w:rFonts w:asciiTheme="minorHAnsi" w:hAnsiTheme="minorHAnsi" w:cstheme="minorHAnsi" w:hint="eastAsia"/>
                <w:b/>
                <w:bCs/>
                <w:szCs w:val="22"/>
                <w:lang w:eastAsia="zh-CN"/>
              </w:rPr>
              <w:t xml:space="preserve"> </w:t>
            </w:r>
            <w:r w:rsidR="00F76BA8" w:rsidRPr="00581B90">
              <w:rPr>
                <w:rFonts w:asciiTheme="minorHAnsi" w:hAnsiTheme="minorHAnsi" w:cstheme="minorHAnsi"/>
                <w:b/>
                <w:bCs/>
                <w:szCs w:val="22"/>
                <w:lang w:eastAsia="zh-CN"/>
              </w:rPr>
              <w:t>(</w:t>
            </w:r>
            <w:r w:rsidR="00F5597E" w:rsidRPr="00581B90">
              <w:rPr>
                <w:rFonts w:asciiTheme="minorHAnsi" w:hAnsiTheme="minorHAnsi" w:cstheme="minorHAnsi"/>
                <w:b/>
                <w:bCs/>
                <w:szCs w:val="22"/>
                <w:lang w:eastAsia="zh-CN"/>
              </w:rPr>
              <w:t>Tampere, Finland</w:t>
            </w:r>
            <w:r w:rsidR="008C026D" w:rsidRPr="00581B90">
              <w:rPr>
                <w:rFonts w:asciiTheme="minorHAnsi" w:hAnsiTheme="minorHAnsi" w:cstheme="minorHAnsi"/>
                <w:b/>
                <w:bCs/>
                <w:szCs w:val="22"/>
              </w:rPr>
              <w:t>,</w:t>
            </w:r>
            <w:r w:rsidR="00B376F5" w:rsidRPr="00581B90">
              <w:rPr>
                <w:rFonts w:asciiTheme="minorHAnsi" w:hAnsiTheme="minorHAnsi" w:cstheme="minorHAnsi"/>
                <w:b/>
                <w:bCs/>
                <w:szCs w:val="22"/>
              </w:rPr>
              <w:t xml:space="preserve"> </w:t>
            </w:r>
            <w:r w:rsidR="0076091D" w:rsidRPr="00581B90">
              <w:rPr>
                <w:rFonts w:asciiTheme="minorHAnsi" w:hAnsiTheme="minorHAnsi" w:cstheme="minorHAnsi"/>
                <w:b/>
                <w:bCs/>
                <w:szCs w:val="22"/>
                <w:lang w:eastAsia="zh-CN"/>
              </w:rPr>
              <w:t>10</w:t>
            </w:r>
            <w:r w:rsidR="004D76D6">
              <w:rPr>
                <w:rFonts w:asciiTheme="minorHAnsi" w:hAnsiTheme="minorHAnsi" w:cstheme="minorHAnsi"/>
                <w:b/>
                <w:bCs/>
                <w:szCs w:val="22"/>
                <w:lang w:eastAsia="zh-CN"/>
              </w:rPr>
              <w:t xml:space="preserve"> and </w:t>
            </w:r>
            <w:r w:rsidR="00F5597E" w:rsidRPr="00581B90">
              <w:rPr>
                <w:rFonts w:asciiTheme="minorHAnsi" w:hAnsiTheme="minorHAnsi" w:cstheme="minorHAnsi"/>
                <w:b/>
                <w:bCs/>
                <w:szCs w:val="22"/>
                <w:lang w:eastAsia="zh-CN"/>
              </w:rPr>
              <w:t>11 September</w:t>
            </w:r>
            <w:r w:rsidR="008C026D" w:rsidRPr="00581B90">
              <w:rPr>
                <w:rFonts w:asciiTheme="minorHAnsi" w:hAnsiTheme="minorHAnsi" w:cstheme="minorHAnsi"/>
                <w:b/>
                <w:bCs/>
                <w:szCs w:val="22"/>
              </w:rPr>
              <w:t xml:space="preserve"> 202</w:t>
            </w:r>
            <w:r w:rsidR="00BF2912" w:rsidRPr="00581B90">
              <w:rPr>
                <w:rFonts w:asciiTheme="minorHAnsi" w:hAnsiTheme="minorHAnsi" w:cstheme="minorHAnsi" w:hint="eastAsia"/>
                <w:b/>
                <w:bCs/>
                <w:szCs w:val="22"/>
                <w:lang w:eastAsia="zh-CN"/>
              </w:rPr>
              <w:t>6</w:t>
            </w:r>
            <w:r w:rsidR="00F76BA8" w:rsidRPr="00581B90">
              <w:rPr>
                <w:rFonts w:asciiTheme="minorHAnsi" w:hAnsiTheme="minorHAnsi" w:cstheme="minorHAnsi"/>
                <w:b/>
                <w:bCs/>
                <w:szCs w:val="22"/>
                <w:lang w:eastAsia="zh-CN"/>
              </w:rPr>
              <w:t>)</w:t>
            </w:r>
          </w:p>
        </w:tc>
      </w:tr>
    </w:tbl>
    <w:p w14:paraId="41948E95" w14:textId="77777777" w:rsidR="00E870E2" w:rsidRPr="00581B90" w:rsidRDefault="00E870E2" w:rsidP="0001529B">
      <w:pPr>
        <w:rPr>
          <w:rFonts w:cs="Calibri"/>
          <w:szCs w:val="22"/>
        </w:rPr>
      </w:pPr>
      <w:r w:rsidRPr="00581B90">
        <w:rPr>
          <w:rFonts w:cs="Calibri"/>
          <w:szCs w:val="22"/>
        </w:rPr>
        <w:t>Dear Sir/Madam,</w:t>
      </w:r>
    </w:p>
    <w:p w14:paraId="7CA04323" w14:textId="36428F6C" w:rsidR="0048330F" w:rsidRPr="00581B90" w:rsidRDefault="00E870E2" w:rsidP="00E870E2">
      <w:pPr>
        <w:rPr>
          <w:rFonts w:cs="Calibri"/>
          <w:szCs w:val="22"/>
        </w:rPr>
      </w:pPr>
      <w:r w:rsidRPr="00581B90">
        <w:rPr>
          <w:rFonts w:cs="Calibri"/>
          <w:szCs w:val="22"/>
        </w:rPr>
        <w:t>1</w:t>
      </w:r>
      <w:r w:rsidRPr="00581B90">
        <w:rPr>
          <w:rFonts w:cs="Calibri"/>
          <w:szCs w:val="22"/>
        </w:rPr>
        <w:tab/>
        <w:t>Further to the agreement by</w:t>
      </w:r>
      <w:r w:rsidR="00EC74F6" w:rsidRPr="00581B90">
        <w:rPr>
          <w:rFonts w:cs="Calibri"/>
          <w:szCs w:val="22"/>
        </w:rPr>
        <w:t xml:space="preserve"> </w:t>
      </w:r>
      <w:r w:rsidR="00721B92" w:rsidRPr="00581B90">
        <w:rPr>
          <w:rFonts w:cs="Calibri"/>
          <w:szCs w:val="22"/>
        </w:rPr>
        <w:t xml:space="preserve">ITU-T Study Group 20 </w:t>
      </w:r>
      <w:r w:rsidR="004D76D6">
        <w:rPr>
          <w:rFonts w:cs="Calibri"/>
          <w:szCs w:val="22"/>
        </w:rPr>
        <w:t>“</w:t>
      </w:r>
      <w:r w:rsidR="0077210B" w:rsidRPr="004D76D6">
        <w:rPr>
          <w:rFonts w:cs="Calibri"/>
          <w:i/>
          <w:iCs/>
          <w:szCs w:val="22"/>
        </w:rPr>
        <w:t>Internet of Things, digital twins and smart sustainable cities and communities</w:t>
      </w:r>
      <w:r w:rsidR="004D76D6">
        <w:rPr>
          <w:rFonts w:cs="Calibri"/>
          <w:szCs w:val="22"/>
        </w:rPr>
        <w:t>”</w:t>
      </w:r>
      <w:r w:rsidR="0077210B">
        <w:rPr>
          <w:rFonts w:cs="Calibri"/>
          <w:szCs w:val="22"/>
        </w:rPr>
        <w:t xml:space="preserve"> </w:t>
      </w:r>
      <w:r w:rsidR="00721B92" w:rsidRPr="00581B90">
        <w:rPr>
          <w:rFonts w:cs="Calibri"/>
          <w:szCs w:val="22"/>
        </w:rPr>
        <w:t>at its meeting on 21 May 2026 in Geneva</w:t>
      </w:r>
      <w:r w:rsidRPr="00581B90">
        <w:rPr>
          <w:rFonts w:cs="Calibri"/>
          <w:szCs w:val="22"/>
        </w:rPr>
        <w:t>,</w:t>
      </w:r>
      <w:r w:rsidR="00D41D70" w:rsidRPr="00581B90">
        <w:rPr>
          <w:rFonts w:cs="Calibri"/>
          <w:szCs w:val="22"/>
        </w:rPr>
        <w:t xml:space="preserve"> and according to </w:t>
      </w:r>
      <w:hyperlink r:id="rId12" w:history="1">
        <w:r w:rsidR="0077210B" w:rsidRPr="00581B90">
          <w:rPr>
            <w:rStyle w:val="Hyperlink"/>
            <w:rFonts w:cs="Calibri"/>
            <w:szCs w:val="22"/>
          </w:rPr>
          <w:t>Recommendation ITU-T A.7</w:t>
        </w:r>
      </w:hyperlink>
      <w:r w:rsidR="00D41D70" w:rsidRPr="00581B90">
        <w:rPr>
          <w:rFonts w:cs="Calibri"/>
          <w:szCs w:val="22"/>
        </w:rPr>
        <w:t>,</w:t>
      </w:r>
      <w:r w:rsidRPr="00581B90">
        <w:rPr>
          <w:rFonts w:cs="Calibri"/>
          <w:szCs w:val="22"/>
        </w:rPr>
        <w:t xml:space="preserve"> I am pleased to announce the establishment of the new </w:t>
      </w:r>
      <w:r w:rsidR="000D6626" w:rsidRPr="004D76D6">
        <w:rPr>
          <w:rFonts w:cs="Calibri"/>
          <w:b/>
          <w:bCs/>
          <w:szCs w:val="22"/>
        </w:rPr>
        <w:t xml:space="preserve">ITU-T Focus Group on </w:t>
      </w:r>
      <w:r w:rsidR="00721B92" w:rsidRPr="004D76D6">
        <w:rPr>
          <w:rFonts w:cs="Calibri"/>
          <w:b/>
          <w:bCs/>
          <w:szCs w:val="22"/>
        </w:rPr>
        <w:t>AI for Smart Sustainable Cities and Communities (FG-AI4SSC)</w:t>
      </w:r>
      <w:r w:rsidRPr="00581B90">
        <w:rPr>
          <w:rFonts w:cs="Calibri"/>
          <w:szCs w:val="22"/>
        </w:rPr>
        <w:t>.</w:t>
      </w:r>
    </w:p>
    <w:p w14:paraId="55C17D30" w14:textId="70AD234B" w:rsidR="00090701" w:rsidRPr="00581B90" w:rsidRDefault="00090701" w:rsidP="00090701">
      <w:pPr>
        <w:rPr>
          <w:rFonts w:cs="Calibri"/>
          <w:szCs w:val="22"/>
        </w:rPr>
      </w:pPr>
      <w:r>
        <w:rPr>
          <w:rFonts w:cs="Calibri"/>
          <w:szCs w:val="22"/>
          <w:lang w:eastAsia="zh-CN"/>
        </w:rPr>
        <w:t>2</w:t>
      </w:r>
      <w:r w:rsidRPr="00581B90">
        <w:rPr>
          <w:rFonts w:cs="Calibri"/>
          <w:szCs w:val="22"/>
          <w:lang w:eastAsia="zh-CN"/>
        </w:rPr>
        <w:tab/>
      </w:r>
      <w:r>
        <w:rPr>
          <w:rFonts w:cs="Calibri"/>
          <w:szCs w:val="22"/>
          <w:lang w:eastAsia="zh-CN"/>
        </w:rPr>
        <w:t xml:space="preserve">The </w:t>
      </w:r>
      <w:r w:rsidRPr="00581B90">
        <w:rPr>
          <w:rFonts w:cs="Calibri"/>
          <w:szCs w:val="22"/>
          <w:lang w:eastAsia="zh-CN"/>
        </w:rPr>
        <w:t>FG-AI4SSC</w:t>
      </w:r>
      <w:r w:rsidRPr="00581B90">
        <w:rPr>
          <w:rFonts w:cs="Calibri"/>
          <w:szCs w:val="22"/>
        </w:rPr>
        <w:t xml:space="preserve"> will address the integration aspects required for AI-enabled urban systems and services, including requirements, interfaces, coordination mechanisms and frameworks necessary to enable existing and future AI technologies to interoperate coherently, safely and effectively with IoT, digital twin, and smart sustainable cities and communities</w:t>
      </w:r>
      <w:r w:rsidR="004D76D6">
        <w:rPr>
          <w:rFonts w:cs="Calibri"/>
          <w:szCs w:val="22"/>
        </w:rPr>
        <w:t>’</w:t>
      </w:r>
      <w:r w:rsidRPr="00581B90">
        <w:rPr>
          <w:rFonts w:cs="Calibri"/>
          <w:szCs w:val="22"/>
        </w:rPr>
        <w:t xml:space="preserve"> systems and services within city-scale deployments in accordance with ITU Plenipotentiary Resolution 214 (Bucharest, 2022). More details on the scope of activities are found in</w:t>
      </w:r>
      <w:r>
        <w:rPr>
          <w:rFonts w:cs="Calibri"/>
          <w:szCs w:val="22"/>
        </w:rPr>
        <w:t xml:space="preserve"> </w:t>
      </w:r>
      <w:r w:rsidR="004D76D6">
        <w:rPr>
          <w:rFonts w:cs="Calibri"/>
          <w:szCs w:val="22"/>
        </w:rPr>
        <w:t>the Focus Group’s</w:t>
      </w:r>
      <w:r>
        <w:rPr>
          <w:rFonts w:cs="Calibri"/>
          <w:szCs w:val="22"/>
        </w:rPr>
        <w:t xml:space="preserve"> terms of reference</w:t>
      </w:r>
      <w:r w:rsidR="00361401">
        <w:rPr>
          <w:rFonts w:cs="Calibri"/>
          <w:szCs w:val="22"/>
        </w:rPr>
        <w:t xml:space="preserve"> (</w:t>
      </w:r>
      <w:proofErr w:type="spellStart"/>
      <w:r w:rsidR="00361401">
        <w:rPr>
          <w:rFonts w:cs="Calibri"/>
          <w:szCs w:val="22"/>
        </w:rPr>
        <w:t>ToR</w:t>
      </w:r>
      <w:proofErr w:type="spellEnd"/>
      <w:r w:rsidR="00361401">
        <w:rPr>
          <w:rFonts w:cs="Calibri"/>
          <w:szCs w:val="22"/>
        </w:rPr>
        <w:t>)</w:t>
      </w:r>
      <w:r>
        <w:rPr>
          <w:rFonts w:cs="Calibri"/>
          <w:szCs w:val="22"/>
        </w:rPr>
        <w:t>, see</w:t>
      </w:r>
      <w:r w:rsidRPr="00090701">
        <w:t xml:space="preserve"> </w:t>
      </w:r>
      <w:r w:rsidRPr="00581B90">
        <w:rPr>
          <w:rFonts w:cs="Calibri"/>
          <w:b/>
          <w:bCs/>
          <w:szCs w:val="22"/>
        </w:rPr>
        <w:t>Annex 1</w:t>
      </w:r>
      <w:r w:rsidR="0077210B" w:rsidRPr="0077210B">
        <w:t>, as well as in its</w:t>
      </w:r>
      <w:r w:rsidR="0077210B">
        <w:rPr>
          <w:rFonts w:cs="Calibri"/>
          <w:b/>
          <w:bCs/>
          <w:szCs w:val="22"/>
        </w:rPr>
        <w:t xml:space="preserve"> </w:t>
      </w:r>
      <w:r w:rsidR="0077210B">
        <w:rPr>
          <w:rFonts w:cs="Calibri"/>
          <w:szCs w:val="22"/>
        </w:rPr>
        <w:t xml:space="preserve">homepage at </w:t>
      </w:r>
      <w:hyperlink r:id="rId13" w:history="1">
        <w:r w:rsidR="00060DC4" w:rsidRPr="007D594D">
          <w:rPr>
            <w:rStyle w:val="Hyperlink"/>
            <w:rFonts w:cs="Calibri"/>
            <w:szCs w:val="22"/>
          </w:rPr>
          <w:t>https://itu.int/go/ai4ssc</w:t>
        </w:r>
      </w:hyperlink>
      <w:r w:rsidRPr="0077210B">
        <w:t>.</w:t>
      </w:r>
    </w:p>
    <w:p w14:paraId="36757112" w14:textId="108C330F" w:rsidR="00967FAA" w:rsidRPr="00581B90" w:rsidRDefault="00090701" w:rsidP="00467944">
      <w:pPr>
        <w:rPr>
          <w:rFonts w:cs="Calibri"/>
          <w:szCs w:val="22"/>
        </w:rPr>
      </w:pPr>
      <w:r>
        <w:rPr>
          <w:rFonts w:cs="Calibri"/>
          <w:szCs w:val="22"/>
        </w:rPr>
        <w:t>3</w:t>
      </w:r>
      <w:r w:rsidR="00E870E2" w:rsidRPr="00581B90">
        <w:rPr>
          <w:rFonts w:cs="Calibri"/>
          <w:szCs w:val="22"/>
        </w:rPr>
        <w:tab/>
      </w:r>
      <w:r w:rsidR="00E41C64" w:rsidRPr="00581B90">
        <w:rPr>
          <w:rFonts w:cs="Calibri"/>
          <w:szCs w:val="22"/>
        </w:rPr>
        <w:t>ITU-T Study Group 20 appointed</w:t>
      </w:r>
      <w:r w:rsidR="00967FAA" w:rsidRPr="00581B90">
        <w:rPr>
          <w:rFonts w:cs="Calibri"/>
          <w:szCs w:val="22"/>
        </w:rPr>
        <w:t xml:space="preserve"> the following leadership:</w:t>
      </w:r>
    </w:p>
    <w:p w14:paraId="308892FE" w14:textId="77777777" w:rsidR="00D87962" w:rsidRDefault="00D87962" w:rsidP="00FB3942">
      <w:pPr>
        <w:numPr>
          <w:ilvl w:val="0"/>
          <w:numId w:val="37"/>
        </w:numPr>
        <w:tabs>
          <w:tab w:val="clear" w:pos="794"/>
          <w:tab w:val="clear" w:pos="1191"/>
          <w:tab w:val="clear" w:pos="1588"/>
          <w:tab w:val="clear" w:pos="1985"/>
        </w:tabs>
        <w:ind w:left="567" w:hanging="567"/>
      </w:pPr>
      <w:r>
        <w:t>Co-chairs:</w:t>
      </w:r>
    </w:p>
    <w:p w14:paraId="6030C006" w14:textId="5981EA6C" w:rsidR="00967FAA" w:rsidRPr="00581B90" w:rsidRDefault="00111579" w:rsidP="00361401">
      <w:pPr>
        <w:numPr>
          <w:ilvl w:val="0"/>
          <w:numId w:val="40"/>
        </w:numPr>
        <w:tabs>
          <w:tab w:val="clear" w:pos="794"/>
          <w:tab w:val="clear" w:pos="1191"/>
          <w:tab w:val="clear" w:pos="1588"/>
          <w:tab w:val="clear" w:pos="1985"/>
        </w:tabs>
        <w:overflowPunct/>
        <w:autoSpaceDE/>
        <w:autoSpaceDN/>
        <w:adjustRightInd/>
        <w:spacing w:before="0"/>
        <w:ind w:left="1134" w:hanging="567"/>
        <w:textAlignment w:val="auto"/>
      </w:pPr>
      <w:r w:rsidRPr="00581B90">
        <w:t>Mr Jun Seob Lee (ETRI, Republic of Korea)</w:t>
      </w:r>
    </w:p>
    <w:p w14:paraId="70025758" w14:textId="143E28A2" w:rsidR="00967FAA" w:rsidRDefault="00C30BBC" w:rsidP="00361401">
      <w:pPr>
        <w:numPr>
          <w:ilvl w:val="0"/>
          <w:numId w:val="40"/>
        </w:numPr>
        <w:tabs>
          <w:tab w:val="clear" w:pos="794"/>
          <w:tab w:val="clear" w:pos="1191"/>
          <w:tab w:val="clear" w:pos="1588"/>
          <w:tab w:val="clear" w:pos="1985"/>
        </w:tabs>
        <w:overflowPunct/>
        <w:autoSpaceDE/>
        <w:autoSpaceDN/>
        <w:adjustRightInd/>
        <w:spacing w:before="0"/>
        <w:ind w:left="1134" w:hanging="567"/>
        <w:textAlignment w:val="auto"/>
      </w:pPr>
      <w:r w:rsidRPr="00581B90">
        <w:t>Mr</w:t>
      </w:r>
      <w:r w:rsidR="00111579" w:rsidRPr="00581B90">
        <w:t xml:space="preserve"> </w:t>
      </w:r>
      <w:r w:rsidRPr="00581B90">
        <w:t>Ramy Ahmed Fathy (Egypt)</w:t>
      </w:r>
    </w:p>
    <w:p w14:paraId="3CC0711D" w14:textId="5628C432" w:rsidR="00D87962" w:rsidRPr="00581B90" w:rsidRDefault="00D87962" w:rsidP="00FB3942">
      <w:pPr>
        <w:numPr>
          <w:ilvl w:val="0"/>
          <w:numId w:val="37"/>
        </w:numPr>
        <w:tabs>
          <w:tab w:val="clear" w:pos="794"/>
          <w:tab w:val="clear" w:pos="1191"/>
          <w:tab w:val="clear" w:pos="1588"/>
          <w:tab w:val="clear" w:pos="1985"/>
        </w:tabs>
        <w:ind w:left="567" w:hanging="567"/>
      </w:pPr>
      <w:r>
        <w:t>Vice-chairs:</w:t>
      </w:r>
    </w:p>
    <w:p w14:paraId="463CAA4B" w14:textId="54B1598A" w:rsidR="00967FAA" w:rsidRPr="00AC3E12" w:rsidRDefault="00AE05F9" w:rsidP="00361401">
      <w:pPr>
        <w:numPr>
          <w:ilvl w:val="0"/>
          <w:numId w:val="39"/>
        </w:numPr>
        <w:tabs>
          <w:tab w:val="clear" w:pos="794"/>
          <w:tab w:val="clear" w:pos="1191"/>
          <w:tab w:val="clear" w:pos="1588"/>
          <w:tab w:val="clear" w:pos="1985"/>
        </w:tabs>
        <w:overflowPunct/>
        <w:autoSpaceDE/>
        <w:autoSpaceDN/>
        <w:adjustRightInd/>
        <w:spacing w:before="0"/>
        <w:ind w:left="1134" w:hanging="567"/>
        <w:textAlignment w:val="auto"/>
        <w:rPr>
          <w:lang w:val="fr-FR"/>
        </w:rPr>
      </w:pPr>
      <w:r w:rsidRPr="00AC3E12">
        <w:rPr>
          <w:lang w:val="fr-FR"/>
        </w:rPr>
        <w:t xml:space="preserve">Ms </w:t>
      </w:r>
      <w:r w:rsidR="00C30BBC" w:rsidRPr="00AC3E12">
        <w:rPr>
          <w:lang w:val="fr-FR"/>
        </w:rPr>
        <w:t>Aline Matta (UN-Habitat)</w:t>
      </w:r>
    </w:p>
    <w:p w14:paraId="7537BD1B" w14:textId="32C4EC7C" w:rsidR="00967FAA" w:rsidRPr="00581B90" w:rsidRDefault="00AE05F9" w:rsidP="00361401">
      <w:pPr>
        <w:numPr>
          <w:ilvl w:val="0"/>
          <w:numId w:val="39"/>
        </w:numPr>
        <w:tabs>
          <w:tab w:val="clear" w:pos="794"/>
          <w:tab w:val="clear" w:pos="1191"/>
          <w:tab w:val="clear" w:pos="1588"/>
          <w:tab w:val="clear" w:pos="1985"/>
        </w:tabs>
        <w:overflowPunct/>
        <w:autoSpaceDE/>
        <w:autoSpaceDN/>
        <w:adjustRightInd/>
        <w:spacing w:before="0"/>
        <w:ind w:left="1134" w:hanging="567"/>
        <w:textAlignment w:val="auto"/>
      </w:pPr>
      <w:r w:rsidRPr="00581B90">
        <w:t xml:space="preserve">Ms </w:t>
      </w:r>
      <w:r w:rsidR="00C30BBC" w:rsidRPr="00581B90">
        <w:t>Sophia Nahoza (Tanzania)</w:t>
      </w:r>
    </w:p>
    <w:p w14:paraId="74889C5F" w14:textId="47B1135C" w:rsidR="00967FAA" w:rsidRPr="00581B90" w:rsidRDefault="00AE05F9" w:rsidP="00361401">
      <w:pPr>
        <w:numPr>
          <w:ilvl w:val="0"/>
          <w:numId w:val="39"/>
        </w:numPr>
        <w:tabs>
          <w:tab w:val="clear" w:pos="794"/>
          <w:tab w:val="clear" w:pos="1191"/>
          <w:tab w:val="clear" w:pos="1588"/>
          <w:tab w:val="clear" w:pos="1985"/>
        </w:tabs>
        <w:overflowPunct/>
        <w:autoSpaceDE/>
        <w:autoSpaceDN/>
        <w:adjustRightInd/>
        <w:spacing w:before="0"/>
        <w:ind w:left="1134" w:hanging="567"/>
        <w:textAlignment w:val="auto"/>
      </w:pPr>
      <w:r w:rsidRPr="00581B90">
        <w:t xml:space="preserve">Mr </w:t>
      </w:r>
      <w:r w:rsidR="00DF1BBB" w:rsidRPr="00581B90">
        <w:t>Yang Liu (China)</w:t>
      </w:r>
    </w:p>
    <w:p w14:paraId="364AF48A" w14:textId="64DE8E08" w:rsidR="00581B90" w:rsidRPr="00581B90" w:rsidRDefault="00AE05F9" w:rsidP="00361401">
      <w:pPr>
        <w:numPr>
          <w:ilvl w:val="0"/>
          <w:numId w:val="39"/>
        </w:numPr>
        <w:tabs>
          <w:tab w:val="clear" w:pos="794"/>
          <w:tab w:val="clear" w:pos="1191"/>
          <w:tab w:val="clear" w:pos="1588"/>
          <w:tab w:val="clear" w:pos="1985"/>
        </w:tabs>
        <w:overflowPunct/>
        <w:autoSpaceDE/>
        <w:autoSpaceDN/>
        <w:adjustRightInd/>
        <w:spacing w:before="0"/>
        <w:ind w:left="1134" w:hanging="567"/>
        <w:textAlignment w:val="auto"/>
      </w:pPr>
      <w:r w:rsidRPr="00581B90">
        <w:t xml:space="preserve">Mr </w:t>
      </w:r>
      <w:r w:rsidR="00DF1BBB" w:rsidRPr="00581B90">
        <w:t>Ali Abbassene (Algeria</w:t>
      </w:r>
      <w:r w:rsidR="00D87962">
        <w:t>)</w:t>
      </w:r>
    </w:p>
    <w:p w14:paraId="74E4B4CF" w14:textId="6F4080BE" w:rsidR="00967FAA" w:rsidRPr="00581B90" w:rsidRDefault="00AE05F9" w:rsidP="00361401">
      <w:pPr>
        <w:numPr>
          <w:ilvl w:val="0"/>
          <w:numId w:val="39"/>
        </w:numPr>
        <w:tabs>
          <w:tab w:val="clear" w:pos="794"/>
          <w:tab w:val="clear" w:pos="1191"/>
          <w:tab w:val="clear" w:pos="1588"/>
          <w:tab w:val="clear" w:pos="1985"/>
        </w:tabs>
        <w:overflowPunct/>
        <w:autoSpaceDE/>
        <w:autoSpaceDN/>
        <w:adjustRightInd/>
        <w:spacing w:before="0"/>
        <w:ind w:left="1134" w:hanging="567"/>
        <w:textAlignment w:val="auto"/>
      </w:pPr>
      <w:r w:rsidRPr="00581B90">
        <w:t xml:space="preserve">Mr </w:t>
      </w:r>
      <w:r w:rsidR="00DF1BBB" w:rsidRPr="00581B90">
        <w:t>Marios Angelopopoulos (Greece)</w:t>
      </w:r>
    </w:p>
    <w:p w14:paraId="6F359EB5" w14:textId="1897EE70" w:rsidR="00967FAA" w:rsidRPr="00581B90" w:rsidRDefault="00AE05F9" w:rsidP="00361401">
      <w:pPr>
        <w:numPr>
          <w:ilvl w:val="0"/>
          <w:numId w:val="39"/>
        </w:numPr>
        <w:tabs>
          <w:tab w:val="clear" w:pos="794"/>
          <w:tab w:val="clear" w:pos="1191"/>
          <w:tab w:val="clear" w:pos="1588"/>
          <w:tab w:val="clear" w:pos="1985"/>
        </w:tabs>
        <w:overflowPunct/>
        <w:autoSpaceDE/>
        <w:autoSpaceDN/>
        <w:adjustRightInd/>
        <w:spacing w:before="0"/>
        <w:ind w:left="1134" w:hanging="567"/>
        <w:textAlignment w:val="auto"/>
      </w:pPr>
      <w:r w:rsidRPr="00581B90">
        <w:t xml:space="preserve">Ms </w:t>
      </w:r>
      <w:r w:rsidR="00DF1BBB" w:rsidRPr="00581B90">
        <w:t>Ricarda Rende (Brazil)</w:t>
      </w:r>
    </w:p>
    <w:p w14:paraId="6FFB0892" w14:textId="7054FDC1" w:rsidR="00581B90" w:rsidRPr="00581B90" w:rsidRDefault="00AE05F9" w:rsidP="00361401">
      <w:pPr>
        <w:numPr>
          <w:ilvl w:val="0"/>
          <w:numId w:val="39"/>
        </w:numPr>
        <w:tabs>
          <w:tab w:val="clear" w:pos="794"/>
          <w:tab w:val="clear" w:pos="1191"/>
          <w:tab w:val="clear" w:pos="1588"/>
          <w:tab w:val="clear" w:pos="1985"/>
        </w:tabs>
        <w:overflowPunct/>
        <w:autoSpaceDE/>
        <w:autoSpaceDN/>
        <w:adjustRightInd/>
        <w:spacing w:before="0"/>
        <w:ind w:left="1134" w:hanging="567"/>
        <w:textAlignment w:val="auto"/>
      </w:pPr>
      <w:r w:rsidRPr="00581B90">
        <w:t>Mr Martin Brynskov (Open &amp; Agile Smart Cities &amp; Communities)</w:t>
      </w:r>
    </w:p>
    <w:p w14:paraId="6B57FE8C" w14:textId="7792C4FF" w:rsidR="00467944" w:rsidRDefault="00467944" w:rsidP="00FB3942">
      <w:r w:rsidRPr="00581B90">
        <w:t xml:space="preserve">Additional leaders </w:t>
      </w:r>
      <w:r w:rsidR="005D1908" w:rsidRPr="00581B90">
        <w:t xml:space="preserve">may be </w:t>
      </w:r>
      <w:r w:rsidRPr="00581B90">
        <w:t>appointed</w:t>
      </w:r>
      <w:r w:rsidR="00EC25FB" w:rsidRPr="00581B90">
        <w:t xml:space="preserve"> by the FG-AI</w:t>
      </w:r>
      <w:r w:rsidR="00E41C64" w:rsidRPr="00581B90">
        <w:t>4SSC</w:t>
      </w:r>
      <w:r w:rsidR="00AB7C9B" w:rsidRPr="00581B90">
        <w:t xml:space="preserve"> to </w:t>
      </w:r>
      <w:r w:rsidR="000253A8" w:rsidRPr="00581B90">
        <w:t>strengthen</w:t>
      </w:r>
      <w:r w:rsidR="00AB7C9B" w:rsidRPr="00581B90">
        <w:t xml:space="preserve"> </w:t>
      </w:r>
      <w:r w:rsidR="00D87962">
        <w:t>its</w:t>
      </w:r>
      <w:r w:rsidR="0097799E" w:rsidRPr="00581B90">
        <w:t xml:space="preserve"> </w:t>
      </w:r>
      <w:r w:rsidR="00D87962" w:rsidRPr="00581B90">
        <w:t xml:space="preserve">management </w:t>
      </w:r>
      <w:r w:rsidR="00952B09" w:rsidRPr="00581B90">
        <w:t>t</w:t>
      </w:r>
      <w:r w:rsidR="002A2973" w:rsidRPr="00581B90">
        <w:t>eam</w:t>
      </w:r>
      <w:r w:rsidRPr="00581B90">
        <w:t>.</w:t>
      </w:r>
    </w:p>
    <w:p w14:paraId="13215D4B" w14:textId="77777777" w:rsidR="004D76D6" w:rsidRDefault="004D76D6" w:rsidP="00FB3942"/>
    <w:p w14:paraId="00A990DF" w14:textId="77777777" w:rsidR="004D76D6" w:rsidRPr="00581B90" w:rsidRDefault="004D76D6" w:rsidP="00FB3942"/>
    <w:p w14:paraId="4BEBE5BD" w14:textId="64EFC43D" w:rsidR="0048330F" w:rsidRPr="00581B90" w:rsidRDefault="04C15E73" w:rsidP="00581B90">
      <w:pPr>
        <w:rPr>
          <w:rFonts w:cs="Calibri"/>
          <w:szCs w:val="22"/>
        </w:rPr>
      </w:pPr>
      <w:r w:rsidRPr="00581B90">
        <w:rPr>
          <w:rFonts w:cs="Calibri"/>
          <w:szCs w:val="22"/>
        </w:rPr>
        <w:lastRenderedPageBreak/>
        <w:t>4</w:t>
      </w:r>
      <w:r w:rsidR="00CE3C6B" w:rsidRPr="00581B90">
        <w:rPr>
          <w:rFonts w:cs="Calibri"/>
          <w:szCs w:val="22"/>
        </w:rPr>
        <w:tab/>
      </w:r>
      <w:r w:rsidR="0E630AB0" w:rsidRPr="00581B90">
        <w:rPr>
          <w:rFonts w:cs="Calibri"/>
          <w:szCs w:val="22"/>
        </w:rPr>
        <w:t xml:space="preserve">Participation in </w:t>
      </w:r>
      <w:r w:rsidR="001E37D9" w:rsidRPr="00581B90">
        <w:rPr>
          <w:rFonts w:cs="Calibri"/>
          <w:szCs w:val="22"/>
        </w:rPr>
        <w:t xml:space="preserve">the </w:t>
      </w:r>
      <w:r w:rsidR="0E630AB0" w:rsidRPr="00581B90">
        <w:rPr>
          <w:rFonts w:cs="Calibri"/>
          <w:szCs w:val="22"/>
        </w:rPr>
        <w:t>FG-</w:t>
      </w:r>
      <w:r w:rsidR="1CB5E9DC" w:rsidRPr="00581B90">
        <w:rPr>
          <w:rFonts w:cs="Calibri"/>
          <w:szCs w:val="22"/>
          <w:lang w:eastAsia="zh-CN"/>
        </w:rPr>
        <w:t>AI</w:t>
      </w:r>
      <w:r w:rsidR="00233849" w:rsidRPr="00581B90">
        <w:rPr>
          <w:rFonts w:cs="Calibri"/>
          <w:szCs w:val="22"/>
          <w:lang w:eastAsia="zh-CN"/>
        </w:rPr>
        <w:t>4SSC</w:t>
      </w:r>
      <w:r w:rsidR="0E630AB0" w:rsidRPr="00581B90">
        <w:rPr>
          <w:rFonts w:cs="Calibri"/>
          <w:szCs w:val="22"/>
        </w:rPr>
        <w:t xml:space="preserve"> is free of charge and open to </w:t>
      </w:r>
      <w:r w:rsidR="004E65D4" w:rsidRPr="00581B90">
        <w:rPr>
          <w:rFonts w:cs="Calibri"/>
          <w:szCs w:val="22"/>
        </w:rPr>
        <w:t xml:space="preserve">any </w:t>
      </w:r>
      <w:r w:rsidR="0E630AB0" w:rsidRPr="00581B90">
        <w:rPr>
          <w:rFonts w:cs="Calibri"/>
          <w:szCs w:val="22"/>
        </w:rPr>
        <w:t>individual</w:t>
      </w:r>
      <w:r w:rsidR="004E65D4" w:rsidRPr="00581B90">
        <w:t xml:space="preserve"> </w:t>
      </w:r>
      <w:r w:rsidR="0E630AB0" w:rsidRPr="00581B90">
        <w:rPr>
          <w:rFonts w:cs="Calibri"/>
          <w:szCs w:val="22"/>
        </w:rPr>
        <w:t>from sectors and relevant disciplines</w:t>
      </w:r>
      <w:r w:rsidR="001E0A16" w:rsidRPr="00581B90">
        <w:rPr>
          <w:rFonts w:cs="Calibri"/>
          <w:szCs w:val="22"/>
        </w:rPr>
        <w:t xml:space="preserve"> coming from a country that is a member of ITU</w:t>
      </w:r>
      <w:r w:rsidR="004E65D4" w:rsidRPr="00581B90">
        <w:rPr>
          <w:rFonts w:cs="Calibri"/>
          <w:szCs w:val="22"/>
        </w:rPr>
        <w:t xml:space="preserve"> and who is willing to contribute actively to the work</w:t>
      </w:r>
      <w:r w:rsidR="0E630AB0" w:rsidRPr="00581B90">
        <w:rPr>
          <w:rFonts w:cs="Calibri"/>
          <w:szCs w:val="22"/>
        </w:rPr>
        <w:t xml:space="preserve">. </w:t>
      </w:r>
      <w:r w:rsidR="001E0A16" w:rsidRPr="00581B90">
        <w:rPr>
          <w:rFonts w:cs="Calibri"/>
          <w:szCs w:val="22"/>
        </w:rPr>
        <w:t>Those</w:t>
      </w:r>
      <w:r w:rsidR="0E630AB0" w:rsidRPr="00581B90">
        <w:rPr>
          <w:rFonts w:cs="Calibri"/>
          <w:szCs w:val="22"/>
        </w:rPr>
        <w:t xml:space="preserve"> interested in following or participating in this work </w:t>
      </w:r>
      <w:r w:rsidR="001E0A16" w:rsidRPr="00581B90">
        <w:rPr>
          <w:rFonts w:cs="Calibri"/>
          <w:szCs w:val="22"/>
        </w:rPr>
        <w:t>are</w:t>
      </w:r>
      <w:r w:rsidR="0E630AB0" w:rsidRPr="00581B90">
        <w:rPr>
          <w:rFonts w:cs="Calibri"/>
          <w:szCs w:val="22"/>
        </w:rPr>
        <w:t xml:space="preserve"> invited to subscribe to a dedicated mailing</w:t>
      </w:r>
      <w:r w:rsidR="001E0A16" w:rsidRPr="00581B90">
        <w:rPr>
          <w:rFonts w:cs="Calibri"/>
          <w:szCs w:val="22"/>
        </w:rPr>
        <w:t xml:space="preserve"> </w:t>
      </w:r>
      <w:r w:rsidR="0E630AB0" w:rsidRPr="00581B90">
        <w:rPr>
          <w:rFonts w:cs="Calibri"/>
          <w:szCs w:val="22"/>
        </w:rPr>
        <w:t>list; details on how to subscribe can be found at</w:t>
      </w:r>
      <w:r w:rsidR="00581B90" w:rsidRPr="00581B90">
        <w:rPr>
          <w:rFonts w:cs="Calibri"/>
          <w:szCs w:val="22"/>
        </w:rPr>
        <w:t xml:space="preserve"> </w:t>
      </w:r>
      <w:hyperlink r:id="rId14" w:history="1">
        <w:r w:rsidR="00581B90" w:rsidRPr="00581B90">
          <w:rPr>
            <w:rStyle w:val="Hyperlink"/>
            <w:rFonts w:cs="Calibri"/>
            <w:szCs w:val="22"/>
          </w:rPr>
          <w:t>https://itu.int/go/ai4ssc/join</w:t>
        </w:r>
      </w:hyperlink>
      <w:r w:rsidR="00FB3942" w:rsidRPr="00581B90">
        <w:rPr>
          <w:rFonts w:cs="Calibri"/>
          <w:szCs w:val="22"/>
        </w:rPr>
        <w:t>.</w:t>
      </w:r>
    </w:p>
    <w:p w14:paraId="5BBEF190" w14:textId="5AB69920" w:rsidR="00581B90" w:rsidRPr="00581B90" w:rsidRDefault="00380340" w:rsidP="00E870E2">
      <w:pPr>
        <w:rPr>
          <w:rFonts w:cs="Calibri"/>
          <w:szCs w:val="22"/>
        </w:rPr>
      </w:pPr>
      <w:r w:rsidRPr="00581B90">
        <w:rPr>
          <w:rFonts w:cs="Calibri"/>
          <w:szCs w:val="22"/>
        </w:rPr>
        <w:t>5</w:t>
      </w:r>
      <w:r w:rsidR="00E870E2" w:rsidRPr="00581B90">
        <w:rPr>
          <w:rFonts w:cs="Calibri"/>
          <w:szCs w:val="22"/>
        </w:rPr>
        <w:tab/>
        <w:t xml:space="preserve">The group will operate under the procedures set out in </w:t>
      </w:r>
      <w:r w:rsidR="00E870E2" w:rsidRPr="0077210B">
        <w:rPr>
          <w:rFonts w:cs="Calibri"/>
          <w:szCs w:val="22"/>
        </w:rPr>
        <w:t>Recommendation ITU-T A.7</w:t>
      </w:r>
      <w:r w:rsidR="00E870E2" w:rsidRPr="00581B90">
        <w:rPr>
          <w:rFonts w:cs="Calibri"/>
          <w:szCs w:val="22"/>
        </w:rPr>
        <w:t xml:space="preserve"> and within the agreed terms of reference reproduced in </w:t>
      </w:r>
      <w:r w:rsidR="00E870E2" w:rsidRPr="00581B90">
        <w:rPr>
          <w:rFonts w:cs="Calibri"/>
          <w:b/>
          <w:bCs/>
          <w:szCs w:val="22"/>
        </w:rPr>
        <w:t>Annex 1</w:t>
      </w:r>
      <w:r w:rsidR="00E870E2" w:rsidRPr="00581B90">
        <w:rPr>
          <w:rFonts w:cs="Calibri"/>
          <w:szCs w:val="22"/>
        </w:rPr>
        <w:t xml:space="preserve">. </w:t>
      </w:r>
      <w:r w:rsidR="00343697" w:rsidRPr="00581B90">
        <w:rPr>
          <w:rFonts w:cs="Calibri"/>
          <w:szCs w:val="22"/>
        </w:rPr>
        <w:t>The Focus Group lifetime is set for one year from the first meeting</w:t>
      </w:r>
      <w:r w:rsidR="00090701">
        <w:rPr>
          <w:rFonts w:cs="Calibri"/>
          <w:szCs w:val="22"/>
        </w:rPr>
        <w:t>,</w:t>
      </w:r>
      <w:r w:rsidR="00343697" w:rsidRPr="00581B90">
        <w:rPr>
          <w:rFonts w:cs="Calibri"/>
          <w:szCs w:val="22"/>
        </w:rPr>
        <w:t xml:space="preserve"> with possibility of extension.</w:t>
      </w:r>
    </w:p>
    <w:p w14:paraId="7C9EEBAF" w14:textId="0F6DB055" w:rsidR="00361401" w:rsidRPr="00581B90" w:rsidRDefault="00361401" w:rsidP="00361401">
      <w:pPr>
        <w:spacing w:after="120"/>
        <w:rPr>
          <w:rFonts w:cs="Calibri"/>
          <w:szCs w:val="22"/>
        </w:rPr>
      </w:pPr>
      <w:r>
        <w:rPr>
          <w:rFonts w:cs="Calibri"/>
          <w:szCs w:val="22"/>
        </w:rPr>
        <w:t>6</w:t>
      </w:r>
      <w:r w:rsidRPr="00581B90">
        <w:rPr>
          <w:rFonts w:cs="Calibri"/>
          <w:szCs w:val="22"/>
        </w:rPr>
        <w:tab/>
        <w:t xml:space="preserve">To enable ITU to make the necessary arrangements, participants are requested to register for each FG-AI4SSC meeting online via </w:t>
      </w:r>
      <w:r w:rsidR="004D76D6">
        <w:rPr>
          <w:rFonts w:cs="Calibri"/>
          <w:szCs w:val="22"/>
        </w:rPr>
        <w:t>its</w:t>
      </w:r>
      <w:r w:rsidRPr="0077210B">
        <w:rPr>
          <w:rFonts w:cs="Calibri"/>
          <w:szCs w:val="22"/>
        </w:rPr>
        <w:t xml:space="preserve"> homepage</w:t>
      </w:r>
      <w:r w:rsidRPr="00581B90">
        <w:rPr>
          <w:rFonts w:cs="Calibri"/>
          <w:szCs w:val="22"/>
        </w:rPr>
        <w:t>. Please note that pre-registration of participants for the events is carried out exclusively online.</w:t>
      </w:r>
    </w:p>
    <w:p w14:paraId="66CE8A27" w14:textId="081B2F02" w:rsidR="00581B90" w:rsidRPr="00581B90" w:rsidRDefault="00361401" w:rsidP="00E870E2">
      <w:pPr>
        <w:rPr>
          <w:rFonts w:cs="Calibri"/>
          <w:szCs w:val="22"/>
        </w:rPr>
      </w:pPr>
      <w:r>
        <w:rPr>
          <w:rFonts w:cs="Calibri"/>
          <w:szCs w:val="22"/>
        </w:rPr>
        <w:t>7</w:t>
      </w:r>
      <w:r w:rsidR="00E870E2" w:rsidRPr="00581B90">
        <w:rPr>
          <w:rFonts w:cs="Calibri"/>
          <w:szCs w:val="22"/>
        </w:rPr>
        <w:tab/>
      </w:r>
      <w:r w:rsidR="00360870" w:rsidRPr="00581B90">
        <w:rPr>
          <w:rFonts w:cs="Calibri"/>
          <w:szCs w:val="22"/>
        </w:rPr>
        <w:t xml:space="preserve">The </w:t>
      </w:r>
      <w:r w:rsidR="00360870" w:rsidRPr="00361401">
        <w:rPr>
          <w:rFonts w:cs="Calibri"/>
          <w:b/>
          <w:bCs/>
          <w:szCs w:val="22"/>
        </w:rPr>
        <w:t>first meeting</w:t>
      </w:r>
      <w:r w:rsidR="00360870" w:rsidRPr="00581B90">
        <w:rPr>
          <w:rFonts w:cs="Calibri"/>
          <w:szCs w:val="22"/>
        </w:rPr>
        <w:t xml:space="preserve"> of FG-AI4SSC will be held in Tampere, Finland, on </w:t>
      </w:r>
      <w:r w:rsidR="0076091D" w:rsidRPr="00581B90">
        <w:rPr>
          <w:rFonts w:cs="Calibri"/>
          <w:szCs w:val="22"/>
        </w:rPr>
        <w:t>10</w:t>
      </w:r>
      <w:r w:rsidR="004D76D6">
        <w:rPr>
          <w:rFonts w:cs="Calibri"/>
          <w:szCs w:val="22"/>
        </w:rPr>
        <w:t xml:space="preserve"> and </w:t>
      </w:r>
      <w:r w:rsidR="00360870" w:rsidRPr="00581B90">
        <w:rPr>
          <w:rFonts w:cs="Calibri"/>
          <w:szCs w:val="22"/>
        </w:rPr>
        <w:t>11 September 2026, kindly hosted by the City of Tampere.</w:t>
      </w:r>
    </w:p>
    <w:p w14:paraId="0E9499AD" w14:textId="6E19AAE9" w:rsidR="0077210B" w:rsidRPr="00581B90" w:rsidRDefault="00361401" w:rsidP="0077210B">
      <w:pPr>
        <w:rPr>
          <w:rFonts w:cs="Calibri"/>
          <w:szCs w:val="22"/>
        </w:rPr>
      </w:pPr>
      <w:r>
        <w:rPr>
          <w:rFonts w:cs="Calibri"/>
          <w:szCs w:val="22"/>
        </w:rPr>
        <w:t>8</w:t>
      </w:r>
      <w:r w:rsidR="0077210B" w:rsidRPr="00581B90">
        <w:rPr>
          <w:rFonts w:cs="Calibri"/>
          <w:szCs w:val="22"/>
        </w:rPr>
        <w:tab/>
        <w:t xml:space="preserve">The first meeting will be </w:t>
      </w:r>
      <w:r w:rsidR="0077210B" w:rsidRPr="00361401">
        <w:rPr>
          <w:rFonts w:cs="Calibri"/>
          <w:b/>
          <w:bCs/>
          <w:szCs w:val="22"/>
        </w:rPr>
        <w:t>preceded by a Forum</w:t>
      </w:r>
      <w:r w:rsidR="0077210B" w:rsidRPr="00581B90">
        <w:rPr>
          <w:rFonts w:cs="Calibri"/>
          <w:szCs w:val="22"/>
        </w:rPr>
        <w:t>, which will be held on 9</w:t>
      </w:r>
      <w:r w:rsidR="004D76D6">
        <w:rPr>
          <w:rFonts w:cs="Calibri"/>
          <w:szCs w:val="22"/>
        </w:rPr>
        <w:t xml:space="preserve"> and </w:t>
      </w:r>
      <w:r w:rsidR="0077210B" w:rsidRPr="00581B90">
        <w:rPr>
          <w:rFonts w:cs="Calibri"/>
          <w:szCs w:val="22"/>
        </w:rPr>
        <w:t>10 September 2026 at the same venue.</w:t>
      </w:r>
      <w:r w:rsidR="0077210B">
        <w:rPr>
          <w:rFonts w:cs="Calibri"/>
          <w:szCs w:val="22"/>
        </w:rPr>
        <w:t xml:space="preserve"> See </w:t>
      </w:r>
      <w:hyperlink r:id="rId15" w:history="1">
        <w:r w:rsidR="0077210B" w:rsidRPr="0077210B">
          <w:rPr>
            <w:rStyle w:val="Hyperlink"/>
            <w:rFonts w:cs="Calibri"/>
            <w:szCs w:val="22"/>
          </w:rPr>
          <w:t>TSB Circular 146</w:t>
        </w:r>
      </w:hyperlink>
      <w:r w:rsidR="0077210B">
        <w:rPr>
          <w:rFonts w:cs="Calibri"/>
          <w:szCs w:val="22"/>
        </w:rPr>
        <w:t xml:space="preserve"> for further details. </w:t>
      </w:r>
    </w:p>
    <w:p w14:paraId="69720060" w14:textId="41BA919E" w:rsidR="00E870E2" w:rsidRPr="00581B90" w:rsidRDefault="00361401" w:rsidP="0077210B">
      <w:r>
        <w:t>9</w:t>
      </w:r>
      <w:r w:rsidR="00B06848" w:rsidRPr="00581B90">
        <w:tab/>
      </w:r>
      <w:r w:rsidR="00E870E2" w:rsidRPr="00581B90">
        <w:t>The objectives of the first meeting include:</w:t>
      </w:r>
    </w:p>
    <w:p w14:paraId="558544E1" w14:textId="78E7B0AE" w:rsidR="00E870E2" w:rsidRPr="00581B90" w:rsidRDefault="00556F04" w:rsidP="004D76D6">
      <w:pPr>
        <w:numPr>
          <w:ilvl w:val="0"/>
          <w:numId w:val="38"/>
        </w:numPr>
        <w:tabs>
          <w:tab w:val="clear" w:pos="794"/>
          <w:tab w:val="clear" w:pos="1191"/>
          <w:tab w:val="clear" w:pos="1588"/>
          <w:tab w:val="clear" w:pos="1985"/>
        </w:tabs>
        <w:spacing w:before="0"/>
        <w:ind w:left="567" w:hanging="567"/>
      </w:pPr>
      <w:r w:rsidRPr="00581B90">
        <w:t>creation of working groups (WGs) and appointment of WG Chairs</w:t>
      </w:r>
      <w:r w:rsidR="00E870E2" w:rsidRPr="00581B90">
        <w:t>;</w:t>
      </w:r>
    </w:p>
    <w:p w14:paraId="13338F60" w14:textId="6B2B1C0E" w:rsidR="00E01F0F" w:rsidRPr="00581B90" w:rsidRDefault="004E1447" w:rsidP="004D76D6">
      <w:pPr>
        <w:numPr>
          <w:ilvl w:val="0"/>
          <w:numId w:val="38"/>
        </w:numPr>
        <w:tabs>
          <w:tab w:val="clear" w:pos="794"/>
          <w:tab w:val="clear" w:pos="1191"/>
          <w:tab w:val="clear" w:pos="1588"/>
          <w:tab w:val="clear" w:pos="1985"/>
        </w:tabs>
        <w:spacing w:before="0"/>
        <w:ind w:left="567" w:hanging="567"/>
      </w:pPr>
      <w:r w:rsidRPr="00581B90">
        <w:t>agreement on the group’s structure, expected deliverables, responsibilities, timeline</w:t>
      </w:r>
      <w:r w:rsidR="000B2E87" w:rsidRPr="00581B90">
        <w:t>;</w:t>
      </w:r>
    </w:p>
    <w:p w14:paraId="74B05C0E" w14:textId="67E06407" w:rsidR="00E870E2" w:rsidRPr="00581B90" w:rsidRDefault="00FB33A4" w:rsidP="004D76D6">
      <w:pPr>
        <w:numPr>
          <w:ilvl w:val="0"/>
          <w:numId w:val="38"/>
        </w:numPr>
        <w:tabs>
          <w:tab w:val="clear" w:pos="794"/>
          <w:tab w:val="clear" w:pos="1191"/>
          <w:tab w:val="clear" w:pos="1588"/>
          <w:tab w:val="clear" w:pos="1985"/>
        </w:tabs>
        <w:spacing w:before="0"/>
        <w:ind w:left="567" w:hanging="567"/>
      </w:pPr>
      <w:r w:rsidRPr="00581B90">
        <w:t xml:space="preserve">agreement on </w:t>
      </w:r>
      <w:r w:rsidR="0005166C" w:rsidRPr="00581B90">
        <w:t xml:space="preserve">FG-A4SSC </w:t>
      </w:r>
      <w:r w:rsidRPr="00581B90">
        <w:t>working methods, using Recommendation ITU-T A.7 as a base</w:t>
      </w:r>
      <w:r w:rsidR="00E870E2" w:rsidRPr="00581B90">
        <w:t>;</w:t>
      </w:r>
    </w:p>
    <w:p w14:paraId="1F89896E" w14:textId="6A3C613A" w:rsidR="00E870E2" w:rsidRPr="00581B90" w:rsidRDefault="00987D66" w:rsidP="004D76D6">
      <w:pPr>
        <w:numPr>
          <w:ilvl w:val="0"/>
          <w:numId w:val="38"/>
        </w:numPr>
        <w:tabs>
          <w:tab w:val="clear" w:pos="794"/>
          <w:tab w:val="clear" w:pos="1191"/>
          <w:tab w:val="clear" w:pos="1588"/>
          <w:tab w:val="clear" w:pos="1985"/>
        </w:tabs>
        <w:spacing w:before="0"/>
        <w:ind w:left="567" w:hanging="567"/>
      </w:pPr>
      <w:r w:rsidRPr="00581B90">
        <w:t xml:space="preserve">agreement on </w:t>
      </w:r>
      <w:r w:rsidR="0005166C" w:rsidRPr="00581B90">
        <w:t xml:space="preserve">FG-A4SSC </w:t>
      </w:r>
      <w:r w:rsidRPr="00581B90">
        <w:t>future meeting plans, including frequency of meetings</w:t>
      </w:r>
      <w:r w:rsidR="00E870E2" w:rsidRPr="00581B90">
        <w:t>;</w:t>
      </w:r>
    </w:p>
    <w:p w14:paraId="4DC4DF01" w14:textId="5CAB5156" w:rsidR="00E870E2" w:rsidRPr="00581B90" w:rsidRDefault="00B22038" w:rsidP="004D76D6">
      <w:pPr>
        <w:numPr>
          <w:ilvl w:val="0"/>
          <w:numId w:val="38"/>
        </w:numPr>
        <w:tabs>
          <w:tab w:val="clear" w:pos="794"/>
          <w:tab w:val="clear" w:pos="1191"/>
          <w:tab w:val="clear" w:pos="1588"/>
          <w:tab w:val="clear" w:pos="1985"/>
        </w:tabs>
        <w:spacing w:before="0"/>
        <w:ind w:left="567" w:hanging="567"/>
      </w:pPr>
      <w:r w:rsidRPr="00581B90">
        <w:t>c</w:t>
      </w:r>
      <w:r w:rsidR="00BF07F2" w:rsidRPr="00581B90">
        <w:t xml:space="preserve">onsideration </w:t>
      </w:r>
      <w:r w:rsidR="00E870E2" w:rsidRPr="00581B90">
        <w:t>of written contributions</w:t>
      </w:r>
      <w:r w:rsidR="00AA5762" w:rsidRPr="00581B90">
        <w:rPr>
          <w:rFonts w:hint="eastAsia"/>
          <w:lang w:eastAsia="zh-CN"/>
        </w:rPr>
        <w:t>.</w:t>
      </w:r>
    </w:p>
    <w:p w14:paraId="290BD0A5" w14:textId="2EE17502" w:rsidR="00E870E2" w:rsidRPr="00581B90" w:rsidRDefault="00361401" w:rsidP="00B06848">
      <w:pPr>
        <w:rPr>
          <w:rFonts w:cs="Calibri"/>
          <w:b/>
          <w:bCs/>
          <w:szCs w:val="22"/>
        </w:rPr>
      </w:pPr>
      <w:r>
        <w:rPr>
          <w:rFonts w:cs="Calibri"/>
          <w:szCs w:val="22"/>
        </w:rPr>
        <w:t>10</w:t>
      </w:r>
      <w:r w:rsidR="00E870E2" w:rsidRPr="00581B90">
        <w:rPr>
          <w:rFonts w:cs="Calibri"/>
          <w:szCs w:val="22"/>
        </w:rPr>
        <w:tab/>
        <w:t xml:space="preserve">Written contributions </w:t>
      </w:r>
      <w:r w:rsidR="008E2F95" w:rsidRPr="00581B90">
        <w:rPr>
          <w:rFonts w:cs="Calibri"/>
          <w:szCs w:val="22"/>
        </w:rPr>
        <w:t xml:space="preserve">to </w:t>
      </w:r>
      <w:r w:rsidR="00FC4E0B" w:rsidRPr="00581B90">
        <w:rPr>
          <w:rFonts w:cs="Calibri"/>
          <w:szCs w:val="22"/>
        </w:rPr>
        <w:t>address the objectives</w:t>
      </w:r>
      <w:r w:rsidR="008E2F95" w:rsidRPr="00581B90">
        <w:rPr>
          <w:rFonts w:cs="Calibri"/>
          <w:szCs w:val="22"/>
        </w:rPr>
        <w:t xml:space="preserve"> </w:t>
      </w:r>
      <w:r w:rsidR="00346D0A" w:rsidRPr="00581B90">
        <w:rPr>
          <w:rFonts w:cs="Calibri"/>
          <w:szCs w:val="22"/>
        </w:rPr>
        <w:t xml:space="preserve">highlighted above </w:t>
      </w:r>
      <w:r w:rsidR="0009680B" w:rsidRPr="00581B90">
        <w:rPr>
          <w:rFonts w:cs="Calibri"/>
          <w:szCs w:val="22"/>
        </w:rPr>
        <w:t xml:space="preserve">and in line with the </w:t>
      </w:r>
      <w:r w:rsidRPr="00581B90">
        <w:t xml:space="preserve">FG-A4SSC </w:t>
      </w:r>
      <w:proofErr w:type="spellStart"/>
      <w:r>
        <w:rPr>
          <w:rFonts w:cs="Calibri"/>
          <w:szCs w:val="22"/>
        </w:rPr>
        <w:t>ToR</w:t>
      </w:r>
      <w:proofErr w:type="spellEnd"/>
      <w:r w:rsidR="0009680B" w:rsidRPr="00581B90">
        <w:rPr>
          <w:rFonts w:cs="Calibri"/>
          <w:szCs w:val="22"/>
        </w:rPr>
        <w:t xml:space="preserve"> </w:t>
      </w:r>
      <w:r w:rsidR="00E870E2" w:rsidRPr="00581B90">
        <w:rPr>
          <w:rFonts w:cs="Calibri"/>
          <w:szCs w:val="22"/>
        </w:rPr>
        <w:t>are strongly encouraged. Written contributions should be submitted to the TSB Secretariat (</w:t>
      </w:r>
      <w:hyperlink r:id="rId16" w:history="1">
        <w:r w:rsidR="0077210B" w:rsidRPr="005D42AA">
          <w:rPr>
            <w:rStyle w:val="Hyperlink"/>
            <w:rFonts w:cs="Calibri"/>
            <w:szCs w:val="18"/>
          </w:rPr>
          <w:t>tsbfg</w:t>
        </w:r>
        <w:r w:rsidR="0077210B" w:rsidRPr="005D42AA">
          <w:rPr>
            <w:rStyle w:val="Hyperlink"/>
            <w:rFonts w:cs="Calibri"/>
            <w:szCs w:val="18"/>
            <w:lang w:eastAsia="zh-CN"/>
          </w:rPr>
          <w:t>ai4ssc</w:t>
        </w:r>
        <w:r w:rsidR="0077210B" w:rsidRPr="005D42AA">
          <w:rPr>
            <w:rStyle w:val="Hyperlink"/>
            <w:rFonts w:cs="Calibri"/>
            <w:szCs w:val="18"/>
          </w:rPr>
          <w:t>@itu.int</w:t>
        </w:r>
      </w:hyperlink>
      <w:r w:rsidR="00E870E2" w:rsidRPr="00581B90">
        <w:rPr>
          <w:rFonts w:cs="Calibri"/>
          <w:szCs w:val="22"/>
        </w:rPr>
        <w:t xml:space="preserve">) in electronic format using the </w:t>
      </w:r>
      <w:hyperlink r:id="rId17" w:history="1">
        <w:r w:rsidR="00E870E2" w:rsidRPr="00361401">
          <w:rPr>
            <w:rStyle w:val="Hyperlink"/>
            <w:rFonts w:cs="Calibri"/>
            <w:szCs w:val="22"/>
          </w:rPr>
          <w:t>templates</w:t>
        </w:r>
      </w:hyperlink>
      <w:r w:rsidR="00E870E2" w:rsidRPr="00581B90">
        <w:rPr>
          <w:rFonts w:cs="Calibri"/>
          <w:szCs w:val="22"/>
        </w:rPr>
        <w:t xml:space="preserve"> available from the </w:t>
      </w:r>
      <w:r w:rsidR="00E72571" w:rsidRPr="00581B90">
        <w:t>FG-</w:t>
      </w:r>
      <w:r w:rsidR="00FD261F" w:rsidRPr="00581B90">
        <w:t>AI</w:t>
      </w:r>
      <w:r w:rsidR="007D3BED" w:rsidRPr="00581B90">
        <w:t>4SSC</w:t>
      </w:r>
      <w:r w:rsidR="00E72571" w:rsidRPr="00581B90">
        <w:t xml:space="preserve"> homepage</w:t>
      </w:r>
      <w:r w:rsidR="00E870E2" w:rsidRPr="00581B90">
        <w:rPr>
          <w:rFonts w:cs="Calibri"/>
          <w:szCs w:val="22"/>
        </w:rPr>
        <w:t xml:space="preserve">. </w:t>
      </w:r>
      <w:r w:rsidR="00E870E2" w:rsidRPr="00581B90">
        <w:rPr>
          <w:rFonts w:cs="Calibri"/>
          <w:b/>
          <w:bCs/>
          <w:szCs w:val="22"/>
        </w:rPr>
        <w:t xml:space="preserve">The contribution deadline for the first meeting is </w:t>
      </w:r>
      <w:r w:rsidR="00734CD8" w:rsidRPr="00581B90">
        <w:rPr>
          <w:rFonts w:cs="Calibri"/>
          <w:b/>
          <w:bCs/>
          <w:szCs w:val="22"/>
        </w:rPr>
        <w:t xml:space="preserve">set to </w:t>
      </w:r>
      <w:r w:rsidR="00014BB5" w:rsidRPr="00581B90">
        <w:rPr>
          <w:rFonts w:cs="Calibri"/>
          <w:b/>
          <w:bCs/>
          <w:szCs w:val="22"/>
        </w:rPr>
        <w:t>2</w:t>
      </w:r>
      <w:r w:rsidR="00C3028A" w:rsidRPr="00581B90">
        <w:rPr>
          <w:rFonts w:cs="Calibri"/>
          <w:b/>
          <w:bCs/>
          <w:szCs w:val="22"/>
        </w:rPr>
        <w:t>8</w:t>
      </w:r>
      <w:r w:rsidR="00014BB5" w:rsidRPr="00581B90">
        <w:rPr>
          <w:rFonts w:cs="Calibri"/>
          <w:b/>
          <w:bCs/>
          <w:szCs w:val="22"/>
        </w:rPr>
        <w:t xml:space="preserve"> August</w:t>
      </w:r>
      <w:r w:rsidR="00E870E2" w:rsidRPr="00581B90">
        <w:rPr>
          <w:rFonts w:cs="Calibri"/>
          <w:b/>
          <w:bCs/>
          <w:szCs w:val="22"/>
        </w:rPr>
        <w:t xml:space="preserve"> 202</w:t>
      </w:r>
      <w:r w:rsidR="00FD261F" w:rsidRPr="00581B90">
        <w:rPr>
          <w:rFonts w:cs="Calibri" w:hint="eastAsia"/>
          <w:b/>
          <w:bCs/>
          <w:szCs w:val="22"/>
          <w:lang w:eastAsia="zh-CN"/>
        </w:rPr>
        <w:t>6</w:t>
      </w:r>
      <w:r w:rsidR="00E870E2" w:rsidRPr="00581B90">
        <w:rPr>
          <w:rFonts w:cs="Calibri"/>
          <w:b/>
          <w:bCs/>
          <w:szCs w:val="22"/>
        </w:rPr>
        <w:t>.</w:t>
      </w:r>
    </w:p>
    <w:p w14:paraId="1D53894F" w14:textId="7EFDE2FB" w:rsidR="00212790" w:rsidRPr="00581B90" w:rsidRDefault="00B06848" w:rsidP="00995DA9">
      <w:pPr>
        <w:rPr>
          <w:rFonts w:cs="Calibri"/>
          <w:szCs w:val="22"/>
        </w:rPr>
      </w:pPr>
      <w:r w:rsidRPr="00581B90">
        <w:rPr>
          <w:rFonts w:cs="Calibri"/>
          <w:szCs w:val="22"/>
        </w:rPr>
        <w:t>1</w:t>
      </w:r>
      <w:r w:rsidR="00E5401D" w:rsidRPr="00581B90">
        <w:rPr>
          <w:rFonts w:cs="Calibri"/>
          <w:szCs w:val="22"/>
        </w:rPr>
        <w:t>1</w:t>
      </w:r>
      <w:r w:rsidR="00E870E2" w:rsidRPr="00581B90">
        <w:rPr>
          <w:rFonts w:cs="Calibri"/>
          <w:szCs w:val="22"/>
        </w:rPr>
        <w:tab/>
        <w:t>The meeting agenda, documents</w:t>
      </w:r>
      <w:r w:rsidR="00361401">
        <w:rPr>
          <w:rFonts w:cs="Calibri"/>
          <w:szCs w:val="22"/>
        </w:rPr>
        <w:t>, additional details</w:t>
      </w:r>
      <w:r w:rsidR="00E870E2" w:rsidRPr="00581B90">
        <w:rPr>
          <w:rFonts w:cs="Calibri"/>
          <w:szCs w:val="22"/>
        </w:rPr>
        <w:t xml:space="preserve"> and other practical information </w:t>
      </w:r>
      <w:r w:rsidR="00EE77A6" w:rsidRPr="00581B90">
        <w:rPr>
          <w:rFonts w:cs="Calibri"/>
          <w:szCs w:val="22"/>
        </w:rPr>
        <w:t xml:space="preserve">(including remote participation) </w:t>
      </w:r>
      <w:r w:rsidR="00E870E2" w:rsidRPr="00581B90">
        <w:rPr>
          <w:rFonts w:cs="Calibri"/>
          <w:szCs w:val="22"/>
        </w:rPr>
        <w:t xml:space="preserve">will be available via the </w:t>
      </w:r>
      <w:r w:rsidR="00995DA9" w:rsidRPr="0077210B">
        <w:rPr>
          <w:rFonts w:cs="Calibri"/>
          <w:szCs w:val="22"/>
        </w:rPr>
        <w:t>FG-AI4SSC homepage</w:t>
      </w:r>
      <w:r w:rsidR="00EE77A6" w:rsidRPr="00581B90">
        <w:rPr>
          <w:rFonts w:cs="Calibri"/>
          <w:szCs w:val="22"/>
        </w:rPr>
        <w:t xml:space="preserve"> </w:t>
      </w:r>
      <w:r w:rsidR="00E870E2" w:rsidRPr="00581B90">
        <w:rPr>
          <w:rFonts w:cs="Calibri"/>
          <w:szCs w:val="22"/>
        </w:rPr>
        <w:t>in advance of the meeting.</w:t>
      </w:r>
    </w:p>
    <w:p w14:paraId="5B37EC7F" w14:textId="4A3E6ADF" w:rsidR="00AB68FA" w:rsidRPr="00581B90" w:rsidRDefault="00AB68FA" w:rsidP="00AB68FA">
      <w:pPr>
        <w:spacing w:after="120"/>
        <w:rPr>
          <w:rFonts w:cs="Calibri"/>
          <w:szCs w:val="22"/>
        </w:rPr>
      </w:pPr>
      <w:r w:rsidRPr="00581B90">
        <w:rPr>
          <w:rFonts w:cs="Calibri"/>
          <w:szCs w:val="22"/>
        </w:rPr>
        <w:t>12</w:t>
      </w:r>
      <w:r w:rsidRPr="00581B90">
        <w:rPr>
          <w:rFonts w:cs="Calibri"/>
          <w:szCs w:val="22"/>
        </w:rPr>
        <w:tab/>
        <w:t>I would remind you that citizens of some countries are required to obtain a visa to enter and spend time in Finland. If required, visas must be requested before the date of arrival from the embassy or consulate representing Finland in your country or, if there is no such office in your country, from the one that is closest to the country of departure. Deadlines vary, so it is suggested to check directly with the appropriate representation and apply early.</w:t>
      </w:r>
    </w:p>
    <w:p w14:paraId="6874E530" w14:textId="6380F2CA" w:rsidR="00AB68FA" w:rsidRPr="00581B90" w:rsidRDefault="00AB68FA" w:rsidP="00AB68FA">
      <w:pPr>
        <w:spacing w:after="240"/>
        <w:rPr>
          <w:rFonts w:cs="Calibri"/>
          <w:szCs w:val="22"/>
        </w:rPr>
      </w:pPr>
      <w:r w:rsidRPr="00581B90">
        <w:rPr>
          <w:rFonts w:cs="Calibri"/>
          <w:szCs w:val="22"/>
        </w:rPr>
        <w:t xml:space="preserve">Additional details and documentation needed for visa processing, if any, will be provided in the logistics document for the meeting that will be made available on the </w:t>
      </w:r>
      <w:r w:rsidR="00995DA9" w:rsidRPr="0077210B">
        <w:rPr>
          <w:rFonts w:cs="Calibri"/>
          <w:szCs w:val="22"/>
        </w:rPr>
        <w:t>FG-AI4SSC homepage</w:t>
      </w:r>
      <w:r w:rsidRPr="00581B90">
        <w:rPr>
          <w:rFonts w:cs="Calibri"/>
          <w:szCs w:val="22"/>
        </w:rPr>
        <w:t>.</w:t>
      </w:r>
    </w:p>
    <w:p w14:paraId="6BB640CF" w14:textId="27DB82D7" w:rsidR="003A452A" w:rsidRPr="00581B90" w:rsidRDefault="003A452A" w:rsidP="0001529B">
      <w:pPr>
        <w:spacing w:after="60"/>
        <w:rPr>
          <w:rFonts w:cs="Calibri"/>
          <w:szCs w:val="22"/>
        </w:rPr>
      </w:pPr>
      <w:r w:rsidRPr="00581B90">
        <w:rPr>
          <w:rFonts w:cs="Calibri"/>
          <w:szCs w:val="22"/>
        </w:rPr>
        <w:t>1</w:t>
      </w:r>
      <w:r w:rsidR="00AB68FA" w:rsidRPr="00581B90">
        <w:rPr>
          <w:rFonts w:cs="Calibri"/>
          <w:szCs w:val="22"/>
        </w:rPr>
        <w:t>3</w:t>
      </w:r>
      <w:r w:rsidRPr="00581B90">
        <w:rPr>
          <w:rFonts w:cs="Calibri"/>
          <w:szCs w:val="22"/>
        </w:rPr>
        <w:tab/>
        <w:t>Deadlines:</w:t>
      </w:r>
    </w:p>
    <w:tbl>
      <w:tblPr>
        <w:tblStyle w:val="TableGrid"/>
        <w:tblW w:w="5000" w:type="pct"/>
        <w:tblLayout w:type="fixed"/>
        <w:tblLook w:val="04A0" w:firstRow="1" w:lastRow="0" w:firstColumn="1" w:lastColumn="0" w:noHBand="0" w:noVBand="1"/>
      </w:tblPr>
      <w:tblGrid>
        <w:gridCol w:w="1999"/>
        <w:gridCol w:w="7720"/>
      </w:tblGrid>
      <w:tr w:rsidR="009B7639" w:rsidRPr="00581B90" w14:paraId="018A6848" w14:textId="77777777" w:rsidTr="00D26093">
        <w:trPr>
          <w:trHeight w:val="438"/>
        </w:trPr>
        <w:tc>
          <w:tcPr>
            <w:tcW w:w="1999" w:type="dxa"/>
          </w:tcPr>
          <w:p w14:paraId="5565C64E" w14:textId="2CD2FB62" w:rsidR="009B7639" w:rsidRPr="00581B90" w:rsidRDefault="000F66DE" w:rsidP="009B7639">
            <w:pPr>
              <w:keepNext/>
              <w:keepLines/>
              <w:spacing w:before="60" w:after="60" w:line="300" w:lineRule="exact"/>
              <w:jc w:val="center"/>
              <w:rPr>
                <w:rFonts w:cs="Calibri"/>
                <w:szCs w:val="22"/>
                <w:lang w:eastAsia="zh-CN"/>
              </w:rPr>
            </w:pPr>
            <w:bookmarkStart w:id="0" w:name="_Hlk124850442"/>
            <w:r w:rsidRPr="00581B90">
              <w:rPr>
                <w:rFonts w:cs="Calibri"/>
                <w:szCs w:val="22"/>
              </w:rPr>
              <w:t>2</w:t>
            </w:r>
            <w:r w:rsidR="00C3028A" w:rsidRPr="00581B90">
              <w:rPr>
                <w:rFonts w:cs="Calibri"/>
                <w:szCs w:val="22"/>
              </w:rPr>
              <w:t>8</w:t>
            </w:r>
            <w:r w:rsidRPr="00581B90">
              <w:rPr>
                <w:rFonts w:cs="Calibri"/>
                <w:szCs w:val="22"/>
              </w:rPr>
              <w:t xml:space="preserve"> August</w:t>
            </w:r>
            <w:r w:rsidR="009B7639" w:rsidRPr="00581B90">
              <w:rPr>
                <w:rFonts w:cs="Calibri"/>
                <w:szCs w:val="22"/>
              </w:rPr>
              <w:t>202</w:t>
            </w:r>
            <w:r w:rsidR="004A1DBF" w:rsidRPr="00581B90">
              <w:rPr>
                <w:rFonts w:cs="Calibri" w:hint="eastAsia"/>
                <w:szCs w:val="22"/>
                <w:lang w:eastAsia="zh-CN"/>
              </w:rPr>
              <w:t>6</w:t>
            </w:r>
          </w:p>
        </w:tc>
        <w:tc>
          <w:tcPr>
            <w:tcW w:w="7720" w:type="dxa"/>
          </w:tcPr>
          <w:p w14:paraId="3C757807" w14:textId="6F74BD09" w:rsidR="009B7639" w:rsidRPr="00581B90" w:rsidRDefault="009B7639" w:rsidP="009B7639">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Calibri" w:hAnsi="Calibri" w:cs="Calibri"/>
                <w:szCs w:val="22"/>
              </w:rPr>
            </w:pPr>
            <w:r w:rsidRPr="00581B90">
              <w:rPr>
                <w:rFonts w:ascii="Calibri" w:hAnsi="Calibri" w:cs="Calibri"/>
                <w:szCs w:val="22"/>
              </w:rPr>
              <w:t xml:space="preserve">Submit written contributions (by e-mail to </w:t>
            </w:r>
            <w:hyperlink r:id="rId18" w:history="1">
              <w:r w:rsidR="003A2A61" w:rsidRPr="00581B90">
                <w:rPr>
                  <w:rStyle w:val="Hyperlink"/>
                  <w:rFonts w:ascii="Calibri" w:hAnsi="Calibri" w:cs="Calibri"/>
                  <w:szCs w:val="18"/>
                </w:rPr>
                <w:t>tsbfg</w:t>
              </w:r>
              <w:r w:rsidR="003A2A61" w:rsidRPr="00581B90">
                <w:rPr>
                  <w:rStyle w:val="Hyperlink"/>
                  <w:rFonts w:ascii="Calibri" w:hAnsi="Calibri" w:cs="Calibri"/>
                  <w:szCs w:val="18"/>
                  <w:lang w:eastAsia="zh-CN"/>
                </w:rPr>
                <w:t>ai4ssc</w:t>
              </w:r>
              <w:r w:rsidR="003A2A61" w:rsidRPr="00581B90">
                <w:rPr>
                  <w:rStyle w:val="Hyperlink"/>
                  <w:rFonts w:ascii="Calibri" w:hAnsi="Calibri" w:cs="Calibri"/>
                  <w:szCs w:val="18"/>
                </w:rPr>
                <w:t>@itu.int</w:t>
              </w:r>
            </w:hyperlink>
            <w:r w:rsidRPr="00581B90">
              <w:rPr>
                <w:rFonts w:ascii="Calibri" w:hAnsi="Calibri" w:cs="Calibri"/>
                <w:szCs w:val="22"/>
              </w:rPr>
              <w:t>)</w:t>
            </w:r>
          </w:p>
        </w:tc>
      </w:tr>
      <w:tr w:rsidR="00E870E2" w:rsidRPr="00581B90" w14:paraId="5D204207" w14:textId="77777777" w:rsidTr="00D26093">
        <w:trPr>
          <w:trHeight w:val="438"/>
        </w:trPr>
        <w:tc>
          <w:tcPr>
            <w:tcW w:w="1999" w:type="dxa"/>
          </w:tcPr>
          <w:p w14:paraId="142FFDC8" w14:textId="3768026E" w:rsidR="00E870E2" w:rsidRPr="00581B90" w:rsidRDefault="00C3028A" w:rsidP="00D26093">
            <w:pPr>
              <w:keepNext/>
              <w:keepLines/>
              <w:spacing w:before="60" w:after="60" w:line="300" w:lineRule="exact"/>
              <w:jc w:val="center"/>
              <w:rPr>
                <w:rFonts w:cs="Calibri"/>
                <w:szCs w:val="22"/>
                <w:lang w:eastAsia="zh-CN"/>
              </w:rPr>
            </w:pPr>
            <w:r w:rsidRPr="00581B90">
              <w:rPr>
                <w:rFonts w:cs="Calibri"/>
                <w:szCs w:val="22"/>
                <w:lang w:eastAsia="zh-CN"/>
              </w:rPr>
              <w:t>10</w:t>
            </w:r>
            <w:r w:rsidR="000F66DE" w:rsidRPr="00581B90">
              <w:rPr>
                <w:rFonts w:cs="Calibri"/>
                <w:szCs w:val="22"/>
                <w:lang w:eastAsia="zh-CN"/>
              </w:rPr>
              <w:t xml:space="preserve"> August</w:t>
            </w:r>
            <w:r w:rsidR="00E870E2" w:rsidRPr="00581B90">
              <w:rPr>
                <w:rFonts w:cs="Calibri"/>
                <w:szCs w:val="22"/>
              </w:rPr>
              <w:t xml:space="preserve"> 202</w:t>
            </w:r>
            <w:r w:rsidR="004A1DBF" w:rsidRPr="00581B90">
              <w:rPr>
                <w:rFonts w:cs="Calibri" w:hint="eastAsia"/>
                <w:szCs w:val="22"/>
                <w:lang w:eastAsia="zh-CN"/>
              </w:rPr>
              <w:t>6</w:t>
            </w:r>
          </w:p>
        </w:tc>
        <w:tc>
          <w:tcPr>
            <w:tcW w:w="7720" w:type="dxa"/>
          </w:tcPr>
          <w:p w14:paraId="1027ACE3" w14:textId="68ED2CF7" w:rsidR="00E870E2" w:rsidRPr="00581B90" w:rsidRDefault="00E870E2" w:rsidP="00D26093">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Calibri" w:hAnsi="Calibri" w:cs="Calibri"/>
                <w:szCs w:val="22"/>
              </w:rPr>
            </w:pPr>
            <w:r w:rsidRPr="00581B90">
              <w:rPr>
                <w:rFonts w:ascii="Calibri" w:hAnsi="Calibri" w:cs="Calibri"/>
                <w:szCs w:val="22"/>
              </w:rPr>
              <w:t>Pre-registration (</w:t>
            </w:r>
            <w:hyperlink r:id="rId19" w:history="1">
              <w:r w:rsidRPr="00216DB0">
                <w:rPr>
                  <w:rStyle w:val="Hyperlink"/>
                  <w:rFonts w:ascii="Calibri" w:hAnsi="Calibri" w:cs="Calibri"/>
                  <w:szCs w:val="22"/>
                </w:rPr>
                <w:t>online</w:t>
              </w:r>
            </w:hyperlink>
            <w:r w:rsidRPr="00581B90">
              <w:rPr>
                <w:rFonts w:ascii="Calibri" w:hAnsi="Calibri" w:cs="Calibri"/>
                <w:szCs w:val="22"/>
              </w:rPr>
              <w:t xml:space="preserve"> via the </w:t>
            </w:r>
            <w:hyperlink r:id="rId20" w:history="1">
              <w:r w:rsidR="000F66DE" w:rsidRPr="00581B90">
                <w:rPr>
                  <w:rStyle w:val="Hyperlink"/>
                  <w:rFonts w:ascii="Calibri" w:hAnsi="Calibri" w:cs="Calibri"/>
                  <w:szCs w:val="22"/>
                </w:rPr>
                <w:t>FG-AI4SSC homepage</w:t>
              </w:r>
            </w:hyperlink>
            <w:r w:rsidRPr="00581B90">
              <w:rPr>
                <w:rFonts w:ascii="Calibri" w:hAnsi="Calibri" w:cs="Calibri"/>
                <w:szCs w:val="22"/>
              </w:rPr>
              <w:t>)</w:t>
            </w:r>
          </w:p>
        </w:tc>
      </w:tr>
    </w:tbl>
    <w:bookmarkEnd w:id="0"/>
    <w:p w14:paraId="0942D6D4" w14:textId="3AF2DC66" w:rsidR="00E870E2" w:rsidRPr="00581B90" w:rsidRDefault="00E870E2" w:rsidP="0001529B">
      <w:pPr>
        <w:spacing w:after="120"/>
        <w:rPr>
          <w:rFonts w:cs="Calibri"/>
          <w:szCs w:val="22"/>
        </w:rPr>
      </w:pPr>
      <w:r w:rsidRPr="00581B90">
        <w:rPr>
          <w:rFonts w:cs="Calibri"/>
          <w:szCs w:val="22"/>
        </w:rPr>
        <w:t>I wish you a productive and enjoyable meeting.</w:t>
      </w:r>
    </w:p>
    <w:p w14:paraId="6B16CB21" w14:textId="1B2A754B" w:rsidR="001137E2" w:rsidRPr="00581B90" w:rsidRDefault="00EC74F6" w:rsidP="001137E2">
      <w:pPr>
        <w:spacing w:before="0" w:after="120"/>
        <w:rPr>
          <w:rFonts w:cs="Calibri"/>
          <w:szCs w:val="22"/>
        </w:rPr>
      </w:pPr>
      <w:r w:rsidRPr="00581B90">
        <w:rPr>
          <w:rFonts w:cs="Calibri"/>
          <w:szCs w:val="22"/>
        </w:rPr>
        <w:t>Yours faithfully,</w:t>
      </w:r>
      <w:bookmarkStart w:id="1" w:name="_Hlk124842710"/>
    </w:p>
    <w:p w14:paraId="012EA775" w14:textId="4C31460A" w:rsidR="00EC74F6" w:rsidRPr="00581B90" w:rsidRDefault="00C25C50" w:rsidP="00967FAA">
      <w:pPr>
        <w:spacing w:before="0" w:after="120"/>
        <w:rPr>
          <w:rFonts w:cs="Calibri"/>
          <w:szCs w:val="22"/>
        </w:rPr>
      </w:pPr>
      <w:r>
        <w:rPr>
          <w:rFonts w:cs="Calibri"/>
          <w:noProof/>
          <w:szCs w:val="22"/>
        </w:rPr>
        <w:drawing>
          <wp:anchor distT="0" distB="0" distL="114300" distR="114300" simplePos="0" relativeHeight="251659264" behindDoc="0" locked="0" layoutInCell="1" allowOverlap="1" wp14:anchorId="1958CA3F" wp14:editId="1DBF2677">
            <wp:simplePos x="0" y="0"/>
            <wp:positionH relativeFrom="column">
              <wp:posOffset>-81915</wp:posOffset>
            </wp:positionH>
            <wp:positionV relativeFrom="paragraph">
              <wp:posOffset>43815</wp:posOffset>
            </wp:positionV>
            <wp:extent cx="1104900" cy="390398"/>
            <wp:effectExtent l="0" t="0" r="0" b="0"/>
            <wp:wrapNone/>
            <wp:docPr id="185701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18380" name="Picture 185701838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900" cy="390398"/>
                    </a:xfrm>
                    <a:prstGeom prst="rect">
                      <a:avLst/>
                    </a:prstGeom>
                  </pic:spPr>
                </pic:pic>
              </a:graphicData>
            </a:graphic>
            <wp14:sizeRelH relativeFrom="margin">
              <wp14:pctWidth>0</wp14:pctWidth>
            </wp14:sizeRelH>
            <wp14:sizeRelV relativeFrom="margin">
              <wp14:pctHeight>0</wp14:pctHeight>
            </wp14:sizeRelV>
          </wp:anchor>
        </w:drawing>
      </w:r>
      <w:r w:rsidR="005E4DD1">
        <w:rPr>
          <w:rFonts w:cs="Calibri"/>
          <w:szCs w:val="22"/>
        </w:rPr>
        <w:br/>
      </w:r>
      <w:r w:rsidR="005E4DD1">
        <w:rPr>
          <w:rFonts w:cs="Calibri"/>
          <w:szCs w:val="22"/>
        </w:rPr>
        <w:br/>
      </w:r>
      <w:r w:rsidR="005E4DD1">
        <w:rPr>
          <w:rFonts w:cs="Calibri"/>
          <w:szCs w:val="22"/>
        </w:rPr>
        <w:br/>
      </w:r>
      <w:r w:rsidR="00EC74F6" w:rsidRPr="00581B90">
        <w:rPr>
          <w:rFonts w:cs="Calibri"/>
          <w:szCs w:val="22"/>
        </w:rPr>
        <w:t>Seizo Onoe</w:t>
      </w:r>
      <w:bookmarkEnd w:id="1"/>
      <w:r w:rsidR="00EC74F6" w:rsidRPr="00581B90">
        <w:rPr>
          <w:rFonts w:cs="Calibri"/>
          <w:szCs w:val="22"/>
        </w:rPr>
        <w:br/>
        <w:t>Director of the Telecommunication</w:t>
      </w:r>
      <w:r w:rsidR="00EC74F6" w:rsidRPr="00581B90">
        <w:rPr>
          <w:rFonts w:cs="Calibri"/>
          <w:szCs w:val="22"/>
        </w:rPr>
        <w:br/>
        <w:t>Standardization Bureau</w:t>
      </w:r>
      <w:r w:rsidR="00E870E2" w:rsidRPr="00581B90">
        <w:rPr>
          <w:rFonts w:cs="Calibri"/>
          <w:b/>
          <w:bCs/>
          <w:szCs w:val="22"/>
        </w:rPr>
        <w:br w:type="page"/>
      </w:r>
    </w:p>
    <w:p w14:paraId="63968E23" w14:textId="7824375C" w:rsidR="00452EC0" w:rsidRPr="00581B90" w:rsidRDefault="00E870E2" w:rsidP="00452EC0">
      <w:pPr>
        <w:pageBreakBefore/>
        <w:jc w:val="center"/>
        <w:rPr>
          <w:rFonts w:asciiTheme="minorHAnsi" w:eastAsia="DengXian" w:hAnsiTheme="minorHAnsi" w:cstheme="minorHAnsi"/>
          <w:b/>
          <w:bCs/>
          <w:szCs w:val="24"/>
          <w:lang w:eastAsia="ja-JP"/>
        </w:rPr>
      </w:pPr>
      <w:r w:rsidRPr="00581B90">
        <w:rPr>
          <w:rFonts w:cs="Calibri"/>
          <w:b/>
          <w:bCs/>
          <w:lang w:eastAsia="zh-CN"/>
        </w:rPr>
        <w:lastRenderedPageBreak/>
        <w:t>ANNEX 1:</w:t>
      </w:r>
      <w:r w:rsidR="00A40722" w:rsidRPr="00581B90">
        <w:rPr>
          <w:rFonts w:cs="Calibri"/>
          <w:b/>
          <w:bCs/>
          <w:lang w:eastAsia="zh-CN"/>
        </w:rPr>
        <w:br/>
      </w:r>
      <w:r w:rsidR="00452EC0" w:rsidRPr="00581B90">
        <w:rPr>
          <w:rFonts w:asciiTheme="minorHAnsi" w:eastAsia="DengXian" w:hAnsiTheme="minorHAnsi" w:cstheme="minorHAnsi"/>
          <w:b/>
          <w:bCs/>
          <w:szCs w:val="24"/>
          <w:lang w:eastAsia="ja-JP"/>
        </w:rPr>
        <w:t xml:space="preserve">Terms of reference of the ITU-T Focus Group on AI for </w:t>
      </w:r>
      <w:r w:rsidR="004D76D6">
        <w:rPr>
          <w:rFonts w:asciiTheme="minorHAnsi" w:eastAsia="DengXian" w:hAnsiTheme="minorHAnsi" w:cstheme="minorHAnsi"/>
          <w:b/>
          <w:bCs/>
          <w:szCs w:val="24"/>
          <w:lang w:eastAsia="ja-JP"/>
        </w:rPr>
        <w:br/>
      </w:r>
      <w:r w:rsidR="00452EC0" w:rsidRPr="00581B90">
        <w:rPr>
          <w:rFonts w:asciiTheme="minorHAnsi" w:eastAsia="DengXian" w:hAnsiTheme="minorHAnsi" w:cstheme="minorHAnsi"/>
          <w:b/>
          <w:bCs/>
          <w:szCs w:val="24"/>
          <w:lang w:eastAsia="ja-JP"/>
        </w:rPr>
        <w:t>Smart Sustainable Cities and Communities (FG-AI4SSC)</w:t>
      </w:r>
    </w:p>
    <w:p w14:paraId="21D7C8DB"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S Mincho" w:hAnsiTheme="minorHAnsi" w:cstheme="minorHAnsi"/>
          <w:b/>
          <w:bCs/>
          <w:kern w:val="32"/>
          <w:szCs w:val="24"/>
          <w:lang w:eastAsia="zh-CN"/>
        </w:rPr>
        <w:t>1</w:t>
      </w:r>
      <w:r w:rsidRPr="00581B90">
        <w:rPr>
          <w:rFonts w:asciiTheme="minorHAnsi" w:eastAsia="MS Mincho" w:hAnsiTheme="minorHAnsi" w:cstheme="minorHAnsi"/>
          <w:b/>
          <w:bCs/>
          <w:kern w:val="32"/>
          <w:szCs w:val="24"/>
          <w:lang w:eastAsia="zh-CN"/>
        </w:rPr>
        <w:tab/>
        <w:t>Rationale</w:t>
      </w:r>
    </w:p>
    <w:p w14:paraId="6E4141DD" w14:textId="2F85F29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Artificial Intelligence (AI) is entering a new operational phase. In many sectors, AI is now being embedded directly into systems and services, enabling autonomous planning, decision-making coordination across systems, and interaction with physical environments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through existing and future AI technologies such as generative AI, agentic AI,</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 xml:space="preserve">physical AI, or spatial AI. </w:t>
      </w:r>
      <w:r w:rsidRPr="00581B90">
        <w:rPr>
          <w:rFonts w:asciiTheme="minorHAnsi" w:eastAsia="DengXian" w:hAnsiTheme="minorHAnsi" w:cstheme="minorHAnsi"/>
          <w:szCs w:val="24"/>
          <w:lang w:eastAsia="ja-JP"/>
        </w:rPr>
        <w:t>These AI technologies are becoming increasingly central to urban digital ecosystems, enabling the operation of AI-enabled urban systems and services, that can reason, coordinate autonomous actions, and interact directly with the physical fabric of cities.</w:t>
      </w:r>
    </w:p>
    <w:p w14:paraId="58889FFD" w14:textId="798F19C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In this context, AI is no longer an</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 xml:space="preserve">isolated tool, but an embedded capability across urban services, infrastructure operations, governance processes, and digital and physical environments, serving as a key enabler of the </w:t>
      </w:r>
      <w:proofErr w:type="spellStart"/>
      <w:r w:rsidRPr="00581B90">
        <w:rPr>
          <w:rFonts w:asciiTheme="minorHAnsi" w:eastAsia="DengXian" w:hAnsiTheme="minorHAnsi" w:cstheme="minorHAnsi"/>
          <w:color w:val="000000"/>
          <w:szCs w:val="24"/>
          <w:lang w:eastAsia="ja-JP"/>
        </w:rPr>
        <w:t>citiverse</w:t>
      </w:r>
      <w:proofErr w:type="spellEnd"/>
      <w:r w:rsidRPr="00581B90">
        <w:rPr>
          <w:rFonts w:asciiTheme="minorHAnsi" w:eastAsia="DengXian" w:hAnsiTheme="minorHAnsi" w:cstheme="minorHAnsi"/>
          <w:color w:val="000000"/>
          <w:szCs w:val="24"/>
          <w:lang w:eastAsia="ja-JP"/>
        </w:rPr>
        <w:t>, signalling a new type of AI-enabled digital transformation.</w:t>
      </w:r>
    </w:p>
    <w:p w14:paraId="0C6E8B8C"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 xml:space="preserve">This transformation spans multiple city and community domains, including mobility, agriculture, industry, tourism, utilities, public services, public safety, environmental monitoring, and urban planning. It also spans multiple system layers, from devices and edge environments to platforms, digital twins, and city-level operational systems. </w:t>
      </w:r>
      <w:r w:rsidRPr="00581B90">
        <w:rPr>
          <w:rFonts w:asciiTheme="minorHAnsi" w:eastAsia="DengXian" w:hAnsiTheme="minorHAnsi" w:cstheme="minorHAnsi"/>
          <w:szCs w:val="24"/>
          <w:lang w:eastAsia="ja-JP"/>
        </w:rPr>
        <w:t>However, the current standardization landscape does not yet fully reflect the pace, scale and systemic impact of these technological developments within the fabric of urban systems. Existing standardization activities often focus on individual technologies or specific application domains, but do not yet address AI enablement at the level of smart sustainable cities and communities as interconnected socio-technical systems.</w:t>
      </w:r>
    </w:p>
    <w:p w14:paraId="07EC3D26"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proofErr w:type="gramStart"/>
      <w:r w:rsidRPr="00581B90">
        <w:rPr>
          <w:rFonts w:asciiTheme="minorHAnsi" w:eastAsia="DengXian" w:hAnsiTheme="minorHAnsi" w:cstheme="minorHAnsi"/>
          <w:szCs w:val="24"/>
          <w:lang w:eastAsia="ja-JP"/>
        </w:rPr>
        <w:t>In particular, existing</w:t>
      </w:r>
      <w:proofErr w:type="gramEnd"/>
      <w:r w:rsidRPr="00581B90">
        <w:rPr>
          <w:rFonts w:asciiTheme="minorHAnsi" w:eastAsia="DengXian" w:hAnsiTheme="minorHAnsi" w:cstheme="minorHAnsi"/>
          <w:szCs w:val="24"/>
          <w:lang w:eastAsia="ja-JP"/>
        </w:rPr>
        <w:t xml:space="preserve"> work on smart sustainable cities and communities, digital twins and IoT systems does not sufficiently address the integration aspects required for AI-enabled urban systems and services. This includes the interfaces, interoperability, coordination mechanisms and frameworks necessary to enable AI technologies to integrate coherently, safely and effectively with IoT, digital twin, and smart sustainable cities and communities’ systems and services within city-scale deployments.</w:t>
      </w:r>
    </w:p>
    <w:p w14:paraId="0CF292A1"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This Focus Group will provide a global pre-standardization platform to develop a common understanding, identify gaps, and prepare the groundwork for future ITU-T Recommendations under ITU-T SG20.</w:t>
      </w:r>
    </w:p>
    <w:p w14:paraId="50EFEA54"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algun Gothic" w:hAnsiTheme="minorHAnsi" w:cstheme="minorHAnsi"/>
          <w:b/>
          <w:bCs/>
          <w:kern w:val="32"/>
          <w:szCs w:val="24"/>
          <w:lang w:eastAsia="ko-KR"/>
        </w:rPr>
      </w:pPr>
      <w:r w:rsidRPr="00581B90">
        <w:rPr>
          <w:rFonts w:asciiTheme="minorHAnsi" w:eastAsia="Malgun Gothic" w:hAnsiTheme="minorHAnsi" w:cstheme="minorHAnsi"/>
          <w:b/>
          <w:bCs/>
          <w:kern w:val="32"/>
          <w:szCs w:val="24"/>
          <w:lang w:eastAsia="ko-KR"/>
        </w:rPr>
        <w:t>2</w:t>
      </w:r>
      <w:r w:rsidRPr="00581B90">
        <w:rPr>
          <w:rFonts w:asciiTheme="minorHAnsi" w:eastAsia="MS Mincho" w:hAnsiTheme="minorHAnsi" w:cstheme="minorHAnsi"/>
          <w:b/>
          <w:bCs/>
          <w:kern w:val="32"/>
          <w:szCs w:val="24"/>
          <w:lang w:eastAsia="zh-CN"/>
        </w:rPr>
        <w:tab/>
      </w:r>
      <w:r w:rsidRPr="00581B90">
        <w:rPr>
          <w:rFonts w:asciiTheme="minorHAnsi" w:eastAsia="Malgun Gothic" w:hAnsiTheme="minorHAnsi" w:cstheme="minorHAnsi"/>
          <w:b/>
          <w:bCs/>
          <w:kern w:val="32"/>
          <w:szCs w:val="24"/>
          <w:lang w:eastAsia="ko-KR"/>
        </w:rPr>
        <w:t>Scope</w:t>
      </w:r>
    </w:p>
    <w:p w14:paraId="1EFD6911"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 xml:space="preserve">This Focus Group </w:t>
      </w:r>
      <w:r w:rsidRPr="00581B90">
        <w:rPr>
          <w:rFonts w:asciiTheme="minorHAnsi" w:eastAsia="DengXian" w:hAnsiTheme="minorHAnsi" w:cstheme="minorHAnsi"/>
          <w:szCs w:val="24"/>
          <w:lang w:eastAsia="ja-JP"/>
        </w:rPr>
        <w:t>conducts pre-standardization activities to address the integration aspects required for AI-enabled urban systems and services, including requirements, interfaces, coordination mechanisms and frameworks necessary to enable existing and future AI technologies to interoperate coherently, safely and effectively with IoT, digital twin, and smart sustainable cities and communities’ systems and services within city-scale deployments in accordance with Plenipotentiary Resolution 214 (Bucharest, 2022).</w:t>
      </w:r>
    </w:p>
    <w:p w14:paraId="7AB46EC3"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The Focus Group will address the following aspects:</w:t>
      </w:r>
    </w:p>
    <w:p w14:paraId="770A3AE1" w14:textId="113CB53C"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Definitions, terminology, taxonomy, concepts, and vision</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 xml:space="preserve">related to AI for smart sustainable cities and communities, </w:t>
      </w:r>
      <w:r w:rsidRPr="00581B90">
        <w:rPr>
          <w:rFonts w:asciiTheme="minorHAnsi" w:eastAsia="DengXian" w:hAnsiTheme="minorHAnsi" w:cstheme="minorHAnsi"/>
          <w:szCs w:val="24"/>
          <w:lang w:eastAsia="ja-JP"/>
        </w:rPr>
        <w:t>AI-enabled urban systems and services</w:t>
      </w:r>
      <w:r w:rsidRPr="00581B90">
        <w:rPr>
          <w:rFonts w:asciiTheme="minorHAnsi" w:eastAsia="DengXian" w:hAnsiTheme="minorHAnsi" w:cstheme="minorHAnsi"/>
          <w:color w:val="000000"/>
          <w:szCs w:val="24"/>
          <w:lang w:eastAsia="ja-JP"/>
        </w:rPr>
        <w:t>, including representative vertical cross-domain use cases;</w:t>
      </w:r>
    </w:p>
    <w:p w14:paraId="5E81B64F" w14:textId="132A4656"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Characteristics, requirements and frameworks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for AI technologies for smart sustainable cities and communities;</w:t>
      </w:r>
    </w:p>
    <w:p w14:paraId="313BD62F"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 xml:space="preserve">Architectural frameworks and reference models for </w:t>
      </w:r>
      <w:r w:rsidRPr="00581B90">
        <w:rPr>
          <w:rFonts w:asciiTheme="minorHAnsi" w:eastAsia="DengXian" w:hAnsiTheme="minorHAnsi" w:cstheme="minorHAnsi"/>
          <w:szCs w:val="24"/>
          <w:lang w:eastAsia="ja-JP"/>
        </w:rPr>
        <w:t xml:space="preserve">AI-enabled urban systems and services </w:t>
      </w:r>
      <w:r w:rsidRPr="00581B90">
        <w:rPr>
          <w:rFonts w:asciiTheme="minorHAnsi" w:eastAsia="DengXian" w:hAnsiTheme="minorHAnsi" w:cstheme="minorHAnsi"/>
          <w:color w:val="000000"/>
          <w:szCs w:val="24"/>
          <w:lang w:eastAsia="ja-JP"/>
        </w:rPr>
        <w:t>to enable interoperable and scalable deployments</w:t>
      </w:r>
      <w:r w:rsidRPr="00581B90">
        <w:rPr>
          <w:rFonts w:asciiTheme="minorHAnsi" w:eastAsia="DengXian" w:hAnsiTheme="minorHAnsi" w:cstheme="minorHAnsi"/>
          <w:szCs w:val="24"/>
          <w:lang w:eastAsia="ja-JP"/>
        </w:rPr>
        <w:t xml:space="preserve"> </w:t>
      </w:r>
      <w:r w:rsidRPr="00581B90">
        <w:rPr>
          <w:rFonts w:asciiTheme="minorHAnsi" w:eastAsia="DengXian" w:hAnsiTheme="minorHAnsi" w:cstheme="minorHAnsi"/>
          <w:color w:val="000000"/>
          <w:szCs w:val="24"/>
          <w:lang w:eastAsia="ja-JP"/>
        </w:rPr>
        <w:t>across vertical domains;</w:t>
      </w:r>
    </w:p>
    <w:p w14:paraId="6283B48F" w14:textId="77777777" w:rsidR="00581B9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 xml:space="preserve">Interoperability and coordination mechanisms enabled by AI technologies for </w:t>
      </w:r>
      <w:r w:rsidRPr="00581B90">
        <w:rPr>
          <w:rFonts w:asciiTheme="minorHAnsi" w:eastAsia="DengXian" w:hAnsiTheme="minorHAnsi" w:cstheme="minorHAnsi"/>
          <w:szCs w:val="24"/>
          <w:lang w:eastAsia="ja-JP"/>
        </w:rPr>
        <w:t xml:space="preserve">smart sustainable </w:t>
      </w:r>
      <w:r w:rsidRPr="00581B90">
        <w:rPr>
          <w:rFonts w:asciiTheme="minorHAnsi" w:eastAsia="DengXian" w:hAnsiTheme="minorHAnsi" w:cstheme="minorHAnsi"/>
          <w:color w:val="000000"/>
          <w:szCs w:val="24"/>
          <w:lang w:eastAsia="ja-JP"/>
        </w:rPr>
        <w:t>cities and communities across city operational systems, including Minimum Interoperability Mechanisms (MIMs);</w:t>
      </w:r>
    </w:p>
    <w:p w14:paraId="6049CA12" w14:textId="1C96DC0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r>
      <w:r w:rsidRPr="00581B90">
        <w:rPr>
          <w:rFonts w:asciiTheme="minorHAnsi" w:eastAsia="DengXian" w:hAnsiTheme="minorHAnsi" w:cstheme="minorHAnsi"/>
          <w:szCs w:val="24"/>
          <w:lang w:eastAsia="ja-JP"/>
        </w:rPr>
        <w:t xml:space="preserve">Requirements considerations related to supervisory and control mechanisms in AI-enabled urban systems and services, </w:t>
      </w:r>
      <w:proofErr w:type="gramStart"/>
      <w:r w:rsidRPr="00581B90">
        <w:rPr>
          <w:rFonts w:asciiTheme="minorHAnsi" w:eastAsia="DengXian" w:hAnsiTheme="minorHAnsi" w:cstheme="minorHAnsi"/>
          <w:szCs w:val="24"/>
          <w:lang w:eastAsia="ja-JP"/>
        </w:rPr>
        <w:t>taking into account</w:t>
      </w:r>
      <w:proofErr w:type="gramEnd"/>
      <w:r w:rsidRPr="00581B90">
        <w:rPr>
          <w:rFonts w:asciiTheme="minorHAnsi" w:eastAsia="DengXian" w:hAnsiTheme="minorHAnsi" w:cstheme="minorHAnsi"/>
          <w:szCs w:val="24"/>
          <w:lang w:eastAsia="ja-JP"/>
        </w:rPr>
        <w:t xml:space="preserve"> service criticality and operational requirements;</w:t>
      </w:r>
    </w:p>
    <w:p w14:paraId="09DA08FB"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lastRenderedPageBreak/>
        <w:t>–</w:t>
      </w:r>
      <w:r w:rsidRPr="00581B90">
        <w:rPr>
          <w:rFonts w:asciiTheme="minorHAnsi" w:eastAsia="DengXian" w:hAnsiTheme="minorHAnsi" w:cstheme="minorHAnsi"/>
          <w:color w:val="000000"/>
          <w:szCs w:val="24"/>
          <w:lang w:eastAsia="ja-JP"/>
        </w:rPr>
        <w:tab/>
        <w:t>Data aspects of AI technologies for smart sustainable cities and communities, including</w:t>
      </w:r>
      <w:r w:rsidRPr="00581B90">
        <w:rPr>
          <w:rFonts w:asciiTheme="minorHAnsi" w:eastAsia="DengXian" w:hAnsiTheme="minorHAnsi" w:cstheme="minorHAnsi"/>
          <w:szCs w:val="24"/>
          <w:lang w:eastAsia="ja-JP"/>
        </w:rPr>
        <w:t xml:space="preserve"> </w:t>
      </w:r>
      <w:r w:rsidRPr="00581B90">
        <w:rPr>
          <w:rFonts w:asciiTheme="minorHAnsi" w:eastAsia="DengXian" w:hAnsiTheme="minorHAnsi" w:cstheme="minorHAnsi"/>
          <w:color w:val="000000"/>
          <w:szCs w:val="24"/>
          <w:lang w:eastAsia="ja-JP"/>
        </w:rPr>
        <w:t>interoperability, data sharing, quality, and lifecycle considerations;</w:t>
      </w:r>
    </w:p>
    <w:p w14:paraId="0C974301" w14:textId="3BE754E5"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Lifecycle management, evaluation, and assessment frameworks of AI technologies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for smart sustainable cities and communities including benchmarking, monitoring and international comparability mechanisms;</w:t>
      </w:r>
    </w:p>
    <w:p w14:paraId="21F22B39" w14:textId="791AD8DE"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Human-centric and inclusive</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aspects of AI technologies for smart sustainable cities and communities, including accessibility and digital health related to IoT and smart sustainable cities and communities, and human-AI collaboration in urban services;</w:t>
      </w:r>
    </w:p>
    <w:p w14:paraId="6270E37A"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AI readiness and impact assessment in smart sustainable cities and communities, while leveraging relevant existing ITU-T Recommendations and methodologies where appropriate;</w:t>
      </w:r>
    </w:p>
    <w:p w14:paraId="714C7555" w14:textId="77777777" w:rsidR="00581B90" w:rsidRPr="00581B90" w:rsidRDefault="00452EC0" w:rsidP="00452EC0">
      <w:pPr>
        <w:overflowPunct/>
        <w:autoSpaceDE/>
        <w:autoSpaceDN/>
        <w:adjustRightInd/>
        <w:spacing w:before="80"/>
        <w:ind w:left="794" w:hanging="794"/>
        <w:jc w:val="both"/>
        <w:textAlignment w:val="auto"/>
        <w:rPr>
          <w:rFonts w:asciiTheme="minorHAnsi" w:hAnsiTheme="minorHAnsi" w:cstheme="minorHAnsi"/>
          <w:color w:val="000000"/>
          <w:szCs w:val="24"/>
          <w:lang w:eastAsia="zh-CN"/>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r>
      <w:r w:rsidRPr="00581B90">
        <w:rPr>
          <w:rFonts w:asciiTheme="minorHAnsi" w:hAnsiTheme="minorHAnsi" w:cstheme="minorHAnsi"/>
          <w:color w:val="000000"/>
          <w:szCs w:val="24"/>
          <w:lang w:eastAsia="zh-CN"/>
        </w:rPr>
        <w:t xml:space="preserve">Assessment of preparedness for AI adoption and integration and roadmap research for smart sustainable </w:t>
      </w:r>
      <w:r w:rsidRPr="00581B90">
        <w:rPr>
          <w:rFonts w:asciiTheme="minorHAnsi" w:eastAsia="DengXian" w:hAnsiTheme="minorHAnsi" w:cstheme="minorHAnsi"/>
          <w:color w:val="000000"/>
          <w:szCs w:val="24"/>
          <w:lang w:eastAsia="ja-JP"/>
        </w:rPr>
        <w:t>cities</w:t>
      </w:r>
      <w:r w:rsidRPr="00581B90">
        <w:rPr>
          <w:rFonts w:asciiTheme="minorHAnsi" w:hAnsiTheme="minorHAnsi" w:cstheme="minorHAnsi"/>
          <w:color w:val="000000"/>
          <w:szCs w:val="24"/>
          <w:lang w:eastAsia="zh-CN"/>
        </w:rPr>
        <w:t xml:space="preserve"> and communities;</w:t>
      </w:r>
    </w:p>
    <w:p w14:paraId="76CC89CA" w14:textId="77777777" w:rsidR="00581B90" w:rsidRPr="00581B90" w:rsidRDefault="00452EC0" w:rsidP="00452EC0">
      <w:pPr>
        <w:tabs>
          <w:tab w:val="clear" w:pos="794"/>
          <w:tab w:val="clear" w:pos="1191"/>
          <w:tab w:val="clear" w:pos="1588"/>
          <w:tab w:val="clear" w:pos="1985"/>
        </w:tabs>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Spatial AI</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for digital–physical convergence in cities, integrating geospatial systems, digital twins and real-time sensing to produce reusable outputs;</w:t>
      </w:r>
    </w:p>
    <w:p w14:paraId="05F5968E" w14:textId="1D3E36E4" w:rsidR="00452EC0" w:rsidRPr="00581B90" w:rsidRDefault="00452EC0" w:rsidP="00452EC0">
      <w:pPr>
        <w:tabs>
          <w:tab w:val="clear" w:pos="794"/>
          <w:tab w:val="clear" w:pos="1191"/>
          <w:tab w:val="clear" w:pos="1588"/>
          <w:tab w:val="clear" w:pos="1985"/>
        </w:tabs>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Guidance for the adoption and integration of relevant enabling AI technologies for smart sustainable cities and communities;</w:t>
      </w:r>
    </w:p>
    <w:p w14:paraId="399D7611" w14:textId="77777777" w:rsidR="00452EC0" w:rsidRPr="00581B90" w:rsidRDefault="00452EC0" w:rsidP="00452EC0">
      <w:pPr>
        <w:tabs>
          <w:tab w:val="clear" w:pos="794"/>
          <w:tab w:val="clear" w:pos="1191"/>
          <w:tab w:val="clear" w:pos="1588"/>
          <w:tab w:val="clear" w:pos="1985"/>
        </w:tabs>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r>
      <w:r w:rsidRPr="00581B90">
        <w:rPr>
          <w:rFonts w:asciiTheme="minorHAnsi" w:eastAsia="DengXian" w:hAnsiTheme="minorHAnsi" w:cstheme="minorHAnsi"/>
          <w:szCs w:val="24"/>
          <w:lang w:eastAsia="ko-KR"/>
        </w:rPr>
        <w:t>Sustainability aspects of AI-enabled systems, including application and reporting of energy consumption and carbon footprint of AI deployments at city scale, while leveraging existing ITU-T Recommendations and methodologies, where appropriate</w:t>
      </w:r>
      <w:r w:rsidRPr="00581B90">
        <w:rPr>
          <w:rFonts w:asciiTheme="minorHAnsi" w:eastAsia="DengXian" w:hAnsiTheme="minorHAnsi" w:cstheme="minorHAnsi"/>
          <w:color w:val="000000"/>
          <w:szCs w:val="24"/>
          <w:lang w:eastAsia="ja-JP"/>
        </w:rPr>
        <w:t>.</w:t>
      </w:r>
    </w:p>
    <w:p w14:paraId="68C731A8"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The Focus Group will not address general urban policy, governance, social policy, ethical or regulatory frameworks for AI, or sector-specific regulation, except where directly related to interoperability, ICT-enabled systems, system integration, or pre-standardization activities within the ITU-T mandate, taking into consideration PP Resolution 214 (Bucharest, 2022).</w:t>
      </w:r>
    </w:p>
    <w:p w14:paraId="3CC8DECF"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The Focus Group will not address detailed AI model design, environmental aspects of AI, training and testing methods, general-purpose robotics, multimedia aspects, or foundational cybersecurity issues that fall under the mandate of other ITU-T Study Groups and Focus Groups.</w:t>
      </w:r>
    </w:p>
    <w:p w14:paraId="011890CE"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The Focus Group will identify stakeholders and partners with whom ITU-T could collaborate, and for enabling the inclusion of non-members to contribute to the technical pre-standardization work. Potential collaboration can be built across academia, industry, regulatory bodies, UN entities and standards development organizations (SDOs), to ensure inclusive and interoperable technical foundations.</w:t>
      </w:r>
    </w:p>
    <w:p w14:paraId="61DC3095" w14:textId="77777777" w:rsidR="00581B9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ja-JP"/>
        </w:rPr>
      </w:pPr>
      <w:r w:rsidRPr="00581B90">
        <w:rPr>
          <w:rFonts w:asciiTheme="minorHAnsi" w:eastAsia="Malgun Gothic" w:hAnsiTheme="minorHAnsi" w:cstheme="minorHAnsi"/>
          <w:b/>
          <w:bCs/>
          <w:kern w:val="32"/>
          <w:szCs w:val="24"/>
          <w:lang w:eastAsia="ko-KR"/>
        </w:rPr>
        <w:t>3</w:t>
      </w:r>
      <w:r w:rsidRPr="00581B90">
        <w:rPr>
          <w:rFonts w:asciiTheme="minorHAnsi" w:eastAsia="MS Mincho" w:hAnsiTheme="minorHAnsi" w:cstheme="minorHAnsi"/>
          <w:b/>
          <w:bCs/>
          <w:kern w:val="32"/>
          <w:szCs w:val="24"/>
          <w:lang w:eastAsia="ja-JP"/>
        </w:rPr>
        <w:tab/>
        <w:t>Objectives</w:t>
      </w:r>
    </w:p>
    <w:p w14:paraId="61F2548F" w14:textId="1FCEF6BB"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 xml:space="preserve">The objective of the Focus Group is to support pre-standardisation activities for a coherent and system-level study of </w:t>
      </w:r>
      <w:r w:rsidRPr="00581B90">
        <w:rPr>
          <w:rFonts w:asciiTheme="minorHAnsi" w:eastAsia="DengXian" w:hAnsiTheme="minorHAnsi" w:cstheme="minorHAnsi"/>
          <w:szCs w:val="24"/>
          <w:lang w:eastAsia="ja-JP"/>
        </w:rPr>
        <w:t xml:space="preserve">AI-enabled urban technologies </w:t>
      </w:r>
      <w:r w:rsidRPr="00581B90">
        <w:rPr>
          <w:rFonts w:asciiTheme="minorHAnsi" w:eastAsia="DengXian" w:hAnsiTheme="minorHAnsi" w:cstheme="minorHAnsi"/>
          <w:color w:val="000000"/>
          <w:szCs w:val="24"/>
          <w:lang w:eastAsia="ja-JP"/>
        </w:rPr>
        <w:t>in smart sustainable cities and communities</w:t>
      </w:r>
      <w:r w:rsidRPr="00581B90">
        <w:rPr>
          <w:rFonts w:asciiTheme="minorHAnsi" w:eastAsia="DengXian" w:hAnsiTheme="minorHAnsi" w:cstheme="minorHAnsi"/>
          <w:szCs w:val="24"/>
          <w:lang w:eastAsia="ja-JP"/>
        </w:rPr>
        <w:t xml:space="preserve">, including </w:t>
      </w:r>
      <w:r w:rsidRPr="00581B90">
        <w:rPr>
          <w:rFonts w:asciiTheme="minorHAnsi" w:eastAsia="DengXian" w:hAnsiTheme="minorHAnsi" w:cstheme="minorHAnsi"/>
          <w:color w:val="000000"/>
          <w:szCs w:val="24"/>
          <w:lang w:eastAsia="ja-JP"/>
        </w:rPr>
        <w:t>cross domain and system-level AI enablement for smart sustainable cities and communities.</w:t>
      </w:r>
    </w:p>
    <w:p w14:paraId="28A2E022" w14:textId="16761734"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The Focus Group aims to provide an open platform for collaboration, coordination, and exchange</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of expertise related to AI for smart sustainable cities and communities.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 xml:space="preserve">Its work is intended to facilitate future international standardization of architectural frameworks, interoperability approaches, and assessment methodologies, which are essential for scalable, and interoperable AI-enabled </w:t>
      </w:r>
      <w:r w:rsidRPr="00581B90">
        <w:rPr>
          <w:rFonts w:asciiTheme="minorHAnsi" w:eastAsia="DengXian" w:hAnsiTheme="minorHAnsi" w:cstheme="minorHAnsi"/>
          <w:szCs w:val="24"/>
          <w:lang w:eastAsia="ja-JP"/>
        </w:rPr>
        <w:t xml:space="preserve">smart sustainable </w:t>
      </w:r>
      <w:r w:rsidRPr="00581B90">
        <w:rPr>
          <w:rFonts w:asciiTheme="minorHAnsi" w:eastAsia="DengXian" w:hAnsiTheme="minorHAnsi" w:cstheme="minorHAnsi"/>
          <w:color w:val="000000"/>
          <w:szCs w:val="24"/>
          <w:lang w:eastAsia="ja-JP"/>
        </w:rPr>
        <w:t>city and community systems.</w:t>
      </w:r>
    </w:p>
    <w:p w14:paraId="0B7D42FC"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More specifically, the Focus Group will:</w:t>
      </w:r>
    </w:p>
    <w:p w14:paraId="5F7F6DB9"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Build and consolidate a cross-domain community of experts and practitioners working on AI for smart sustainable cities and communities, fostering a shared vision, common terminology and common understanding;</w:t>
      </w:r>
    </w:p>
    <w:p w14:paraId="36A14A8B"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r>
      <w:r w:rsidRPr="00581B90">
        <w:rPr>
          <w:rFonts w:asciiTheme="minorHAnsi" w:eastAsia="DengXian" w:hAnsiTheme="minorHAnsi" w:cstheme="minorHAnsi"/>
          <w:szCs w:val="24"/>
          <w:lang w:eastAsia="ja-JP"/>
        </w:rPr>
        <w:t>Identify and document the value that AI technologies (such as generative AI, agentic AI,</w:t>
      </w:r>
      <w:r w:rsidRPr="00581B90">
        <w:rPr>
          <w:rFonts w:asciiTheme="minorHAnsi" w:eastAsia="DengXian" w:hAnsiTheme="minorHAnsi" w:cstheme="minorHAnsi"/>
          <w:color w:val="000000"/>
          <w:szCs w:val="24"/>
          <w:lang w:eastAsia="ja-JP"/>
        </w:rPr>
        <w:t xml:space="preserve"> physical AI, </w:t>
      </w:r>
      <w:r w:rsidRPr="00581B90">
        <w:rPr>
          <w:rFonts w:asciiTheme="minorHAnsi" w:eastAsia="DengXian" w:hAnsiTheme="minorHAnsi" w:cstheme="minorHAnsi"/>
          <w:szCs w:val="24"/>
          <w:lang w:eastAsia="ja-JP"/>
        </w:rPr>
        <w:t>spatial AI) can bring to smart sustainable cities and communities, sector by sector (mobility, energy, water, waste, safety, health, environment, public services, urban planning), so that this Focus Group becomes the focal point for AI value in the city domain;</w:t>
      </w:r>
    </w:p>
    <w:p w14:paraId="69AD6E93" w14:textId="77777777" w:rsidR="00581B9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lastRenderedPageBreak/>
        <w:t>–</w:t>
      </w:r>
      <w:r w:rsidRPr="00581B90">
        <w:rPr>
          <w:rFonts w:asciiTheme="minorHAnsi" w:eastAsia="DengXian" w:hAnsiTheme="minorHAnsi" w:cstheme="minorHAnsi"/>
          <w:color w:val="000000"/>
          <w:szCs w:val="24"/>
          <w:lang w:eastAsia="ja-JP"/>
        </w:rPr>
        <w:tab/>
        <w:t>Identify and study key concepts, capabilities, and enabling AI technologies for smart sustainable cities and communities, such as generative AI, agentic AI, physical AI, spatial AI, and AI-enabled urban services;</w:t>
      </w:r>
    </w:p>
    <w:p w14:paraId="22CB57CC" w14:textId="5740BD5D"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Identify use cases, characteristics, develop requirements and architectural frameworks and operational considerations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 xml:space="preserve">and best practices for AI for </w:t>
      </w:r>
      <w:r w:rsidRPr="00581B90">
        <w:rPr>
          <w:rFonts w:asciiTheme="minorHAnsi" w:eastAsia="DengXian" w:hAnsiTheme="minorHAnsi" w:cstheme="minorHAnsi"/>
          <w:szCs w:val="24"/>
          <w:lang w:eastAsia="ja-JP"/>
        </w:rPr>
        <w:t xml:space="preserve">smart sustainable </w:t>
      </w:r>
      <w:r w:rsidRPr="00581B90">
        <w:rPr>
          <w:rFonts w:asciiTheme="minorHAnsi" w:eastAsia="DengXian" w:hAnsiTheme="minorHAnsi" w:cstheme="minorHAnsi"/>
          <w:color w:val="000000"/>
          <w:szCs w:val="24"/>
          <w:lang w:eastAsia="ja-JP"/>
        </w:rPr>
        <w:t>cities and communities;</w:t>
      </w:r>
    </w:p>
    <w:p w14:paraId="6DF3FA5C"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Analyse the evolutionary trends of smart sustainable cities and communities, research on AI</w:t>
      </w:r>
      <w:r w:rsidRPr="00581B90">
        <w:rPr>
          <w:rFonts w:asciiTheme="minorHAnsi" w:hAnsiTheme="minorHAnsi" w:cstheme="minorHAnsi"/>
          <w:color w:val="000000"/>
          <w:szCs w:val="24"/>
          <w:lang w:eastAsia="zh-CN"/>
        </w:rPr>
        <w:t>-</w:t>
      </w:r>
      <w:r w:rsidRPr="00581B90">
        <w:rPr>
          <w:rFonts w:asciiTheme="minorHAnsi" w:eastAsia="DengXian" w:hAnsiTheme="minorHAnsi" w:cstheme="minorHAnsi"/>
          <w:color w:val="000000"/>
          <w:szCs w:val="24"/>
          <w:lang w:eastAsia="ja-JP"/>
        </w:rPr>
        <w:t>empowered maturity assessment frameworks, and AI</w:t>
      </w:r>
      <w:r w:rsidRPr="00581B90">
        <w:rPr>
          <w:rFonts w:ascii="Cambria Math" w:eastAsia="DengXian" w:hAnsi="Cambria Math" w:cs="Cambria Math"/>
          <w:color w:val="000000"/>
          <w:szCs w:val="24"/>
          <w:lang w:eastAsia="ja-JP"/>
        </w:rPr>
        <w:t>‑</w:t>
      </w:r>
      <w:r w:rsidRPr="00581B90">
        <w:rPr>
          <w:rFonts w:asciiTheme="minorHAnsi" w:eastAsia="DengXian" w:hAnsiTheme="minorHAnsi" w:cstheme="minorHAnsi"/>
          <w:color w:val="000000"/>
          <w:szCs w:val="24"/>
          <w:lang w:eastAsia="ja-JP"/>
        </w:rPr>
        <w:t>enabled urban services;</w:t>
      </w:r>
    </w:p>
    <w:p w14:paraId="43D87FAD"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 xml:space="preserve">Perform gap analysis and identify overlaps, and coordination needs among existing standardisation activities related to AI for </w:t>
      </w:r>
      <w:r w:rsidRPr="00581B90">
        <w:rPr>
          <w:rFonts w:asciiTheme="minorHAnsi" w:eastAsia="DengXian" w:hAnsiTheme="minorHAnsi" w:cstheme="minorHAnsi"/>
          <w:szCs w:val="24"/>
          <w:lang w:eastAsia="ja-JP"/>
        </w:rPr>
        <w:t xml:space="preserve">smart sustainable </w:t>
      </w:r>
      <w:r w:rsidRPr="00581B90">
        <w:rPr>
          <w:rFonts w:asciiTheme="minorHAnsi" w:eastAsia="DengXian" w:hAnsiTheme="minorHAnsi" w:cstheme="minorHAnsi"/>
          <w:color w:val="000000"/>
          <w:szCs w:val="24"/>
          <w:lang w:eastAsia="ja-JP"/>
        </w:rPr>
        <w:t>cities and communities;</w:t>
      </w:r>
    </w:p>
    <w:p w14:paraId="63A6EB2F"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Develop system-level technical frameworks, reference models, and common approaches supporting interoperability and integration across domains and layers;</w:t>
      </w:r>
    </w:p>
    <w:p w14:paraId="15995407"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Promote international collaboration and exchange of best practices related to interoperable, scalable, and sustainable AI adoption;</w:t>
      </w:r>
    </w:p>
    <w:p w14:paraId="36393DE0" w14:textId="17FC3005"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Study lifecycle management aspects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including evaluation and assessment</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frameworks usable by cities, governments, regulators, operators and industry;</w:t>
      </w:r>
    </w:p>
    <w:p w14:paraId="4D079018"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Provide a platform to share findings and for dialogue on technical, policy and regulatory implications of AI enablement for smart sustainable cities and communities.</w:t>
      </w:r>
    </w:p>
    <w:p w14:paraId="362FBAC4"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Identify stakeholders and partners with whom ITU-T could collaborate further, and to define potential next steps and a transition path for Focus Group outputs into ITU-T Recommendations under ITU-T SG20.</w:t>
      </w:r>
    </w:p>
    <w:p w14:paraId="601CC712"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algun Gothic" w:hAnsiTheme="minorHAnsi" w:cstheme="minorHAnsi"/>
          <w:b/>
          <w:bCs/>
          <w:kern w:val="32"/>
          <w:szCs w:val="24"/>
          <w:lang w:eastAsia="ko-KR"/>
        </w:rPr>
        <w:t>4</w:t>
      </w:r>
      <w:r w:rsidRPr="00581B90">
        <w:rPr>
          <w:rFonts w:asciiTheme="minorHAnsi" w:eastAsia="MS Mincho" w:hAnsiTheme="minorHAnsi" w:cstheme="minorHAnsi"/>
          <w:b/>
          <w:bCs/>
          <w:kern w:val="32"/>
          <w:szCs w:val="24"/>
          <w:lang w:eastAsia="ja-JP"/>
        </w:rPr>
        <w:tab/>
      </w:r>
      <w:r w:rsidRPr="00581B90">
        <w:rPr>
          <w:rFonts w:asciiTheme="minorHAnsi" w:eastAsia="MS Mincho" w:hAnsiTheme="minorHAnsi" w:cstheme="minorHAnsi"/>
          <w:b/>
          <w:bCs/>
          <w:kern w:val="32"/>
          <w:szCs w:val="24"/>
          <w:lang w:eastAsia="zh-CN"/>
        </w:rPr>
        <w:t>Specific tasks and deliverables</w:t>
      </w:r>
    </w:p>
    <w:p w14:paraId="4B0DDD86" w14:textId="27D4BE72"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The Focus Group will develop technical reports, technical specifications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and other deliverables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such as:</w:t>
      </w:r>
    </w:p>
    <w:p w14:paraId="6DF82B4E"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Deliverables covering research, investigation, and standardization analysis related to AI for smart sustainable cities and communities, including generative AI, agentic AI, physical AI, spatial AI, and AI-enabled urban services, potentially leading to new ITU-T work items;</w:t>
      </w:r>
    </w:p>
    <w:p w14:paraId="64A23011" w14:textId="7B9214E2"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Deliverables related to definitions, terminology, taxonomy, concepts, and vision</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related to AI for smart sustainable cities and communities, including representative cross-domain use cases;</w:t>
      </w:r>
    </w:p>
    <w:p w14:paraId="3D1AE932"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Deliverables covering system design of AI-enabled urban systems and services;</w:t>
      </w:r>
    </w:p>
    <w:p w14:paraId="4C710804" w14:textId="370524A3"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Deliverables related to use cases, characteristics, requirements and architectural frameworks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and operational considerations and best practices for AI for smart sustainable cities and communities;</w:t>
      </w:r>
    </w:p>
    <w:p w14:paraId="274D6E07" w14:textId="5A9B9B70"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Deliverables addressing interoperability, coordination mechanisms, data management, and interaction between digital and physical</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systems enabled by AI technologies;</w:t>
      </w:r>
    </w:p>
    <w:p w14:paraId="6082BD96" w14:textId="07C2E03E"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Deliverables related to lifecycle management, evaluation, and assessment frameworks of AI technologies</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for smart sustainable cities and communities including benchmarking, monitoring and international comparability mechanisms;</w:t>
      </w:r>
    </w:p>
    <w:p w14:paraId="12B0026E"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 xml:space="preserve">Deliverables on inclusive and accessible AI usages for </w:t>
      </w:r>
      <w:r w:rsidRPr="00581B90">
        <w:rPr>
          <w:rFonts w:asciiTheme="minorHAnsi" w:eastAsia="DengXian" w:hAnsiTheme="minorHAnsi" w:cstheme="minorHAnsi"/>
          <w:szCs w:val="24"/>
          <w:lang w:eastAsia="ja-JP"/>
        </w:rPr>
        <w:t xml:space="preserve">smart sustainable </w:t>
      </w:r>
      <w:r w:rsidRPr="00581B90">
        <w:rPr>
          <w:rFonts w:asciiTheme="minorHAnsi" w:eastAsia="DengXian" w:hAnsiTheme="minorHAnsi" w:cstheme="minorHAnsi"/>
          <w:color w:val="000000"/>
          <w:szCs w:val="24"/>
          <w:lang w:eastAsia="ja-JP"/>
        </w:rPr>
        <w:t>cities and communities;</w:t>
      </w:r>
    </w:p>
    <w:p w14:paraId="0559EEC3"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 xml:space="preserve">Guidelines on the applicability of AI sustainability principles in </w:t>
      </w:r>
      <w:r w:rsidRPr="00581B90">
        <w:rPr>
          <w:rFonts w:asciiTheme="minorHAnsi" w:eastAsia="DengXian" w:hAnsiTheme="minorHAnsi" w:cstheme="minorHAnsi"/>
          <w:szCs w:val="24"/>
          <w:lang w:eastAsia="ja-JP"/>
        </w:rPr>
        <w:t xml:space="preserve">smart sustainable </w:t>
      </w:r>
      <w:r w:rsidRPr="00581B90">
        <w:rPr>
          <w:rFonts w:asciiTheme="minorHAnsi" w:eastAsia="DengXian" w:hAnsiTheme="minorHAnsi" w:cstheme="minorHAnsi"/>
          <w:color w:val="000000"/>
          <w:szCs w:val="24"/>
          <w:lang w:eastAsia="ja-JP"/>
        </w:rPr>
        <w:t>cities and communities;</w:t>
      </w:r>
    </w:p>
    <w:p w14:paraId="3F295667" w14:textId="77777777" w:rsidR="00581B90" w:rsidRPr="00581B90" w:rsidRDefault="00452EC0" w:rsidP="00452EC0">
      <w:pPr>
        <w:overflowPunct/>
        <w:autoSpaceDE/>
        <w:autoSpaceDN/>
        <w:adjustRightInd/>
        <w:spacing w:before="80"/>
        <w:ind w:left="720" w:hanging="720"/>
        <w:jc w:val="both"/>
        <w:textAlignment w:val="auto"/>
        <w:rPr>
          <w:rFonts w:asciiTheme="minorHAnsi" w:hAnsiTheme="minorHAnsi" w:cstheme="minorHAnsi"/>
          <w:color w:val="000000"/>
          <w:szCs w:val="24"/>
          <w:lang w:eastAsia="zh-CN"/>
        </w:rPr>
      </w:pPr>
      <w:r w:rsidRPr="00581B90">
        <w:rPr>
          <w:rFonts w:asciiTheme="minorHAnsi" w:eastAsia="DengXian" w:hAnsiTheme="minorHAnsi" w:cstheme="minorHAnsi"/>
          <w:color w:val="000000"/>
          <w:szCs w:val="24"/>
          <w:lang w:eastAsia="ja-JP"/>
        </w:rPr>
        <w:t>–</w:t>
      </w:r>
      <w:r w:rsidRPr="00581B90">
        <w:rPr>
          <w:rFonts w:asciiTheme="minorHAnsi" w:hAnsiTheme="minorHAnsi" w:cstheme="minorHAnsi"/>
          <w:color w:val="000000"/>
          <w:szCs w:val="24"/>
          <w:lang w:eastAsia="zh-CN"/>
        </w:rPr>
        <w:tab/>
        <w:t xml:space="preserve">Assessment of preparedness for AI adoption and integration and roadmap research for smart sustainable </w:t>
      </w:r>
      <w:r w:rsidRPr="00581B90">
        <w:rPr>
          <w:rFonts w:asciiTheme="minorHAnsi" w:eastAsia="DengXian" w:hAnsiTheme="minorHAnsi" w:cstheme="minorHAnsi"/>
          <w:color w:val="000000"/>
          <w:szCs w:val="24"/>
          <w:lang w:eastAsia="ja-JP"/>
        </w:rPr>
        <w:t>cities</w:t>
      </w:r>
      <w:r w:rsidRPr="00581B90">
        <w:rPr>
          <w:rFonts w:asciiTheme="minorHAnsi" w:hAnsiTheme="minorHAnsi" w:cstheme="minorHAnsi"/>
          <w:color w:val="000000"/>
          <w:szCs w:val="24"/>
          <w:lang w:eastAsia="zh-CN"/>
        </w:rPr>
        <w:t xml:space="preserve"> and communities;</w:t>
      </w:r>
    </w:p>
    <w:p w14:paraId="6E1FD565" w14:textId="77777777" w:rsidR="00581B90" w:rsidRPr="00581B90" w:rsidRDefault="00452EC0" w:rsidP="00452EC0">
      <w:pPr>
        <w:tabs>
          <w:tab w:val="clear" w:pos="794"/>
          <w:tab w:val="clear" w:pos="1191"/>
          <w:tab w:val="clear" w:pos="1588"/>
          <w:tab w:val="clear" w:pos="1985"/>
        </w:tabs>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Spatial AI</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for digital–physical convergence in cities, integrating geospatial systems, digital twins and real-time sensing to produce reusable outputs;</w:t>
      </w:r>
    </w:p>
    <w:p w14:paraId="40C8892F" w14:textId="2FE48DC7" w:rsidR="00452EC0" w:rsidRPr="00581B90" w:rsidRDefault="00452EC0" w:rsidP="00452EC0">
      <w:pPr>
        <w:tabs>
          <w:tab w:val="clear" w:pos="794"/>
          <w:tab w:val="clear" w:pos="1191"/>
          <w:tab w:val="clear" w:pos="1588"/>
          <w:tab w:val="clear" w:pos="1985"/>
        </w:tabs>
        <w:overflowPunct/>
        <w:autoSpaceDE/>
        <w:autoSpaceDN/>
        <w:adjustRightInd/>
        <w:spacing w:before="80"/>
        <w:ind w:left="794" w:hanging="794"/>
        <w:jc w:val="both"/>
        <w:textAlignment w:val="auto"/>
        <w:rPr>
          <w:rFonts w:asciiTheme="minorHAnsi" w:eastAsia="DengXian" w:hAnsiTheme="minorHAnsi" w:cstheme="minorHAnsi"/>
          <w:color w:val="000000"/>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Guidance for the adoption and integration of relevant enabling AI technologies for smart sustainable cities and communities;</w:t>
      </w:r>
    </w:p>
    <w:p w14:paraId="6843AE55"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ko-KR"/>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r>
      <w:r w:rsidRPr="00581B90">
        <w:rPr>
          <w:rFonts w:asciiTheme="minorHAnsi" w:eastAsia="DengXian" w:hAnsiTheme="minorHAnsi" w:cstheme="minorHAnsi"/>
          <w:szCs w:val="24"/>
          <w:lang w:eastAsia="ko-KR"/>
        </w:rPr>
        <w:t>Sustainability aspects of AI-enabled systems, including application and reporting of energy consumption and carbon footprint of AI deployments at city scale;</w:t>
      </w:r>
    </w:p>
    <w:p w14:paraId="01A4B189" w14:textId="77777777" w:rsidR="00581B90" w:rsidRPr="00581B90" w:rsidRDefault="00452EC0" w:rsidP="00581B90">
      <w:pPr>
        <w:keepNext/>
        <w:overflowPunct/>
        <w:autoSpaceDE/>
        <w:autoSpaceDN/>
        <w:adjustRightInd/>
        <w:spacing w:before="80"/>
        <w:ind w:left="794" w:hanging="794"/>
        <w:jc w:val="both"/>
        <w:textAlignment w:val="auto"/>
        <w:rPr>
          <w:rFonts w:asciiTheme="minorHAnsi" w:eastAsia="DengXian" w:hAnsiTheme="minorHAnsi" w:cstheme="minorHAnsi"/>
          <w:szCs w:val="24"/>
          <w:lang w:eastAsia="ko-KR"/>
        </w:rPr>
      </w:pPr>
      <w:r w:rsidRPr="00581B90">
        <w:rPr>
          <w:rFonts w:asciiTheme="minorHAnsi" w:eastAsia="DengXian" w:hAnsiTheme="minorHAnsi" w:cstheme="minorHAnsi"/>
          <w:szCs w:val="24"/>
          <w:lang w:eastAsia="ko-KR"/>
        </w:rPr>
        <w:lastRenderedPageBreak/>
        <w:t>To support liaison with relevant ITU-T SGs, industrial entities and external Organizations, especially:</w:t>
      </w:r>
    </w:p>
    <w:p w14:paraId="34A93922" w14:textId="564A762E" w:rsidR="00581B9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ko-KR"/>
        </w:rPr>
      </w:pPr>
      <w:r w:rsidRPr="00581B90">
        <w:rPr>
          <w:rFonts w:asciiTheme="minorHAnsi" w:eastAsia="DengXian" w:hAnsiTheme="minorHAnsi" w:cstheme="minorHAnsi"/>
          <w:szCs w:val="24"/>
          <w:lang w:eastAsia="ko-KR"/>
        </w:rPr>
        <w:t>−</w:t>
      </w:r>
      <w:r w:rsidRPr="00581B90">
        <w:rPr>
          <w:rFonts w:asciiTheme="minorHAnsi" w:eastAsia="DengXian" w:hAnsiTheme="minorHAnsi" w:cstheme="minorHAnsi"/>
          <w:szCs w:val="24"/>
          <w:lang w:eastAsia="ko-KR"/>
        </w:rPr>
        <w:tab/>
        <w:t>collaborate with relevant ITU-T study groups, focus groups and other standards bodies.</w:t>
      </w:r>
    </w:p>
    <w:p w14:paraId="02B2D923" w14:textId="52341F7F" w:rsidR="00452EC0" w:rsidRPr="00581B90" w:rsidRDefault="00452EC0" w:rsidP="00452EC0">
      <w:pPr>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To support collaboration and knowledge exchange, the Focus Group will also undertake the following activities:</w:t>
      </w:r>
    </w:p>
    <w:p w14:paraId="2240CF83" w14:textId="07BAB87C"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Organization of</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forums, workshops, panels, challenges and hackathons, and collaboration activities to collect expertise and encourage broad participation, including coordination with relevant</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ITU and UN initiatives (e.g., AI for Good Global Summit, United for Smart Sustainable Cities initiative, UN Virtual Worlds Day and Global Initiative on AI and Virtual Worlds - Discovering the Citiverse);</w:t>
      </w:r>
    </w:p>
    <w:p w14:paraId="2B65861F" w14:textId="77777777" w:rsidR="00452EC0" w:rsidRPr="00581B90" w:rsidRDefault="00452EC0" w:rsidP="00452EC0">
      <w:pPr>
        <w:tabs>
          <w:tab w:val="clear" w:pos="794"/>
          <w:tab w:val="clear" w:pos="1191"/>
          <w:tab w:val="clear" w:pos="1588"/>
          <w:tab w:val="clear" w:pos="1985"/>
        </w:tabs>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Identification of stakeholders with whom ITU-T could collaborate, and establishment of liaison relationships with other organizations that could contribute to the pre-standardization activities, as well as identification of potential areas for collective action and specific next steps;</w:t>
      </w:r>
    </w:p>
    <w:p w14:paraId="70D72036" w14:textId="77777777" w:rsidR="00452EC0" w:rsidRPr="00581B90" w:rsidRDefault="00452EC0" w:rsidP="00452EC0">
      <w:pPr>
        <w:overflowPunct/>
        <w:autoSpaceDE/>
        <w:autoSpaceDN/>
        <w:adjustRightInd/>
        <w:spacing w:before="80"/>
        <w:ind w:left="794" w:hanging="794"/>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w:t>
      </w:r>
      <w:r w:rsidRPr="00581B90">
        <w:rPr>
          <w:rFonts w:asciiTheme="minorHAnsi" w:eastAsia="DengXian" w:hAnsiTheme="minorHAnsi" w:cstheme="minorHAnsi"/>
          <w:color w:val="000000"/>
          <w:szCs w:val="24"/>
          <w:lang w:eastAsia="ja-JP"/>
        </w:rPr>
        <w:tab/>
        <w:t xml:space="preserve">Providing a platform to stimulate international collaboration, share knowledge and best practices, and explore the opportunities and challenges related to AI for </w:t>
      </w:r>
      <w:r w:rsidRPr="00581B90">
        <w:rPr>
          <w:rFonts w:asciiTheme="minorHAnsi" w:eastAsia="DengXian" w:hAnsiTheme="minorHAnsi" w:cstheme="minorHAnsi"/>
          <w:szCs w:val="24"/>
          <w:lang w:eastAsia="ja-JP"/>
        </w:rPr>
        <w:t xml:space="preserve">smart sustainable </w:t>
      </w:r>
      <w:r w:rsidRPr="00581B90">
        <w:rPr>
          <w:rFonts w:asciiTheme="minorHAnsi" w:eastAsia="DengXian" w:hAnsiTheme="minorHAnsi" w:cstheme="minorHAnsi"/>
          <w:color w:val="000000"/>
          <w:szCs w:val="24"/>
          <w:lang w:eastAsia="ja-JP"/>
        </w:rPr>
        <w:t>cities and communities.</w:t>
      </w:r>
    </w:p>
    <w:p w14:paraId="07FBA65D" w14:textId="2010D31B"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Upon completion of its mandate, the Focus Group</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will submit</w:t>
      </w:r>
      <w:r w:rsidR="00581B90" w:rsidRPr="00581B90">
        <w:rPr>
          <w:rFonts w:asciiTheme="minorHAnsi" w:eastAsia="DengXian" w:hAnsiTheme="minorHAnsi" w:cstheme="minorHAnsi"/>
          <w:color w:val="000000"/>
          <w:szCs w:val="24"/>
          <w:lang w:eastAsia="ja-JP"/>
        </w:rPr>
        <w:t xml:space="preserve"> </w:t>
      </w:r>
      <w:r w:rsidRPr="00581B90">
        <w:rPr>
          <w:rFonts w:asciiTheme="minorHAnsi" w:eastAsia="DengXian" w:hAnsiTheme="minorHAnsi" w:cstheme="minorHAnsi"/>
          <w:color w:val="000000"/>
          <w:szCs w:val="24"/>
          <w:lang w:eastAsia="ja-JP"/>
        </w:rPr>
        <w:t>its final report and complete set of deliverables to ITU-T SG20.</w:t>
      </w:r>
    </w:p>
    <w:p w14:paraId="5C2A033E"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ja-JP"/>
        </w:rPr>
      </w:pPr>
      <w:r w:rsidRPr="00581B90">
        <w:rPr>
          <w:rFonts w:asciiTheme="minorHAnsi" w:eastAsia="Malgun Gothic" w:hAnsiTheme="minorHAnsi" w:cstheme="minorHAnsi"/>
          <w:b/>
          <w:bCs/>
          <w:kern w:val="32"/>
          <w:szCs w:val="24"/>
          <w:lang w:eastAsia="ko-KR"/>
        </w:rPr>
        <w:t>5</w:t>
      </w:r>
      <w:r w:rsidRPr="00581B90">
        <w:rPr>
          <w:rFonts w:asciiTheme="minorHAnsi" w:eastAsia="MS Mincho" w:hAnsiTheme="minorHAnsi" w:cstheme="minorHAnsi"/>
          <w:b/>
          <w:bCs/>
          <w:kern w:val="32"/>
          <w:szCs w:val="24"/>
          <w:lang w:eastAsia="ja-JP"/>
        </w:rPr>
        <w:tab/>
        <w:t>Relationships</w:t>
      </w:r>
    </w:p>
    <w:p w14:paraId="52CB49F9"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The Focus Group will work through regular meetings with ITU-T SG20 when possible. Its pre-standardization work serves to support, complement, and inform the standardization activities of SG20, without duplicating ongoing efforts. Furthermore, it will closely coordinate and liaise with other relevant ITU-T SGs as necessary to ensure coherence, promote synergy and avoid duplication, while encouraging complementarity and effective use of relevant existing ITU-T Recommendations and methodologies in related domains. In accordance with Recommendation ITU-T A.7, the Focus Group will collaborate with cities, governments, regulators, operators, industry, academia, research institutions, standards development organizations (SDOs), relevant fora and consortia, companies, and other relevant stakeholders.</w:t>
      </w:r>
    </w:p>
    <w:p w14:paraId="5BE1B73D"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DengXian" w:hAnsiTheme="minorHAnsi" w:cstheme="minorHAnsi"/>
          <w:szCs w:val="24"/>
          <w:lang w:eastAsia="ja-JP"/>
        </w:rPr>
      </w:pPr>
      <w:r w:rsidRPr="00581B90">
        <w:rPr>
          <w:rFonts w:asciiTheme="minorHAnsi" w:eastAsia="DengXian" w:hAnsiTheme="minorHAnsi" w:cstheme="minorHAnsi"/>
          <w:color w:val="000000"/>
          <w:szCs w:val="24"/>
          <w:lang w:eastAsia="ja-JP"/>
        </w:rPr>
        <w:t>The Focus Group will encourage participation from both ITU members and non- members to foster broad, inclusive, and international engagement in AI for smart sustainable cities and communities.</w:t>
      </w:r>
    </w:p>
    <w:p w14:paraId="7D3F7A92" w14:textId="77777777" w:rsidR="00452EC0" w:rsidRPr="00581B90" w:rsidRDefault="00452EC0" w:rsidP="00452EC0">
      <w:pPr>
        <w:tabs>
          <w:tab w:val="clear" w:pos="794"/>
          <w:tab w:val="clear" w:pos="1191"/>
          <w:tab w:val="clear" w:pos="1588"/>
          <w:tab w:val="clear" w:pos="1985"/>
        </w:tabs>
        <w:overflowPunct/>
        <w:autoSpaceDE/>
        <w:autoSpaceDN/>
        <w:adjustRightInd/>
        <w:jc w:val="both"/>
        <w:textAlignment w:val="auto"/>
        <w:rPr>
          <w:rFonts w:asciiTheme="minorHAnsi" w:eastAsia="Malgun Gothic" w:hAnsiTheme="minorHAnsi" w:cstheme="minorHAnsi"/>
          <w:szCs w:val="24"/>
          <w:lang w:eastAsia="ko-KR"/>
        </w:rPr>
      </w:pPr>
      <w:r w:rsidRPr="00581B90">
        <w:rPr>
          <w:rFonts w:asciiTheme="minorHAnsi" w:eastAsia="DengXian" w:hAnsiTheme="minorHAnsi" w:cstheme="minorHAnsi"/>
          <w:color w:val="000000"/>
          <w:szCs w:val="24"/>
          <w:lang w:eastAsia="ja-JP"/>
        </w:rPr>
        <w:t>The Focus Group will organize webinars, workshops and forums to promote the FG activities, encouraging both ITU members and non-ITU members to jointly contribute to this Focus Group and its objectives.</w:t>
      </w:r>
    </w:p>
    <w:p w14:paraId="074E23F6"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algun Gothic" w:hAnsiTheme="minorHAnsi" w:cstheme="minorHAnsi"/>
          <w:b/>
          <w:bCs/>
          <w:kern w:val="32"/>
          <w:szCs w:val="24"/>
          <w:lang w:eastAsia="ko-KR"/>
        </w:rPr>
        <w:t>6</w:t>
      </w:r>
      <w:r w:rsidRPr="00581B90">
        <w:rPr>
          <w:rFonts w:asciiTheme="minorHAnsi" w:eastAsia="MS Mincho" w:hAnsiTheme="minorHAnsi" w:cstheme="minorHAnsi"/>
          <w:b/>
          <w:bCs/>
          <w:kern w:val="32"/>
          <w:szCs w:val="24"/>
          <w:lang w:eastAsia="zh-CN"/>
        </w:rPr>
        <w:tab/>
        <w:t>Structure</w:t>
      </w:r>
    </w:p>
    <w:p w14:paraId="5BC63DA7"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The Focus Group may establish a sub-group structure if needed.</w:t>
      </w:r>
    </w:p>
    <w:p w14:paraId="5F380CBA"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algun Gothic" w:hAnsiTheme="minorHAnsi" w:cstheme="minorHAnsi"/>
          <w:b/>
          <w:bCs/>
          <w:kern w:val="32"/>
          <w:szCs w:val="24"/>
          <w:lang w:eastAsia="ko-KR"/>
        </w:rPr>
        <w:t>7</w:t>
      </w:r>
      <w:r w:rsidRPr="00581B90">
        <w:rPr>
          <w:rFonts w:asciiTheme="minorHAnsi" w:eastAsia="MS Mincho" w:hAnsiTheme="minorHAnsi" w:cstheme="minorHAnsi"/>
          <w:b/>
          <w:bCs/>
          <w:kern w:val="32"/>
          <w:szCs w:val="24"/>
          <w:lang w:eastAsia="zh-CN"/>
        </w:rPr>
        <w:tab/>
        <w:t>Parent group</w:t>
      </w:r>
    </w:p>
    <w:p w14:paraId="044D2C57"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The parent group of the Focus Group is ITU-T SG20.</w:t>
      </w:r>
    </w:p>
    <w:p w14:paraId="1FAAC73F"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ja-JP"/>
        </w:rPr>
      </w:pPr>
      <w:r w:rsidRPr="00581B90">
        <w:rPr>
          <w:rFonts w:asciiTheme="minorHAnsi" w:eastAsia="Malgun Gothic" w:hAnsiTheme="minorHAnsi" w:cstheme="minorHAnsi"/>
          <w:b/>
          <w:bCs/>
          <w:kern w:val="32"/>
          <w:szCs w:val="24"/>
          <w:lang w:eastAsia="ko-KR"/>
        </w:rPr>
        <w:t>8</w:t>
      </w:r>
      <w:r w:rsidRPr="00581B90">
        <w:rPr>
          <w:rFonts w:asciiTheme="minorHAnsi" w:eastAsia="MS Mincho" w:hAnsiTheme="minorHAnsi" w:cstheme="minorHAnsi"/>
          <w:b/>
          <w:bCs/>
          <w:kern w:val="32"/>
          <w:szCs w:val="24"/>
          <w:lang w:eastAsia="ja-JP"/>
        </w:rPr>
        <w:tab/>
        <w:t>Leadership</w:t>
      </w:r>
    </w:p>
    <w:p w14:paraId="75AA73DB"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See clause 2.3 of Recommendation ITU-T A.7.</w:t>
      </w:r>
    </w:p>
    <w:p w14:paraId="272B8CB3"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algun Gothic" w:hAnsiTheme="minorHAnsi" w:cstheme="minorHAnsi"/>
          <w:b/>
          <w:bCs/>
          <w:kern w:val="32"/>
          <w:szCs w:val="24"/>
          <w:lang w:eastAsia="ko-KR"/>
        </w:rPr>
        <w:t>9</w:t>
      </w:r>
      <w:r w:rsidRPr="00581B90">
        <w:rPr>
          <w:rFonts w:asciiTheme="minorHAnsi" w:eastAsia="MS Mincho" w:hAnsiTheme="minorHAnsi" w:cstheme="minorHAnsi"/>
          <w:b/>
          <w:bCs/>
          <w:kern w:val="32"/>
          <w:szCs w:val="24"/>
          <w:lang w:eastAsia="zh-CN"/>
        </w:rPr>
        <w:tab/>
        <w:t>Participation</w:t>
      </w:r>
    </w:p>
    <w:p w14:paraId="4CC1777C"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See clause 3.1 of Recommendation ITU-T A.7. A list of participants will be maintained for reference purposes and reported to the parent group.</w:t>
      </w:r>
    </w:p>
    <w:p w14:paraId="35119C53" w14:textId="5A3285B9"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algun Gothic" w:hAnsiTheme="minorHAnsi" w:cstheme="minorHAnsi"/>
          <w:b/>
          <w:bCs/>
          <w:kern w:val="32"/>
          <w:szCs w:val="24"/>
          <w:lang w:eastAsia="ko-KR"/>
        </w:rPr>
        <w:t>10</w:t>
      </w:r>
      <w:r w:rsidRPr="00581B90">
        <w:rPr>
          <w:rFonts w:asciiTheme="minorHAnsi" w:eastAsia="MS Mincho" w:hAnsiTheme="minorHAnsi" w:cstheme="minorHAnsi"/>
          <w:b/>
          <w:bCs/>
          <w:kern w:val="32"/>
          <w:szCs w:val="24"/>
          <w:lang w:eastAsia="zh-CN"/>
        </w:rPr>
        <w:tab/>
        <w:t xml:space="preserve">Administrative </w:t>
      </w:r>
      <w:r w:rsidR="00967FAA" w:rsidRPr="00581B90">
        <w:rPr>
          <w:rFonts w:asciiTheme="minorHAnsi" w:eastAsia="MS Mincho" w:hAnsiTheme="minorHAnsi" w:cstheme="minorHAnsi"/>
          <w:b/>
          <w:bCs/>
          <w:kern w:val="32"/>
          <w:szCs w:val="24"/>
          <w:lang w:eastAsia="zh-CN"/>
        </w:rPr>
        <w:t>S</w:t>
      </w:r>
      <w:r w:rsidRPr="00581B90">
        <w:rPr>
          <w:rFonts w:asciiTheme="minorHAnsi" w:eastAsia="MS Mincho" w:hAnsiTheme="minorHAnsi" w:cstheme="minorHAnsi"/>
          <w:b/>
          <w:bCs/>
          <w:kern w:val="32"/>
          <w:szCs w:val="24"/>
          <w:lang w:eastAsia="zh-CN"/>
        </w:rPr>
        <w:t>upport</w:t>
      </w:r>
    </w:p>
    <w:p w14:paraId="7FA6F28B"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See clause 5 of Recommendation ITU-T A.7.</w:t>
      </w:r>
    </w:p>
    <w:p w14:paraId="42B3A8E5"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S Mincho" w:hAnsiTheme="minorHAnsi" w:cstheme="minorHAnsi"/>
          <w:b/>
          <w:bCs/>
          <w:kern w:val="32"/>
          <w:szCs w:val="24"/>
          <w:lang w:eastAsia="zh-CN"/>
        </w:rPr>
        <w:t>1</w:t>
      </w:r>
      <w:r w:rsidRPr="00581B90">
        <w:rPr>
          <w:rFonts w:asciiTheme="minorHAnsi" w:eastAsia="Malgun Gothic" w:hAnsiTheme="minorHAnsi" w:cstheme="minorHAnsi"/>
          <w:b/>
          <w:bCs/>
          <w:kern w:val="32"/>
          <w:szCs w:val="24"/>
          <w:lang w:eastAsia="ko-KR"/>
        </w:rPr>
        <w:t>1</w:t>
      </w:r>
      <w:r w:rsidRPr="00581B90">
        <w:rPr>
          <w:rFonts w:asciiTheme="minorHAnsi" w:eastAsia="MS Mincho" w:hAnsiTheme="minorHAnsi" w:cstheme="minorHAnsi"/>
          <w:b/>
          <w:bCs/>
          <w:kern w:val="32"/>
          <w:szCs w:val="24"/>
          <w:lang w:eastAsia="zh-CN"/>
        </w:rPr>
        <w:tab/>
      </w:r>
      <w:r w:rsidRPr="00581B90">
        <w:rPr>
          <w:rFonts w:asciiTheme="minorHAnsi" w:eastAsia="Malgun Gothic" w:hAnsiTheme="minorHAnsi" w:cstheme="minorHAnsi"/>
          <w:b/>
          <w:bCs/>
          <w:kern w:val="32"/>
          <w:szCs w:val="24"/>
          <w:lang w:eastAsia="ko-KR"/>
        </w:rPr>
        <w:t xml:space="preserve">FG </w:t>
      </w:r>
      <w:r w:rsidRPr="00581B90">
        <w:rPr>
          <w:rFonts w:asciiTheme="minorHAnsi" w:eastAsia="MS Mincho" w:hAnsiTheme="minorHAnsi" w:cstheme="minorHAnsi"/>
          <w:b/>
          <w:bCs/>
          <w:kern w:val="32"/>
          <w:szCs w:val="24"/>
          <w:lang w:eastAsia="zh-CN"/>
        </w:rPr>
        <w:t>Financing</w:t>
      </w:r>
    </w:p>
    <w:p w14:paraId="01633056"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See clause 4 of Recommendation ITU-T A.7.</w:t>
      </w:r>
    </w:p>
    <w:p w14:paraId="5542103C"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S Mincho" w:hAnsiTheme="minorHAnsi" w:cstheme="minorHAnsi"/>
          <w:b/>
          <w:bCs/>
          <w:kern w:val="32"/>
          <w:szCs w:val="24"/>
          <w:lang w:eastAsia="zh-CN"/>
        </w:rPr>
        <w:lastRenderedPageBreak/>
        <w:t>1</w:t>
      </w:r>
      <w:r w:rsidRPr="00581B90">
        <w:rPr>
          <w:rFonts w:asciiTheme="minorHAnsi" w:eastAsia="Malgun Gothic" w:hAnsiTheme="minorHAnsi" w:cstheme="minorHAnsi"/>
          <w:b/>
          <w:bCs/>
          <w:kern w:val="32"/>
          <w:szCs w:val="24"/>
          <w:lang w:eastAsia="ko-KR"/>
        </w:rPr>
        <w:t>2</w:t>
      </w:r>
      <w:r w:rsidRPr="00581B90">
        <w:rPr>
          <w:rFonts w:asciiTheme="minorHAnsi" w:eastAsia="MS Mincho" w:hAnsiTheme="minorHAnsi" w:cstheme="minorHAnsi"/>
          <w:b/>
          <w:bCs/>
          <w:kern w:val="32"/>
          <w:szCs w:val="24"/>
          <w:lang w:eastAsia="zh-CN"/>
        </w:rPr>
        <w:tab/>
        <w:t>Meetings</w:t>
      </w:r>
    </w:p>
    <w:p w14:paraId="6275A217" w14:textId="01E7B988"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The Focus Group will conduct regular meetings. The frequency and location of meetings will be determined by the Focus Group management. The Focus Group will use remote collaboration tools to the maximum extent.</w:t>
      </w:r>
    </w:p>
    <w:p w14:paraId="55D83EEB"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The meeting dates will be announced by electronic means (e.g., e-mail and website) at least four weeks in advance.</w:t>
      </w:r>
    </w:p>
    <w:p w14:paraId="63F2B328" w14:textId="77777777" w:rsidR="00452EC0" w:rsidRPr="00581B90" w:rsidRDefault="00452EC0" w:rsidP="00452EC0">
      <w:pPr>
        <w:keepNext/>
        <w:tabs>
          <w:tab w:val="clear" w:pos="794"/>
          <w:tab w:val="clear" w:pos="1191"/>
          <w:tab w:val="clear" w:pos="1588"/>
          <w:tab w:val="clear" w:pos="1985"/>
          <w:tab w:val="left" w:pos="432"/>
        </w:tabs>
        <w:overflowPunct/>
        <w:autoSpaceDE/>
        <w:autoSpaceDN/>
        <w:adjustRightInd/>
        <w:spacing w:before="240" w:after="60"/>
        <w:ind w:left="432" w:hanging="432"/>
        <w:textAlignment w:val="auto"/>
        <w:outlineLvl w:val="0"/>
        <w:rPr>
          <w:rFonts w:asciiTheme="minorHAnsi" w:eastAsia="MS Mincho" w:hAnsiTheme="minorHAnsi" w:cstheme="minorHAnsi"/>
          <w:b/>
          <w:bCs/>
          <w:kern w:val="32"/>
          <w:szCs w:val="24"/>
          <w:lang w:eastAsia="zh-CN"/>
        </w:rPr>
      </w:pPr>
      <w:r w:rsidRPr="00581B90">
        <w:rPr>
          <w:rFonts w:asciiTheme="minorHAnsi" w:eastAsia="MS Mincho" w:hAnsiTheme="minorHAnsi" w:cstheme="minorHAnsi"/>
          <w:b/>
          <w:bCs/>
          <w:kern w:val="32"/>
          <w:szCs w:val="24"/>
          <w:lang w:eastAsia="zh-CN"/>
        </w:rPr>
        <w:t>1</w:t>
      </w:r>
      <w:r w:rsidRPr="00581B90">
        <w:rPr>
          <w:rFonts w:asciiTheme="minorHAnsi" w:eastAsia="Malgun Gothic" w:hAnsiTheme="minorHAnsi" w:cstheme="minorHAnsi"/>
          <w:b/>
          <w:bCs/>
          <w:kern w:val="32"/>
          <w:szCs w:val="24"/>
          <w:lang w:eastAsia="ko-KR"/>
        </w:rPr>
        <w:t>3</w:t>
      </w:r>
      <w:r w:rsidRPr="00581B90">
        <w:rPr>
          <w:rFonts w:asciiTheme="minorHAnsi" w:eastAsia="MS Mincho" w:hAnsiTheme="minorHAnsi" w:cstheme="minorHAnsi"/>
          <w:b/>
          <w:bCs/>
          <w:kern w:val="32"/>
          <w:szCs w:val="24"/>
          <w:lang w:eastAsia="zh-CN"/>
        </w:rPr>
        <w:tab/>
        <w:t>Deliverables</w:t>
      </w:r>
    </w:p>
    <w:p w14:paraId="70CFF40C"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See clause 8 of Recommendation ITU-T A.7.</w:t>
      </w:r>
    </w:p>
    <w:p w14:paraId="74D26D7D" w14:textId="77777777" w:rsidR="00452EC0" w:rsidRPr="00581B90" w:rsidRDefault="00452EC0" w:rsidP="00452EC0">
      <w:pPr>
        <w:keepNext/>
        <w:numPr>
          <w:ilvl w:val="1"/>
          <w:numId w:val="0"/>
        </w:numPr>
        <w:tabs>
          <w:tab w:val="clear" w:pos="794"/>
          <w:tab w:val="clear" w:pos="1191"/>
          <w:tab w:val="clear" w:pos="1588"/>
          <w:tab w:val="clear" w:pos="1985"/>
          <w:tab w:val="left" w:pos="576"/>
        </w:tabs>
        <w:overflowPunct/>
        <w:autoSpaceDE/>
        <w:autoSpaceDN/>
        <w:adjustRightInd/>
        <w:spacing w:before="240" w:after="60"/>
        <w:ind w:left="576" w:hanging="576"/>
        <w:textAlignment w:val="auto"/>
        <w:outlineLvl w:val="1"/>
        <w:rPr>
          <w:rFonts w:asciiTheme="minorHAnsi" w:eastAsia="MS Mincho" w:hAnsiTheme="minorHAnsi" w:cstheme="minorHAnsi"/>
          <w:b/>
          <w:bCs/>
          <w:iCs/>
          <w:szCs w:val="24"/>
          <w:lang w:eastAsia="zh-CN"/>
        </w:rPr>
      </w:pPr>
      <w:r w:rsidRPr="00581B90">
        <w:rPr>
          <w:rFonts w:asciiTheme="minorHAnsi" w:eastAsia="MS Mincho" w:hAnsiTheme="minorHAnsi" w:cstheme="minorHAnsi"/>
          <w:b/>
          <w:bCs/>
          <w:iCs/>
          <w:szCs w:val="24"/>
          <w:lang w:eastAsia="zh-CN"/>
        </w:rPr>
        <w:t>1</w:t>
      </w:r>
      <w:r w:rsidRPr="00581B90">
        <w:rPr>
          <w:rFonts w:asciiTheme="minorHAnsi" w:eastAsia="Malgun Gothic" w:hAnsiTheme="minorHAnsi" w:cstheme="minorHAnsi"/>
          <w:b/>
          <w:bCs/>
          <w:iCs/>
          <w:szCs w:val="24"/>
          <w:lang w:eastAsia="ko-KR"/>
        </w:rPr>
        <w:t>4</w:t>
      </w:r>
      <w:r w:rsidRPr="00581B90">
        <w:rPr>
          <w:rFonts w:asciiTheme="minorHAnsi" w:eastAsia="MS Mincho" w:hAnsiTheme="minorHAnsi" w:cstheme="minorHAnsi"/>
          <w:b/>
          <w:bCs/>
          <w:iCs/>
          <w:szCs w:val="24"/>
          <w:lang w:eastAsia="zh-CN"/>
        </w:rPr>
        <w:tab/>
        <w:t>Working language</w:t>
      </w:r>
    </w:p>
    <w:p w14:paraId="47BF3B70"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The working language is English.</w:t>
      </w:r>
    </w:p>
    <w:p w14:paraId="0E58083D" w14:textId="77777777" w:rsidR="00452EC0" w:rsidRPr="00581B90" w:rsidRDefault="00452EC0" w:rsidP="00452EC0">
      <w:pPr>
        <w:keepNext/>
        <w:numPr>
          <w:ilvl w:val="1"/>
          <w:numId w:val="0"/>
        </w:numPr>
        <w:tabs>
          <w:tab w:val="clear" w:pos="794"/>
          <w:tab w:val="clear" w:pos="1191"/>
          <w:tab w:val="clear" w:pos="1588"/>
          <w:tab w:val="clear" w:pos="1985"/>
          <w:tab w:val="left" w:pos="576"/>
        </w:tabs>
        <w:overflowPunct/>
        <w:autoSpaceDE/>
        <w:autoSpaceDN/>
        <w:adjustRightInd/>
        <w:spacing w:before="240" w:after="60"/>
        <w:ind w:left="576" w:hanging="576"/>
        <w:textAlignment w:val="auto"/>
        <w:outlineLvl w:val="1"/>
        <w:rPr>
          <w:rFonts w:asciiTheme="minorHAnsi" w:eastAsia="MS Mincho" w:hAnsiTheme="minorHAnsi" w:cstheme="minorHAnsi"/>
          <w:b/>
          <w:bCs/>
          <w:iCs/>
          <w:szCs w:val="24"/>
          <w:lang w:eastAsia="zh-CN"/>
        </w:rPr>
      </w:pPr>
      <w:r w:rsidRPr="00581B90">
        <w:rPr>
          <w:rFonts w:asciiTheme="minorHAnsi" w:eastAsia="MS Mincho" w:hAnsiTheme="minorHAnsi" w:cstheme="minorHAnsi"/>
          <w:b/>
          <w:bCs/>
          <w:iCs/>
          <w:szCs w:val="24"/>
          <w:lang w:eastAsia="zh-CN"/>
        </w:rPr>
        <w:t>1</w:t>
      </w:r>
      <w:r w:rsidRPr="00581B90">
        <w:rPr>
          <w:rFonts w:asciiTheme="minorHAnsi" w:eastAsia="Malgun Gothic" w:hAnsiTheme="minorHAnsi" w:cstheme="minorHAnsi"/>
          <w:b/>
          <w:bCs/>
          <w:iCs/>
          <w:szCs w:val="24"/>
          <w:lang w:eastAsia="ko-KR"/>
        </w:rPr>
        <w:t>5</w:t>
      </w:r>
      <w:r w:rsidRPr="00581B90">
        <w:rPr>
          <w:rFonts w:asciiTheme="minorHAnsi" w:eastAsia="MS Mincho" w:hAnsiTheme="minorHAnsi" w:cstheme="minorHAnsi"/>
          <w:b/>
          <w:bCs/>
          <w:iCs/>
          <w:szCs w:val="24"/>
          <w:lang w:eastAsia="zh-CN"/>
        </w:rPr>
        <w:tab/>
        <w:t>Approval of deliverables</w:t>
      </w:r>
    </w:p>
    <w:p w14:paraId="6240C9C0"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ja-JP"/>
        </w:rPr>
        <w:t xml:space="preserve">Approval shall be obtained by consensus according to </w:t>
      </w:r>
      <w:r w:rsidRPr="00581B90">
        <w:rPr>
          <w:rFonts w:asciiTheme="minorHAnsi" w:eastAsia="DengXian" w:hAnsiTheme="minorHAnsi" w:cstheme="minorHAnsi"/>
          <w:szCs w:val="24"/>
          <w:lang w:eastAsia="zh-CN"/>
        </w:rPr>
        <w:t>clause 8.2 of Recommendation ITU-T A.7.</w:t>
      </w:r>
    </w:p>
    <w:p w14:paraId="6A88B06D" w14:textId="77777777" w:rsidR="00452EC0" w:rsidRPr="00581B90" w:rsidRDefault="00452EC0" w:rsidP="00452EC0">
      <w:pPr>
        <w:keepNext/>
        <w:numPr>
          <w:ilvl w:val="1"/>
          <w:numId w:val="0"/>
        </w:numPr>
        <w:tabs>
          <w:tab w:val="clear" w:pos="794"/>
          <w:tab w:val="clear" w:pos="1191"/>
          <w:tab w:val="clear" w:pos="1588"/>
          <w:tab w:val="clear" w:pos="1985"/>
          <w:tab w:val="left" w:pos="576"/>
        </w:tabs>
        <w:overflowPunct/>
        <w:autoSpaceDE/>
        <w:autoSpaceDN/>
        <w:adjustRightInd/>
        <w:spacing w:before="240" w:after="60"/>
        <w:ind w:left="576" w:hanging="576"/>
        <w:textAlignment w:val="auto"/>
        <w:outlineLvl w:val="1"/>
        <w:rPr>
          <w:rFonts w:asciiTheme="minorHAnsi" w:eastAsia="MS Mincho" w:hAnsiTheme="minorHAnsi" w:cstheme="minorHAnsi"/>
          <w:b/>
          <w:bCs/>
          <w:iCs/>
          <w:szCs w:val="24"/>
          <w:lang w:eastAsia="zh-CN"/>
        </w:rPr>
      </w:pPr>
      <w:r w:rsidRPr="00581B90">
        <w:rPr>
          <w:rFonts w:asciiTheme="minorHAnsi" w:eastAsia="MS Mincho" w:hAnsiTheme="minorHAnsi" w:cstheme="minorHAnsi"/>
          <w:b/>
          <w:bCs/>
          <w:iCs/>
          <w:szCs w:val="24"/>
          <w:lang w:eastAsia="zh-CN"/>
        </w:rPr>
        <w:t>1</w:t>
      </w:r>
      <w:r w:rsidRPr="00581B90">
        <w:rPr>
          <w:rFonts w:asciiTheme="minorHAnsi" w:eastAsia="Malgun Gothic" w:hAnsiTheme="minorHAnsi" w:cstheme="minorHAnsi"/>
          <w:b/>
          <w:bCs/>
          <w:iCs/>
          <w:szCs w:val="24"/>
          <w:lang w:eastAsia="ko-KR"/>
        </w:rPr>
        <w:t>6</w:t>
      </w:r>
      <w:r w:rsidRPr="00581B90">
        <w:rPr>
          <w:rFonts w:asciiTheme="minorHAnsi" w:eastAsia="MS Mincho" w:hAnsiTheme="minorHAnsi" w:cstheme="minorHAnsi"/>
          <w:b/>
          <w:bCs/>
          <w:iCs/>
          <w:szCs w:val="24"/>
          <w:lang w:eastAsia="zh-CN"/>
        </w:rPr>
        <w:tab/>
        <w:t>Working guidelines</w:t>
      </w:r>
    </w:p>
    <w:p w14:paraId="18E53219"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Working procedures shall follow the procedures of Rapporteur meetings (ITU-T A.1). No additional working guidelines are defined.</w:t>
      </w:r>
    </w:p>
    <w:p w14:paraId="2BBF9D29" w14:textId="77777777" w:rsidR="00452EC0" w:rsidRPr="00581B90" w:rsidRDefault="00452EC0" w:rsidP="00452EC0">
      <w:pPr>
        <w:keepNext/>
        <w:numPr>
          <w:ilvl w:val="1"/>
          <w:numId w:val="0"/>
        </w:numPr>
        <w:tabs>
          <w:tab w:val="clear" w:pos="794"/>
          <w:tab w:val="clear" w:pos="1191"/>
          <w:tab w:val="clear" w:pos="1588"/>
          <w:tab w:val="clear" w:pos="1985"/>
          <w:tab w:val="left" w:pos="576"/>
        </w:tabs>
        <w:overflowPunct/>
        <w:autoSpaceDE/>
        <w:autoSpaceDN/>
        <w:adjustRightInd/>
        <w:spacing w:before="240" w:after="60"/>
        <w:ind w:left="576" w:hanging="576"/>
        <w:textAlignment w:val="auto"/>
        <w:outlineLvl w:val="1"/>
        <w:rPr>
          <w:rFonts w:asciiTheme="minorHAnsi" w:eastAsia="MS Mincho" w:hAnsiTheme="minorHAnsi" w:cstheme="minorHAnsi"/>
          <w:b/>
          <w:bCs/>
          <w:iCs/>
          <w:szCs w:val="24"/>
          <w:lang w:eastAsia="zh-CN"/>
        </w:rPr>
      </w:pPr>
      <w:r w:rsidRPr="00581B90">
        <w:rPr>
          <w:rFonts w:asciiTheme="minorHAnsi" w:eastAsia="MS Mincho" w:hAnsiTheme="minorHAnsi" w:cstheme="minorHAnsi"/>
          <w:b/>
          <w:bCs/>
          <w:iCs/>
          <w:szCs w:val="24"/>
          <w:lang w:eastAsia="zh-CN"/>
        </w:rPr>
        <w:t>1</w:t>
      </w:r>
      <w:r w:rsidRPr="00581B90">
        <w:rPr>
          <w:rFonts w:asciiTheme="minorHAnsi" w:eastAsia="Malgun Gothic" w:hAnsiTheme="minorHAnsi" w:cstheme="minorHAnsi"/>
          <w:b/>
          <w:bCs/>
          <w:iCs/>
          <w:szCs w:val="24"/>
          <w:lang w:eastAsia="ko-KR"/>
        </w:rPr>
        <w:t>7</w:t>
      </w:r>
      <w:r w:rsidRPr="00581B90">
        <w:rPr>
          <w:rFonts w:asciiTheme="minorHAnsi" w:eastAsia="MS Mincho" w:hAnsiTheme="minorHAnsi" w:cstheme="minorHAnsi"/>
          <w:b/>
          <w:bCs/>
          <w:iCs/>
          <w:szCs w:val="24"/>
          <w:lang w:eastAsia="zh-CN"/>
        </w:rPr>
        <w:tab/>
        <w:t>Progress reports</w:t>
      </w:r>
    </w:p>
    <w:p w14:paraId="70FCEA95"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See clause 3.6 of Recommendation ITU-T A.7.</w:t>
      </w:r>
    </w:p>
    <w:p w14:paraId="31C05B47" w14:textId="77777777" w:rsidR="00452EC0" w:rsidRPr="00581B90" w:rsidRDefault="00452EC0" w:rsidP="00452EC0">
      <w:pPr>
        <w:keepNext/>
        <w:numPr>
          <w:ilvl w:val="1"/>
          <w:numId w:val="0"/>
        </w:numPr>
        <w:tabs>
          <w:tab w:val="clear" w:pos="794"/>
          <w:tab w:val="clear" w:pos="1191"/>
          <w:tab w:val="clear" w:pos="1588"/>
          <w:tab w:val="clear" w:pos="1985"/>
          <w:tab w:val="left" w:pos="576"/>
        </w:tabs>
        <w:overflowPunct/>
        <w:autoSpaceDE/>
        <w:autoSpaceDN/>
        <w:adjustRightInd/>
        <w:spacing w:before="240" w:after="60"/>
        <w:ind w:left="576" w:hanging="576"/>
        <w:textAlignment w:val="auto"/>
        <w:outlineLvl w:val="1"/>
        <w:rPr>
          <w:rFonts w:asciiTheme="minorHAnsi" w:eastAsia="MS Mincho" w:hAnsiTheme="minorHAnsi" w:cstheme="minorHAnsi"/>
          <w:b/>
          <w:bCs/>
          <w:iCs/>
          <w:szCs w:val="24"/>
          <w:lang w:eastAsia="zh-CN"/>
        </w:rPr>
      </w:pPr>
      <w:r w:rsidRPr="00581B90">
        <w:rPr>
          <w:rFonts w:asciiTheme="minorHAnsi" w:eastAsia="MS Mincho" w:hAnsiTheme="minorHAnsi" w:cstheme="minorHAnsi"/>
          <w:b/>
          <w:bCs/>
          <w:iCs/>
          <w:szCs w:val="24"/>
          <w:lang w:eastAsia="zh-CN"/>
        </w:rPr>
        <w:t>1</w:t>
      </w:r>
      <w:r w:rsidRPr="00581B90">
        <w:rPr>
          <w:rFonts w:asciiTheme="minorHAnsi" w:eastAsia="Malgun Gothic" w:hAnsiTheme="minorHAnsi" w:cstheme="minorHAnsi"/>
          <w:b/>
          <w:bCs/>
          <w:iCs/>
          <w:szCs w:val="24"/>
          <w:lang w:eastAsia="ko-KR"/>
        </w:rPr>
        <w:t>8</w:t>
      </w:r>
      <w:r w:rsidRPr="00581B90">
        <w:rPr>
          <w:rFonts w:asciiTheme="minorHAnsi" w:eastAsia="MS Mincho" w:hAnsiTheme="minorHAnsi" w:cstheme="minorHAnsi"/>
          <w:b/>
          <w:bCs/>
          <w:iCs/>
          <w:szCs w:val="24"/>
          <w:lang w:eastAsia="zh-CN"/>
        </w:rPr>
        <w:tab/>
        <w:t>Announcement of Focus Group formation</w:t>
      </w:r>
    </w:p>
    <w:p w14:paraId="3B7A8417"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The formation of the Focus Group will be announced via TSB Circular to all ITU membership, via the ITU-T news log, press releases and other means, including communication with the other involved organizations.</w:t>
      </w:r>
    </w:p>
    <w:p w14:paraId="662A4344" w14:textId="77777777" w:rsidR="00452EC0" w:rsidRPr="00581B90" w:rsidRDefault="00452EC0" w:rsidP="00452EC0">
      <w:pPr>
        <w:keepNext/>
        <w:numPr>
          <w:ilvl w:val="1"/>
          <w:numId w:val="0"/>
        </w:numPr>
        <w:tabs>
          <w:tab w:val="clear" w:pos="794"/>
          <w:tab w:val="clear" w:pos="1191"/>
          <w:tab w:val="clear" w:pos="1588"/>
          <w:tab w:val="clear" w:pos="1985"/>
          <w:tab w:val="left" w:pos="576"/>
        </w:tabs>
        <w:overflowPunct/>
        <w:autoSpaceDE/>
        <w:autoSpaceDN/>
        <w:adjustRightInd/>
        <w:spacing w:before="240" w:after="60"/>
        <w:ind w:left="576" w:hanging="576"/>
        <w:textAlignment w:val="auto"/>
        <w:outlineLvl w:val="1"/>
        <w:rPr>
          <w:rFonts w:asciiTheme="minorHAnsi" w:eastAsia="MS Mincho" w:hAnsiTheme="minorHAnsi" w:cstheme="minorHAnsi"/>
          <w:b/>
          <w:bCs/>
          <w:iCs/>
          <w:szCs w:val="24"/>
          <w:lang w:eastAsia="zh-CN"/>
        </w:rPr>
      </w:pPr>
      <w:r w:rsidRPr="00581B90">
        <w:rPr>
          <w:rFonts w:asciiTheme="minorHAnsi" w:eastAsia="MS Mincho" w:hAnsiTheme="minorHAnsi" w:cstheme="minorHAnsi"/>
          <w:b/>
          <w:bCs/>
          <w:iCs/>
          <w:szCs w:val="24"/>
          <w:lang w:eastAsia="zh-CN"/>
        </w:rPr>
        <w:t>1</w:t>
      </w:r>
      <w:r w:rsidRPr="00581B90">
        <w:rPr>
          <w:rFonts w:asciiTheme="minorHAnsi" w:eastAsia="Malgun Gothic" w:hAnsiTheme="minorHAnsi" w:cstheme="minorHAnsi"/>
          <w:b/>
          <w:bCs/>
          <w:iCs/>
          <w:szCs w:val="24"/>
          <w:lang w:eastAsia="ko-KR"/>
        </w:rPr>
        <w:t>9</w:t>
      </w:r>
      <w:r w:rsidRPr="00581B90">
        <w:rPr>
          <w:rFonts w:asciiTheme="minorHAnsi" w:eastAsia="MS Mincho" w:hAnsiTheme="minorHAnsi" w:cstheme="minorHAnsi"/>
          <w:b/>
          <w:bCs/>
          <w:iCs/>
          <w:szCs w:val="24"/>
          <w:lang w:eastAsia="zh-CN"/>
        </w:rPr>
        <w:tab/>
        <w:t>Milestones and duration of the Focus Group</w:t>
      </w:r>
    </w:p>
    <w:p w14:paraId="7E636A88"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The Focus Group lifetime is set for one year from the first meeting with possibility of extension.</w:t>
      </w:r>
    </w:p>
    <w:p w14:paraId="46FAD3A6"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Any extension beyond the above-mentioned date is subject to the decision by ITU-T SG20, in line with ITU-T A.7.</w:t>
      </w:r>
    </w:p>
    <w:p w14:paraId="1F96650B" w14:textId="77777777" w:rsidR="00452EC0" w:rsidRPr="00581B90" w:rsidRDefault="00452EC0" w:rsidP="00452EC0">
      <w:pPr>
        <w:keepNext/>
        <w:numPr>
          <w:ilvl w:val="1"/>
          <w:numId w:val="0"/>
        </w:numPr>
        <w:tabs>
          <w:tab w:val="clear" w:pos="794"/>
          <w:tab w:val="clear" w:pos="1191"/>
          <w:tab w:val="clear" w:pos="1588"/>
          <w:tab w:val="clear" w:pos="1985"/>
          <w:tab w:val="left" w:pos="576"/>
        </w:tabs>
        <w:overflowPunct/>
        <w:autoSpaceDE/>
        <w:autoSpaceDN/>
        <w:adjustRightInd/>
        <w:spacing w:before="240" w:after="60"/>
        <w:ind w:left="576" w:hanging="576"/>
        <w:textAlignment w:val="auto"/>
        <w:outlineLvl w:val="1"/>
        <w:rPr>
          <w:rFonts w:asciiTheme="minorHAnsi" w:eastAsia="MS Mincho" w:hAnsiTheme="minorHAnsi" w:cstheme="minorHAnsi"/>
          <w:b/>
          <w:bCs/>
          <w:iCs/>
          <w:szCs w:val="24"/>
          <w:lang w:eastAsia="ja-JP"/>
        </w:rPr>
      </w:pPr>
      <w:r w:rsidRPr="00581B90">
        <w:rPr>
          <w:rFonts w:asciiTheme="minorHAnsi" w:eastAsia="Malgun Gothic" w:hAnsiTheme="minorHAnsi" w:cstheme="minorHAnsi"/>
          <w:b/>
          <w:bCs/>
          <w:iCs/>
          <w:szCs w:val="24"/>
          <w:lang w:eastAsia="ko-KR"/>
        </w:rPr>
        <w:t>20</w:t>
      </w:r>
      <w:r w:rsidRPr="00581B90">
        <w:rPr>
          <w:rFonts w:asciiTheme="minorHAnsi" w:eastAsia="MS Mincho" w:hAnsiTheme="minorHAnsi" w:cstheme="minorHAnsi"/>
          <w:b/>
          <w:bCs/>
          <w:iCs/>
          <w:szCs w:val="24"/>
          <w:lang w:eastAsia="ja-JP"/>
        </w:rPr>
        <w:tab/>
        <w:t>Intellectual Property Rights</w:t>
      </w:r>
    </w:p>
    <w:p w14:paraId="67AF1363" w14:textId="77777777" w:rsidR="00452EC0" w:rsidRPr="00581B90"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r w:rsidRPr="00581B90">
        <w:rPr>
          <w:rFonts w:asciiTheme="minorHAnsi" w:eastAsia="DengXian" w:hAnsiTheme="minorHAnsi" w:cstheme="minorHAnsi"/>
          <w:szCs w:val="24"/>
          <w:lang w:eastAsia="zh-CN"/>
        </w:rPr>
        <w:t>See clause 7 of Recommendation ITU-T A.7.</w:t>
      </w:r>
    </w:p>
    <w:p w14:paraId="4287A63D" w14:textId="77777777" w:rsidR="00452EC0" w:rsidRPr="00581B90" w:rsidRDefault="00452EC0" w:rsidP="00452EC0">
      <w:pPr>
        <w:tabs>
          <w:tab w:val="clear" w:pos="794"/>
          <w:tab w:val="clear" w:pos="1191"/>
          <w:tab w:val="clear" w:pos="1588"/>
          <w:tab w:val="clear" w:pos="1985"/>
        </w:tabs>
        <w:overflowPunct/>
        <w:autoSpaceDE/>
        <w:autoSpaceDN/>
        <w:adjustRightInd/>
        <w:spacing w:before="0"/>
        <w:jc w:val="center"/>
        <w:textAlignment w:val="auto"/>
        <w:rPr>
          <w:rFonts w:asciiTheme="minorHAnsi" w:eastAsia="DengXian" w:hAnsiTheme="minorHAnsi" w:cstheme="minorHAnsi"/>
          <w:szCs w:val="24"/>
          <w:lang w:eastAsia="ko-KR"/>
        </w:rPr>
      </w:pPr>
      <w:r w:rsidRPr="00581B90">
        <w:rPr>
          <w:rFonts w:asciiTheme="minorHAnsi" w:eastAsia="DengXian" w:hAnsiTheme="minorHAnsi" w:cstheme="minorHAnsi"/>
          <w:szCs w:val="24"/>
          <w:lang w:eastAsia="ko-KR"/>
        </w:rPr>
        <w:t>______________</w:t>
      </w:r>
    </w:p>
    <w:p w14:paraId="690153DD" w14:textId="77777777" w:rsidR="00452EC0" w:rsidRPr="00581B90" w:rsidRDefault="00452EC0" w:rsidP="00581B90">
      <w:pPr>
        <w:rPr>
          <w:lang w:eastAsia="zh-CN"/>
        </w:rPr>
      </w:pPr>
    </w:p>
    <w:sectPr w:rsidR="00452EC0" w:rsidRPr="00581B90" w:rsidSect="00C24502">
      <w:headerReference w:type="default" r:id="rId22"/>
      <w:footerReference w:type="first" r:id="rId23"/>
      <w:type w:val="oddPage"/>
      <w:pgSz w:w="11907" w:h="16834" w:code="9"/>
      <w:pgMar w:top="567" w:right="1089"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C754" w14:textId="77777777" w:rsidR="003F1CAE" w:rsidRDefault="003F1CAE">
      <w:r>
        <w:separator/>
      </w:r>
    </w:p>
  </w:endnote>
  <w:endnote w:type="continuationSeparator" w:id="0">
    <w:p w14:paraId="5E90213B" w14:textId="77777777" w:rsidR="003F1CAE" w:rsidRDefault="003F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E6B7" w14:textId="77777777" w:rsidR="003F1CAE" w:rsidRDefault="003F1CAE">
      <w:r>
        <w:t>____________________</w:t>
      </w:r>
    </w:p>
  </w:footnote>
  <w:footnote w:type="continuationSeparator" w:id="0">
    <w:p w14:paraId="3BAFB27E" w14:textId="77777777" w:rsidR="003F1CAE" w:rsidRDefault="003F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708E4A23" w:rsidR="00114254" w:rsidRDefault="00114254" w:rsidP="008D5054">
    <w:pPr>
      <w:pStyle w:val="Header"/>
      <w:spacing w:after="240"/>
      <w:rPr>
        <w:noProof/>
      </w:rPr>
    </w:pPr>
    <w:r>
      <w:t xml:space="preserve">- </w:t>
    </w:r>
    <w:r>
      <w:fldChar w:fldCharType="begin"/>
    </w:r>
    <w:r>
      <w:instrText xml:space="preserve"> PAGE   \* MERGEFORMAT </w:instrText>
    </w:r>
    <w:r>
      <w:fldChar w:fldCharType="separate"/>
    </w:r>
    <w:r w:rsidR="00FC5C1C">
      <w:rPr>
        <w:noProof/>
      </w:rPr>
      <w:t>2</w:t>
    </w:r>
    <w:r>
      <w:rPr>
        <w:noProof/>
      </w:rPr>
      <w:fldChar w:fldCharType="end"/>
    </w:r>
    <w:r>
      <w:rPr>
        <w:noProof/>
      </w:rPr>
      <w:t xml:space="preserve"> -</w:t>
    </w:r>
    <w:r>
      <w:rPr>
        <w:noProof/>
      </w:rPr>
      <w:br/>
    </w:r>
    <w:r w:rsidR="00704DAF">
      <w:rPr>
        <w:noProof/>
      </w:rPr>
      <w:fldChar w:fldCharType="begin"/>
    </w:r>
    <w:r w:rsidR="00704DAF">
      <w:rPr>
        <w:noProof/>
      </w:rPr>
      <w:instrText xml:space="preserve"> styleref CircularNo </w:instrText>
    </w:r>
    <w:r w:rsidR="00704DAF">
      <w:rPr>
        <w:noProof/>
      </w:rPr>
      <w:fldChar w:fldCharType="separate"/>
    </w:r>
    <w:r w:rsidR="00C25C50">
      <w:rPr>
        <w:noProof/>
      </w:rPr>
      <w:t>TSB Circular 147</w:t>
    </w:r>
    <w:r w:rsidR="00704DA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A2A34"/>
    <w:multiLevelType w:val="hybridMultilevel"/>
    <w:tmpl w:val="3FAE56B6"/>
    <w:lvl w:ilvl="0" w:tplc="7D4A09A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38699D"/>
    <w:multiLevelType w:val="hybridMultilevel"/>
    <w:tmpl w:val="FF20F686"/>
    <w:lvl w:ilvl="0" w:tplc="EBAE24A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F04235"/>
    <w:multiLevelType w:val="hybridMultilevel"/>
    <w:tmpl w:val="3F864442"/>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94204"/>
    <w:multiLevelType w:val="hybridMultilevel"/>
    <w:tmpl w:val="05365D78"/>
    <w:lvl w:ilvl="0" w:tplc="08090005">
      <w:start w:val="1"/>
      <w:numFmt w:val="bullet"/>
      <w:lvlText w:val=""/>
      <w:lvlJc w:val="left"/>
      <w:pPr>
        <w:ind w:left="1155" w:hanging="79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3181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C35D22"/>
    <w:multiLevelType w:val="hybridMultilevel"/>
    <w:tmpl w:val="6908CCA0"/>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95F13"/>
    <w:multiLevelType w:val="hybridMultilevel"/>
    <w:tmpl w:val="28E89BF8"/>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87D51"/>
    <w:multiLevelType w:val="hybridMultilevel"/>
    <w:tmpl w:val="CB1471EC"/>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E4D7B"/>
    <w:multiLevelType w:val="hybridMultilevel"/>
    <w:tmpl w:val="6B4CC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235F14"/>
    <w:multiLevelType w:val="hybridMultilevel"/>
    <w:tmpl w:val="C4B4E4D0"/>
    <w:lvl w:ilvl="0" w:tplc="C3088982">
      <w:numFmt w:val="bullet"/>
      <w:lvlText w:val="–"/>
      <w:lvlJc w:val="left"/>
      <w:pPr>
        <w:ind w:left="1155" w:hanging="79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6687A"/>
    <w:multiLevelType w:val="hybridMultilevel"/>
    <w:tmpl w:val="DE5C149E"/>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8377D3"/>
    <w:multiLevelType w:val="hybridMultilevel"/>
    <w:tmpl w:val="39143DCC"/>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41561"/>
    <w:multiLevelType w:val="hybridMultilevel"/>
    <w:tmpl w:val="D240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ED66A9"/>
    <w:multiLevelType w:val="hybridMultilevel"/>
    <w:tmpl w:val="4B0A3FA6"/>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F0075"/>
    <w:multiLevelType w:val="hybridMultilevel"/>
    <w:tmpl w:val="7BDC3324"/>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90224">
    <w:abstractNumId w:val="9"/>
  </w:num>
  <w:num w:numId="2" w16cid:durableId="1583416746">
    <w:abstractNumId w:val="7"/>
  </w:num>
  <w:num w:numId="3" w16cid:durableId="2021155601">
    <w:abstractNumId w:val="6"/>
  </w:num>
  <w:num w:numId="4" w16cid:durableId="73170365">
    <w:abstractNumId w:val="5"/>
  </w:num>
  <w:num w:numId="5" w16cid:durableId="764152136">
    <w:abstractNumId w:val="4"/>
  </w:num>
  <w:num w:numId="6" w16cid:durableId="897284385">
    <w:abstractNumId w:val="8"/>
  </w:num>
  <w:num w:numId="7" w16cid:durableId="716899370">
    <w:abstractNumId w:val="3"/>
  </w:num>
  <w:num w:numId="8" w16cid:durableId="373045669">
    <w:abstractNumId w:val="2"/>
  </w:num>
  <w:num w:numId="9" w16cid:durableId="2016107181">
    <w:abstractNumId w:val="1"/>
  </w:num>
  <w:num w:numId="10" w16cid:durableId="1615821364">
    <w:abstractNumId w:val="0"/>
  </w:num>
  <w:num w:numId="11" w16cid:durableId="24792855">
    <w:abstractNumId w:val="16"/>
  </w:num>
  <w:num w:numId="12" w16cid:durableId="1229920914">
    <w:abstractNumId w:val="38"/>
  </w:num>
  <w:num w:numId="13" w16cid:durableId="911164175">
    <w:abstractNumId w:val="34"/>
  </w:num>
  <w:num w:numId="14" w16cid:durableId="938639230">
    <w:abstractNumId w:val="18"/>
  </w:num>
  <w:num w:numId="15" w16cid:durableId="1320305922">
    <w:abstractNumId w:val="12"/>
  </w:num>
  <w:num w:numId="16" w16cid:durableId="557477774">
    <w:abstractNumId w:val="15"/>
  </w:num>
  <w:num w:numId="17" w16cid:durableId="1647322298">
    <w:abstractNumId w:val="25"/>
  </w:num>
  <w:num w:numId="18" w16cid:durableId="1769229339">
    <w:abstractNumId w:val="36"/>
  </w:num>
  <w:num w:numId="19" w16cid:durableId="364453697">
    <w:abstractNumId w:val="35"/>
  </w:num>
  <w:num w:numId="20" w16cid:durableId="201094465">
    <w:abstractNumId w:val="24"/>
  </w:num>
  <w:num w:numId="21" w16cid:durableId="1660573812">
    <w:abstractNumId w:val="33"/>
  </w:num>
  <w:num w:numId="22" w16cid:durableId="105663965">
    <w:abstractNumId w:val="26"/>
  </w:num>
  <w:num w:numId="23" w16cid:durableId="251479151">
    <w:abstractNumId w:val="28"/>
  </w:num>
  <w:num w:numId="24" w16cid:durableId="1621915932">
    <w:abstractNumId w:val="20"/>
  </w:num>
  <w:num w:numId="25" w16cid:durableId="923610459">
    <w:abstractNumId w:val="31"/>
  </w:num>
  <w:num w:numId="26" w16cid:durableId="98255084">
    <w:abstractNumId w:val="11"/>
  </w:num>
  <w:num w:numId="27" w16cid:durableId="1728841027">
    <w:abstractNumId w:val="21"/>
  </w:num>
  <w:num w:numId="28" w16cid:durableId="2057243541">
    <w:abstractNumId w:val="37"/>
  </w:num>
  <w:num w:numId="29" w16cid:durableId="2073887254">
    <w:abstractNumId w:val="32"/>
  </w:num>
  <w:num w:numId="30" w16cid:durableId="845897454">
    <w:abstractNumId w:val="27"/>
  </w:num>
  <w:num w:numId="31" w16cid:durableId="251938965">
    <w:abstractNumId w:val="14"/>
  </w:num>
  <w:num w:numId="32" w16cid:durableId="167982007">
    <w:abstractNumId w:val="23"/>
  </w:num>
  <w:num w:numId="33" w16cid:durableId="1511333570">
    <w:abstractNumId w:val="17"/>
  </w:num>
  <w:num w:numId="34" w16cid:durableId="835804561">
    <w:abstractNumId w:val="29"/>
  </w:num>
  <w:num w:numId="35" w16cid:durableId="119030469">
    <w:abstractNumId w:val="22"/>
  </w:num>
  <w:num w:numId="36" w16cid:durableId="1655601855">
    <w:abstractNumId w:val="10"/>
  </w:num>
  <w:num w:numId="37" w16cid:durableId="1090812189">
    <w:abstractNumId w:val="13"/>
  </w:num>
  <w:num w:numId="38" w16cid:durableId="2060477074">
    <w:abstractNumId w:val="19"/>
  </w:num>
  <w:num w:numId="39" w16cid:durableId="1148745958">
    <w:abstractNumId w:val="30"/>
  </w:num>
  <w:num w:numId="40" w16cid:durableId="7680850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DYyNDU3NzQ0tLRQ0lEKTi0uzszPAykwNKkFAMf3iactAAAA"/>
  </w:docVars>
  <w:rsids>
    <w:rsidRoot w:val="00C24502"/>
    <w:rsid w:val="00006F35"/>
    <w:rsid w:val="000103F7"/>
    <w:rsid w:val="000119CA"/>
    <w:rsid w:val="00014BB5"/>
    <w:rsid w:val="0001529B"/>
    <w:rsid w:val="00016F53"/>
    <w:rsid w:val="0002053F"/>
    <w:rsid w:val="00022E6B"/>
    <w:rsid w:val="000253A8"/>
    <w:rsid w:val="0003277E"/>
    <w:rsid w:val="00033AB7"/>
    <w:rsid w:val="00034F15"/>
    <w:rsid w:val="00036544"/>
    <w:rsid w:val="00040E81"/>
    <w:rsid w:val="00041E5C"/>
    <w:rsid w:val="00042695"/>
    <w:rsid w:val="000434A8"/>
    <w:rsid w:val="00043834"/>
    <w:rsid w:val="00046C5A"/>
    <w:rsid w:val="0005166C"/>
    <w:rsid w:val="000548D0"/>
    <w:rsid w:val="00060DA5"/>
    <w:rsid w:val="00060DC4"/>
    <w:rsid w:val="00064731"/>
    <w:rsid w:val="000652EB"/>
    <w:rsid w:val="00074B3E"/>
    <w:rsid w:val="00077472"/>
    <w:rsid w:val="0008278C"/>
    <w:rsid w:val="0008405D"/>
    <w:rsid w:val="00090701"/>
    <w:rsid w:val="000938C5"/>
    <w:rsid w:val="000939D4"/>
    <w:rsid w:val="0009680B"/>
    <w:rsid w:val="000A04D9"/>
    <w:rsid w:val="000A067F"/>
    <w:rsid w:val="000A0F2B"/>
    <w:rsid w:val="000A12D5"/>
    <w:rsid w:val="000A2136"/>
    <w:rsid w:val="000A526A"/>
    <w:rsid w:val="000B15C8"/>
    <w:rsid w:val="000B1DD6"/>
    <w:rsid w:val="000B2E87"/>
    <w:rsid w:val="000B5543"/>
    <w:rsid w:val="000C3274"/>
    <w:rsid w:val="000C5921"/>
    <w:rsid w:val="000D14FF"/>
    <w:rsid w:val="000D469B"/>
    <w:rsid w:val="000D6626"/>
    <w:rsid w:val="000D7910"/>
    <w:rsid w:val="000D7D44"/>
    <w:rsid w:val="000E52FA"/>
    <w:rsid w:val="000E69D3"/>
    <w:rsid w:val="000F0641"/>
    <w:rsid w:val="000F32BE"/>
    <w:rsid w:val="000F66DE"/>
    <w:rsid w:val="001018B0"/>
    <w:rsid w:val="001018E1"/>
    <w:rsid w:val="001055EC"/>
    <w:rsid w:val="00106652"/>
    <w:rsid w:val="00110B55"/>
    <w:rsid w:val="00111579"/>
    <w:rsid w:val="00112F37"/>
    <w:rsid w:val="001137E2"/>
    <w:rsid w:val="00114254"/>
    <w:rsid w:val="00117C01"/>
    <w:rsid w:val="0012363E"/>
    <w:rsid w:val="0012746A"/>
    <w:rsid w:val="001314E9"/>
    <w:rsid w:val="00132509"/>
    <w:rsid w:val="00132E38"/>
    <w:rsid w:val="001331F0"/>
    <w:rsid w:val="00140DAD"/>
    <w:rsid w:val="00142F9D"/>
    <w:rsid w:val="00151F8F"/>
    <w:rsid w:val="001525CF"/>
    <w:rsid w:val="00160D56"/>
    <w:rsid w:val="00163A28"/>
    <w:rsid w:val="001650FB"/>
    <w:rsid w:val="00165ECA"/>
    <w:rsid w:val="0016785B"/>
    <w:rsid w:val="00174260"/>
    <w:rsid w:val="00176B2C"/>
    <w:rsid w:val="00180A0E"/>
    <w:rsid w:val="0018348D"/>
    <w:rsid w:val="00194B71"/>
    <w:rsid w:val="00197CB5"/>
    <w:rsid w:val="001A34EC"/>
    <w:rsid w:val="001A695F"/>
    <w:rsid w:val="001B4871"/>
    <w:rsid w:val="001B568B"/>
    <w:rsid w:val="001B5CD2"/>
    <w:rsid w:val="001B6878"/>
    <w:rsid w:val="001B6FD8"/>
    <w:rsid w:val="001C04B9"/>
    <w:rsid w:val="001C2831"/>
    <w:rsid w:val="001C7C93"/>
    <w:rsid w:val="001D0769"/>
    <w:rsid w:val="001D0944"/>
    <w:rsid w:val="001D101A"/>
    <w:rsid w:val="001D212C"/>
    <w:rsid w:val="001D47B0"/>
    <w:rsid w:val="001D516F"/>
    <w:rsid w:val="001D524E"/>
    <w:rsid w:val="001E0A16"/>
    <w:rsid w:val="001E224F"/>
    <w:rsid w:val="001E37D9"/>
    <w:rsid w:val="001E692B"/>
    <w:rsid w:val="001F612E"/>
    <w:rsid w:val="001F6BF6"/>
    <w:rsid w:val="00205749"/>
    <w:rsid w:val="00212790"/>
    <w:rsid w:val="00212B83"/>
    <w:rsid w:val="00215C27"/>
    <w:rsid w:val="002164A6"/>
    <w:rsid w:val="00216DB0"/>
    <w:rsid w:val="00230030"/>
    <w:rsid w:val="00233849"/>
    <w:rsid w:val="00241455"/>
    <w:rsid w:val="00243CFE"/>
    <w:rsid w:val="00246954"/>
    <w:rsid w:val="00252B86"/>
    <w:rsid w:val="00254274"/>
    <w:rsid w:val="00254923"/>
    <w:rsid w:val="00256361"/>
    <w:rsid w:val="00261FC3"/>
    <w:rsid w:val="002705B4"/>
    <w:rsid w:val="00281DAD"/>
    <w:rsid w:val="00285E38"/>
    <w:rsid w:val="00287163"/>
    <w:rsid w:val="002931E2"/>
    <w:rsid w:val="002A2973"/>
    <w:rsid w:val="002B05E6"/>
    <w:rsid w:val="002B52D9"/>
    <w:rsid w:val="002B6CEA"/>
    <w:rsid w:val="002C3404"/>
    <w:rsid w:val="002C4CD5"/>
    <w:rsid w:val="002C578C"/>
    <w:rsid w:val="002E10DD"/>
    <w:rsid w:val="002E6544"/>
    <w:rsid w:val="002F3BE3"/>
    <w:rsid w:val="002F472C"/>
    <w:rsid w:val="002F7968"/>
    <w:rsid w:val="0030191A"/>
    <w:rsid w:val="003041C0"/>
    <w:rsid w:val="00315BC8"/>
    <w:rsid w:val="0031681F"/>
    <w:rsid w:val="00316EFA"/>
    <w:rsid w:val="00327E67"/>
    <w:rsid w:val="00333157"/>
    <w:rsid w:val="003339DB"/>
    <w:rsid w:val="00343697"/>
    <w:rsid w:val="003437E1"/>
    <w:rsid w:val="0034532C"/>
    <w:rsid w:val="00345F16"/>
    <w:rsid w:val="00346D0A"/>
    <w:rsid w:val="003500F6"/>
    <w:rsid w:val="00350C1F"/>
    <w:rsid w:val="003540D7"/>
    <w:rsid w:val="003554E3"/>
    <w:rsid w:val="00356B73"/>
    <w:rsid w:val="00360870"/>
    <w:rsid w:val="00361401"/>
    <w:rsid w:val="00365A74"/>
    <w:rsid w:val="00366E87"/>
    <w:rsid w:val="00367771"/>
    <w:rsid w:val="003677E6"/>
    <w:rsid w:val="00367F51"/>
    <w:rsid w:val="00370189"/>
    <w:rsid w:val="0037187F"/>
    <w:rsid w:val="00373A98"/>
    <w:rsid w:val="003746A5"/>
    <w:rsid w:val="00375AE6"/>
    <w:rsid w:val="00380340"/>
    <w:rsid w:val="00384F9D"/>
    <w:rsid w:val="00385396"/>
    <w:rsid w:val="00386837"/>
    <w:rsid w:val="003911C7"/>
    <w:rsid w:val="00395F32"/>
    <w:rsid w:val="003A277F"/>
    <w:rsid w:val="003A2A61"/>
    <w:rsid w:val="003A32E0"/>
    <w:rsid w:val="003A452A"/>
    <w:rsid w:val="003A4E2A"/>
    <w:rsid w:val="003B0EDF"/>
    <w:rsid w:val="003B3AC7"/>
    <w:rsid w:val="003C445D"/>
    <w:rsid w:val="003C79F3"/>
    <w:rsid w:val="003D4690"/>
    <w:rsid w:val="003D589A"/>
    <w:rsid w:val="003E05D1"/>
    <w:rsid w:val="003E0708"/>
    <w:rsid w:val="003F1CAE"/>
    <w:rsid w:val="003F5F55"/>
    <w:rsid w:val="003F7608"/>
    <w:rsid w:val="0040270C"/>
    <w:rsid w:val="00403B9F"/>
    <w:rsid w:val="00427371"/>
    <w:rsid w:val="004301BC"/>
    <w:rsid w:val="0043177D"/>
    <w:rsid w:val="00432A54"/>
    <w:rsid w:val="004330D3"/>
    <w:rsid w:val="004333D9"/>
    <w:rsid w:val="00433A8E"/>
    <w:rsid w:val="00440306"/>
    <w:rsid w:val="00441A73"/>
    <w:rsid w:val="004424D8"/>
    <w:rsid w:val="004426C0"/>
    <w:rsid w:val="00442B3F"/>
    <w:rsid w:val="00452EC0"/>
    <w:rsid w:val="00453CEA"/>
    <w:rsid w:val="00455B93"/>
    <w:rsid w:val="0046334C"/>
    <w:rsid w:val="00467944"/>
    <w:rsid w:val="00474B52"/>
    <w:rsid w:val="004778EE"/>
    <w:rsid w:val="004779E6"/>
    <w:rsid w:val="00481570"/>
    <w:rsid w:val="00482C4F"/>
    <w:rsid w:val="0048330F"/>
    <w:rsid w:val="004834BB"/>
    <w:rsid w:val="00483568"/>
    <w:rsid w:val="00487330"/>
    <w:rsid w:val="00493CB8"/>
    <w:rsid w:val="004A1DBF"/>
    <w:rsid w:val="004A52A9"/>
    <w:rsid w:val="004A63F0"/>
    <w:rsid w:val="004B1B26"/>
    <w:rsid w:val="004B2BD8"/>
    <w:rsid w:val="004B377E"/>
    <w:rsid w:val="004C004A"/>
    <w:rsid w:val="004C6429"/>
    <w:rsid w:val="004D0F94"/>
    <w:rsid w:val="004D1B7D"/>
    <w:rsid w:val="004D20F7"/>
    <w:rsid w:val="004D22D2"/>
    <w:rsid w:val="004D60F3"/>
    <w:rsid w:val="004D76D6"/>
    <w:rsid w:val="004E1447"/>
    <w:rsid w:val="004E65D4"/>
    <w:rsid w:val="004E7530"/>
    <w:rsid w:val="004F349F"/>
    <w:rsid w:val="0050096F"/>
    <w:rsid w:val="005013F3"/>
    <w:rsid w:val="00503ADB"/>
    <w:rsid w:val="005054E5"/>
    <w:rsid w:val="00514B65"/>
    <w:rsid w:val="00516174"/>
    <w:rsid w:val="00517828"/>
    <w:rsid w:val="005217C1"/>
    <w:rsid w:val="00523043"/>
    <w:rsid w:val="00525098"/>
    <w:rsid w:val="00532365"/>
    <w:rsid w:val="00532A00"/>
    <w:rsid w:val="005338E8"/>
    <w:rsid w:val="005342FA"/>
    <w:rsid w:val="00547D6A"/>
    <w:rsid w:val="00553BB1"/>
    <w:rsid w:val="00556F04"/>
    <w:rsid w:val="00560106"/>
    <w:rsid w:val="00560C97"/>
    <w:rsid w:val="00561EFB"/>
    <w:rsid w:val="00563DBB"/>
    <w:rsid w:val="0056750D"/>
    <w:rsid w:val="00581B90"/>
    <w:rsid w:val="00584E9D"/>
    <w:rsid w:val="00586185"/>
    <w:rsid w:val="00595912"/>
    <w:rsid w:val="005B04A3"/>
    <w:rsid w:val="005B0A85"/>
    <w:rsid w:val="005C05C7"/>
    <w:rsid w:val="005C066C"/>
    <w:rsid w:val="005C1ECF"/>
    <w:rsid w:val="005C3596"/>
    <w:rsid w:val="005D1908"/>
    <w:rsid w:val="005D3B65"/>
    <w:rsid w:val="005D7C28"/>
    <w:rsid w:val="005E003C"/>
    <w:rsid w:val="005E4DD1"/>
    <w:rsid w:val="005E7145"/>
    <w:rsid w:val="005F1983"/>
    <w:rsid w:val="005F3818"/>
    <w:rsid w:val="005F3C6C"/>
    <w:rsid w:val="00602FBB"/>
    <w:rsid w:val="0060352E"/>
    <w:rsid w:val="00604605"/>
    <w:rsid w:val="00604F26"/>
    <w:rsid w:val="00605F10"/>
    <w:rsid w:val="0061063A"/>
    <w:rsid w:val="00620E07"/>
    <w:rsid w:val="006219AE"/>
    <w:rsid w:val="006250F8"/>
    <w:rsid w:val="00625755"/>
    <w:rsid w:val="006335A4"/>
    <w:rsid w:val="00644E34"/>
    <w:rsid w:val="006456EA"/>
    <w:rsid w:val="0065423B"/>
    <w:rsid w:val="0065491B"/>
    <w:rsid w:val="006552A1"/>
    <w:rsid w:val="0068014A"/>
    <w:rsid w:val="00694E2D"/>
    <w:rsid w:val="0069509F"/>
    <w:rsid w:val="00696239"/>
    <w:rsid w:val="006A4BFC"/>
    <w:rsid w:val="006A6479"/>
    <w:rsid w:val="006B3FFA"/>
    <w:rsid w:val="006B74DE"/>
    <w:rsid w:val="006C09B9"/>
    <w:rsid w:val="006D0234"/>
    <w:rsid w:val="006D4A63"/>
    <w:rsid w:val="006E04C0"/>
    <w:rsid w:val="006E4B4C"/>
    <w:rsid w:val="006E4C7E"/>
    <w:rsid w:val="006E76CC"/>
    <w:rsid w:val="006F06D5"/>
    <w:rsid w:val="006F60FE"/>
    <w:rsid w:val="006F717F"/>
    <w:rsid w:val="0070332B"/>
    <w:rsid w:val="00704DAF"/>
    <w:rsid w:val="00705586"/>
    <w:rsid w:val="0071000B"/>
    <w:rsid w:val="00712E5C"/>
    <w:rsid w:val="00716601"/>
    <w:rsid w:val="00720390"/>
    <w:rsid w:val="007215A6"/>
    <w:rsid w:val="00721B92"/>
    <w:rsid w:val="007231B6"/>
    <w:rsid w:val="00726301"/>
    <w:rsid w:val="00730A58"/>
    <w:rsid w:val="007333E9"/>
    <w:rsid w:val="007348A5"/>
    <w:rsid w:val="00734CD8"/>
    <w:rsid w:val="00736713"/>
    <w:rsid w:val="0075708A"/>
    <w:rsid w:val="0076091D"/>
    <w:rsid w:val="007613A3"/>
    <w:rsid w:val="0076232C"/>
    <w:rsid w:val="00764B6B"/>
    <w:rsid w:val="00765C34"/>
    <w:rsid w:val="007671A3"/>
    <w:rsid w:val="00767A90"/>
    <w:rsid w:val="0077210B"/>
    <w:rsid w:val="00776448"/>
    <w:rsid w:val="00780D43"/>
    <w:rsid w:val="0078477D"/>
    <w:rsid w:val="00784823"/>
    <w:rsid w:val="0078517F"/>
    <w:rsid w:val="00785A00"/>
    <w:rsid w:val="00787B26"/>
    <w:rsid w:val="0079080D"/>
    <w:rsid w:val="00797425"/>
    <w:rsid w:val="0079763E"/>
    <w:rsid w:val="007A148E"/>
    <w:rsid w:val="007A42DD"/>
    <w:rsid w:val="007A630B"/>
    <w:rsid w:val="007A65E8"/>
    <w:rsid w:val="007B4E55"/>
    <w:rsid w:val="007C4686"/>
    <w:rsid w:val="007C4AFD"/>
    <w:rsid w:val="007C5667"/>
    <w:rsid w:val="007C6370"/>
    <w:rsid w:val="007D2694"/>
    <w:rsid w:val="007D39A4"/>
    <w:rsid w:val="007D3BED"/>
    <w:rsid w:val="007D3F9A"/>
    <w:rsid w:val="007E68C9"/>
    <w:rsid w:val="007F514E"/>
    <w:rsid w:val="007F648C"/>
    <w:rsid w:val="0080664A"/>
    <w:rsid w:val="00810263"/>
    <w:rsid w:val="00811B5A"/>
    <w:rsid w:val="0081294E"/>
    <w:rsid w:val="00814351"/>
    <w:rsid w:val="00814E37"/>
    <w:rsid w:val="0081587F"/>
    <w:rsid w:val="00820A77"/>
    <w:rsid w:val="00825E30"/>
    <w:rsid w:val="00831133"/>
    <w:rsid w:val="008326E9"/>
    <w:rsid w:val="0083545D"/>
    <w:rsid w:val="008413AB"/>
    <w:rsid w:val="00843033"/>
    <w:rsid w:val="0084321D"/>
    <w:rsid w:val="008545C9"/>
    <w:rsid w:val="00855083"/>
    <w:rsid w:val="008561CB"/>
    <w:rsid w:val="008570EC"/>
    <w:rsid w:val="0086237F"/>
    <w:rsid w:val="00862FAC"/>
    <w:rsid w:val="00863F6D"/>
    <w:rsid w:val="00872258"/>
    <w:rsid w:val="00872354"/>
    <w:rsid w:val="00874DEC"/>
    <w:rsid w:val="00874EEB"/>
    <w:rsid w:val="00880F4A"/>
    <w:rsid w:val="008834BC"/>
    <w:rsid w:val="00885266"/>
    <w:rsid w:val="00886660"/>
    <w:rsid w:val="00887E8B"/>
    <w:rsid w:val="0089469F"/>
    <w:rsid w:val="00897C26"/>
    <w:rsid w:val="00897C5C"/>
    <w:rsid w:val="008A0328"/>
    <w:rsid w:val="008A52F0"/>
    <w:rsid w:val="008B09C2"/>
    <w:rsid w:val="008B1D19"/>
    <w:rsid w:val="008B3981"/>
    <w:rsid w:val="008B6792"/>
    <w:rsid w:val="008C026D"/>
    <w:rsid w:val="008C03F5"/>
    <w:rsid w:val="008C4331"/>
    <w:rsid w:val="008C68AA"/>
    <w:rsid w:val="008D1B7A"/>
    <w:rsid w:val="008D2714"/>
    <w:rsid w:val="008D5054"/>
    <w:rsid w:val="008E2F95"/>
    <w:rsid w:val="008E70CB"/>
    <w:rsid w:val="008F665A"/>
    <w:rsid w:val="00902213"/>
    <w:rsid w:val="00903896"/>
    <w:rsid w:val="00913BE2"/>
    <w:rsid w:val="009146F7"/>
    <w:rsid w:val="009229C5"/>
    <w:rsid w:val="00927E01"/>
    <w:rsid w:val="00935B10"/>
    <w:rsid w:val="009368C4"/>
    <w:rsid w:val="0094351A"/>
    <w:rsid w:val="00944B51"/>
    <w:rsid w:val="0094780C"/>
    <w:rsid w:val="00952B09"/>
    <w:rsid w:val="00952CBB"/>
    <w:rsid w:val="0096179B"/>
    <w:rsid w:val="00963900"/>
    <w:rsid w:val="00966F0B"/>
    <w:rsid w:val="00967FAA"/>
    <w:rsid w:val="009747C5"/>
    <w:rsid w:val="009749CC"/>
    <w:rsid w:val="00974ED4"/>
    <w:rsid w:val="00977251"/>
    <w:rsid w:val="0097799E"/>
    <w:rsid w:val="0098055D"/>
    <w:rsid w:val="009820D9"/>
    <w:rsid w:val="00982B91"/>
    <w:rsid w:val="00987D66"/>
    <w:rsid w:val="00991FE8"/>
    <w:rsid w:val="00995DA9"/>
    <w:rsid w:val="009A0850"/>
    <w:rsid w:val="009A1C5C"/>
    <w:rsid w:val="009A4054"/>
    <w:rsid w:val="009A4989"/>
    <w:rsid w:val="009A6073"/>
    <w:rsid w:val="009B1923"/>
    <w:rsid w:val="009B2EB5"/>
    <w:rsid w:val="009B58FE"/>
    <w:rsid w:val="009B7639"/>
    <w:rsid w:val="009B7FC3"/>
    <w:rsid w:val="009C039A"/>
    <w:rsid w:val="009C6B49"/>
    <w:rsid w:val="009C7C45"/>
    <w:rsid w:val="009D3305"/>
    <w:rsid w:val="009D4A17"/>
    <w:rsid w:val="009F42C6"/>
    <w:rsid w:val="00A007AC"/>
    <w:rsid w:val="00A02C14"/>
    <w:rsid w:val="00A0519C"/>
    <w:rsid w:val="00A07BF4"/>
    <w:rsid w:val="00A12220"/>
    <w:rsid w:val="00A21BD6"/>
    <w:rsid w:val="00A22282"/>
    <w:rsid w:val="00A401C0"/>
    <w:rsid w:val="00A40483"/>
    <w:rsid w:val="00A40722"/>
    <w:rsid w:val="00A420A9"/>
    <w:rsid w:val="00A46915"/>
    <w:rsid w:val="00A54EB3"/>
    <w:rsid w:val="00A60616"/>
    <w:rsid w:val="00A635CD"/>
    <w:rsid w:val="00A67087"/>
    <w:rsid w:val="00A6715B"/>
    <w:rsid w:val="00A72C30"/>
    <w:rsid w:val="00A73524"/>
    <w:rsid w:val="00A7643D"/>
    <w:rsid w:val="00A863FB"/>
    <w:rsid w:val="00A86BDD"/>
    <w:rsid w:val="00A928C6"/>
    <w:rsid w:val="00A97B65"/>
    <w:rsid w:val="00AA0C67"/>
    <w:rsid w:val="00AA5762"/>
    <w:rsid w:val="00AB68FA"/>
    <w:rsid w:val="00AB7C9B"/>
    <w:rsid w:val="00AC33EB"/>
    <w:rsid w:val="00AC37FC"/>
    <w:rsid w:val="00AC3E12"/>
    <w:rsid w:val="00AC418F"/>
    <w:rsid w:val="00AC5B63"/>
    <w:rsid w:val="00AC76F4"/>
    <w:rsid w:val="00AD413B"/>
    <w:rsid w:val="00AD7724"/>
    <w:rsid w:val="00AE056A"/>
    <w:rsid w:val="00AE05F9"/>
    <w:rsid w:val="00AE13DA"/>
    <w:rsid w:val="00AE60AC"/>
    <w:rsid w:val="00AF1DE9"/>
    <w:rsid w:val="00AF5F88"/>
    <w:rsid w:val="00B01E48"/>
    <w:rsid w:val="00B02597"/>
    <w:rsid w:val="00B04B33"/>
    <w:rsid w:val="00B06848"/>
    <w:rsid w:val="00B104DD"/>
    <w:rsid w:val="00B128D3"/>
    <w:rsid w:val="00B22038"/>
    <w:rsid w:val="00B2488F"/>
    <w:rsid w:val="00B34672"/>
    <w:rsid w:val="00B376F5"/>
    <w:rsid w:val="00B3794A"/>
    <w:rsid w:val="00B44D24"/>
    <w:rsid w:val="00B4669D"/>
    <w:rsid w:val="00B46F43"/>
    <w:rsid w:val="00B528BD"/>
    <w:rsid w:val="00B53D9E"/>
    <w:rsid w:val="00B55F7F"/>
    <w:rsid w:val="00B57FE0"/>
    <w:rsid w:val="00B61012"/>
    <w:rsid w:val="00B73030"/>
    <w:rsid w:val="00B73C85"/>
    <w:rsid w:val="00B77587"/>
    <w:rsid w:val="00B80644"/>
    <w:rsid w:val="00B80CC5"/>
    <w:rsid w:val="00B824CE"/>
    <w:rsid w:val="00B8550E"/>
    <w:rsid w:val="00B95874"/>
    <w:rsid w:val="00B95B27"/>
    <w:rsid w:val="00BA1798"/>
    <w:rsid w:val="00BA2DC5"/>
    <w:rsid w:val="00BA79DA"/>
    <w:rsid w:val="00BB17CB"/>
    <w:rsid w:val="00BB20FF"/>
    <w:rsid w:val="00BB35E4"/>
    <w:rsid w:val="00BB7B55"/>
    <w:rsid w:val="00BC7342"/>
    <w:rsid w:val="00BD0C4A"/>
    <w:rsid w:val="00BD7344"/>
    <w:rsid w:val="00BE0A52"/>
    <w:rsid w:val="00BE11CE"/>
    <w:rsid w:val="00BE67DE"/>
    <w:rsid w:val="00BF07F2"/>
    <w:rsid w:val="00BF2912"/>
    <w:rsid w:val="00BF30CA"/>
    <w:rsid w:val="00C03E72"/>
    <w:rsid w:val="00C04873"/>
    <w:rsid w:val="00C04AAD"/>
    <w:rsid w:val="00C04EDA"/>
    <w:rsid w:val="00C04FC4"/>
    <w:rsid w:val="00C06AC4"/>
    <w:rsid w:val="00C06E2E"/>
    <w:rsid w:val="00C1429C"/>
    <w:rsid w:val="00C224B3"/>
    <w:rsid w:val="00C24502"/>
    <w:rsid w:val="00C247CC"/>
    <w:rsid w:val="00C25C50"/>
    <w:rsid w:val="00C277F1"/>
    <w:rsid w:val="00C3028A"/>
    <w:rsid w:val="00C30BBC"/>
    <w:rsid w:val="00C3120F"/>
    <w:rsid w:val="00C32C5E"/>
    <w:rsid w:val="00C36438"/>
    <w:rsid w:val="00C36692"/>
    <w:rsid w:val="00C3697C"/>
    <w:rsid w:val="00C47DD1"/>
    <w:rsid w:val="00C54615"/>
    <w:rsid w:val="00C558F1"/>
    <w:rsid w:val="00C56B74"/>
    <w:rsid w:val="00C6351F"/>
    <w:rsid w:val="00C63F50"/>
    <w:rsid w:val="00C64069"/>
    <w:rsid w:val="00C640E1"/>
    <w:rsid w:val="00C67BBC"/>
    <w:rsid w:val="00C70C6A"/>
    <w:rsid w:val="00C73EC6"/>
    <w:rsid w:val="00C7741E"/>
    <w:rsid w:val="00C812D9"/>
    <w:rsid w:val="00C84BFC"/>
    <w:rsid w:val="00C95BF6"/>
    <w:rsid w:val="00CA45C9"/>
    <w:rsid w:val="00CA5862"/>
    <w:rsid w:val="00CA5E93"/>
    <w:rsid w:val="00CA7813"/>
    <w:rsid w:val="00CB024A"/>
    <w:rsid w:val="00CB697A"/>
    <w:rsid w:val="00CD24CA"/>
    <w:rsid w:val="00CE3C6B"/>
    <w:rsid w:val="00CE51D3"/>
    <w:rsid w:val="00CE5631"/>
    <w:rsid w:val="00CE66BA"/>
    <w:rsid w:val="00CE7935"/>
    <w:rsid w:val="00CF0C00"/>
    <w:rsid w:val="00CF1449"/>
    <w:rsid w:val="00CF29F1"/>
    <w:rsid w:val="00CF3AF8"/>
    <w:rsid w:val="00D13D7C"/>
    <w:rsid w:val="00D1462E"/>
    <w:rsid w:val="00D1681C"/>
    <w:rsid w:val="00D1744D"/>
    <w:rsid w:val="00D1749B"/>
    <w:rsid w:val="00D1758D"/>
    <w:rsid w:val="00D178C5"/>
    <w:rsid w:val="00D21520"/>
    <w:rsid w:val="00D22076"/>
    <w:rsid w:val="00D2341D"/>
    <w:rsid w:val="00D250AA"/>
    <w:rsid w:val="00D2548E"/>
    <w:rsid w:val="00D26093"/>
    <w:rsid w:val="00D272BD"/>
    <w:rsid w:val="00D41D70"/>
    <w:rsid w:val="00D4212D"/>
    <w:rsid w:val="00D42E8A"/>
    <w:rsid w:val="00D47287"/>
    <w:rsid w:val="00D514B4"/>
    <w:rsid w:val="00D52252"/>
    <w:rsid w:val="00D52A96"/>
    <w:rsid w:val="00D54175"/>
    <w:rsid w:val="00D62702"/>
    <w:rsid w:val="00D63E62"/>
    <w:rsid w:val="00D65EA5"/>
    <w:rsid w:val="00D70A07"/>
    <w:rsid w:val="00D75C0D"/>
    <w:rsid w:val="00D77319"/>
    <w:rsid w:val="00D80E31"/>
    <w:rsid w:val="00D81BB4"/>
    <w:rsid w:val="00D81D16"/>
    <w:rsid w:val="00D82AE5"/>
    <w:rsid w:val="00D837CE"/>
    <w:rsid w:val="00D85C39"/>
    <w:rsid w:val="00D87962"/>
    <w:rsid w:val="00D91D91"/>
    <w:rsid w:val="00D924E8"/>
    <w:rsid w:val="00D92E73"/>
    <w:rsid w:val="00D9366C"/>
    <w:rsid w:val="00D95921"/>
    <w:rsid w:val="00D9747F"/>
    <w:rsid w:val="00DA1B34"/>
    <w:rsid w:val="00DA2FC7"/>
    <w:rsid w:val="00DA3BE8"/>
    <w:rsid w:val="00DA602C"/>
    <w:rsid w:val="00DA6CC1"/>
    <w:rsid w:val="00DB4F17"/>
    <w:rsid w:val="00DB686B"/>
    <w:rsid w:val="00DC3A3F"/>
    <w:rsid w:val="00DC3E52"/>
    <w:rsid w:val="00DC7E54"/>
    <w:rsid w:val="00DD1B1E"/>
    <w:rsid w:val="00DD5252"/>
    <w:rsid w:val="00DE4A21"/>
    <w:rsid w:val="00DF1BBB"/>
    <w:rsid w:val="00DF237A"/>
    <w:rsid w:val="00DF3A74"/>
    <w:rsid w:val="00DF3F32"/>
    <w:rsid w:val="00DF7D1F"/>
    <w:rsid w:val="00E01F0F"/>
    <w:rsid w:val="00E039FC"/>
    <w:rsid w:val="00E071A8"/>
    <w:rsid w:val="00E225E6"/>
    <w:rsid w:val="00E22B7D"/>
    <w:rsid w:val="00E265FA"/>
    <w:rsid w:val="00E2756D"/>
    <w:rsid w:val="00E31105"/>
    <w:rsid w:val="00E334A8"/>
    <w:rsid w:val="00E36AC0"/>
    <w:rsid w:val="00E37FD1"/>
    <w:rsid w:val="00E40613"/>
    <w:rsid w:val="00E41C64"/>
    <w:rsid w:val="00E42995"/>
    <w:rsid w:val="00E478FD"/>
    <w:rsid w:val="00E500BB"/>
    <w:rsid w:val="00E52699"/>
    <w:rsid w:val="00E5401D"/>
    <w:rsid w:val="00E563F4"/>
    <w:rsid w:val="00E623F2"/>
    <w:rsid w:val="00E6542F"/>
    <w:rsid w:val="00E67DB9"/>
    <w:rsid w:val="00E72571"/>
    <w:rsid w:val="00E72F9B"/>
    <w:rsid w:val="00E847C0"/>
    <w:rsid w:val="00E870E2"/>
    <w:rsid w:val="00E9199B"/>
    <w:rsid w:val="00E91B16"/>
    <w:rsid w:val="00E97F38"/>
    <w:rsid w:val="00EA017C"/>
    <w:rsid w:val="00EA2114"/>
    <w:rsid w:val="00EA76D5"/>
    <w:rsid w:val="00EA79B7"/>
    <w:rsid w:val="00EB13B3"/>
    <w:rsid w:val="00EB6BED"/>
    <w:rsid w:val="00EB7357"/>
    <w:rsid w:val="00EC113B"/>
    <w:rsid w:val="00EC15F4"/>
    <w:rsid w:val="00EC1E1A"/>
    <w:rsid w:val="00EC25FB"/>
    <w:rsid w:val="00EC74F6"/>
    <w:rsid w:val="00ED6FDC"/>
    <w:rsid w:val="00ED71EA"/>
    <w:rsid w:val="00ED7272"/>
    <w:rsid w:val="00EE07E9"/>
    <w:rsid w:val="00EE3A88"/>
    <w:rsid w:val="00EE61C5"/>
    <w:rsid w:val="00EE77A6"/>
    <w:rsid w:val="00EF01F8"/>
    <w:rsid w:val="00EF0DAD"/>
    <w:rsid w:val="00EF14A8"/>
    <w:rsid w:val="00F0302E"/>
    <w:rsid w:val="00F05C4F"/>
    <w:rsid w:val="00F116FE"/>
    <w:rsid w:val="00F133CE"/>
    <w:rsid w:val="00F1762C"/>
    <w:rsid w:val="00F2168F"/>
    <w:rsid w:val="00F22314"/>
    <w:rsid w:val="00F26216"/>
    <w:rsid w:val="00F318CF"/>
    <w:rsid w:val="00F36B64"/>
    <w:rsid w:val="00F548E9"/>
    <w:rsid w:val="00F5597E"/>
    <w:rsid w:val="00F56BA0"/>
    <w:rsid w:val="00F66E70"/>
    <w:rsid w:val="00F7459F"/>
    <w:rsid w:val="00F74CD4"/>
    <w:rsid w:val="00F76BA8"/>
    <w:rsid w:val="00F81518"/>
    <w:rsid w:val="00F85DAD"/>
    <w:rsid w:val="00F873BE"/>
    <w:rsid w:val="00F90F2C"/>
    <w:rsid w:val="00F91349"/>
    <w:rsid w:val="00F91EF7"/>
    <w:rsid w:val="00F94448"/>
    <w:rsid w:val="00F94876"/>
    <w:rsid w:val="00F94884"/>
    <w:rsid w:val="00FA3AEE"/>
    <w:rsid w:val="00FA46A0"/>
    <w:rsid w:val="00FB014C"/>
    <w:rsid w:val="00FB27B4"/>
    <w:rsid w:val="00FB33A4"/>
    <w:rsid w:val="00FB3903"/>
    <w:rsid w:val="00FB3942"/>
    <w:rsid w:val="00FC1C19"/>
    <w:rsid w:val="00FC4E0B"/>
    <w:rsid w:val="00FC5C1C"/>
    <w:rsid w:val="00FC6D54"/>
    <w:rsid w:val="00FD0226"/>
    <w:rsid w:val="00FD261F"/>
    <w:rsid w:val="00FE711E"/>
    <w:rsid w:val="00FF5729"/>
    <w:rsid w:val="04648BED"/>
    <w:rsid w:val="04C15E73"/>
    <w:rsid w:val="0E630AB0"/>
    <w:rsid w:val="1CB5E9DC"/>
    <w:rsid w:val="4AF08526"/>
    <w:rsid w:val="6F1B6D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79E0E"/>
  <w15:docId w15:val="{4E631A60-1379-49FE-8B2E-2568398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942"/>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C54615"/>
    <w:rPr>
      <w:color w:val="605E5C"/>
      <w:shd w:val="clear" w:color="auto" w:fill="E1DFDD"/>
    </w:rPr>
  </w:style>
  <w:style w:type="paragraph" w:customStyle="1" w:styleId="AnnexNotitle">
    <w:name w:val="Annex_No &amp; title"/>
    <w:basedOn w:val="Normal"/>
    <w:next w:val="Normal"/>
    <w:rsid w:val="001E224F"/>
    <w:pPr>
      <w:keepNext/>
      <w:keepLines/>
      <w:spacing w:before="480"/>
      <w:jc w:val="center"/>
    </w:pPr>
    <w:rPr>
      <w:rFonts w:ascii="Times New Roman" w:eastAsia="Times New Roman" w:hAnsi="Times New Roman"/>
      <w:b/>
      <w:sz w:val="28"/>
    </w:rPr>
  </w:style>
  <w:style w:type="character" w:customStyle="1" w:styleId="FootnoteTextChar">
    <w:name w:val="Footnote Text Char"/>
    <w:basedOn w:val="DefaultParagraphFont"/>
    <w:link w:val="FootnoteText"/>
    <w:uiPriority w:val="99"/>
    <w:rsid w:val="001E224F"/>
    <w:rPr>
      <w:rFonts w:ascii="Calibri" w:hAnsi="Calibri"/>
      <w:sz w:val="24"/>
      <w:lang w:val="en-GB" w:eastAsia="en-US"/>
    </w:rPr>
  </w:style>
  <w:style w:type="paragraph" w:styleId="NormalWeb">
    <w:name w:val="Normal (Web)"/>
    <w:basedOn w:val="Normal"/>
    <w:uiPriority w:val="99"/>
    <w:semiHidden/>
    <w:unhideWhenUsed/>
    <w:rsid w:val="001E224F"/>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Cs w:val="24"/>
      <w:lang w:eastAsia="ja-JP"/>
    </w:rPr>
  </w:style>
  <w:style w:type="character" w:customStyle="1" w:styleId="FooterChar">
    <w:name w:val="Footer Char"/>
    <w:basedOn w:val="DefaultParagraphFont"/>
    <w:link w:val="Footer"/>
    <w:uiPriority w:val="99"/>
    <w:rsid w:val="008D5054"/>
    <w:rPr>
      <w:rFonts w:ascii="Calibri" w:hAnsi="Calibri"/>
      <w:caps/>
      <w:noProof/>
      <w:sz w:val="16"/>
      <w:lang w:val="en-GB" w:eastAsia="en-US"/>
    </w:rPr>
  </w:style>
  <w:style w:type="character" w:styleId="Mention">
    <w:name w:val="Mention"/>
    <w:basedOn w:val="DefaultParagraphFont"/>
    <w:uiPriority w:val="99"/>
    <w:unhideWhenUsed/>
    <w:rsid w:val="00D26093"/>
    <w:rPr>
      <w:color w:val="2B579A"/>
      <w:shd w:val="clear" w:color="auto" w:fill="E1DFDD"/>
    </w:rPr>
  </w:style>
  <w:style w:type="paragraph" w:customStyle="1" w:styleId="CircularNo">
    <w:name w:val="CircularNo"/>
    <w:basedOn w:val="Tabletext"/>
    <w:qFormat/>
    <w:rsid w:val="00704DAF"/>
    <w:rPr>
      <w:rFonts w:cs="Calibri"/>
      <w:b/>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46147188">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u.int/go/ai4ssc" TargetMode="External"/><Relationship Id="rId18" Type="http://schemas.openxmlformats.org/officeDocument/2006/relationships/hyperlink" Target="mailto:tsbfgai4ssc@itu.int"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hyperlink" Target="https://www.itu.int/rec/T-REC-A.7" TargetMode="External"/><Relationship Id="rId17" Type="http://schemas.openxmlformats.org/officeDocument/2006/relationships/hyperlink" Target="https://itu.int/go/fgai4ss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sbfgai4ssc@itu.int" TargetMode="External"/><Relationship Id="rId20" Type="http://schemas.openxmlformats.org/officeDocument/2006/relationships/hyperlink" Target="https://www.itu.int/go/fgai4ss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fgai4ssc@itu.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md/T25-TSB-CIR-0146"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itu.int/go/ai4ssc/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int/go/ai4ssc/joi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0E101D9A-B477-4470-91E2-94880BED3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5FA18-4031-4C9F-B471-5C7F8DC51F96}">
  <ds:schemaRefs>
    <ds:schemaRef ds:uri="http://schemas.microsoft.com/sharepoint/v3/contenttype/forms"/>
  </ds:schemaRefs>
</ds:datastoreItem>
</file>

<file path=customXml/itemProps3.xml><?xml version="1.0" encoding="utf-8"?>
<ds:datastoreItem xmlns:ds="http://schemas.openxmlformats.org/officeDocument/2006/customXml" ds:itemID="{B8E8CEF6-9C19-4F2F-BEBC-6F6033FEC397}">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TSB_Circular-E.dotx</Template>
  <TotalTime>1</TotalTime>
  <Pages>7</Pages>
  <Words>3225</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Creation of a new ITU-T Focus Group on AI for Smart Sustainable Cities and Communities (FG-AI4SSC), and its First Meeting (Tampere, Finland, 10-11 September 2026)</vt:lpstr>
    </vt:vector>
  </TitlesOfParts>
  <Manager>ITU-T</Manager>
  <Company>International Telecommunication Union (ITU)</Company>
  <LinksUpToDate>false</LinksUpToDate>
  <CharactersWithSpaces>21571</CharactersWithSpaces>
  <SharedDoc>false</SharedDoc>
  <HLinks>
    <vt:vector size="120" baseType="variant">
      <vt:variant>
        <vt:i4>1245190</vt:i4>
      </vt:variant>
      <vt:variant>
        <vt:i4>42</vt:i4>
      </vt:variant>
      <vt:variant>
        <vt:i4>0</vt:i4>
      </vt:variant>
      <vt:variant>
        <vt:i4>5</vt:i4>
      </vt:variant>
      <vt:variant>
        <vt:lpwstr>https://www.itu.int/rec/T-REC-A.7/en</vt:lpwstr>
      </vt:variant>
      <vt:variant>
        <vt:lpwstr/>
      </vt:variant>
      <vt:variant>
        <vt:i4>6553639</vt:i4>
      </vt:variant>
      <vt:variant>
        <vt:i4>39</vt:i4>
      </vt:variant>
      <vt:variant>
        <vt:i4>0</vt:i4>
      </vt:variant>
      <vt:variant>
        <vt:i4>5</vt:i4>
      </vt:variant>
      <vt:variant>
        <vt:lpwstr>http://www.itu.int/go/fgeai</vt:lpwstr>
      </vt:variant>
      <vt:variant>
        <vt:lpwstr/>
      </vt:variant>
      <vt:variant>
        <vt:i4>393254</vt:i4>
      </vt:variant>
      <vt:variant>
        <vt:i4>36</vt:i4>
      </vt:variant>
      <vt:variant>
        <vt:i4>0</vt:i4>
      </vt:variant>
      <vt:variant>
        <vt:i4>5</vt:i4>
      </vt:variant>
      <vt:variant>
        <vt:lpwstr>mailto:tsbfgeai@itu.int</vt:lpwstr>
      </vt:variant>
      <vt:variant>
        <vt:lpwstr/>
      </vt:variant>
      <vt:variant>
        <vt:i4>6553639</vt:i4>
      </vt:variant>
      <vt:variant>
        <vt:i4>33</vt:i4>
      </vt:variant>
      <vt:variant>
        <vt:i4>0</vt:i4>
      </vt:variant>
      <vt:variant>
        <vt:i4>5</vt:i4>
      </vt:variant>
      <vt:variant>
        <vt:lpwstr>http://www.itu.int/go/fgeai</vt:lpwstr>
      </vt:variant>
      <vt:variant>
        <vt:lpwstr/>
      </vt:variant>
      <vt:variant>
        <vt:i4>6553639</vt:i4>
      </vt:variant>
      <vt:variant>
        <vt:i4>30</vt:i4>
      </vt:variant>
      <vt:variant>
        <vt:i4>0</vt:i4>
      </vt:variant>
      <vt:variant>
        <vt:i4>5</vt:i4>
      </vt:variant>
      <vt:variant>
        <vt:lpwstr>http://www.itu.int/go/fgeai</vt:lpwstr>
      </vt:variant>
      <vt:variant>
        <vt:lpwstr/>
      </vt:variant>
      <vt:variant>
        <vt:i4>6553639</vt:i4>
      </vt:variant>
      <vt:variant>
        <vt:i4>27</vt:i4>
      </vt:variant>
      <vt:variant>
        <vt:i4>0</vt:i4>
      </vt:variant>
      <vt:variant>
        <vt:i4>5</vt:i4>
      </vt:variant>
      <vt:variant>
        <vt:lpwstr>http://www.itu.int/go/fgeai</vt:lpwstr>
      </vt:variant>
      <vt:variant>
        <vt:lpwstr/>
      </vt:variant>
      <vt:variant>
        <vt:i4>2949216</vt:i4>
      </vt:variant>
      <vt:variant>
        <vt:i4>24</vt:i4>
      </vt:variant>
      <vt:variant>
        <vt:i4>0</vt:i4>
      </vt:variant>
      <vt:variant>
        <vt:i4>5</vt:i4>
      </vt:variant>
      <vt:variant>
        <vt:lpwstr>https://www.itu.int/en/ITU-T/focusgroups/eai/Pages/default.aspx</vt:lpwstr>
      </vt:variant>
      <vt:variant>
        <vt:lpwstr/>
      </vt:variant>
      <vt:variant>
        <vt:i4>2949216</vt:i4>
      </vt:variant>
      <vt:variant>
        <vt:i4>21</vt:i4>
      </vt:variant>
      <vt:variant>
        <vt:i4>0</vt:i4>
      </vt:variant>
      <vt:variant>
        <vt:i4>5</vt:i4>
      </vt:variant>
      <vt:variant>
        <vt:lpwstr>https://www.itu.int/en/ITU-T/focusgroups/eai/Pages/default.aspx</vt:lpwstr>
      </vt:variant>
      <vt:variant>
        <vt:lpwstr/>
      </vt:variant>
      <vt:variant>
        <vt:i4>393254</vt:i4>
      </vt:variant>
      <vt:variant>
        <vt:i4>18</vt:i4>
      </vt:variant>
      <vt:variant>
        <vt:i4>0</vt:i4>
      </vt:variant>
      <vt:variant>
        <vt:i4>5</vt:i4>
      </vt:variant>
      <vt:variant>
        <vt:lpwstr>mailto:tsbfgeai@itu.int</vt:lpwstr>
      </vt:variant>
      <vt:variant>
        <vt:lpwstr/>
      </vt:variant>
      <vt:variant>
        <vt:i4>2752575</vt:i4>
      </vt:variant>
      <vt:variant>
        <vt:i4>15</vt:i4>
      </vt:variant>
      <vt:variant>
        <vt:i4>0</vt:i4>
      </vt:variant>
      <vt:variant>
        <vt:i4>5</vt:i4>
      </vt:variant>
      <vt:variant>
        <vt:lpwstr>https://aiforgood.itu.int/</vt:lpwstr>
      </vt:variant>
      <vt:variant>
        <vt:lpwstr/>
      </vt:variant>
      <vt:variant>
        <vt:i4>2752575</vt:i4>
      </vt:variant>
      <vt:variant>
        <vt:i4>12</vt:i4>
      </vt:variant>
      <vt:variant>
        <vt:i4>0</vt:i4>
      </vt:variant>
      <vt:variant>
        <vt:i4>5</vt:i4>
      </vt:variant>
      <vt:variant>
        <vt:lpwstr>https://aiforgood.itu.int/</vt:lpwstr>
      </vt:variant>
      <vt:variant>
        <vt:lpwstr/>
      </vt:variant>
      <vt:variant>
        <vt:i4>524362</vt:i4>
      </vt:variant>
      <vt:variant>
        <vt:i4>9</vt:i4>
      </vt:variant>
      <vt:variant>
        <vt:i4>0</vt:i4>
      </vt:variant>
      <vt:variant>
        <vt:i4>5</vt:i4>
      </vt:variant>
      <vt:variant>
        <vt:lpwstr>http://www.itu.int/rec/T-REC-A.7</vt:lpwstr>
      </vt:variant>
      <vt:variant>
        <vt:lpwstr/>
      </vt:variant>
      <vt:variant>
        <vt:i4>3866733</vt:i4>
      </vt:variant>
      <vt:variant>
        <vt:i4>6</vt:i4>
      </vt:variant>
      <vt:variant>
        <vt:i4>0</vt:i4>
      </vt:variant>
      <vt:variant>
        <vt:i4>5</vt:i4>
      </vt:variant>
      <vt:variant>
        <vt:lpwstr>https://www.itu.int/en/ITU-T/focusgroups/eai/Pages/reg.aspx</vt:lpwstr>
      </vt:variant>
      <vt:variant>
        <vt:lpwstr/>
      </vt:variant>
      <vt:variant>
        <vt:i4>2949216</vt:i4>
      </vt:variant>
      <vt:variant>
        <vt:i4>3</vt:i4>
      </vt:variant>
      <vt:variant>
        <vt:i4>0</vt:i4>
      </vt:variant>
      <vt:variant>
        <vt:i4>5</vt:i4>
      </vt:variant>
      <vt:variant>
        <vt:lpwstr>https://www.itu.int/en/ITU-T/focusgroups/eai/Pages/default.aspx</vt:lpwstr>
      </vt:variant>
      <vt:variant>
        <vt:lpwstr/>
      </vt:variant>
      <vt:variant>
        <vt:i4>393254</vt:i4>
      </vt:variant>
      <vt:variant>
        <vt:i4>0</vt:i4>
      </vt:variant>
      <vt:variant>
        <vt:i4>0</vt:i4>
      </vt:variant>
      <vt:variant>
        <vt:i4>5</vt:i4>
      </vt:variant>
      <vt:variant>
        <vt:lpwstr>mailto:tsbfgeai@itu.int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3014749</vt:i4>
      </vt:variant>
      <vt:variant>
        <vt:i4>6</vt:i4>
      </vt:variant>
      <vt:variant>
        <vt:i4>0</vt:i4>
      </vt:variant>
      <vt:variant>
        <vt:i4>5</vt:i4>
      </vt:variant>
      <vt:variant>
        <vt:lpwstr>mailto:hiba.tahawi@itu.int</vt:lpwstr>
      </vt:variant>
      <vt:variant>
        <vt:lpwstr/>
      </vt:variant>
      <vt:variant>
        <vt:i4>262253</vt:i4>
      </vt:variant>
      <vt:variant>
        <vt:i4>3</vt:i4>
      </vt:variant>
      <vt:variant>
        <vt:i4>0</vt:i4>
      </vt:variant>
      <vt:variant>
        <vt:i4>5</vt:i4>
      </vt:variant>
      <vt:variant>
        <vt:lpwstr>mailto:stefano.polidori@itu.int</vt:lpwstr>
      </vt:variant>
      <vt:variant>
        <vt:lpwstr/>
      </vt:variant>
      <vt:variant>
        <vt:i4>3014749</vt:i4>
      </vt:variant>
      <vt:variant>
        <vt:i4>0</vt:i4>
      </vt:variant>
      <vt:variant>
        <vt:i4>0</vt:i4>
      </vt:variant>
      <vt:variant>
        <vt:i4>5</vt:i4>
      </vt:variant>
      <vt:variant>
        <vt:lpwstr>mailto:hiba.tahawi@itu.int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Creation of a new ITU-T Focus Group on AI for Smart Sustainable Cities and Communities (FG-AI4SSC), and its First Meeting (Tampere, Finland, 10-11 September 2026)</dc:title>
  <dc:subject/>
  <dc:creator>Yining Zhao</dc:creator>
  <cp:keywords/>
  <dc:description/>
  <cp:lastModifiedBy>Maguire, Mairéad</cp:lastModifiedBy>
  <cp:revision>3</cp:revision>
  <cp:lastPrinted>2026-03-03T08:26:00Z</cp:lastPrinted>
  <dcterms:created xsi:type="dcterms:W3CDTF">2026-06-19T07:48:00Z</dcterms:created>
  <dcterms:modified xsi:type="dcterms:W3CDTF">2026-06-19T07:49:00Z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T22-TSB-CIR-0040!!MSW-E (2).docx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23d123811a74a3bfb5e32dd249ccace47d6d781744039da058ba5052ee27b7f5</vt:lpwstr>
  </property>
  <property fmtid="{D5CDD505-2E9C-101B-9397-08002B2CF9AE}" pid="9" name="ContentTypeId">
    <vt:lpwstr>0x010100D1E61AAD99A901438D9BC061B6D8E5BF</vt:lpwstr>
  </property>
  <property fmtid="{D5CDD505-2E9C-101B-9397-08002B2CF9AE}" pid="10" name="MediaServiceImageTags">
    <vt:lpwstr/>
  </property>
</Properties>
</file>