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2FF8368" w14:textId="77777777" w:rsidTr="00D517B2">
        <w:trPr>
          <w:cantSplit/>
          <w:trHeight w:val="1134"/>
        </w:trPr>
        <w:tc>
          <w:tcPr>
            <w:tcW w:w="798" w:type="pct"/>
          </w:tcPr>
          <w:p w14:paraId="334105EE" w14:textId="77777777" w:rsidR="00D517B2" w:rsidRPr="00D517B2" w:rsidRDefault="00D517B2" w:rsidP="00D517B2">
            <w:pPr>
              <w:spacing w:before="0" w:line="240" w:lineRule="auto"/>
              <w:rPr>
                <w:b/>
                <w:bCs/>
                <w:rtl/>
                <w:lang w:bidi="ar-EG"/>
              </w:rPr>
            </w:pPr>
            <w:r w:rsidRPr="00D517B2">
              <w:rPr>
                <w:noProof/>
              </w:rPr>
              <w:drawing>
                <wp:inline distT="0" distB="0" distL="0" distR="0" wp14:anchorId="6FA1A6DC" wp14:editId="278B3498">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08D53E0"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28D79F1A"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67AC13B8" w14:textId="77777777" w:rsidTr="001E2788">
        <w:trPr>
          <w:cantSplit/>
          <w:jc w:val="center"/>
        </w:trPr>
        <w:tc>
          <w:tcPr>
            <w:tcW w:w="810" w:type="pct"/>
          </w:tcPr>
          <w:p w14:paraId="4F611A40" w14:textId="77777777" w:rsidR="00D517B2" w:rsidRPr="00D517B2" w:rsidRDefault="00D517B2" w:rsidP="00BB0F08">
            <w:pPr>
              <w:spacing w:line="300" w:lineRule="exact"/>
              <w:jc w:val="left"/>
              <w:rPr>
                <w:position w:val="2"/>
              </w:rPr>
            </w:pPr>
          </w:p>
        </w:tc>
        <w:tc>
          <w:tcPr>
            <w:tcW w:w="1984" w:type="pct"/>
          </w:tcPr>
          <w:p w14:paraId="5B38F1A0" w14:textId="77777777" w:rsidR="00D517B2" w:rsidRPr="00D517B2" w:rsidRDefault="00D517B2" w:rsidP="00BB0F08">
            <w:pPr>
              <w:spacing w:line="300" w:lineRule="exact"/>
              <w:jc w:val="left"/>
              <w:rPr>
                <w:position w:val="2"/>
              </w:rPr>
            </w:pPr>
          </w:p>
        </w:tc>
        <w:tc>
          <w:tcPr>
            <w:tcW w:w="2206" w:type="pct"/>
          </w:tcPr>
          <w:p w14:paraId="329A61F0" w14:textId="77777777" w:rsidR="00D517B2" w:rsidRPr="00873469" w:rsidRDefault="00D517B2" w:rsidP="00BB0F08">
            <w:pPr>
              <w:spacing w:line="300" w:lineRule="exact"/>
              <w:jc w:val="left"/>
              <w:rPr>
                <w:position w:val="2"/>
                <w:lang w:bidi="ar-EG"/>
              </w:rPr>
            </w:pPr>
          </w:p>
        </w:tc>
      </w:tr>
      <w:tr w:rsidR="00D517B2" w:rsidRPr="00D517B2" w14:paraId="61908374" w14:textId="77777777" w:rsidTr="001E2788">
        <w:trPr>
          <w:cantSplit/>
          <w:jc w:val="center"/>
        </w:trPr>
        <w:tc>
          <w:tcPr>
            <w:tcW w:w="810" w:type="pct"/>
          </w:tcPr>
          <w:p w14:paraId="4F7D6A63" w14:textId="77777777" w:rsidR="00D517B2" w:rsidRPr="00D517B2" w:rsidRDefault="00D517B2" w:rsidP="006019C6">
            <w:pPr>
              <w:spacing w:before="80" w:line="300" w:lineRule="exact"/>
              <w:jc w:val="left"/>
              <w:rPr>
                <w:position w:val="2"/>
              </w:rPr>
            </w:pPr>
          </w:p>
        </w:tc>
        <w:tc>
          <w:tcPr>
            <w:tcW w:w="1984" w:type="pct"/>
          </w:tcPr>
          <w:p w14:paraId="19672B10" w14:textId="77777777" w:rsidR="00D517B2" w:rsidRPr="00D517B2" w:rsidRDefault="00D517B2" w:rsidP="006019C6">
            <w:pPr>
              <w:spacing w:before="80" w:line="300" w:lineRule="exact"/>
              <w:jc w:val="left"/>
              <w:rPr>
                <w:position w:val="2"/>
                <w:lang w:bidi="ar-EG"/>
              </w:rPr>
            </w:pPr>
          </w:p>
        </w:tc>
        <w:tc>
          <w:tcPr>
            <w:tcW w:w="2206" w:type="pct"/>
          </w:tcPr>
          <w:p w14:paraId="25EBC926" w14:textId="573AEFB9" w:rsidR="00D517B2" w:rsidRPr="00D517B2" w:rsidRDefault="007B2947" w:rsidP="007B2947">
            <w:pPr>
              <w:spacing w:before="80" w:line="300" w:lineRule="exact"/>
              <w:jc w:val="left"/>
              <w:rPr>
                <w:position w:val="2"/>
                <w:rtl/>
                <w:lang w:bidi="ar-EG"/>
              </w:rPr>
            </w:pPr>
            <w:r w:rsidRPr="007B2947">
              <w:rPr>
                <w:position w:val="2"/>
                <w:rtl/>
              </w:rPr>
              <w:t>جنيف، 19 يونيو</w:t>
            </w:r>
            <w:r w:rsidR="00C75A15">
              <w:rPr>
                <w:rFonts w:hint="cs"/>
                <w:position w:val="2"/>
                <w:rtl/>
              </w:rPr>
              <w:t xml:space="preserve"> </w:t>
            </w:r>
            <w:r w:rsidRPr="007B2947">
              <w:rPr>
                <w:position w:val="2"/>
                <w:rtl/>
              </w:rPr>
              <w:t>2026</w:t>
            </w:r>
          </w:p>
        </w:tc>
      </w:tr>
      <w:tr w:rsidR="00372F67" w:rsidRPr="000D74C5" w14:paraId="6A7F5561" w14:textId="77777777" w:rsidTr="001E2788">
        <w:trPr>
          <w:cantSplit/>
          <w:jc w:val="center"/>
        </w:trPr>
        <w:tc>
          <w:tcPr>
            <w:tcW w:w="810" w:type="pct"/>
          </w:tcPr>
          <w:p w14:paraId="000FF261"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6CC061A9" w14:textId="77777777" w:rsidR="007B2947" w:rsidRPr="000D74C5" w:rsidRDefault="007B2947" w:rsidP="007B2947">
            <w:pPr>
              <w:spacing w:before="80" w:after="60" w:line="300" w:lineRule="exact"/>
              <w:jc w:val="left"/>
              <w:rPr>
                <w:b/>
                <w:position w:val="2"/>
                <w:lang w:val="pt-BR"/>
              </w:rPr>
            </w:pPr>
            <w:r w:rsidRPr="007B2947">
              <w:rPr>
                <w:b/>
                <w:bCs/>
                <w:position w:val="2"/>
                <w:rtl/>
              </w:rPr>
              <w:t xml:space="preserve">TSB </w:t>
            </w:r>
            <w:proofErr w:type="spellStart"/>
            <w:r w:rsidRPr="007B2947">
              <w:rPr>
                <w:b/>
                <w:bCs/>
                <w:position w:val="2"/>
                <w:rtl/>
              </w:rPr>
              <w:t>Circular</w:t>
            </w:r>
            <w:proofErr w:type="spellEnd"/>
            <w:r w:rsidRPr="007B2947">
              <w:rPr>
                <w:b/>
                <w:bCs/>
                <w:position w:val="2"/>
                <w:rtl/>
              </w:rPr>
              <w:t xml:space="preserve"> 147</w:t>
            </w:r>
          </w:p>
          <w:p w14:paraId="7ED222AA" w14:textId="2B6F831D" w:rsidR="00372F67" w:rsidRPr="000D74C5" w:rsidRDefault="007B2947" w:rsidP="007B2947">
            <w:pPr>
              <w:spacing w:before="80" w:after="60" w:line="300" w:lineRule="exact"/>
              <w:jc w:val="left"/>
              <w:rPr>
                <w:b/>
                <w:position w:val="2"/>
                <w:lang w:val="pt-BR"/>
              </w:rPr>
            </w:pPr>
            <w:r w:rsidRPr="007B2947">
              <w:rPr>
                <w:b/>
                <w:bCs/>
                <w:position w:val="2"/>
                <w:rtl/>
              </w:rPr>
              <w:t>FG-AI4SSC/YZ</w:t>
            </w:r>
          </w:p>
        </w:tc>
        <w:tc>
          <w:tcPr>
            <w:tcW w:w="2206" w:type="pct"/>
            <w:vMerge w:val="restart"/>
          </w:tcPr>
          <w:p w14:paraId="1AD5D3DC" w14:textId="77777777" w:rsidR="007B2947" w:rsidRPr="000D74C5" w:rsidRDefault="007B2947" w:rsidP="007B2947">
            <w:pPr>
              <w:tabs>
                <w:tab w:val="clear" w:pos="794"/>
                <w:tab w:val="left" w:pos="284"/>
              </w:tabs>
              <w:spacing w:before="80" w:after="60" w:line="300" w:lineRule="exact"/>
              <w:jc w:val="left"/>
              <w:rPr>
                <w:b/>
                <w:bCs/>
                <w:position w:val="2"/>
                <w:lang w:val="pt-BR"/>
              </w:rPr>
            </w:pPr>
            <w:r w:rsidRPr="007B2947">
              <w:rPr>
                <w:b/>
                <w:bCs/>
                <w:position w:val="2"/>
                <w:rtl/>
              </w:rPr>
              <w:t>إلى:</w:t>
            </w:r>
          </w:p>
          <w:p w14:paraId="182D5074" w14:textId="37FA1445" w:rsidR="007B2947" w:rsidRPr="000D74C5" w:rsidRDefault="007B2947" w:rsidP="007B2947">
            <w:pPr>
              <w:tabs>
                <w:tab w:val="clear" w:pos="794"/>
                <w:tab w:val="left" w:pos="284"/>
              </w:tabs>
              <w:spacing w:before="80" w:after="60" w:line="300" w:lineRule="exact"/>
              <w:ind w:left="284" w:hanging="284"/>
              <w:jc w:val="left"/>
              <w:rPr>
                <w:position w:val="2"/>
                <w:lang w:val="pt-BR"/>
              </w:rPr>
            </w:pPr>
            <w:r>
              <w:rPr>
                <w:rFonts w:hint="cs"/>
                <w:position w:val="2"/>
                <w:rtl/>
              </w:rPr>
              <w:t>-</w:t>
            </w:r>
            <w:r>
              <w:rPr>
                <w:position w:val="2"/>
                <w:rtl/>
              </w:rPr>
              <w:tab/>
            </w:r>
            <w:r w:rsidRPr="007B2947">
              <w:rPr>
                <w:position w:val="2"/>
                <w:rtl/>
              </w:rPr>
              <w:t>إدارات الدول الأعضاء في الاتحاد؛</w:t>
            </w:r>
          </w:p>
          <w:p w14:paraId="1D742817" w14:textId="63B73B81" w:rsidR="007B2947" w:rsidRPr="000D74C5" w:rsidRDefault="007B2947" w:rsidP="007B2947">
            <w:pPr>
              <w:tabs>
                <w:tab w:val="clear" w:pos="794"/>
                <w:tab w:val="left" w:pos="284"/>
              </w:tabs>
              <w:spacing w:before="80" w:after="60" w:line="300" w:lineRule="exact"/>
              <w:ind w:left="284" w:hanging="284"/>
              <w:jc w:val="left"/>
              <w:rPr>
                <w:position w:val="2"/>
                <w:lang w:val="pt-BR"/>
              </w:rPr>
            </w:pPr>
            <w:r>
              <w:rPr>
                <w:rFonts w:hint="cs"/>
                <w:position w:val="2"/>
                <w:rtl/>
              </w:rPr>
              <w:t>-</w:t>
            </w:r>
            <w:r>
              <w:rPr>
                <w:position w:val="2"/>
                <w:rtl/>
              </w:rPr>
              <w:tab/>
            </w:r>
            <w:r w:rsidRPr="007B2947">
              <w:rPr>
                <w:position w:val="2"/>
                <w:rtl/>
              </w:rPr>
              <w:t>دولة فلسطين (القرار 99 (المراجَع في دبي، 2018))؛</w:t>
            </w:r>
          </w:p>
          <w:p w14:paraId="0C32CBCE" w14:textId="0772A859" w:rsidR="007B2947" w:rsidRPr="000D74C5" w:rsidRDefault="007B2947" w:rsidP="007B2947">
            <w:pPr>
              <w:tabs>
                <w:tab w:val="clear" w:pos="794"/>
                <w:tab w:val="left" w:pos="284"/>
              </w:tabs>
              <w:spacing w:before="80" w:after="60" w:line="300" w:lineRule="exact"/>
              <w:ind w:left="284" w:hanging="284"/>
              <w:jc w:val="left"/>
              <w:rPr>
                <w:position w:val="2"/>
                <w:lang w:val="pt-BR"/>
              </w:rPr>
            </w:pPr>
            <w:r>
              <w:rPr>
                <w:rFonts w:hint="cs"/>
                <w:position w:val="2"/>
                <w:rtl/>
              </w:rPr>
              <w:t>-</w:t>
            </w:r>
            <w:r>
              <w:rPr>
                <w:position w:val="2"/>
                <w:rtl/>
              </w:rPr>
              <w:tab/>
            </w:r>
            <w:r w:rsidRPr="007B2947">
              <w:rPr>
                <w:position w:val="2"/>
                <w:rtl/>
              </w:rPr>
              <w:t>أعضاء قطاع تقييس الاتصالات بالاتحاد؛</w:t>
            </w:r>
          </w:p>
          <w:p w14:paraId="13C16253" w14:textId="54B101B2" w:rsidR="007B2947" w:rsidRPr="000D74C5" w:rsidRDefault="007B2947" w:rsidP="007B2947">
            <w:pPr>
              <w:tabs>
                <w:tab w:val="clear" w:pos="794"/>
                <w:tab w:val="left" w:pos="284"/>
              </w:tabs>
              <w:spacing w:before="80" w:after="60" w:line="300" w:lineRule="exact"/>
              <w:ind w:left="284" w:hanging="284"/>
              <w:jc w:val="left"/>
              <w:rPr>
                <w:position w:val="2"/>
                <w:lang w:val="pt-BR"/>
              </w:rPr>
            </w:pPr>
            <w:r>
              <w:rPr>
                <w:rFonts w:hint="cs"/>
                <w:position w:val="2"/>
                <w:rtl/>
              </w:rPr>
              <w:t>-</w:t>
            </w:r>
            <w:r>
              <w:rPr>
                <w:position w:val="2"/>
                <w:rtl/>
              </w:rPr>
              <w:tab/>
            </w:r>
            <w:r w:rsidRPr="007B2947">
              <w:rPr>
                <w:position w:val="2"/>
                <w:rtl/>
              </w:rPr>
              <w:t>المنتسبين إلى قطاع تقييس الاتصالات؛</w:t>
            </w:r>
          </w:p>
          <w:p w14:paraId="7CE5BE60" w14:textId="56E60E40" w:rsidR="007B2947" w:rsidRPr="000D74C5" w:rsidRDefault="007B2947" w:rsidP="007B2947">
            <w:pPr>
              <w:tabs>
                <w:tab w:val="clear" w:pos="794"/>
                <w:tab w:val="left" w:pos="284"/>
              </w:tabs>
              <w:spacing w:before="80" w:after="60" w:line="300" w:lineRule="exact"/>
              <w:ind w:left="284" w:hanging="284"/>
              <w:jc w:val="left"/>
              <w:rPr>
                <w:position w:val="2"/>
                <w:lang w:val="pt-BR"/>
              </w:rPr>
            </w:pPr>
            <w:r>
              <w:rPr>
                <w:rFonts w:hint="cs"/>
                <w:position w:val="2"/>
                <w:rtl/>
              </w:rPr>
              <w:t>-</w:t>
            </w:r>
            <w:r>
              <w:rPr>
                <w:position w:val="2"/>
                <w:rtl/>
              </w:rPr>
              <w:tab/>
            </w:r>
            <w:r w:rsidRPr="007B2947">
              <w:rPr>
                <w:position w:val="2"/>
                <w:rtl/>
              </w:rPr>
              <w:t>الهيئات الأكاديمية المنضمة إلى الاتحاد</w:t>
            </w:r>
          </w:p>
          <w:p w14:paraId="14C559DF" w14:textId="77777777" w:rsidR="007B2947" w:rsidRPr="000D74C5" w:rsidRDefault="007B2947" w:rsidP="007B2947">
            <w:pPr>
              <w:tabs>
                <w:tab w:val="clear" w:pos="794"/>
                <w:tab w:val="left" w:pos="284"/>
              </w:tabs>
              <w:spacing w:before="80" w:after="60" w:line="300" w:lineRule="exact"/>
              <w:ind w:left="284" w:hanging="284"/>
              <w:jc w:val="left"/>
              <w:rPr>
                <w:b/>
                <w:bCs/>
                <w:position w:val="2"/>
                <w:lang w:val="pt-BR"/>
              </w:rPr>
            </w:pPr>
            <w:r w:rsidRPr="007B2947">
              <w:rPr>
                <w:b/>
                <w:bCs/>
                <w:position w:val="2"/>
                <w:rtl/>
              </w:rPr>
              <w:t>نسخة إلى:</w:t>
            </w:r>
          </w:p>
          <w:p w14:paraId="72157030" w14:textId="464F6CE9" w:rsidR="007B2947" w:rsidRPr="000D74C5" w:rsidRDefault="007B2947" w:rsidP="007B2947">
            <w:pPr>
              <w:tabs>
                <w:tab w:val="clear" w:pos="794"/>
                <w:tab w:val="left" w:pos="284"/>
              </w:tabs>
              <w:spacing w:before="80" w:after="60" w:line="300" w:lineRule="exact"/>
              <w:ind w:left="284" w:hanging="284"/>
              <w:jc w:val="left"/>
              <w:rPr>
                <w:position w:val="2"/>
                <w:lang w:val="pt-BR"/>
              </w:rPr>
            </w:pPr>
            <w:r>
              <w:rPr>
                <w:rFonts w:hint="cs"/>
                <w:position w:val="2"/>
                <w:rtl/>
              </w:rPr>
              <w:t>-</w:t>
            </w:r>
            <w:r>
              <w:rPr>
                <w:position w:val="2"/>
                <w:rtl/>
              </w:rPr>
              <w:tab/>
            </w:r>
            <w:r w:rsidRPr="007B2947">
              <w:rPr>
                <w:position w:val="2"/>
                <w:rtl/>
              </w:rPr>
              <w:t>رؤساء لجان الدراسات التابعة لقطاع تقييس الاتصالات ونوابهم؛</w:t>
            </w:r>
          </w:p>
          <w:p w14:paraId="3B7DD9C6" w14:textId="7011F10C" w:rsidR="007B2947" w:rsidRPr="000D74C5" w:rsidRDefault="007B2947" w:rsidP="007B2947">
            <w:pPr>
              <w:tabs>
                <w:tab w:val="clear" w:pos="794"/>
                <w:tab w:val="left" w:pos="284"/>
              </w:tabs>
              <w:spacing w:before="80" w:after="60" w:line="300" w:lineRule="exact"/>
              <w:ind w:left="284" w:hanging="284"/>
              <w:jc w:val="left"/>
              <w:rPr>
                <w:position w:val="2"/>
                <w:lang w:val="pt-BR"/>
              </w:rPr>
            </w:pPr>
            <w:r>
              <w:rPr>
                <w:rFonts w:hint="cs"/>
                <w:position w:val="2"/>
                <w:rtl/>
              </w:rPr>
              <w:t>-</w:t>
            </w:r>
            <w:r>
              <w:rPr>
                <w:position w:val="2"/>
                <w:rtl/>
              </w:rPr>
              <w:tab/>
            </w:r>
            <w:r w:rsidRPr="007B2947">
              <w:rPr>
                <w:position w:val="2"/>
                <w:rtl/>
              </w:rPr>
              <w:t>مدير مكتب تنمية الاتصالات؛</w:t>
            </w:r>
          </w:p>
          <w:p w14:paraId="25027641" w14:textId="7B59415B" w:rsidR="00372F67" w:rsidRPr="00D517B2" w:rsidRDefault="007B2947" w:rsidP="007B2947">
            <w:pPr>
              <w:tabs>
                <w:tab w:val="clear" w:pos="794"/>
                <w:tab w:val="left" w:pos="284"/>
              </w:tabs>
              <w:spacing w:before="80" w:after="60" w:line="300" w:lineRule="exact"/>
              <w:ind w:left="284" w:hanging="284"/>
              <w:jc w:val="left"/>
              <w:rPr>
                <w:position w:val="2"/>
                <w:rtl/>
              </w:rPr>
            </w:pPr>
            <w:r>
              <w:rPr>
                <w:rFonts w:hint="cs"/>
                <w:position w:val="2"/>
                <w:rtl/>
              </w:rPr>
              <w:t>-</w:t>
            </w:r>
            <w:r>
              <w:rPr>
                <w:position w:val="2"/>
                <w:rtl/>
              </w:rPr>
              <w:tab/>
            </w:r>
            <w:r w:rsidRPr="007B2947">
              <w:rPr>
                <w:position w:val="2"/>
                <w:rtl/>
              </w:rPr>
              <w:t>مدير مكتب الاتصالات الراديوية</w:t>
            </w:r>
          </w:p>
        </w:tc>
      </w:tr>
      <w:tr w:rsidR="007B2947" w:rsidRPr="00D517B2" w14:paraId="0E3CCC79" w14:textId="77777777" w:rsidTr="001E2788">
        <w:trPr>
          <w:cantSplit/>
          <w:jc w:val="center"/>
        </w:trPr>
        <w:tc>
          <w:tcPr>
            <w:tcW w:w="810" w:type="pct"/>
          </w:tcPr>
          <w:p w14:paraId="31FB6C2A" w14:textId="4D49AA5C" w:rsidR="007B2947" w:rsidRPr="00A9156F" w:rsidRDefault="007B2947" w:rsidP="007B2947">
            <w:pPr>
              <w:spacing w:before="80" w:after="60" w:line="300" w:lineRule="exact"/>
              <w:jc w:val="left"/>
              <w:rPr>
                <w:b/>
                <w:bCs/>
                <w:position w:val="2"/>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15715FC0" w14:textId="43BD3052" w:rsidR="007B2947" w:rsidRPr="00D517B2" w:rsidRDefault="007B2947" w:rsidP="007B2947">
            <w:pPr>
              <w:spacing w:before="80" w:after="60" w:line="300" w:lineRule="exact"/>
              <w:jc w:val="left"/>
              <w:rPr>
                <w:b/>
                <w:position w:val="2"/>
              </w:rPr>
            </w:pPr>
            <w:r w:rsidRPr="00581B90">
              <w:rPr>
                <w:rFonts w:cs="Calibri"/>
              </w:rPr>
              <w:t>+41 22 730 6465</w:t>
            </w:r>
          </w:p>
        </w:tc>
        <w:tc>
          <w:tcPr>
            <w:tcW w:w="2206" w:type="pct"/>
            <w:vMerge/>
          </w:tcPr>
          <w:p w14:paraId="39731015" w14:textId="77777777" w:rsidR="007B2947" w:rsidRPr="00D517B2" w:rsidRDefault="007B2947" w:rsidP="007B2947">
            <w:pPr>
              <w:tabs>
                <w:tab w:val="left" w:pos="284"/>
                <w:tab w:val="left" w:pos="4111"/>
              </w:tabs>
              <w:spacing w:before="80" w:after="60" w:line="300" w:lineRule="exact"/>
              <w:ind w:left="284" w:hanging="284"/>
              <w:rPr>
                <w:position w:val="2"/>
                <w:rtl/>
              </w:rPr>
            </w:pPr>
          </w:p>
        </w:tc>
      </w:tr>
      <w:tr w:rsidR="007B2947" w:rsidRPr="00D517B2" w14:paraId="195150E9" w14:textId="77777777" w:rsidTr="001E2788">
        <w:trPr>
          <w:cantSplit/>
          <w:jc w:val="center"/>
        </w:trPr>
        <w:tc>
          <w:tcPr>
            <w:tcW w:w="810" w:type="pct"/>
          </w:tcPr>
          <w:p w14:paraId="4D7D0570" w14:textId="1E196737" w:rsidR="007B2947" w:rsidRDefault="007B2947" w:rsidP="007B2947">
            <w:pPr>
              <w:spacing w:before="80" w:after="60" w:line="300" w:lineRule="exact"/>
              <w:jc w:val="left"/>
              <w:rPr>
                <w:b/>
                <w:bCs/>
                <w:position w:val="2"/>
                <w:rtl/>
                <w:lang w:bidi="ar-EG"/>
              </w:rPr>
            </w:pPr>
            <w:r w:rsidRPr="00A9156F">
              <w:rPr>
                <w:rFonts w:hint="cs"/>
                <w:b/>
                <w:bCs/>
                <w:position w:val="2"/>
                <w:rtl/>
              </w:rPr>
              <w:t>الفاكس:</w:t>
            </w:r>
          </w:p>
        </w:tc>
        <w:tc>
          <w:tcPr>
            <w:tcW w:w="1984" w:type="pct"/>
          </w:tcPr>
          <w:p w14:paraId="50467E77" w14:textId="5A50DAB6" w:rsidR="007B2947" w:rsidRDefault="007B2947" w:rsidP="007B2947">
            <w:pPr>
              <w:spacing w:before="80" w:after="60" w:line="300" w:lineRule="exact"/>
              <w:jc w:val="left"/>
              <w:rPr>
                <w:b/>
                <w:bCs/>
                <w:position w:val="2"/>
                <w:rtl/>
                <w:lang w:bidi="ar-EG"/>
              </w:rPr>
            </w:pPr>
            <w:r w:rsidRPr="00581B90">
              <w:rPr>
                <w:rFonts w:cs="Calibri"/>
              </w:rPr>
              <w:t>+41 22 730 5853</w:t>
            </w:r>
          </w:p>
        </w:tc>
        <w:tc>
          <w:tcPr>
            <w:tcW w:w="2206" w:type="pct"/>
            <w:vMerge/>
          </w:tcPr>
          <w:p w14:paraId="3B6E80D5" w14:textId="77777777" w:rsidR="007B2947" w:rsidRPr="00D517B2" w:rsidRDefault="007B2947" w:rsidP="007B2947">
            <w:pPr>
              <w:tabs>
                <w:tab w:val="left" w:pos="284"/>
                <w:tab w:val="left" w:pos="4111"/>
              </w:tabs>
              <w:spacing w:before="80" w:after="60" w:line="300" w:lineRule="exact"/>
              <w:ind w:left="284" w:hanging="284"/>
              <w:rPr>
                <w:position w:val="2"/>
                <w:rtl/>
              </w:rPr>
            </w:pPr>
          </w:p>
        </w:tc>
      </w:tr>
      <w:tr w:rsidR="007B2947" w:rsidRPr="00D517B2" w14:paraId="0B8A96FC" w14:textId="77777777" w:rsidTr="007F50C1">
        <w:trPr>
          <w:cantSplit/>
          <w:trHeight w:val="880"/>
          <w:jc w:val="center"/>
        </w:trPr>
        <w:tc>
          <w:tcPr>
            <w:tcW w:w="810" w:type="pct"/>
          </w:tcPr>
          <w:p w14:paraId="5F99B2D7" w14:textId="4F9960A7" w:rsidR="007B2947" w:rsidRPr="00A9156F" w:rsidRDefault="007B2947" w:rsidP="007B2947">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266EC4CA" w14:textId="2F642350" w:rsidR="007B2947" w:rsidRPr="00D517B2" w:rsidRDefault="007B2947" w:rsidP="007B2947">
            <w:pPr>
              <w:spacing w:before="80" w:after="60" w:line="300" w:lineRule="exact"/>
              <w:jc w:val="left"/>
              <w:rPr>
                <w:position w:val="2"/>
              </w:rPr>
            </w:pPr>
            <w:hyperlink r:id="rId9" w:history="1">
              <w:r w:rsidRPr="00581B90">
                <w:rPr>
                  <w:rStyle w:val="Hyperlink"/>
                  <w:szCs w:val="18"/>
                </w:rPr>
                <w:t>tsbfgai4ssc@itu.int</w:t>
              </w:r>
            </w:hyperlink>
            <w:r w:rsidRPr="00581B90">
              <w:rPr>
                <w:szCs w:val="18"/>
              </w:rPr>
              <w:t xml:space="preserve"> </w:t>
            </w:r>
          </w:p>
        </w:tc>
        <w:tc>
          <w:tcPr>
            <w:tcW w:w="2206" w:type="pct"/>
            <w:vMerge/>
          </w:tcPr>
          <w:p w14:paraId="02803554" w14:textId="77777777" w:rsidR="007B2947" w:rsidRPr="00D517B2" w:rsidRDefault="007B2947" w:rsidP="007B2947">
            <w:pPr>
              <w:tabs>
                <w:tab w:val="left" w:pos="284"/>
                <w:tab w:val="left" w:pos="4111"/>
              </w:tabs>
              <w:spacing w:before="80" w:after="60" w:line="300" w:lineRule="exact"/>
              <w:ind w:left="284" w:hanging="284"/>
              <w:rPr>
                <w:position w:val="2"/>
                <w:rtl/>
              </w:rPr>
            </w:pPr>
          </w:p>
        </w:tc>
      </w:tr>
      <w:tr w:rsidR="00CE1C08" w:rsidRPr="00D517B2" w14:paraId="33299C21" w14:textId="77777777" w:rsidTr="001E2788">
        <w:trPr>
          <w:cantSplit/>
          <w:jc w:val="center"/>
        </w:trPr>
        <w:tc>
          <w:tcPr>
            <w:tcW w:w="810" w:type="pct"/>
          </w:tcPr>
          <w:p w14:paraId="7BFF37B2" w14:textId="77777777" w:rsidR="00CE1C08" w:rsidRPr="00A9156F" w:rsidRDefault="00CE1C08" w:rsidP="00CE1C08">
            <w:pPr>
              <w:spacing w:before="80" w:after="60" w:line="300" w:lineRule="exact"/>
              <w:jc w:val="left"/>
              <w:rPr>
                <w:b/>
                <w:bCs/>
                <w:position w:val="2"/>
                <w:rtl/>
                <w:lang w:bidi="ar-EG"/>
              </w:rPr>
            </w:pPr>
          </w:p>
        </w:tc>
        <w:tc>
          <w:tcPr>
            <w:tcW w:w="1984" w:type="pct"/>
          </w:tcPr>
          <w:p w14:paraId="0908A10D" w14:textId="77777777" w:rsidR="00CE1C08" w:rsidRPr="00D517B2" w:rsidRDefault="00CE1C08" w:rsidP="00CE1C08">
            <w:pPr>
              <w:spacing w:before="80" w:after="60" w:line="300" w:lineRule="exact"/>
              <w:jc w:val="left"/>
              <w:rPr>
                <w:position w:val="2"/>
              </w:rPr>
            </w:pPr>
          </w:p>
        </w:tc>
        <w:tc>
          <w:tcPr>
            <w:tcW w:w="2206" w:type="pct"/>
          </w:tcPr>
          <w:p w14:paraId="2B172D17" w14:textId="77777777" w:rsidR="00CE1C08" w:rsidRPr="00D517B2" w:rsidRDefault="00CE1C08" w:rsidP="00CE1C08">
            <w:pPr>
              <w:spacing w:before="80" w:after="60" w:line="300" w:lineRule="exact"/>
              <w:jc w:val="left"/>
              <w:rPr>
                <w:position w:val="2"/>
                <w:rtl/>
              </w:rPr>
            </w:pPr>
          </w:p>
        </w:tc>
      </w:tr>
      <w:tr w:rsidR="00CE1C08" w:rsidRPr="00D517B2" w14:paraId="50309D0B" w14:textId="77777777" w:rsidTr="001E2788">
        <w:trPr>
          <w:cantSplit/>
          <w:jc w:val="center"/>
        </w:trPr>
        <w:tc>
          <w:tcPr>
            <w:tcW w:w="810" w:type="pct"/>
          </w:tcPr>
          <w:p w14:paraId="5E57707C"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5B831E5C" w14:textId="0FC3D219" w:rsidR="00CE1C08" w:rsidRPr="00D517B2" w:rsidRDefault="007B2947" w:rsidP="007B2947">
            <w:pPr>
              <w:spacing w:before="80" w:after="60" w:line="300" w:lineRule="exact"/>
              <w:jc w:val="left"/>
              <w:rPr>
                <w:position w:val="2"/>
                <w:rtl/>
              </w:rPr>
            </w:pPr>
            <w:r w:rsidRPr="007B2947">
              <w:rPr>
                <w:b/>
                <w:bCs/>
                <w:position w:val="2"/>
                <w:rtl/>
              </w:rPr>
              <w:t xml:space="preserve">إنشاء فريق متخصص جديد تابع لقطاع تقييس الاتصالات ومعني بالذكاء الاصطناعي من أجل المدن والمجتمعات الذكية </w:t>
            </w:r>
            <w:r w:rsidRPr="007B2947">
              <w:rPr>
                <w:b/>
                <w:bCs/>
                <w:position w:val="2"/>
              </w:rPr>
              <w:t>(</w:t>
            </w:r>
            <w:r w:rsidR="00FB4574">
              <w:rPr>
                <w:b/>
                <w:bCs/>
                <w:position w:val="2"/>
              </w:rPr>
              <w:t>FG</w:t>
            </w:r>
            <w:r w:rsidR="00FB4574">
              <w:rPr>
                <w:b/>
                <w:bCs/>
                <w:position w:val="2"/>
              </w:rPr>
              <w:noBreakHyphen/>
            </w:r>
            <w:r w:rsidRPr="007B2947">
              <w:rPr>
                <w:b/>
                <w:bCs/>
                <w:position w:val="2"/>
              </w:rPr>
              <w:t>AI4SSC)</w:t>
            </w:r>
            <w:r w:rsidRPr="007B2947">
              <w:rPr>
                <w:b/>
                <w:bCs/>
                <w:position w:val="2"/>
                <w:rtl/>
              </w:rPr>
              <w:t xml:space="preserve"> وعقد اجتماعه الأول (</w:t>
            </w:r>
            <w:proofErr w:type="spellStart"/>
            <w:r w:rsidRPr="007B2947">
              <w:rPr>
                <w:b/>
                <w:bCs/>
                <w:position w:val="2"/>
                <w:rtl/>
              </w:rPr>
              <w:t>تامبيري</w:t>
            </w:r>
            <w:proofErr w:type="spellEnd"/>
            <w:r w:rsidRPr="007B2947">
              <w:rPr>
                <w:b/>
                <w:bCs/>
                <w:position w:val="2"/>
                <w:rtl/>
              </w:rPr>
              <w:t>، فنلندا، 10 و11 سبتمبر 2026)</w:t>
            </w:r>
          </w:p>
        </w:tc>
      </w:tr>
    </w:tbl>
    <w:p w14:paraId="74057EDE" w14:textId="77777777" w:rsidR="00D517B2" w:rsidRPr="00D517B2" w:rsidRDefault="00D517B2" w:rsidP="006635B2">
      <w:pPr>
        <w:spacing w:before="600"/>
        <w:rPr>
          <w:lang w:bidi="ar-SY"/>
        </w:rPr>
      </w:pPr>
      <w:r w:rsidRPr="00D517B2">
        <w:rPr>
          <w:rFonts w:hint="cs"/>
          <w:rtl/>
          <w:lang w:bidi="ar-SY"/>
        </w:rPr>
        <w:t>حضرات السادة والسيدات،</w:t>
      </w:r>
    </w:p>
    <w:p w14:paraId="11E0FC9E" w14:textId="77777777" w:rsidR="00D517B2" w:rsidRPr="00D517B2" w:rsidRDefault="00D517B2" w:rsidP="00D517B2">
      <w:pPr>
        <w:rPr>
          <w:rtl/>
          <w:lang w:bidi="ar-EG"/>
        </w:rPr>
      </w:pPr>
      <w:r w:rsidRPr="00D517B2">
        <w:rPr>
          <w:rFonts w:hint="cs"/>
          <w:rtl/>
        </w:rPr>
        <w:t>تحية طيبة وبعد،</w:t>
      </w:r>
    </w:p>
    <w:p w14:paraId="06C05E4D" w14:textId="4CB0219D" w:rsidR="007B2947" w:rsidRPr="007B2947" w:rsidRDefault="007B2947" w:rsidP="007B2947">
      <w:pPr>
        <w:rPr>
          <w:lang w:val="ar-SA" w:bidi="ar-SY"/>
        </w:rPr>
      </w:pPr>
      <w:r w:rsidRPr="007B2947">
        <w:rPr>
          <w:rtl/>
        </w:rPr>
        <w:t>1</w:t>
      </w:r>
      <w:r w:rsidRPr="007B2947">
        <w:rPr>
          <w:rtl/>
        </w:rPr>
        <w:tab/>
        <w:t xml:space="preserve">إلحاقاً بموافقة لجنة الدراسات 20 لقطاع تقييس الاتصالات </w:t>
      </w:r>
      <w:r w:rsidRPr="00FB4574">
        <w:rPr>
          <w:i/>
          <w:iCs/>
          <w:rtl/>
        </w:rPr>
        <w:t>"إنترنت الأشياء والتوائم الرقمية والمدن والمجتمعات الذكية المستدامة"</w:t>
      </w:r>
      <w:r w:rsidRPr="007B2947">
        <w:rPr>
          <w:rtl/>
        </w:rPr>
        <w:t xml:space="preserve"> في اجتماعها المنعقد في 21 مايو 2026 في جنيف، ووفقاً </w:t>
      </w:r>
      <w:hyperlink r:id="rId10" w:history="1">
        <w:r w:rsidRPr="007B2947">
          <w:rPr>
            <w:rStyle w:val="Hyperlink"/>
            <w:rtl/>
          </w:rPr>
          <w:t>للتوصية ITU-T A.7</w:t>
        </w:r>
      </w:hyperlink>
      <w:r w:rsidRPr="007B2947">
        <w:rPr>
          <w:rtl/>
        </w:rPr>
        <w:t xml:space="preserve">، يسرني الإعلان عن إنشاء </w:t>
      </w:r>
      <w:r w:rsidRPr="007B2947">
        <w:rPr>
          <w:b/>
          <w:bCs/>
          <w:rtl/>
        </w:rPr>
        <w:t>الفريق المتخصص الجديد لقطاع تقييس الاتصالات والمعني بالذكاء الاصطناعي من أجل المدن والمجتمعات الذكية المستدامة</w:t>
      </w:r>
      <w:r w:rsidRPr="007B2947">
        <w:rPr>
          <w:rtl/>
        </w:rPr>
        <w:t xml:space="preserve"> </w:t>
      </w:r>
      <w:r w:rsidRPr="007B2947">
        <w:rPr>
          <w:b/>
          <w:bCs/>
          <w:lang w:bidi="ar-SY"/>
        </w:rPr>
        <w:t>(</w:t>
      </w:r>
      <w:r w:rsidRPr="007B2947">
        <w:rPr>
          <w:b/>
          <w:bCs/>
        </w:rPr>
        <w:t>FG-AI4SSC</w:t>
      </w:r>
      <w:r w:rsidRPr="007B2947">
        <w:rPr>
          <w:b/>
          <w:bCs/>
          <w:lang w:bidi="ar-SY"/>
        </w:rPr>
        <w:t>)</w:t>
      </w:r>
      <w:r w:rsidRPr="007B2947">
        <w:rPr>
          <w:rtl/>
        </w:rPr>
        <w:t>.</w:t>
      </w:r>
      <w:hyperlink r:id="rId11" w:history="1"/>
    </w:p>
    <w:p w14:paraId="1CEE7429" w14:textId="1E170422" w:rsidR="007B2947" w:rsidRPr="007B2947" w:rsidRDefault="007B2947" w:rsidP="007B2947">
      <w:pPr>
        <w:rPr>
          <w:lang w:val="ar-SA" w:bidi="ar-SY"/>
        </w:rPr>
      </w:pPr>
      <w:r w:rsidRPr="007B2947">
        <w:rPr>
          <w:rtl/>
        </w:rPr>
        <w:t>2</w:t>
      </w:r>
      <w:r w:rsidRPr="007B2947">
        <w:rPr>
          <w:rtl/>
        </w:rPr>
        <w:tab/>
        <w:t>سيتناول الفريق المتخصص FG-AI4SSC جوانب التكامل المطلوبة للأنظمة والخدمات الحضرية المدعومة بالذكاء الاصطناعي، بما في ذلك المتطلبات والسطوح البينية وآليات التنسيق والأطر الضرورية لتمكين تكنولوجيات الذكاء الاصطناعي الحالية والمستقبلية من التشغيل البيني بشكل متناسق وآمن وفعال مع أنظمة وخدمات إنترنت الأشياء والتوائم الرقمية والمدن والمجتمعات الذكية المستدامة، في إطار عمليات النشر على مستوى المدن وفقاً للقرار 214 (بوخارست، 2022) لمؤتمر المندوبين المفوضين للاتحاد. ويمكن الاطلاع على مزيد من التفاصيل عن نطاق أنشطة الفريق المتخصص في اختصاصاته</w:t>
      </w:r>
      <w:r w:rsidR="0039186D">
        <w:rPr>
          <w:rFonts w:hint="eastAsia"/>
          <w:rtl/>
          <w:lang w:bidi="ar-EG"/>
        </w:rPr>
        <w:t> </w:t>
      </w:r>
      <w:r w:rsidR="0039186D">
        <w:rPr>
          <w:lang w:bidi="ar-EG"/>
        </w:rPr>
        <w:t>(</w:t>
      </w:r>
      <w:proofErr w:type="spellStart"/>
      <w:r w:rsidR="0039186D">
        <w:rPr>
          <w:lang w:bidi="ar-EG"/>
        </w:rPr>
        <w:t>ToR</w:t>
      </w:r>
      <w:proofErr w:type="spellEnd"/>
      <w:r w:rsidR="0039186D">
        <w:rPr>
          <w:lang w:bidi="ar-EG"/>
        </w:rPr>
        <w:t>)</w:t>
      </w:r>
      <w:r w:rsidRPr="007B2947">
        <w:rPr>
          <w:rtl/>
        </w:rPr>
        <w:t xml:space="preserve"> الواردة في </w:t>
      </w:r>
      <w:r w:rsidRPr="007B2947">
        <w:rPr>
          <w:b/>
          <w:bCs/>
          <w:rtl/>
        </w:rPr>
        <w:t>الملحق 1،</w:t>
      </w:r>
      <w:r w:rsidRPr="007B2947">
        <w:rPr>
          <w:rtl/>
        </w:rPr>
        <w:t xml:space="preserve"> وكذلك في الصفحة الرئيسية للفريق</w:t>
      </w:r>
      <w:r w:rsidRPr="007B2947">
        <w:rPr>
          <w:lang w:bidi="ar-SY"/>
        </w:rPr>
        <w:t>:</w:t>
      </w:r>
      <w:r w:rsidRPr="007B2947">
        <w:rPr>
          <w:rtl/>
        </w:rPr>
        <w:t xml:space="preserve"> </w:t>
      </w:r>
      <w:hyperlink r:id="rId12" w:anchor="/ar" w:history="1">
        <w:r>
          <w:rPr>
            <w:rStyle w:val="Hyperlink"/>
            <w:lang w:val="en-GB"/>
          </w:rPr>
          <w:t>https://www.itu.int/go/ai4ssc</w:t>
        </w:r>
      </w:hyperlink>
      <w:r w:rsidRPr="007B2947">
        <w:rPr>
          <w:rtl/>
        </w:rPr>
        <w:t>.</w:t>
      </w:r>
      <w:hyperlink r:id="rId13" w:history="1"/>
    </w:p>
    <w:p w14:paraId="02EB15FE" w14:textId="77777777" w:rsidR="007B2947" w:rsidRPr="007B2947" w:rsidRDefault="007B2947" w:rsidP="007B2947">
      <w:pPr>
        <w:rPr>
          <w:lang w:val="ar-SA" w:bidi="ar-SY"/>
        </w:rPr>
      </w:pPr>
      <w:r w:rsidRPr="007B2947">
        <w:rPr>
          <w:rtl/>
        </w:rPr>
        <w:t>3</w:t>
      </w:r>
      <w:r w:rsidRPr="007B2947">
        <w:rPr>
          <w:rtl/>
        </w:rPr>
        <w:tab/>
        <w:t>قامت لجنة الدراسات 20 لقطاع تقييس الاتصالات بتعيين القيادة التالية للفريق:</w:t>
      </w:r>
    </w:p>
    <w:p w14:paraId="0FB751FC" w14:textId="719B397E" w:rsidR="007B2947" w:rsidRPr="007B2947" w:rsidRDefault="007B2947" w:rsidP="00437B96">
      <w:pPr>
        <w:pStyle w:val="enumlev1"/>
        <w:spacing w:after="80"/>
        <w:rPr>
          <w:lang w:val="ar-SA"/>
        </w:rPr>
      </w:pPr>
      <w:r>
        <w:t>-</w:t>
      </w:r>
      <w:r>
        <w:tab/>
      </w:r>
      <w:r w:rsidRPr="007B2947">
        <w:rPr>
          <w:rtl/>
        </w:rPr>
        <w:t>الرئيسان المشاركان:</w:t>
      </w:r>
    </w:p>
    <w:p w14:paraId="06D0DBD3" w14:textId="4E0CEC03" w:rsidR="007B2947" w:rsidRPr="007B2947" w:rsidRDefault="007B2947" w:rsidP="00437B96">
      <w:pPr>
        <w:pStyle w:val="enumlev2"/>
        <w:spacing w:after="80"/>
        <w:rPr>
          <w:lang w:val="ar-SA" w:bidi="ar-SY"/>
        </w:rPr>
      </w:pPr>
      <w:r w:rsidRPr="007B2947">
        <w:rPr>
          <w:rFonts w:hint="eastAsia"/>
          <w:sz w:val="14"/>
          <w:szCs w:val="14"/>
        </w:rPr>
        <w:t>○</w:t>
      </w:r>
      <w:r>
        <w:rPr>
          <w:rtl/>
          <w:lang w:bidi="ar-EG"/>
        </w:rPr>
        <w:tab/>
      </w:r>
      <w:r w:rsidRPr="007B2947">
        <w:rPr>
          <w:rtl/>
        </w:rPr>
        <w:t xml:space="preserve">السيد جون سيوب لي (معهد بحوث الإلكترونيات والاتصالات </w:t>
      </w:r>
      <w:r w:rsidRPr="007B2947">
        <w:rPr>
          <w:lang w:bidi="ar-SY"/>
        </w:rPr>
        <w:t>(ETRI)</w:t>
      </w:r>
      <w:r w:rsidRPr="007B2947">
        <w:rPr>
          <w:rtl/>
        </w:rPr>
        <w:t>، جمهورية كوريا)</w:t>
      </w:r>
    </w:p>
    <w:p w14:paraId="158DE105" w14:textId="63691E62" w:rsidR="007B2947" w:rsidRPr="007B2947" w:rsidRDefault="007B2947" w:rsidP="00437B96">
      <w:pPr>
        <w:pStyle w:val="enumlev2"/>
        <w:spacing w:after="80"/>
        <w:rPr>
          <w:lang w:val="ar-SA" w:bidi="ar-SY"/>
        </w:rPr>
      </w:pPr>
      <w:r w:rsidRPr="007B2947">
        <w:rPr>
          <w:rFonts w:hint="eastAsia"/>
          <w:sz w:val="14"/>
          <w:szCs w:val="14"/>
        </w:rPr>
        <w:t>○</w:t>
      </w:r>
      <w:r>
        <w:rPr>
          <w:rtl/>
          <w:lang w:bidi="ar-EG"/>
        </w:rPr>
        <w:tab/>
      </w:r>
      <w:r w:rsidRPr="007B2947">
        <w:rPr>
          <w:rtl/>
        </w:rPr>
        <w:t>السيد رامي أحمد فتحي (مصر)</w:t>
      </w:r>
    </w:p>
    <w:p w14:paraId="7EFE30DA" w14:textId="1DE94AC9" w:rsidR="007B2947" w:rsidRPr="007B2947" w:rsidRDefault="007B2947" w:rsidP="00437B96">
      <w:pPr>
        <w:pStyle w:val="enumlev1"/>
        <w:keepNext/>
        <w:spacing w:after="80"/>
        <w:rPr>
          <w:lang w:val="ar-SA"/>
        </w:rPr>
      </w:pPr>
      <w:r>
        <w:lastRenderedPageBreak/>
        <w:t>-</w:t>
      </w:r>
      <w:r>
        <w:tab/>
      </w:r>
      <w:r w:rsidRPr="007B2947">
        <w:rPr>
          <w:rtl/>
        </w:rPr>
        <w:t>نواب الرئيس:</w:t>
      </w:r>
    </w:p>
    <w:p w14:paraId="78A50DF2" w14:textId="68C9EFF2" w:rsidR="007B2947" w:rsidRPr="007B2947" w:rsidRDefault="007B2947" w:rsidP="00437B96">
      <w:pPr>
        <w:pStyle w:val="enumlev2"/>
        <w:spacing w:after="80"/>
        <w:rPr>
          <w:lang w:val="ar-SA" w:bidi="ar-SY"/>
        </w:rPr>
      </w:pPr>
      <w:r w:rsidRPr="007B2947">
        <w:rPr>
          <w:rFonts w:hint="eastAsia"/>
          <w:sz w:val="14"/>
          <w:szCs w:val="14"/>
        </w:rPr>
        <w:t>○</w:t>
      </w:r>
      <w:r>
        <w:rPr>
          <w:rtl/>
          <w:lang w:bidi="ar-EG"/>
        </w:rPr>
        <w:tab/>
      </w:r>
      <w:r w:rsidRPr="007B2947">
        <w:rPr>
          <w:rtl/>
        </w:rPr>
        <w:t>السيدة ألين ماتا (برنامج الأمم المتحدة للمستوطنات البشرية)</w:t>
      </w:r>
    </w:p>
    <w:p w14:paraId="6F14F0FA" w14:textId="7573F515" w:rsidR="007B2947" w:rsidRPr="007B2947" w:rsidRDefault="007B2947" w:rsidP="00437B96">
      <w:pPr>
        <w:pStyle w:val="enumlev2"/>
        <w:spacing w:after="80"/>
        <w:rPr>
          <w:lang w:val="ar-SA" w:bidi="ar-SY"/>
        </w:rPr>
      </w:pPr>
      <w:r w:rsidRPr="007B2947">
        <w:rPr>
          <w:rFonts w:hint="eastAsia"/>
          <w:sz w:val="14"/>
          <w:szCs w:val="14"/>
        </w:rPr>
        <w:t>○</w:t>
      </w:r>
      <w:r>
        <w:rPr>
          <w:rtl/>
          <w:lang w:bidi="ar-EG"/>
        </w:rPr>
        <w:tab/>
      </w:r>
      <w:r w:rsidRPr="007B2947">
        <w:rPr>
          <w:rtl/>
        </w:rPr>
        <w:t xml:space="preserve">صوفيا </w:t>
      </w:r>
      <w:proofErr w:type="spellStart"/>
      <w:r w:rsidRPr="007B2947">
        <w:rPr>
          <w:rtl/>
        </w:rPr>
        <w:t>ناهوزا</w:t>
      </w:r>
      <w:proofErr w:type="spellEnd"/>
      <w:r w:rsidRPr="007B2947">
        <w:rPr>
          <w:rtl/>
        </w:rPr>
        <w:t xml:space="preserve"> (تنـزانيا)</w:t>
      </w:r>
    </w:p>
    <w:p w14:paraId="116D8E99" w14:textId="71698E18" w:rsidR="007B2947" w:rsidRPr="007B2947" w:rsidRDefault="007B2947" w:rsidP="00437B96">
      <w:pPr>
        <w:pStyle w:val="enumlev2"/>
        <w:spacing w:after="80"/>
        <w:rPr>
          <w:lang w:val="ar-SA" w:bidi="ar-SY"/>
        </w:rPr>
      </w:pPr>
      <w:r w:rsidRPr="007B2947">
        <w:rPr>
          <w:rFonts w:hint="eastAsia"/>
          <w:sz w:val="14"/>
          <w:szCs w:val="14"/>
        </w:rPr>
        <w:t>○</w:t>
      </w:r>
      <w:r>
        <w:rPr>
          <w:rtl/>
          <w:lang w:bidi="ar-EG"/>
        </w:rPr>
        <w:tab/>
      </w:r>
      <w:r w:rsidRPr="007B2947">
        <w:rPr>
          <w:rtl/>
        </w:rPr>
        <w:t>السيد يانغ ليو (الصين)</w:t>
      </w:r>
    </w:p>
    <w:p w14:paraId="33044D16" w14:textId="58951A83" w:rsidR="007B2947" w:rsidRPr="007B2947" w:rsidRDefault="007B2947" w:rsidP="00437B96">
      <w:pPr>
        <w:pStyle w:val="enumlev2"/>
        <w:spacing w:after="80"/>
        <w:rPr>
          <w:lang w:val="ar-SA" w:bidi="ar-SY"/>
        </w:rPr>
      </w:pPr>
      <w:r w:rsidRPr="007B2947">
        <w:rPr>
          <w:rFonts w:hint="eastAsia"/>
          <w:sz w:val="14"/>
          <w:szCs w:val="14"/>
        </w:rPr>
        <w:t>○</w:t>
      </w:r>
      <w:r>
        <w:rPr>
          <w:rtl/>
          <w:lang w:bidi="ar-EG"/>
        </w:rPr>
        <w:tab/>
      </w:r>
      <w:r w:rsidRPr="007B2947">
        <w:rPr>
          <w:rtl/>
        </w:rPr>
        <w:t xml:space="preserve">السيد علي </w:t>
      </w:r>
      <w:proofErr w:type="spellStart"/>
      <w:r w:rsidRPr="007B2947">
        <w:rPr>
          <w:rtl/>
        </w:rPr>
        <w:t>عباسين</w:t>
      </w:r>
      <w:proofErr w:type="spellEnd"/>
      <w:r w:rsidRPr="007B2947">
        <w:rPr>
          <w:rtl/>
        </w:rPr>
        <w:t xml:space="preserve"> (الجزائر)</w:t>
      </w:r>
    </w:p>
    <w:p w14:paraId="470E2619" w14:textId="53D07432" w:rsidR="007B2947" w:rsidRPr="007B2947" w:rsidRDefault="007B2947" w:rsidP="00437B96">
      <w:pPr>
        <w:pStyle w:val="enumlev2"/>
        <w:spacing w:after="80"/>
        <w:rPr>
          <w:lang w:val="ar-SA" w:bidi="ar-SY"/>
        </w:rPr>
      </w:pPr>
      <w:r w:rsidRPr="007B2947">
        <w:rPr>
          <w:rFonts w:hint="eastAsia"/>
          <w:sz w:val="14"/>
          <w:szCs w:val="14"/>
        </w:rPr>
        <w:t>○</w:t>
      </w:r>
      <w:r>
        <w:rPr>
          <w:rtl/>
          <w:lang w:bidi="ar-EG"/>
        </w:rPr>
        <w:tab/>
      </w:r>
      <w:r w:rsidRPr="007B2947">
        <w:rPr>
          <w:rtl/>
        </w:rPr>
        <w:t xml:space="preserve">السيد ماريوس </w:t>
      </w:r>
      <w:proofErr w:type="spellStart"/>
      <w:r w:rsidRPr="007B2947">
        <w:rPr>
          <w:rtl/>
        </w:rPr>
        <w:t>أنجيلوبوبولوس</w:t>
      </w:r>
      <w:proofErr w:type="spellEnd"/>
      <w:r w:rsidRPr="007B2947">
        <w:rPr>
          <w:rtl/>
        </w:rPr>
        <w:t xml:space="preserve"> (اليونان)</w:t>
      </w:r>
    </w:p>
    <w:p w14:paraId="04D87683" w14:textId="3759FDD4" w:rsidR="007B2947" w:rsidRPr="007B2947" w:rsidRDefault="007B2947" w:rsidP="00437B96">
      <w:pPr>
        <w:pStyle w:val="enumlev2"/>
        <w:spacing w:after="80"/>
        <w:rPr>
          <w:lang w:val="ar-SA" w:bidi="ar-SY"/>
        </w:rPr>
      </w:pPr>
      <w:r w:rsidRPr="007B2947">
        <w:rPr>
          <w:rFonts w:hint="eastAsia"/>
          <w:sz w:val="14"/>
          <w:szCs w:val="14"/>
        </w:rPr>
        <w:t>○</w:t>
      </w:r>
      <w:r>
        <w:rPr>
          <w:rtl/>
          <w:lang w:bidi="ar-EG"/>
        </w:rPr>
        <w:tab/>
      </w:r>
      <w:r w:rsidRPr="007B2947">
        <w:rPr>
          <w:rtl/>
        </w:rPr>
        <w:t xml:space="preserve">السيدة ريكاردا </w:t>
      </w:r>
      <w:proofErr w:type="spellStart"/>
      <w:r w:rsidRPr="007B2947">
        <w:rPr>
          <w:rtl/>
        </w:rPr>
        <w:t>ريندي</w:t>
      </w:r>
      <w:proofErr w:type="spellEnd"/>
      <w:r w:rsidRPr="007B2947">
        <w:rPr>
          <w:rtl/>
        </w:rPr>
        <w:t xml:space="preserve"> (البرازيل)</w:t>
      </w:r>
    </w:p>
    <w:p w14:paraId="7F472281" w14:textId="41563918" w:rsidR="007B2947" w:rsidRPr="007B2947" w:rsidRDefault="007B2947" w:rsidP="00437B96">
      <w:pPr>
        <w:pStyle w:val="enumlev2"/>
        <w:spacing w:after="80"/>
        <w:rPr>
          <w:lang w:val="ar-SA" w:bidi="ar-SY"/>
        </w:rPr>
      </w:pPr>
      <w:r w:rsidRPr="007B2947">
        <w:rPr>
          <w:rFonts w:hint="eastAsia"/>
          <w:sz w:val="14"/>
          <w:szCs w:val="14"/>
        </w:rPr>
        <w:t>○</w:t>
      </w:r>
      <w:r>
        <w:rPr>
          <w:rtl/>
          <w:lang w:bidi="ar-EG"/>
        </w:rPr>
        <w:tab/>
      </w:r>
      <w:r w:rsidRPr="007B2947">
        <w:rPr>
          <w:rtl/>
        </w:rPr>
        <w:t xml:space="preserve">السيد مارتن </w:t>
      </w:r>
      <w:proofErr w:type="spellStart"/>
      <w:r w:rsidRPr="007B2947">
        <w:rPr>
          <w:rtl/>
        </w:rPr>
        <w:t>برينسكوف</w:t>
      </w:r>
      <w:proofErr w:type="spellEnd"/>
      <w:r w:rsidRPr="007B2947">
        <w:rPr>
          <w:rtl/>
        </w:rPr>
        <w:t xml:space="preserve"> (مبادرة المدن والمجتمعات الذكية المفتوحة والنشيطة)</w:t>
      </w:r>
    </w:p>
    <w:p w14:paraId="6703A16D" w14:textId="77777777" w:rsidR="007B2947" w:rsidRPr="007B2947" w:rsidRDefault="007B2947" w:rsidP="007B2947">
      <w:pPr>
        <w:rPr>
          <w:lang w:val="ar-SA" w:bidi="ar-SY"/>
        </w:rPr>
      </w:pPr>
      <w:r w:rsidRPr="007B2947">
        <w:rPr>
          <w:rtl/>
        </w:rPr>
        <w:t>ويمكن للفريق المتخصص تعيين قادة إضافيين لتعزيز فريق إدارته.</w:t>
      </w:r>
    </w:p>
    <w:p w14:paraId="670D53EB" w14:textId="7BD08109" w:rsidR="007B2947" w:rsidRPr="007B2947" w:rsidRDefault="007B2947" w:rsidP="007B2947">
      <w:pPr>
        <w:rPr>
          <w:lang w:val="ar-SA" w:bidi="ar-SY"/>
        </w:rPr>
      </w:pPr>
      <w:r w:rsidRPr="007B2947">
        <w:rPr>
          <w:rtl/>
        </w:rPr>
        <w:t>4</w:t>
      </w:r>
      <w:r w:rsidRPr="007B2947">
        <w:rPr>
          <w:rtl/>
        </w:rPr>
        <w:tab/>
        <w:t>المشاركة في الفريق المتخصص FG-AI4SSC مجانية ومفتوحة أمام أي فرد من القطاعات والتخصصات ذات الصلة، وينتمي إلى بلد عضو في الاتحاد ويكون على استعداد للمساهمة في العمل بنشاط. وندعو المهتمين بمتابعة هذه الأعمال أو المشاركة فيها إلى الانضمام إلى القائمة البريدية المخصصة لذلك؛ ويمكن الاطلاع على تفاصيل بشأن كيفية الانضمام في الموقع التالي</w:t>
      </w:r>
      <w:r w:rsidRPr="007B2947">
        <w:rPr>
          <w:lang w:bidi="ar-SY"/>
        </w:rPr>
        <w:t>:</w:t>
      </w:r>
      <w:r w:rsidRPr="007B2947">
        <w:rPr>
          <w:rtl/>
        </w:rPr>
        <w:t xml:space="preserve"> </w:t>
      </w:r>
      <w:hyperlink r:id="rId14" w:history="1">
        <w:r w:rsidRPr="007B2947">
          <w:rPr>
            <w:rStyle w:val="Hyperlink"/>
            <w:rtl/>
          </w:rPr>
          <w:t>https://itu.int/go/ai4ssc/join</w:t>
        </w:r>
      </w:hyperlink>
      <w:r w:rsidRPr="007B2947">
        <w:rPr>
          <w:rtl/>
        </w:rPr>
        <w:t>.</w:t>
      </w:r>
      <w:hyperlink r:id="rId15" w:history="1"/>
    </w:p>
    <w:p w14:paraId="055945B3" w14:textId="77777777" w:rsidR="007B2947" w:rsidRPr="007B2947" w:rsidRDefault="007B2947" w:rsidP="007B2947">
      <w:pPr>
        <w:rPr>
          <w:lang w:val="ar-SA" w:bidi="ar-SY"/>
        </w:rPr>
      </w:pPr>
      <w:r w:rsidRPr="007B2947">
        <w:rPr>
          <w:rtl/>
        </w:rPr>
        <w:t>5</w:t>
      </w:r>
      <w:r w:rsidRPr="007B2947">
        <w:rPr>
          <w:rtl/>
        </w:rPr>
        <w:tab/>
        <w:t xml:space="preserve">سيعمل الفريق المتخصص بموجب الإجراءات المنصوص عليها في التوصية ITU-T A.7 وضمن الاختصاصات المتفق عليها الواردة في </w:t>
      </w:r>
      <w:r w:rsidRPr="007B2947">
        <w:rPr>
          <w:b/>
          <w:bCs/>
          <w:rtl/>
        </w:rPr>
        <w:t>الملحق 1</w:t>
      </w:r>
      <w:r w:rsidRPr="007B2947">
        <w:rPr>
          <w:rtl/>
        </w:rPr>
        <w:t>. وتبلغ مدة ولاية الفريق المتخصص سنة واحدة اعتباراً من الاجتماع الأول، مع إمكانية التمديد.</w:t>
      </w:r>
    </w:p>
    <w:p w14:paraId="4CD3AA03" w14:textId="77777777" w:rsidR="007B2947" w:rsidRPr="007B2947" w:rsidRDefault="007B2947" w:rsidP="007B2947">
      <w:pPr>
        <w:rPr>
          <w:lang w:val="ar-SA" w:bidi="ar-SY"/>
        </w:rPr>
      </w:pPr>
      <w:r w:rsidRPr="007B2947">
        <w:rPr>
          <w:rtl/>
        </w:rPr>
        <w:t>6</w:t>
      </w:r>
      <w:r w:rsidRPr="007B2947">
        <w:rPr>
          <w:rtl/>
        </w:rPr>
        <w:tab/>
        <w:t>لتمكين الاتحاد من اتخاذ الترتيبات اللازمة، يُرجى من المشاركين التسجيل عبر الإنترنت على الصفحة الرئيسية للفريق المتخصص FG-AI4SSC لحضور أي من اجتماعاته. ويرجى الإحاطة علماً بأن التسجيل المسبق للمشاركة في الأحداث يُجرى عبر الإنترنت حصراً.</w:t>
      </w:r>
    </w:p>
    <w:p w14:paraId="6F2E0197" w14:textId="52E42425" w:rsidR="007B2947" w:rsidRPr="007B2947" w:rsidRDefault="007B2947" w:rsidP="007B2947">
      <w:pPr>
        <w:rPr>
          <w:lang w:val="ar-SA" w:bidi="ar-EG"/>
        </w:rPr>
      </w:pPr>
      <w:r w:rsidRPr="007B2947">
        <w:rPr>
          <w:rtl/>
        </w:rPr>
        <w:t>7</w:t>
      </w:r>
      <w:r w:rsidRPr="007B2947">
        <w:rPr>
          <w:rtl/>
        </w:rPr>
        <w:tab/>
        <w:t xml:space="preserve">سيُعقد </w:t>
      </w:r>
      <w:r w:rsidRPr="007B2947">
        <w:rPr>
          <w:b/>
          <w:bCs/>
          <w:rtl/>
        </w:rPr>
        <w:t>الاجتماع الأول</w:t>
      </w:r>
      <w:r w:rsidRPr="007B2947">
        <w:rPr>
          <w:rtl/>
        </w:rPr>
        <w:t xml:space="preserve"> للفريق المتخصص FG-AI4SSC في </w:t>
      </w:r>
      <w:proofErr w:type="spellStart"/>
      <w:r w:rsidRPr="007B2947">
        <w:rPr>
          <w:rtl/>
        </w:rPr>
        <w:t>تامبيري</w:t>
      </w:r>
      <w:proofErr w:type="spellEnd"/>
      <w:r w:rsidRPr="007B2947">
        <w:rPr>
          <w:rtl/>
        </w:rPr>
        <w:t>، فنلندا، يوم</w:t>
      </w:r>
      <w:r w:rsidR="00367A06">
        <w:rPr>
          <w:rFonts w:hint="cs"/>
          <w:rtl/>
        </w:rPr>
        <w:t>َ</w:t>
      </w:r>
      <w:r w:rsidRPr="007B2947">
        <w:rPr>
          <w:rtl/>
        </w:rPr>
        <w:t xml:space="preserve">ي 10 و11 سبتمبر 2026، وستتكرم مدينة </w:t>
      </w:r>
      <w:proofErr w:type="spellStart"/>
      <w:r w:rsidRPr="007B2947">
        <w:rPr>
          <w:rtl/>
        </w:rPr>
        <w:t>تامبيري</w:t>
      </w:r>
      <w:proofErr w:type="spellEnd"/>
      <w:r w:rsidRPr="007B2947">
        <w:rPr>
          <w:rtl/>
        </w:rPr>
        <w:t xml:space="preserve"> باستضافته.</w:t>
      </w:r>
    </w:p>
    <w:p w14:paraId="52FFE927" w14:textId="30ECF5DC" w:rsidR="007B2947" w:rsidRPr="007B2947" w:rsidRDefault="007B2947" w:rsidP="007B2947">
      <w:pPr>
        <w:rPr>
          <w:lang w:val="ar-SA" w:bidi="ar-EG"/>
        </w:rPr>
      </w:pPr>
      <w:r w:rsidRPr="007B2947">
        <w:rPr>
          <w:rtl/>
        </w:rPr>
        <w:t>8</w:t>
      </w:r>
      <w:r w:rsidRPr="007B2947">
        <w:rPr>
          <w:rtl/>
        </w:rPr>
        <w:tab/>
        <w:t>‏</w:t>
      </w:r>
      <w:r w:rsidRPr="007B2947">
        <w:rPr>
          <w:b/>
          <w:bCs/>
          <w:rtl/>
        </w:rPr>
        <w:t>سيُعقد قبل</w:t>
      </w:r>
      <w:r w:rsidRPr="007B2947">
        <w:rPr>
          <w:rtl/>
        </w:rPr>
        <w:t xml:space="preserve"> الاجتماع الأول للفريق </w:t>
      </w:r>
      <w:r w:rsidRPr="007B2947">
        <w:rPr>
          <w:b/>
          <w:bCs/>
          <w:rtl/>
        </w:rPr>
        <w:t>منتدى</w:t>
      </w:r>
      <w:r w:rsidRPr="007B2947">
        <w:rPr>
          <w:rtl/>
        </w:rPr>
        <w:t xml:space="preserve"> يوم</w:t>
      </w:r>
      <w:r w:rsidR="00DC680E">
        <w:rPr>
          <w:rFonts w:hint="cs"/>
          <w:rtl/>
        </w:rPr>
        <w:t>َ</w:t>
      </w:r>
      <w:r w:rsidRPr="007B2947">
        <w:rPr>
          <w:rtl/>
        </w:rPr>
        <w:t xml:space="preserve">ي ‎9 ‏و‎10 ‏سبتمبر ‎2026 ‏في نفس المكان.‎ انظر </w:t>
      </w:r>
      <w:hyperlink r:id="rId16" w:history="1">
        <w:r w:rsidRPr="007B2947">
          <w:rPr>
            <w:rStyle w:val="Hyperlink"/>
            <w:rtl/>
          </w:rPr>
          <w:t>الرسالة المعممة 146 لمكتب تقييس الاتصالات</w:t>
        </w:r>
      </w:hyperlink>
      <w:r w:rsidRPr="007B2947">
        <w:rPr>
          <w:rtl/>
        </w:rPr>
        <w:t xml:space="preserve"> لمزيد من التفاصيل</w:t>
      </w:r>
      <w:r>
        <w:rPr>
          <w:rFonts w:hint="cs"/>
          <w:rtl/>
          <w:lang w:bidi="ar-EG"/>
        </w:rPr>
        <w:t>.</w:t>
      </w:r>
    </w:p>
    <w:p w14:paraId="3EA05B34" w14:textId="77777777" w:rsidR="007B2947" w:rsidRPr="007B2947" w:rsidRDefault="007B2947" w:rsidP="007B2947">
      <w:pPr>
        <w:rPr>
          <w:lang w:val="ar-SA" w:bidi="ar-SY"/>
        </w:rPr>
      </w:pPr>
      <w:r w:rsidRPr="007B2947">
        <w:rPr>
          <w:rtl/>
        </w:rPr>
        <w:t>9</w:t>
      </w:r>
      <w:r w:rsidRPr="007B2947">
        <w:rPr>
          <w:rtl/>
        </w:rPr>
        <w:tab/>
        <w:t>تشمل أهداف الاجتماع الأول ما يلي:</w:t>
      </w:r>
    </w:p>
    <w:p w14:paraId="28D7B228" w14:textId="655A427F" w:rsidR="007B2947" w:rsidRPr="007B2947" w:rsidRDefault="007B2947" w:rsidP="00DC680E">
      <w:pPr>
        <w:pStyle w:val="enumlev1"/>
        <w:spacing w:after="80"/>
        <w:rPr>
          <w:lang w:val="ar-SA"/>
        </w:rPr>
      </w:pPr>
      <w:r>
        <w:t>-</w:t>
      </w:r>
      <w:r>
        <w:tab/>
      </w:r>
      <w:r w:rsidRPr="007B2947">
        <w:rPr>
          <w:rtl/>
        </w:rPr>
        <w:t xml:space="preserve">إنشاء أفرقة عمل </w:t>
      </w:r>
      <w:r w:rsidRPr="007B2947">
        <w:t>(WG)</w:t>
      </w:r>
      <w:r w:rsidRPr="007B2947">
        <w:rPr>
          <w:rtl/>
        </w:rPr>
        <w:t xml:space="preserve"> وتعيين رؤسائها؛</w:t>
      </w:r>
    </w:p>
    <w:p w14:paraId="75DA8151" w14:textId="30BAFC13" w:rsidR="007B2947" w:rsidRPr="007B2947" w:rsidRDefault="007B2947" w:rsidP="00DC680E">
      <w:pPr>
        <w:pStyle w:val="enumlev1"/>
        <w:spacing w:after="80"/>
        <w:rPr>
          <w:lang w:val="ar-SA"/>
        </w:rPr>
      </w:pPr>
      <w:r>
        <w:t>-</w:t>
      </w:r>
      <w:r>
        <w:tab/>
      </w:r>
      <w:r w:rsidRPr="007B2947">
        <w:rPr>
          <w:rtl/>
        </w:rPr>
        <w:t>الاتفاق على هيكل الفريق، و</w:t>
      </w:r>
      <w:r w:rsidR="00C75A15">
        <w:rPr>
          <w:rFonts w:hint="cs"/>
          <w:rtl/>
        </w:rPr>
        <w:t xml:space="preserve">المنجزات </w:t>
      </w:r>
      <w:r w:rsidRPr="007B2947">
        <w:rPr>
          <w:rtl/>
        </w:rPr>
        <w:t>المتوقعة منه، ومسؤولياته، والجدول الزمني الخاص به؛</w:t>
      </w:r>
    </w:p>
    <w:p w14:paraId="5AA009FE" w14:textId="283AE889" w:rsidR="007B2947" w:rsidRPr="007B2947" w:rsidRDefault="007B2947" w:rsidP="00DC680E">
      <w:pPr>
        <w:pStyle w:val="enumlev1"/>
        <w:spacing w:after="80"/>
        <w:rPr>
          <w:lang w:val="ar-SA"/>
        </w:rPr>
      </w:pPr>
      <w:r>
        <w:t>-</w:t>
      </w:r>
      <w:r>
        <w:tab/>
      </w:r>
      <w:r w:rsidRPr="007B2947">
        <w:rPr>
          <w:rtl/>
        </w:rPr>
        <w:t>الاتفاق على أساليب عمل الفريق المتخصص على أساس التوصية ITU-T A.7؛</w:t>
      </w:r>
    </w:p>
    <w:p w14:paraId="48AC41FF" w14:textId="144CCD34" w:rsidR="007B2947" w:rsidRPr="007B2947" w:rsidRDefault="007B2947" w:rsidP="00DC680E">
      <w:pPr>
        <w:pStyle w:val="enumlev1"/>
        <w:spacing w:after="80"/>
        <w:rPr>
          <w:lang w:val="ar-SA"/>
        </w:rPr>
      </w:pPr>
      <w:r>
        <w:t>-</w:t>
      </w:r>
      <w:r>
        <w:tab/>
      </w:r>
      <w:r w:rsidRPr="007B2947">
        <w:rPr>
          <w:rtl/>
        </w:rPr>
        <w:t>الاتفاق على خطط اجتماعات الفريق المتخصص المقبلة، بما يشمل تواتر الاجتماعات؛</w:t>
      </w:r>
    </w:p>
    <w:p w14:paraId="136C9C9F" w14:textId="13BB5941" w:rsidR="007B2947" w:rsidRPr="007B2947" w:rsidRDefault="007B2947" w:rsidP="00DC680E">
      <w:pPr>
        <w:pStyle w:val="enumlev1"/>
        <w:spacing w:after="80"/>
        <w:rPr>
          <w:lang w:val="ar-SA"/>
        </w:rPr>
      </w:pPr>
      <w:r>
        <w:t>-</w:t>
      </w:r>
      <w:r>
        <w:tab/>
      </w:r>
      <w:r w:rsidRPr="007B2947">
        <w:rPr>
          <w:rtl/>
        </w:rPr>
        <w:t>النظر في المساهمات المكتوبة.</w:t>
      </w:r>
    </w:p>
    <w:p w14:paraId="48C13017" w14:textId="76568794" w:rsidR="007B2947" w:rsidRPr="007B2947" w:rsidRDefault="007B2947" w:rsidP="007B2947">
      <w:pPr>
        <w:rPr>
          <w:b/>
          <w:lang w:val="ar-SA" w:bidi="ar-SY"/>
        </w:rPr>
      </w:pPr>
      <w:r w:rsidRPr="007B2947">
        <w:rPr>
          <w:rtl/>
        </w:rPr>
        <w:t>10</w:t>
      </w:r>
      <w:r w:rsidRPr="007B2947">
        <w:rPr>
          <w:rtl/>
        </w:rPr>
        <w:tab/>
        <w:t xml:space="preserve">يُشجع بشدة تقديم مساهمات مكتوبة لمعالجة الأهداف المشار إليها أعلاه وبما يتماشى مع اختصاصات الفريق المتخصص FG-A4SSC. وينبغي تقديم المساهمات المكتوبة إلى أمانة مكتب تقييس الاتصالات </w:t>
      </w:r>
      <w:r w:rsidRPr="00581B90">
        <w:rPr>
          <w:rFonts w:cs="Calibri"/>
        </w:rPr>
        <w:t>(</w:t>
      </w:r>
      <w:hyperlink r:id="rId17" w:history="1">
        <w:r w:rsidRPr="005D42AA">
          <w:rPr>
            <w:rStyle w:val="Hyperlink"/>
            <w:rFonts w:cs="Calibri"/>
            <w:szCs w:val="18"/>
          </w:rPr>
          <w:t>tsbfgai4ssc@itu.int</w:t>
        </w:r>
      </w:hyperlink>
      <w:r w:rsidRPr="00581B90">
        <w:rPr>
          <w:rFonts w:cs="Calibri"/>
        </w:rPr>
        <w:t>)</w:t>
      </w:r>
      <w:r w:rsidRPr="007B2947">
        <w:rPr>
          <w:rtl/>
        </w:rPr>
        <w:t xml:space="preserve"> في نسق إلكتروني باستعمال </w:t>
      </w:r>
      <w:hyperlink r:id="rId18" w:anchor="/ar" w:history="1">
        <w:r w:rsidRPr="007B2947">
          <w:rPr>
            <w:rStyle w:val="Hyperlink"/>
            <w:rtl/>
          </w:rPr>
          <w:t>النماذج</w:t>
        </w:r>
      </w:hyperlink>
      <w:r w:rsidRPr="007B2947">
        <w:rPr>
          <w:rtl/>
        </w:rPr>
        <w:t xml:space="preserve"> المتاحة في الصفحة الرئيسية للفريق. </w:t>
      </w:r>
      <w:r w:rsidRPr="007B2947">
        <w:rPr>
          <w:bCs/>
          <w:rtl/>
        </w:rPr>
        <w:t>والموعد النهائي لتقديم المساهمات إلى الاجتماع الأول هو 28 أغسطس 2026.</w:t>
      </w:r>
      <w:hyperlink r:id="rId19" w:history="1"/>
      <w:hyperlink r:id="rId20" w:history="1"/>
    </w:p>
    <w:p w14:paraId="365EC244" w14:textId="77777777" w:rsidR="007B2947" w:rsidRPr="007B2947" w:rsidRDefault="007B2947" w:rsidP="007B2947">
      <w:pPr>
        <w:rPr>
          <w:lang w:val="ar-SA" w:bidi="ar-SY"/>
        </w:rPr>
      </w:pPr>
      <w:r w:rsidRPr="007B2947">
        <w:rPr>
          <w:rtl/>
        </w:rPr>
        <w:t>11</w:t>
      </w:r>
      <w:r w:rsidRPr="007B2947">
        <w:rPr>
          <w:rtl/>
        </w:rPr>
        <w:tab/>
        <w:t>سيُتاح قبل الاجتماع جدول أعمال الاجتماع ووثائقه والتفاصيل الإضافية والمعلومات العملية الأخرى (بما في ذلك المشاركة عن بُعد) في الصفحة الرئيسية للفريق المتخصص FG-AI4SSC.</w:t>
      </w:r>
    </w:p>
    <w:p w14:paraId="6C4F715C" w14:textId="77777777" w:rsidR="007B2947" w:rsidRPr="007B2947" w:rsidRDefault="007B2947" w:rsidP="007B2947">
      <w:pPr>
        <w:rPr>
          <w:lang w:val="ar-SA" w:bidi="ar-SY"/>
        </w:rPr>
      </w:pPr>
      <w:r w:rsidRPr="007B2947">
        <w:rPr>
          <w:rtl/>
        </w:rPr>
        <w:t>12</w:t>
      </w:r>
      <w:r w:rsidRPr="007B2947">
        <w:rPr>
          <w:rtl/>
        </w:rPr>
        <w:tab/>
        <w:t>وأود أن أذكّركم بأن على مواطني بعض البلدان الحصول على تأشيرة للدخول إلى فنلندا وقضاء بعض الوقت فيها. ويجب طلب التأشيرة، لمن يحتاجونها، قبل موعد القدوم، ويتم الحصول عليها من السفارة أو القنصلية التي تمثل فنلندا في بلدكم، أو من أقرب مكتب لها من بلد المغادرة في حالة عدم وجود هذا المكتب في بلدكم. ونظراً لاختلاف المواعيد النهائية لتقديم الطلب، يُقترح التأكد من الممثلية المناسبة مباشرةً وتقديم الطلب في وقت مبكر.</w:t>
      </w:r>
    </w:p>
    <w:p w14:paraId="3EBCBB47" w14:textId="77777777" w:rsidR="007B2947" w:rsidRPr="007B2947" w:rsidRDefault="007B2947" w:rsidP="007B2947">
      <w:pPr>
        <w:rPr>
          <w:lang w:val="ar-SA" w:bidi="ar-SY"/>
        </w:rPr>
      </w:pPr>
      <w:r w:rsidRPr="007B2947">
        <w:rPr>
          <w:rtl/>
        </w:rPr>
        <w:t>وستقدَّم التفاصيل الإضافية والوثائق اللازمة لمعالجة طلبات التأشيرة، إن وُجدت، في وثيقة المعلومات اللوجستية المتعلقة بالاجتماع والتي ستتاح في الصفحة الرئيسية للفريق المتخصص FG-AI4SSC.</w:t>
      </w:r>
    </w:p>
    <w:p w14:paraId="69695926" w14:textId="77777777" w:rsidR="007B2947" w:rsidRPr="007B2947" w:rsidRDefault="007B2947" w:rsidP="007B2947">
      <w:pPr>
        <w:rPr>
          <w:lang w:val="ar-SA" w:bidi="ar-SY"/>
        </w:rPr>
      </w:pPr>
      <w:r w:rsidRPr="007B2947">
        <w:rPr>
          <w:rtl/>
        </w:rPr>
        <w:lastRenderedPageBreak/>
        <w:t>13</w:t>
      </w:r>
      <w:r w:rsidRPr="007B2947">
        <w:rPr>
          <w:rtl/>
        </w:rPr>
        <w:tab/>
        <w:t>المواعيد النهائية:</w:t>
      </w:r>
    </w:p>
    <w:tbl>
      <w:tblPr>
        <w:tblStyle w:val="TableGrid"/>
        <w:bidiVisual/>
        <w:tblW w:w="5000" w:type="pct"/>
        <w:tblLayout w:type="fixed"/>
        <w:tblLook w:val="04A0" w:firstRow="1" w:lastRow="0" w:firstColumn="1" w:lastColumn="0" w:noHBand="0" w:noVBand="1"/>
      </w:tblPr>
      <w:tblGrid>
        <w:gridCol w:w="1982"/>
        <w:gridCol w:w="7647"/>
      </w:tblGrid>
      <w:tr w:rsidR="007B2947" w:rsidRPr="007B2947" w14:paraId="0A1F760C" w14:textId="77777777" w:rsidTr="00E31A21">
        <w:trPr>
          <w:trHeight w:val="438"/>
        </w:trPr>
        <w:tc>
          <w:tcPr>
            <w:tcW w:w="1999" w:type="dxa"/>
          </w:tcPr>
          <w:p w14:paraId="098DF627" w14:textId="77777777" w:rsidR="007B2947" w:rsidRPr="007B2947" w:rsidRDefault="007B2947" w:rsidP="00743CF8">
            <w:pPr>
              <w:spacing w:before="60" w:after="60" w:line="260" w:lineRule="exact"/>
              <w:rPr>
                <w:lang w:val="ar-SA" w:bidi="ar-SY"/>
              </w:rPr>
            </w:pPr>
            <w:bookmarkStart w:id="0" w:name="_Hlk124850442"/>
            <w:r w:rsidRPr="007B2947">
              <w:rPr>
                <w:rtl/>
              </w:rPr>
              <w:t>28 أغسطس 2026</w:t>
            </w:r>
          </w:p>
        </w:tc>
        <w:tc>
          <w:tcPr>
            <w:tcW w:w="7720" w:type="dxa"/>
          </w:tcPr>
          <w:p w14:paraId="2628E680" w14:textId="0366741B" w:rsidR="007B2947" w:rsidRPr="007B2947" w:rsidRDefault="009E124E" w:rsidP="009E124E">
            <w:pPr>
              <w:spacing w:before="60" w:after="60" w:line="260" w:lineRule="exact"/>
              <w:ind w:left="397" w:hanging="397"/>
              <w:rPr>
                <w:lang w:val="ar-SA" w:bidi="ar-SY"/>
              </w:rPr>
            </w:pPr>
            <w:r>
              <w:rPr>
                <w:rFonts w:hint="cs"/>
                <w:rtl/>
                <w:lang w:bidi="ar-EG"/>
              </w:rPr>
              <w:t>-</w:t>
            </w:r>
            <w:r>
              <w:rPr>
                <w:rtl/>
                <w:lang w:bidi="ar-EG"/>
              </w:rPr>
              <w:tab/>
            </w:r>
            <w:r w:rsidR="007B2947" w:rsidRPr="007B2947">
              <w:rPr>
                <w:rtl/>
              </w:rPr>
              <w:t xml:space="preserve">تقدَّم المساهمات المكتوبة (عن طريق البريد الإلكتروني إلى </w:t>
            </w:r>
            <w:hyperlink r:id="rId21" w:history="1">
              <w:r w:rsidR="007B2947" w:rsidRPr="009E124E">
                <w:rPr>
                  <w:rStyle w:val="Hyperlink"/>
                </w:rPr>
                <w:t>tsbfgai4ssc@itu.int</w:t>
              </w:r>
            </w:hyperlink>
            <w:r w:rsidR="007B2947" w:rsidRPr="009E124E">
              <w:rPr>
                <w:rFonts w:hint="cs"/>
                <w:rtl/>
                <w:lang w:bidi="ar-EG"/>
              </w:rPr>
              <w:t>)</w:t>
            </w:r>
            <w:hyperlink r:id="rId22" w:history="1"/>
          </w:p>
        </w:tc>
      </w:tr>
      <w:tr w:rsidR="007B2947" w:rsidRPr="007B2947" w14:paraId="26791C0F" w14:textId="77777777" w:rsidTr="00E31A21">
        <w:trPr>
          <w:trHeight w:val="438"/>
        </w:trPr>
        <w:tc>
          <w:tcPr>
            <w:tcW w:w="1999" w:type="dxa"/>
          </w:tcPr>
          <w:p w14:paraId="74007104" w14:textId="77777777" w:rsidR="007B2947" w:rsidRPr="007B2947" w:rsidRDefault="007B2947" w:rsidP="00743CF8">
            <w:pPr>
              <w:spacing w:before="60" w:after="60" w:line="260" w:lineRule="exact"/>
              <w:rPr>
                <w:lang w:val="ar-SA" w:bidi="ar-SY"/>
              </w:rPr>
            </w:pPr>
            <w:r w:rsidRPr="007B2947">
              <w:rPr>
                <w:rtl/>
              </w:rPr>
              <w:t>10 أغسطس 2026</w:t>
            </w:r>
          </w:p>
        </w:tc>
        <w:tc>
          <w:tcPr>
            <w:tcW w:w="7720" w:type="dxa"/>
          </w:tcPr>
          <w:p w14:paraId="4FFC8B4E" w14:textId="0EA91B3D" w:rsidR="007B2947" w:rsidRPr="007B2947" w:rsidRDefault="009E124E" w:rsidP="009E124E">
            <w:pPr>
              <w:spacing w:before="60" w:after="60" w:line="260" w:lineRule="exact"/>
              <w:ind w:left="397" w:hanging="397"/>
              <w:rPr>
                <w:spacing w:val="-4"/>
                <w:lang w:val="ar-SA" w:bidi="ar-SY"/>
              </w:rPr>
            </w:pPr>
            <w:r w:rsidRPr="00867BAE">
              <w:rPr>
                <w:rFonts w:hint="cs"/>
                <w:spacing w:val="-4"/>
                <w:rtl/>
              </w:rPr>
              <w:t>-</w:t>
            </w:r>
            <w:r w:rsidRPr="00867BAE">
              <w:rPr>
                <w:spacing w:val="-4"/>
                <w:rtl/>
              </w:rPr>
              <w:tab/>
            </w:r>
            <w:r w:rsidR="007B2947" w:rsidRPr="007B2947">
              <w:rPr>
                <w:spacing w:val="-4"/>
                <w:rtl/>
              </w:rPr>
              <w:t>التسجيل المسبق (</w:t>
            </w:r>
            <w:hyperlink r:id="rId23" w:anchor="/ar" w:history="1">
              <w:r w:rsidR="007B2947" w:rsidRPr="007B2947">
                <w:rPr>
                  <w:rStyle w:val="Hyperlink"/>
                  <w:spacing w:val="-4"/>
                  <w:rtl/>
                </w:rPr>
                <w:t>عبر الإنترنت</w:t>
              </w:r>
            </w:hyperlink>
            <w:r w:rsidR="007B2947" w:rsidRPr="007B2947">
              <w:rPr>
                <w:spacing w:val="-4"/>
                <w:rtl/>
              </w:rPr>
              <w:t xml:space="preserve"> عن طريق </w:t>
            </w:r>
            <w:hyperlink r:id="rId24" w:anchor="/ar" w:history="1">
              <w:r w:rsidR="007B2947" w:rsidRPr="007B2947">
                <w:rPr>
                  <w:rStyle w:val="Hyperlink"/>
                  <w:spacing w:val="-4"/>
                  <w:rtl/>
                </w:rPr>
                <w:t>الصفحة الرئيسية للفريق المتخصص FG</w:t>
              </w:r>
              <w:r w:rsidRPr="00867BAE">
                <w:rPr>
                  <w:rStyle w:val="Hyperlink"/>
                  <w:spacing w:val="-4"/>
                  <w:rtl/>
                </w:rPr>
                <w:noBreakHyphen/>
              </w:r>
              <w:r w:rsidR="007B2947" w:rsidRPr="007B2947">
                <w:rPr>
                  <w:rStyle w:val="Hyperlink"/>
                  <w:spacing w:val="-4"/>
                  <w:rtl/>
                </w:rPr>
                <w:t>AI4SSC</w:t>
              </w:r>
            </w:hyperlink>
            <w:r w:rsidR="007B2947" w:rsidRPr="00867BAE">
              <w:rPr>
                <w:rFonts w:hint="cs"/>
                <w:spacing w:val="-4"/>
                <w:rtl/>
                <w:lang w:bidi="ar-SY"/>
              </w:rPr>
              <w:t>)</w:t>
            </w:r>
          </w:p>
        </w:tc>
      </w:tr>
    </w:tbl>
    <w:bookmarkEnd w:id="0"/>
    <w:p w14:paraId="0F36346F" w14:textId="77777777" w:rsidR="007B2947" w:rsidRPr="007B2947" w:rsidRDefault="007B2947" w:rsidP="00176522">
      <w:pPr>
        <w:spacing w:before="240"/>
        <w:rPr>
          <w:lang w:val="ar-SA" w:bidi="ar-SY"/>
        </w:rPr>
      </w:pPr>
      <w:r w:rsidRPr="007B2947">
        <w:rPr>
          <w:rtl/>
        </w:rPr>
        <w:t>أتمنى لكم اجتماعاً مثمراً وممتعاً.</w:t>
      </w:r>
    </w:p>
    <w:p w14:paraId="06EF4CB0" w14:textId="77777777" w:rsidR="00E84438" w:rsidRPr="00D517B2" w:rsidRDefault="00E84438" w:rsidP="00891703">
      <w:pPr>
        <w:spacing w:before="240"/>
        <w:jc w:val="left"/>
        <w:rPr>
          <w:rtl/>
          <w:lang w:bidi="ar-EG"/>
        </w:rPr>
      </w:pPr>
      <w:r w:rsidRPr="00D517B2">
        <w:rPr>
          <w:rFonts w:hint="cs"/>
          <w:rtl/>
          <w:lang w:bidi="ar-EG"/>
        </w:rPr>
        <w:t>وتفضلوا بقبول فائق التقدير والاحترام.</w:t>
      </w:r>
    </w:p>
    <w:p w14:paraId="255DA53A" w14:textId="77777777" w:rsidR="00E84438" w:rsidRPr="00D517B2" w:rsidRDefault="00E84438" w:rsidP="00891703">
      <w:pPr>
        <w:spacing w:before="720" w:after="720"/>
        <w:jc w:val="left"/>
        <w:rPr>
          <w:i/>
          <w:iCs/>
          <w:lang w:bidi="ar-SY"/>
        </w:rPr>
      </w:pPr>
      <w:proofErr w:type="gramStart"/>
      <w:r w:rsidRPr="001E2788">
        <w:rPr>
          <w:rFonts w:hint="cs"/>
          <w:rtl/>
          <w:lang w:bidi="ar-SY"/>
        </w:rPr>
        <w:t>(</w:t>
      </w:r>
      <w:r w:rsidR="001E2788">
        <w:rPr>
          <w:rFonts w:hint="eastAsia"/>
          <w:rtl/>
          <w:lang w:bidi="ar-SY"/>
        </w:rPr>
        <w:t> </w:t>
      </w:r>
      <w:r w:rsidRPr="00D517B2">
        <w:rPr>
          <w:rFonts w:hint="cs"/>
          <w:i/>
          <w:iCs/>
          <w:rtl/>
          <w:lang w:bidi="ar-SY"/>
        </w:rPr>
        <w:t>توقيع</w:t>
      </w:r>
      <w:proofErr w:type="gramEnd"/>
      <w:r w:rsidRPr="001E2788">
        <w:rPr>
          <w:rFonts w:hint="cs"/>
          <w:rtl/>
          <w:lang w:bidi="ar-SY"/>
        </w:rPr>
        <w:t>)</w:t>
      </w:r>
    </w:p>
    <w:p w14:paraId="149858C5" w14:textId="77777777" w:rsidR="00E84438" w:rsidRPr="00D517B2" w:rsidRDefault="00807031" w:rsidP="00E84438">
      <w:pPr>
        <w:jc w:val="left"/>
        <w:rPr>
          <w:rtl/>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339247F9" w14:textId="77777777" w:rsidR="00596808" w:rsidRDefault="00596808" w:rsidP="00E84438">
      <w:pPr>
        <w:rPr>
          <w:rtl/>
          <w:lang w:bidi="ar-EG"/>
        </w:rPr>
      </w:pPr>
      <w:r>
        <w:rPr>
          <w:rtl/>
          <w:lang w:bidi="ar-EG"/>
        </w:rPr>
        <w:br w:type="page"/>
      </w:r>
    </w:p>
    <w:p w14:paraId="570AFA26" w14:textId="77D928A2" w:rsidR="007B2947" w:rsidRPr="007B2947" w:rsidRDefault="007B2947" w:rsidP="00C75A15">
      <w:pPr>
        <w:pStyle w:val="Annextitle"/>
        <w:rPr>
          <w:lang w:val="ar-SA" w:bidi="ar-EG"/>
        </w:rPr>
      </w:pPr>
      <w:r w:rsidRPr="007B2947">
        <w:rPr>
          <w:rtl/>
        </w:rPr>
        <w:lastRenderedPageBreak/>
        <w:t>الملحق 1</w:t>
      </w:r>
      <w:r w:rsidR="00C75A15">
        <w:rPr>
          <w:rtl/>
        </w:rPr>
        <w:br/>
      </w:r>
      <w:r w:rsidRPr="007B2947">
        <w:rPr>
          <w:rtl/>
        </w:rPr>
        <w:t>اختصاصات الفريق المتخصص لقطاع تقييس الاتصالات والمعني بالذكاء الاصطناعي</w:t>
      </w:r>
      <w:r w:rsidR="00C75A15">
        <w:br/>
      </w:r>
      <w:r w:rsidRPr="007B2947">
        <w:rPr>
          <w:rtl/>
        </w:rPr>
        <w:t xml:space="preserve">من أجل المدن والمجتمعات الذكية المستدامة </w:t>
      </w:r>
      <w:r w:rsidRPr="007B2947">
        <w:rPr>
          <w:rtl/>
          <w:lang w:bidi="ar-EG"/>
        </w:rPr>
        <w:t>(</w:t>
      </w:r>
      <w:r w:rsidRPr="007B2947">
        <w:rPr>
          <w:rtl/>
        </w:rPr>
        <w:t>FG-AI4SSC</w:t>
      </w:r>
      <w:r w:rsidRPr="007B2947">
        <w:rPr>
          <w:rtl/>
          <w:lang w:bidi="ar-EG"/>
        </w:rPr>
        <w:t>)</w:t>
      </w:r>
    </w:p>
    <w:p w14:paraId="5B2B6B0E" w14:textId="77777777" w:rsidR="007B2947" w:rsidRPr="007B2947" w:rsidRDefault="007B2947" w:rsidP="00C75A15">
      <w:pPr>
        <w:pStyle w:val="Heading1"/>
        <w:rPr>
          <w:lang w:val="ar-SA" w:bidi="ar-EG"/>
        </w:rPr>
      </w:pPr>
      <w:r w:rsidRPr="007B2947">
        <w:rPr>
          <w:rtl/>
        </w:rPr>
        <w:t>1</w:t>
      </w:r>
      <w:r w:rsidRPr="007B2947">
        <w:rPr>
          <w:rtl/>
        </w:rPr>
        <w:tab/>
        <w:t>الأساس المنطقي</w:t>
      </w:r>
    </w:p>
    <w:p w14:paraId="2BB6DD77" w14:textId="77777777" w:rsidR="007B2947" w:rsidRPr="007B2947" w:rsidRDefault="007B2947" w:rsidP="007B2947">
      <w:pPr>
        <w:rPr>
          <w:lang w:val="ar-SA" w:bidi="ar-EG"/>
        </w:rPr>
      </w:pPr>
      <w:r w:rsidRPr="007B2947">
        <w:rPr>
          <w:rtl/>
        </w:rPr>
        <w:t xml:space="preserve">يدخل الذكاء الاصطناعي </w:t>
      </w:r>
      <w:r w:rsidRPr="007B2947">
        <w:rPr>
          <w:lang w:bidi="ar-EG"/>
        </w:rPr>
        <w:t>(AI)</w:t>
      </w:r>
      <w:r w:rsidRPr="007B2947">
        <w:rPr>
          <w:rtl/>
        </w:rPr>
        <w:t xml:space="preserve"> مرحلة تشغيلية جديدة. ففي العديد من القطاعات، يُجرى الآن دمج الذكاء الاصطناعي مباشرةً في الأنظمة والخدمات، لإتاحة التخطيط الذاتي وتنسيق عملية اتخاذ القرارات في مختلف الأنظمة، والتفاعل مع البيئات المادية من خلال تكنولوجيات الذكاء الاصطناعي الحالية والمستقبلية، مثل الذكاء الاصطناعي </w:t>
      </w:r>
      <w:proofErr w:type="gramStart"/>
      <w:r w:rsidRPr="007B2947">
        <w:rPr>
          <w:rtl/>
        </w:rPr>
        <w:t>التوليدي</w:t>
      </w:r>
      <w:proofErr w:type="gramEnd"/>
      <w:r w:rsidRPr="007B2947">
        <w:rPr>
          <w:rtl/>
        </w:rPr>
        <w:t xml:space="preserve"> أو الذكاء الاصطناعي الوكيل أو الذكاء الاصطناعي المادي أو الذكاء الاصطناعي المكاني. بل أصبحت تكنولوجيات الذكاء الاصطناعي هذه تحتل موقعاً مركزياً يوماً بعد يوم في الأنظمة الإيكولوجية الرقمية الحضرية، حيث تمكِّن تشغيل الأنظمة والخدمات الحضرية المدعومة بالذكاء الاصطناعي، التي يمكنها التفكير المنطقي وتنسيق الإجراءات الذاتية والتفاعل المباشر مع النسيج المادي للمدن.</w:t>
      </w:r>
    </w:p>
    <w:p w14:paraId="215AEEDB" w14:textId="77777777" w:rsidR="007B2947" w:rsidRPr="007B2947" w:rsidRDefault="007B2947" w:rsidP="007B2947">
      <w:pPr>
        <w:rPr>
          <w:lang w:val="ar-SA" w:bidi="ar-EG"/>
        </w:rPr>
      </w:pPr>
      <w:r w:rsidRPr="007B2947">
        <w:rPr>
          <w:rtl/>
        </w:rPr>
        <w:t xml:space="preserve">وفي هذا السياق، لم يعد الذكاء الاصطناعي أداة معزولة عما حولها، بل قدرة مدمجة في مختلف الخدمات الحضرية والعمليات التشغيلية للبنية التحتية، وعمليات الحوكمة والبيئات الرقمية والمادية، حيث يعمل بمثابة عامل تمكيني رئيسي </w:t>
      </w:r>
      <w:proofErr w:type="spellStart"/>
      <w:r w:rsidRPr="007B2947">
        <w:rPr>
          <w:rtl/>
        </w:rPr>
        <w:t>للسيتيفيرس</w:t>
      </w:r>
      <w:proofErr w:type="spellEnd"/>
      <w:r w:rsidRPr="007B2947">
        <w:rPr>
          <w:rtl/>
        </w:rPr>
        <w:t>، ما يؤشر بنشوء نوع جديد من التحول الرقمي المدعوم بالذكاء الاصطناعي.</w:t>
      </w:r>
    </w:p>
    <w:p w14:paraId="388A0C1E" w14:textId="77777777" w:rsidR="007B2947" w:rsidRPr="007B2947" w:rsidRDefault="007B2947" w:rsidP="007B2947">
      <w:pPr>
        <w:rPr>
          <w:lang w:val="ar-SA" w:bidi="ar-EG"/>
        </w:rPr>
      </w:pPr>
      <w:r w:rsidRPr="007B2947">
        <w:rPr>
          <w:rtl/>
        </w:rPr>
        <w:t>ويمتد هذا التحول إلى العديد من الميادين على نطاق المدن والمجتمعات المحلية، ويشمل ذلك التنقل، والزراعة، والصناعة، والسياحة، والمرافق، والخدمات العامة، والسلامة العامة، والرصد البيئي، والتخطيط الحضري. ويشمل أيضاً طبقات متعددة من الأنظمة، من الأجهزة وبيئات الحافة إلى المنصات، والتوائم الرقمية، والأنظمة التشغيلية على مستوى المدن. بيد أن المشهد الحالي للتقييس لا يواكب بشكل كامل وتيرة هذه التطورات التكنولوجية ونطاقها وتأثيرها الشامل داخل نسيج الأنظمة الحضرية. فغالباً ما تركز أنشطة التقييس الحالية على تكنولوجيات بذاتها أو ميادين تطبيق محددة، لكنها لا تتناول حتى الآن تمكين الذكاء الاصطناعي على مستوى المدن والمجتمعات الذكية المستدامة باعتباره تشكيلاً من أنظمة اجتماعية وتقنية مترابطة.</w:t>
      </w:r>
    </w:p>
    <w:p w14:paraId="22FFBC75" w14:textId="77777777" w:rsidR="007B2947" w:rsidRPr="007B2947" w:rsidRDefault="007B2947" w:rsidP="007B2947">
      <w:pPr>
        <w:rPr>
          <w:lang w:val="ar-SA" w:bidi="ar-EG"/>
        </w:rPr>
      </w:pPr>
      <w:r w:rsidRPr="007B2947">
        <w:rPr>
          <w:rtl/>
        </w:rPr>
        <w:t>وإذا شئنا التحديد، فلا يعالج العمل الحالي بشأن المدن والمجتمعات الذكية المستدامة والتوائم الرقمية وأنظمة إنترنت الأشياء بما يكفي جوانب التكامل المطلوبة للأنظمة والخدمات الحضرية المدعومة بالذكاء الاصطناعي. ويشمل ذلك السطوح البينية وقابلية التشغيل البيني وآليات التنسيق والأطر الضرورية لتمكين تكنولوجيات الذكاء الاصطناعي من الاندماج بشكل متناسق وآمن وفعال مع أنظمة وخدمات إنترنت الأشياء والتوائم الرقمي والمدن والمجتمعات الذكية المستدامة في إطار عمليات النشر على مستوى المدن.</w:t>
      </w:r>
    </w:p>
    <w:p w14:paraId="47ED9B03" w14:textId="77777777" w:rsidR="007B2947" w:rsidRPr="007B2947" w:rsidRDefault="007B2947" w:rsidP="007B2947">
      <w:pPr>
        <w:rPr>
          <w:lang w:val="ar-SA" w:bidi="ar-EG"/>
        </w:rPr>
      </w:pPr>
      <w:r w:rsidRPr="007B2947">
        <w:rPr>
          <w:rtl/>
        </w:rPr>
        <w:t>وسيوفر هذا الفريق المتخصص منبراً عالمياً للأنشطة السابقة على التقييس من أجل بلورة فهم مشترك واكتشاف الثغرات وإرساء اللبنات الأساسية للتوصيات المستقبلية لقطاع تقييس الاتصالات، في إطار عمل لجنة الدراسات 20 لقطاع تقييس الاتصالات.</w:t>
      </w:r>
    </w:p>
    <w:p w14:paraId="01609903" w14:textId="77777777" w:rsidR="007B2947" w:rsidRPr="007B2947" w:rsidRDefault="007B2947" w:rsidP="00C75A15">
      <w:pPr>
        <w:pStyle w:val="Heading1"/>
        <w:rPr>
          <w:lang w:val="ar-SA" w:bidi="ar-EG"/>
        </w:rPr>
      </w:pPr>
      <w:r w:rsidRPr="007B2947">
        <w:rPr>
          <w:rtl/>
        </w:rPr>
        <w:t>2</w:t>
      </w:r>
      <w:r w:rsidRPr="007B2947">
        <w:rPr>
          <w:rtl/>
        </w:rPr>
        <w:tab/>
        <w:t>مجال التطبيق</w:t>
      </w:r>
    </w:p>
    <w:p w14:paraId="71DAB02C" w14:textId="77777777" w:rsidR="007B2947" w:rsidRPr="007B2947" w:rsidRDefault="007B2947" w:rsidP="007B2947">
      <w:pPr>
        <w:rPr>
          <w:lang w:val="ar-SA" w:bidi="ar-EG"/>
        </w:rPr>
      </w:pPr>
      <w:r w:rsidRPr="007B2947">
        <w:rPr>
          <w:rtl/>
        </w:rPr>
        <w:t>سيجري هذا الفريق المتخصص الأنشطة السابقة على التقييس بغرض معالجة جوانب التكامل المطلوبة للأنظمة والخدمات الحضرية المدعومة بالذكاء الاصطناعي، بما في ذلك المتطلبات والسطوح البينية وآليات التنسيق والأطر الضرورية لتمكين تكنولوجيات الذكاء الاصطناعي الحالية والمستقبلية من التشغيل البيني بشكل متناسق وآمن وفعال مع أنظمة وخدمات إنترنت الأشياء والتوائم الرقمية والمدن والمجتمعات الذكية المستدامة، في إطار عمليات النشر على مستوى المدن وفقاً للقرار 214 (بوخارست، 2022) لمؤتمر المندوبين المفوضين.</w:t>
      </w:r>
    </w:p>
    <w:p w14:paraId="6DA58F01" w14:textId="77777777" w:rsidR="007B2947" w:rsidRPr="007B2947" w:rsidRDefault="007B2947" w:rsidP="007B2947">
      <w:pPr>
        <w:rPr>
          <w:lang w:val="ar-SA" w:bidi="ar-EG"/>
        </w:rPr>
      </w:pPr>
      <w:r w:rsidRPr="007B2947">
        <w:rPr>
          <w:rtl/>
        </w:rPr>
        <w:t>وسيتناول الفريق المتخصص الجوانب التالية:</w:t>
      </w:r>
    </w:p>
    <w:p w14:paraId="036C0AE2" w14:textId="77777777" w:rsidR="007B2947" w:rsidRPr="007B2947" w:rsidRDefault="007B2947" w:rsidP="00503559">
      <w:pPr>
        <w:pStyle w:val="enumlev1"/>
        <w:spacing w:after="80"/>
        <w:rPr>
          <w:lang w:val="ar-SA" w:bidi="ar-EG"/>
        </w:rPr>
      </w:pPr>
      <w:r w:rsidRPr="007B2947">
        <w:rPr>
          <w:lang w:bidi="ar-EG"/>
        </w:rPr>
        <w:t>–</w:t>
      </w:r>
      <w:r w:rsidRPr="007B2947">
        <w:rPr>
          <w:rtl/>
        </w:rPr>
        <w:tab/>
        <w:t>التعريفات والمصطلحات والتصنيفات والمفاهيم والرؤية المتعلقة بالذكاء الاصطناعي من أجل المدن والمجتمعات الذكية المستدامة، والأنظمة والخدمات الحضرية المدعومة بالذكاء الاصطناعي، ويشمل ذلك حالات استعمال تخصصية تمثيلية تشمل ميادين متعددة.</w:t>
      </w:r>
    </w:p>
    <w:p w14:paraId="62EA3AC5" w14:textId="77777777" w:rsidR="007B2947" w:rsidRPr="007B2947" w:rsidRDefault="007B2947" w:rsidP="00503559">
      <w:pPr>
        <w:pStyle w:val="enumlev1"/>
        <w:spacing w:after="80"/>
        <w:rPr>
          <w:lang w:val="ar-SA" w:bidi="ar-EG"/>
        </w:rPr>
      </w:pPr>
      <w:r w:rsidRPr="007B2947">
        <w:rPr>
          <w:lang w:bidi="ar-EG"/>
        </w:rPr>
        <w:t>–</w:t>
      </w:r>
      <w:r w:rsidRPr="007B2947">
        <w:rPr>
          <w:rtl/>
        </w:rPr>
        <w:tab/>
        <w:t>خصائص ومتطلبات وأطر تكنولوجيات الذكاء الاصطناعي من أجل المدن والمجتمعات الذكية المستدامة؛</w:t>
      </w:r>
    </w:p>
    <w:p w14:paraId="4EDD7A06" w14:textId="77777777" w:rsidR="007B2947" w:rsidRPr="007B2947" w:rsidRDefault="007B2947" w:rsidP="00503559">
      <w:pPr>
        <w:pStyle w:val="enumlev1"/>
        <w:spacing w:after="80"/>
        <w:rPr>
          <w:lang w:val="ar-SA" w:bidi="ar-EG"/>
        </w:rPr>
      </w:pPr>
      <w:r w:rsidRPr="007B2947">
        <w:rPr>
          <w:lang w:bidi="ar-EG"/>
        </w:rPr>
        <w:t>–</w:t>
      </w:r>
      <w:r w:rsidRPr="007B2947">
        <w:rPr>
          <w:rtl/>
        </w:rPr>
        <w:tab/>
        <w:t>الأطر المعمارية والنماذج المرجعية للأنظمة والخدمات الحضرية المدعومة بالذكاء الاصطناعي لتمكين عمليات النشر القابلة للتشغيل البيني والتطوير في ميادين متخصصة؛</w:t>
      </w:r>
    </w:p>
    <w:p w14:paraId="219F0595" w14:textId="77777777" w:rsidR="007B2947" w:rsidRPr="007B2947" w:rsidRDefault="007B2947" w:rsidP="00503559">
      <w:pPr>
        <w:pStyle w:val="enumlev1"/>
        <w:spacing w:after="80"/>
        <w:rPr>
          <w:lang w:val="ar-SA" w:bidi="ar-EG"/>
        </w:rPr>
      </w:pPr>
      <w:r w:rsidRPr="007B2947">
        <w:rPr>
          <w:lang w:bidi="ar-EG"/>
        </w:rPr>
        <w:lastRenderedPageBreak/>
        <w:t>–</w:t>
      </w:r>
      <w:r w:rsidRPr="007B2947">
        <w:rPr>
          <w:rtl/>
        </w:rPr>
        <w:tab/>
        <w:t xml:space="preserve">آليات التشغيل البيني والتنسيق التي تتيحها تكنولوجيات الذكاء الاصطناعي من أجل المدن والمجتمعات الذكية المستدامة في مختلف الأنظمة التشغيلية للمدن، ويشمل ذلك الحد الأدنى من آليات التشغيل البيني </w:t>
      </w:r>
      <w:r w:rsidRPr="007B2947">
        <w:rPr>
          <w:lang w:bidi="ar-EG"/>
        </w:rPr>
        <w:t>(MIM)</w:t>
      </w:r>
      <w:r w:rsidRPr="007B2947">
        <w:rPr>
          <w:rtl/>
        </w:rPr>
        <w:t>؛</w:t>
      </w:r>
    </w:p>
    <w:p w14:paraId="6CA5F0F4" w14:textId="77777777" w:rsidR="007B2947" w:rsidRPr="007B2947" w:rsidRDefault="007B2947" w:rsidP="00503559">
      <w:pPr>
        <w:pStyle w:val="enumlev1"/>
        <w:spacing w:after="80"/>
        <w:rPr>
          <w:lang w:val="ar-SA" w:bidi="ar-EG"/>
        </w:rPr>
      </w:pPr>
      <w:r w:rsidRPr="007B2947">
        <w:rPr>
          <w:lang w:bidi="ar-EG"/>
        </w:rPr>
        <w:t>–</w:t>
      </w:r>
      <w:r w:rsidRPr="007B2947">
        <w:rPr>
          <w:rtl/>
        </w:rPr>
        <w:tab/>
        <w:t>اعتبارات المتطلبات المتعلقة بآليات الإشراف والتحكم في الأنظمة والخدمات الحضرية المدعومة بالذكاء الاصطناعي، مع مراعاة الأهمية الحيوية للخدمة والمتطلبات التشغيلية؛</w:t>
      </w:r>
    </w:p>
    <w:p w14:paraId="3519B9F3" w14:textId="77777777" w:rsidR="007B2947" w:rsidRPr="007B2947" w:rsidRDefault="007B2947" w:rsidP="00503559">
      <w:pPr>
        <w:pStyle w:val="enumlev1"/>
        <w:spacing w:after="80"/>
        <w:rPr>
          <w:lang w:val="ar-SA" w:bidi="ar-EG"/>
        </w:rPr>
      </w:pPr>
      <w:r w:rsidRPr="007B2947">
        <w:rPr>
          <w:lang w:bidi="ar-EG"/>
        </w:rPr>
        <w:t>–</w:t>
      </w:r>
      <w:r w:rsidRPr="007B2947">
        <w:rPr>
          <w:rtl/>
        </w:rPr>
        <w:tab/>
        <w:t>الجوانب المتعلقة بالبيانات في تكنولوجيات الذكاء الاصطناعي من أجل المدن والمجتمعات الذكية المستدامة، بما في ذلك الاعتبارات المتعلقة بقابلية التشغيل البيني ومشاركة البيانات والجودة ودورة الحياة؛</w:t>
      </w:r>
    </w:p>
    <w:p w14:paraId="36FF7C1D" w14:textId="77777777" w:rsidR="007B2947" w:rsidRPr="007B2947" w:rsidRDefault="007B2947" w:rsidP="00503559">
      <w:pPr>
        <w:pStyle w:val="enumlev1"/>
        <w:spacing w:after="80"/>
        <w:rPr>
          <w:lang w:val="ar-SA" w:bidi="ar-EG"/>
        </w:rPr>
      </w:pPr>
      <w:r w:rsidRPr="007B2947">
        <w:rPr>
          <w:lang w:bidi="ar-EG"/>
        </w:rPr>
        <w:t>–</w:t>
      </w:r>
      <w:r w:rsidRPr="007B2947">
        <w:rPr>
          <w:rtl/>
        </w:rPr>
        <w:tab/>
        <w:t>أطر إدارة دورة حياة تكنولوجيات الذكاء الاصطناعي من أجل المدن والمجتمعات الذكية المستدامة، وتقييمها وتقديرها، بما في ذلك آليات القياس المرجعي والرصد والمقارنة الدولية؛</w:t>
      </w:r>
    </w:p>
    <w:p w14:paraId="02494067" w14:textId="77777777" w:rsidR="007B2947" w:rsidRPr="007B2947" w:rsidRDefault="007B2947" w:rsidP="00503559">
      <w:pPr>
        <w:pStyle w:val="enumlev1"/>
        <w:spacing w:after="80"/>
        <w:rPr>
          <w:lang w:val="ar-SA" w:bidi="ar-EG"/>
        </w:rPr>
      </w:pPr>
      <w:r w:rsidRPr="007B2947">
        <w:rPr>
          <w:lang w:bidi="ar-EG"/>
        </w:rPr>
        <w:t>–</w:t>
      </w:r>
      <w:r w:rsidRPr="007B2947">
        <w:rPr>
          <w:rtl/>
        </w:rPr>
        <w:tab/>
        <w:t>الجوانب المتمحورة حول الإنسان والشمول في تكنولوجيات الذكاء الاصطناعي من أجل المدن والمجتمعات الذكية المستدامة، ويشمل ذلك إمكانية النفاذ والصحة الرقمية في إنترنت الأشياء والمدن والمجتمعات الذكية المستدامة، والتعاون بين الإنسان والذكاء الاصطناعي في الخدمات الحضرية؛</w:t>
      </w:r>
    </w:p>
    <w:p w14:paraId="4F38570E" w14:textId="77777777" w:rsidR="007B2947" w:rsidRPr="007B2947" w:rsidRDefault="007B2947" w:rsidP="00503559">
      <w:pPr>
        <w:pStyle w:val="enumlev1"/>
        <w:spacing w:after="80"/>
        <w:rPr>
          <w:lang w:val="ar-SA" w:bidi="ar-EG"/>
        </w:rPr>
      </w:pPr>
      <w:r w:rsidRPr="007B2947">
        <w:rPr>
          <w:lang w:bidi="ar-EG"/>
        </w:rPr>
        <w:t>–</w:t>
      </w:r>
      <w:r w:rsidRPr="007B2947">
        <w:rPr>
          <w:rtl/>
        </w:rPr>
        <w:tab/>
        <w:t>تقييم الجاهزية للذكاء الاصطناعي وتأثيره في المدن والمجتمعات الذكية المستدامة، مع الاستفادة من التوصيات والمنهجيات الحالية ذات الصلة التي أصدرها قطاع تقييس الاتصالات بالاتحاد، حسبما يقتضي الأمر؛</w:t>
      </w:r>
    </w:p>
    <w:p w14:paraId="3F70914D" w14:textId="77777777" w:rsidR="007B2947" w:rsidRPr="007B2947" w:rsidRDefault="007B2947" w:rsidP="00503559">
      <w:pPr>
        <w:pStyle w:val="enumlev1"/>
        <w:spacing w:after="80"/>
        <w:rPr>
          <w:lang w:val="ar-SA" w:bidi="ar-EG"/>
        </w:rPr>
      </w:pPr>
      <w:r w:rsidRPr="007B2947">
        <w:rPr>
          <w:lang w:bidi="ar-EG"/>
        </w:rPr>
        <w:t>–</w:t>
      </w:r>
      <w:r w:rsidRPr="007B2947">
        <w:rPr>
          <w:rtl/>
        </w:rPr>
        <w:tab/>
        <w:t>تقييم درجة الاستعداد لاعتماد الذكاء الاصطناعي وتكامله، وإجراء أبحاث للتوصل إلى خارطة طريق للمدن والمجتمعات الذكية المستدامة؛</w:t>
      </w:r>
    </w:p>
    <w:p w14:paraId="5C82FFF4" w14:textId="77777777" w:rsidR="007B2947" w:rsidRPr="007B2947" w:rsidRDefault="007B2947" w:rsidP="00503559">
      <w:pPr>
        <w:pStyle w:val="enumlev1"/>
        <w:spacing w:after="80"/>
        <w:rPr>
          <w:lang w:val="ar-SA" w:bidi="ar-EG"/>
        </w:rPr>
      </w:pPr>
      <w:r w:rsidRPr="007B2947">
        <w:rPr>
          <w:lang w:bidi="ar-EG"/>
        </w:rPr>
        <w:t>–</w:t>
      </w:r>
      <w:r w:rsidRPr="007B2947">
        <w:rPr>
          <w:rtl/>
        </w:rPr>
        <w:tab/>
        <w:t>الذكاء الاصطناعي المكاني من أجل التقارب الرقمي-المادي في المدن، ودمج الأنظمة الجغرافية المكانية والتوائم الرقمية والاستشعار في الوقت الفعلي لإنتاج نواتج قابلة لإعادة الاستخدام؛</w:t>
      </w:r>
    </w:p>
    <w:p w14:paraId="28A20A56" w14:textId="77777777" w:rsidR="007B2947" w:rsidRPr="007B2947" w:rsidRDefault="007B2947" w:rsidP="00503559">
      <w:pPr>
        <w:pStyle w:val="enumlev1"/>
        <w:spacing w:after="80"/>
        <w:rPr>
          <w:lang w:val="ar-SA" w:bidi="ar-EG"/>
        </w:rPr>
      </w:pPr>
      <w:r w:rsidRPr="007B2947">
        <w:rPr>
          <w:lang w:bidi="ar-EG"/>
        </w:rPr>
        <w:t>–</w:t>
      </w:r>
      <w:r w:rsidRPr="007B2947">
        <w:rPr>
          <w:rtl/>
        </w:rPr>
        <w:tab/>
        <w:t>وضع توجيهات بشأن اعتماد تكنولوجيات الذكاء الاصطناعي التمكينية المهمة وتكاملها من أجل المدن والمجتمعات الذكية المستدامة؛</w:t>
      </w:r>
    </w:p>
    <w:p w14:paraId="6B733EC9" w14:textId="77777777" w:rsidR="007B2947" w:rsidRPr="007B2947" w:rsidRDefault="007B2947" w:rsidP="00503559">
      <w:pPr>
        <w:pStyle w:val="enumlev1"/>
        <w:spacing w:after="80"/>
        <w:rPr>
          <w:lang w:val="ar-SA" w:bidi="ar-EG"/>
        </w:rPr>
      </w:pPr>
      <w:r w:rsidRPr="007B2947">
        <w:rPr>
          <w:lang w:bidi="ar-EG"/>
        </w:rPr>
        <w:t>–</w:t>
      </w:r>
      <w:r w:rsidRPr="007B2947">
        <w:rPr>
          <w:rtl/>
        </w:rPr>
        <w:tab/>
        <w:t>جوانب الاستدامة بالأنظمة المدعومة بالذكاء الاصطناعي، وتشمل التطبيق وإعداد التقارير عن استهلاك الطاقة والبصمة الكربونية لعمليات نشر الذكاء الاصطناعي على مستوى المدن، مع الاستفادة من التوصيات والمنهجيات الحالية الصادرة عن قطاع تقييس الاتصالات الحالية، حسبما يقتضي الأمر.</w:t>
      </w:r>
    </w:p>
    <w:p w14:paraId="3F3C920A" w14:textId="77777777" w:rsidR="007B2947" w:rsidRPr="007B2947" w:rsidRDefault="007B2947" w:rsidP="007B2947">
      <w:pPr>
        <w:rPr>
          <w:lang w:val="ar-SA" w:bidi="ar-EG"/>
        </w:rPr>
      </w:pPr>
      <w:r w:rsidRPr="007B2947">
        <w:rPr>
          <w:rtl/>
        </w:rPr>
        <w:t xml:space="preserve">ولن يتناول الفريق المتخصص السياسة الحضرية العامة، أو الحوكمة، أو السياسة الاجتماعية، أو </w:t>
      </w:r>
      <w:proofErr w:type="gramStart"/>
      <w:r w:rsidRPr="007B2947">
        <w:rPr>
          <w:rtl/>
        </w:rPr>
        <w:t xml:space="preserve">الأطر الأخلاقية </w:t>
      </w:r>
      <w:proofErr w:type="gramEnd"/>
      <w:r w:rsidRPr="007B2947">
        <w:rPr>
          <w:rtl/>
        </w:rPr>
        <w:t>أو التنظيمية للذكاء الاصطناعي، أو التنظيم الخاص بقطاعات معينة، إلا في الجوانب التي تتعلق مباشرةً بقابلية التشغيل البيني، أو الأنظمة المدعومة بتكنولوجيا المعلومات والاتصالات، أو تكامل الأنظمة، أو الأنشطة السابقة على التقييس في إطار ولاية قطاع تقييس الاتصالات، مع مراعاة القرار 214 (بوخارست، 2022) لمؤتمر المندوبين المفوضين.</w:t>
      </w:r>
    </w:p>
    <w:p w14:paraId="11BB6E90" w14:textId="77777777" w:rsidR="007B2947" w:rsidRPr="007B2947" w:rsidRDefault="007B2947" w:rsidP="007B2947">
      <w:pPr>
        <w:rPr>
          <w:lang w:val="ar-SA" w:bidi="ar-EG"/>
        </w:rPr>
      </w:pPr>
      <w:r w:rsidRPr="007B2947">
        <w:rPr>
          <w:rtl/>
        </w:rPr>
        <w:t>ولن يتناول الفريق المتخصص تصميم نماذج الذكاء الاصطناعي بالتفصيل، أو الجوانب البيئية للذكاء الاصطناعي، أو أساليب التدريب والاختبار، أو الروبوتات متعددة الاستعمالات، أو الجوانب المتعلقة بالوسائط المتعددة، أو المسائل الأساسية المتعلقة بالأمن السيبراني التي تدخل في اختصاص لجان الدراسات والأفرقة المتخصصة الأخرى التابعة لقطاع تقييس الاتصالات.</w:t>
      </w:r>
    </w:p>
    <w:p w14:paraId="5E8D577D" w14:textId="77777777" w:rsidR="007B2947" w:rsidRPr="007B2947" w:rsidRDefault="007B2947" w:rsidP="007B2947">
      <w:pPr>
        <w:rPr>
          <w:lang w:val="ar-SA" w:bidi="ar-EG"/>
        </w:rPr>
      </w:pPr>
      <w:r w:rsidRPr="007B2947">
        <w:rPr>
          <w:rtl/>
        </w:rPr>
        <w:t xml:space="preserve">وسيحدد الفريق المتخصص أصحاب المصلحة والشركاء الذين يمكن أن يتعاون قطاع تقييس الاتصالات معهم، وبما يساعد على إدماج غير الأعضاء للمساهمة في الأعمال التقنية السابقة على التقييس. ويمكن إقامة تعاون محتمل بين الهيئات الأكاديمية ودوائر الصناعة والهيئات التنظيمية وكيانات الأمم المتحدة والمنظمات المعنية بوضع المعايير </w:t>
      </w:r>
      <w:r w:rsidRPr="007B2947">
        <w:rPr>
          <w:lang w:bidi="ar-EG"/>
        </w:rPr>
        <w:t>(SDO)</w:t>
      </w:r>
      <w:r w:rsidRPr="007B2947">
        <w:rPr>
          <w:rtl/>
        </w:rPr>
        <w:t xml:space="preserve"> لضمان وجود أسس تقنية شاملة وقابلة للتشغيل البيني.</w:t>
      </w:r>
    </w:p>
    <w:p w14:paraId="6F6233B1" w14:textId="77777777" w:rsidR="007B2947" w:rsidRPr="007B2947" w:rsidRDefault="007B2947" w:rsidP="00C75A15">
      <w:pPr>
        <w:pStyle w:val="Heading1"/>
        <w:rPr>
          <w:lang w:val="ar-SA" w:bidi="ar-EG"/>
        </w:rPr>
      </w:pPr>
      <w:r w:rsidRPr="007B2947">
        <w:rPr>
          <w:rtl/>
        </w:rPr>
        <w:t>3</w:t>
      </w:r>
      <w:r w:rsidRPr="007B2947">
        <w:rPr>
          <w:rtl/>
        </w:rPr>
        <w:tab/>
        <w:t>الأهداف</w:t>
      </w:r>
    </w:p>
    <w:p w14:paraId="256612FA" w14:textId="77777777" w:rsidR="007B2947" w:rsidRPr="007B2947" w:rsidRDefault="007B2947" w:rsidP="007B2947">
      <w:pPr>
        <w:rPr>
          <w:lang w:val="ar-SA" w:bidi="ar-EG"/>
        </w:rPr>
      </w:pPr>
      <w:r w:rsidRPr="007B2947">
        <w:rPr>
          <w:rtl/>
        </w:rPr>
        <w:t>يهدف الفريق المتخصص إلى دعم الأنشطة السابقة على التقييس من أجل إجراء دراسة متماسكة على مستوى النظام لتكنولوجيات الخدمات الحضرية المدعومة بالذكاء الاصطناعي في المدن والمجتمعات الذكية المستدامة، ويشمل ذلك تمكين الذكاء الاصطناعي بصورة تشمل ميادين متعددة وعلى مستوى النظام من أجل المدن والمجتمعات الذكية المستدامة.</w:t>
      </w:r>
    </w:p>
    <w:p w14:paraId="57F2B618" w14:textId="77777777" w:rsidR="007B2947" w:rsidRPr="007B2947" w:rsidRDefault="007B2947" w:rsidP="007B2947">
      <w:pPr>
        <w:rPr>
          <w:lang w:val="ar-SA" w:bidi="ar-EG"/>
        </w:rPr>
      </w:pPr>
      <w:r w:rsidRPr="007B2947">
        <w:rPr>
          <w:rtl/>
        </w:rPr>
        <w:t>ويهدف الفريق المتخصص إلى إتاحة منبر مفتوح للتعاون والتنسيق وتبادل الخبرات المتعلقة بالذكاء الاصطناعي من أجل المدن والمجتمعات الذكية المستدامة. ويرمي عمل الفريق إلى تيسير سبل التقييس الدولي المستقبلي للأطر المعمارية، ونُهج قابلية التشغيل البيني، ومنهجيات التقييم، التي تعتبر ضرورية للأنظمة المدعومة بالذكاء الاصطناعي والقابلة للتطوير والتشغيل البيني من أجل المدن والمجتمعات الذكية المستدامة.</w:t>
      </w:r>
    </w:p>
    <w:p w14:paraId="1540962E" w14:textId="77777777" w:rsidR="007B2947" w:rsidRPr="007B2947" w:rsidRDefault="007B2947" w:rsidP="007B2947">
      <w:pPr>
        <w:rPr>
          <w:lang w:val="ar-SA" w:bidi="ar-EG"/>
        </w:rPr>
      </w:pPr>
      <w:r w:rsidRPr="007B2947">
        <w:rPr>
          <w:rtl/>
        </w:rPr>
        <w:lastRenderedPageBreak/>
        <w:t>وسيقوم الفريق المتخصص تحديداً بما يلي:</w:t>
      </w:r>
    </w:p>
    <w:p w14:paraId="69CE25EB" w14:textId="599DDA77" w:rsidR="007B2947" w:rsidRPr="007B2947" w:rsidRDefault="007B2947" w:rsidP="009165BA">
      <w:pPr>
        <w:pStyle w:val="enumlev1"/>
        <w:spacing w:after="80"/>
        <w:rPr>
          <w:lang w:val="ar-SA" w:bidi="ar-EG"/>
        </w:rPr>
      </w:pPr>
      <w:r w:rsidRPr="007B2947">
        <w:rPr>
          <w:lang w:bidi="ar-EG"/>
        </w:rPr>
        <w:t>–</w:t>
      </w:r>
      <w:r w:rsidRPr="007B2947">
        <w:rPr>
          <w:rtl/>
        </w:rPr>
        <w:tab/>
        <w:t xml:space="preserve">بناء وتدعيم مجتمع شامل لمجالات متعددة ويتألف من الخبراء والممارسين العاملين في مجال الذكاء الاصطناعي من أجل المدن والمجتمعات </w:t>
      </w:r>
      <w:r w:rsidR="00C75A15">
        <w:rPr>
          <w:rFonts w:hint="cs"/>
          <w:rtl/>
          <w:lang w:bidi="ar-EG"/>
        </w:rPr>
        <w:t>ال</w:t>
      </w:r>
      <w:r w:rsidRPr="007B2947">
        <w:rPr>
          <w:rtl/>
        </w:rPr>
        <w:t xml:space="preserve">ذكية </w:t>
      </w:r>
      <w:r w:rsidR="00C75A15">
        <w:rPr>
          <w:rFonts w:hint="cs"/>
          <w:rtl/>
        </w:rPr>
        <w:t>ال</w:t>
      </w:r>
      <w:r w:rsidRPr="007B2947">
        <w:rPr>
          <w:rtl/>
        </w:rPr>
        <w:t>مستدامة، وتبني رؤية مشتركة، ومصطلحات موحدة، وفهم مشترك؛</w:t>
      </w:r>
    </w:p>
    <w:p w14:paraId="2491A5F4" w14:textId="77777777" w:rsidR="007B2947" w:rsidRPr="007B2947" w:rsidRDefault="007B2947" w:rsidP="009165BA">
      <w:pPr>
        <w:pStyle w:val="enumlev1"/>
        <w:spacing w:after="80"/>
        <w:rPr>
          <w:lang w:val="ar-SA" w:bidi="ar-EG"/>
        </w:rPr>
      </w:pPr>
      <w:r w:rsidRPr="007B2947">
        <w:rPr>
          <w:lang w:bidi="ar-EG"/>
        </w:rPr>
        <w:t>–</w:t>
      </w:r>
      <w:r w:rsidRPr="007B2947">
        <w:rPr>
          <w:rtl/>
        </w:rPr>
        <w:tab/>
        <w:t xml:space="preserve">تحديد وتوثيق القيمة التي يمكن لتكنولوجيات الذكاء الاصطناعي (مثل الذكاء الاصطناعي التوليدي، والذكاء الاصطناعي الوكيل، والذكاء الاصطناعي المادي، والذكاء الاصطناعي المكاني) أن تعود بها على المدن والمجتمعات الذكية المستدامة في كل قطاع على حدة (التنقل والطاقة والمياه والنفايات والسلامة والصحة والبيئة والخدمات العامة والتخطيط </w:t>
      </w:r>
      <w:proofErr w:type="gramStart"/>
      <w:r w:rsidRPr="007B2947">
        <w:rPr>
          <w:rtl/>
        </w:rPr>
        <w:t>الحضري)،</w:t>
      </w:r>
      <w:proofErr w:type="gramEnd"/>
      <w:r w:rsidRPr="007B2947">
        <w:rPr>
          <w:rtl/>
        </w:rPr>
        <w:t xml:space="preserve"> بحيث يصبح هذا الفريق المتخصص جهة التنسيق لقيمة الذكاء الاصطناعي في ميدان المدن الذكية؛</w:t>
      </w:r>
    </w:p>
    <w:p w14:paraId="0298459B" w14:textId="77777777" w:rsidR="007B2947" w:rsidRPr="007B2947" w:rsidRDefault="007B2947" w:rsidP="009165BA">
      <w:pPr>
        <w:pStyle w:val="enumlev1"/>
        <w:spacing w:after="80"/>
        <w:rPr>
          <w:lang w:val="ar-SA" w:bidi="ar-EG"/>
        </w:rPr>
      </w:pPr>
      <w:r w:rsidRPr="007B2947">
        <w:rPr>
          <w:lang w:bidi="ar-EG"/>
        </w:rPr>
        <w:t>–</w:t>
      </w:r>
      <w:r w:rsidRPr="007B2947">
        <w:rPr>
          <w:rtl/>
        </w:rPr>
        <w:tab/>
        <w:t>تحديد ودراسة المفاهيم الرئيسية، والقدرات، وتكنولوجيات الذكاء الاصطناعي التمكينية من أجل المدن والمجتمعات الذكية المستدامة، مثل الذكاء الاصطناعي التوليدي، والذكاء الاصطناعي الوكيل، والذكاء الاصطناعي المادي، والذكاء الاصطناعي المكاني، والخدمات الحضرية المدعومة بالذكاء الاصطناعي؛</w:t>
      </w:r>
    </w:p>
    <w:p w14:paraId="26B2F51F" w14:textId="77777777" w:rsidR="007B2947" w:rsidRPr="007B2947" w:rsidRDefault="007B2947" w:rsidP="009165BA">
      <w:pPr>
        <w:pStyle w:val="enumlev1"/>
        <w:spacing w:after="80"/>
        <w:rPr>
          <w:lang w:val="ar-SA" w:bidi="ar-EG"/>
        </w:rPr>
      </w:pPr>
      <w:r w:rsidRPr="007B2947">
        <w:rPr>
          <w:lang w:bidi="ar-EG"/>
        </w:rPr>
        <w:t>–</w:t>
      </w:r>
      <w:r w:rsidRPr="007B2947">
        <w:rPr>
          <w:rtl/>
        </w:rPr>
        <w:tab/>
        <w:t>تحديد حالات الاستعمال والخصائص، ووضع المتطلبات والأطر المعمارية والاعتبارات التشغيلية والممارسات الفضلى المتعلقة بالذكاء الاصطناعي من أجل المدن والمجتمعات الذكية المستدامة؛</w:t>
      </w:r>
    </w:p>
    <w:p w14:paraId="3A726761" w14:textId="77777777" w:rsidR="007B2947" w:rsidRPr="007B2947" w:rsidRDefault="007B2947" w:rsidP="009165BA">
      <w:pPr>
        <w:pStyle w:val="enumlev1"/>
        <w:spacing w:after="80"/>
        <w:rPr>
          <w:lang w:val="ar-SA" w:bidi="ar-EG"/>
        </w:rPr>
      </w:pPr>
      <w:r w:rsidRPr="007B2947">
        <w:rPr>
          <w:lang w:bidi="ar-EG"/>
        </w:rPr>
        <w:t>–</w:t>
      </w:r>
      <w:r w:rsidRPr="007B2947">
        <w:rPr>
          <w:rtl/>
        </w:rPr>
        <w:tab/>
        <w:t>تحليل الاتجاهات التطورية للمدن والمجتمعات الذكية المستدامة، وإجراء أبحاث عن أطر تقييم درجة التطور المدعوم بالذكاء الاصطناعي، والخدمات الحضرية المدعومة بالذكاء الاصطناعي؛</w:t>
      </w:r>
    </w:p>
    <w:p w14:paraId="51F4B8CC" w14:textId="77777777" w:rsidR="007B2947" w:rsidRPr="007B2947" w:rsidRDefault="007B2947" w:rsidP="009165BA">
      <w:pPr>
        <w:pStyle w:val="enumlev1"/>
        <w:spacing w:after="80"/>
        <w:rPr>
          <w:lang w:val="ar-SA" w:bidi="ar-EG"/>
        </w:rPr>
      </w:pPr>
      <w:r w:rsidRPr="007B2947">
        <w:rPr>
          <w:lang w:bidi="ar-EG"/>
        </w:rPr>
        <w:t>–</w:t>
      </w:r>
      <w:r w:rsidRPr="007B2947">
        <w:rPr>
          <w:rtl/>
        </w:rPr>
        <w:tab/>
        <w:t>إجراء تحليل للفجوات، وتحديد أوجه التداخل واحتياجات التنسيق بين أنشطة التقييس القائمة المتعلقة بالذكاء الاصطناعي من أجل المدن والمجتمعات الذكية المستدامة؛</w:t>
      </w:r>
    </w:p>
    <w:p w14:paraId="34624BAB" w14:textId="77777777" w:rsidR="007B2947" w:rsidRPr="007B2947" w:rsidRDefault="007B2947" w:rsidP="009165BA">
      <w:pPr>
        <w:pStyle w:val="enumlev1"/>
        <w:spacing w:after="80"/>
        <w:rPr>
          <w:lang w:val="ar-SA" w:bidi="ar-EG"/>
        </w:rPr>
      </w:pPr>
      <w:r w:rsidRPr="007B2947">
        <w:rPr>
          <w:lang w:bidi="ar-EG"/>
        </w:rPr>
        <w:t>–</w:t>
      </w:r>
      <w:r w:rsidRPr="007B2947">
        <w:rPr>
          <w:rtl/>
        </w:rPr>
        <w:tab/>
        <w:t>وضع أطر تقنية على مستوى النظام، ونماذج مرجعية، ونُهج مشتركة تدعم قابلية التشغيل البيني والتكامل بين ميادين وطبقات متعددة؛</w:t>
      </w:r>
    </w:p>
    <w:p w14:paraId="39FDA5A1" w14:textId="77777777" w:rsidR="007B2947" w:rsidRPr="007B2947" w:rsidRDefault="007B2947" w:rsidP="009165BA">
      <w:pPr>
        <w:pStyle w:val="enumlev1"/>
        <w:spacing w:after="80"/>
        <w:rPr>
          <w:lang w:val="ar-SA" w:bidi="ar-EG"/>
        </w:rPr>
      </w:pPr>
      <w:r w:rsidRPr="007B2947">
        <w:rPr>
          <w:lang w:bidi="ar-EG"/>
        </w:rPr>
        <w:t>–</w:t>
      </w:r>
      <w:r w:rsidRPr="007B2947">
        <w:rPr>
          <w:rtl/>
        </w:rPr>
        <w:tab/>
        <w:t>تعزيز التعاون الدولي وتبادل الممارسات الفضلى المتعلقة باعتماد الذكاء الاصطناعي القابل للتشغيل البيني والتطوير والمستدام؛</w:t>
      </w:r>
    </w:p>
    <w:p w14:paraId="52C7E867" w14:textId="77777777" w:rsidR="007B2947" w:rsidRPr="007B2947" w:rsidRDefault="007B2947" w:rsidP="009165BA">
      <w:pPr>
        <w:pStyle w:val="enumlev1"/>
        <w:spacing w:after="80"/>
        <w:rPr>
          <w:lang w:val="ar-SA" w:bidi="ar-EG"/>
        </w:rPr>
      </w:pPr>
      <w:r w:rsidRPr="007B2947">
        <w:rPr>
          <w:lang w:bidi="ar-EG"/>
        </w:rPr>
        <w:t>–</w:t>
      </w:r>
      <w:r w:rsidRPr="007B2947">
        <w:rPr>
          <w:rtl/>
        </w:rPr>
        <w:tab/>
        <w:t>دراسة جوانب إدارة دورة الحياة، بما في ذلك أطر التقييم والتقدير التي يمكن أن تستخدمها المدن والحكومات والهيئات التنظيمية والمشغلين ودوائر الصناعة؛</w:t>
      </w:r>
    </w:p>
    <w:p w14:paraId="5A2BAC3B" w14:textId="77777777" w:rsidR="007B2947" w:rsidRPr="007B2947" w:rsidRDefault="007B2947" w:rsidP="009165BA">
      <w:pPr>
        <w:pStyle w:val="enumlev1"/>
        <w:spacing w:after="80"/>
        <w:rPr>
          <w:lang w:val="ar-SA" w:bidi="ar-EG"/>
        </w:rPr>
      </w:pPr>
      <w:r w:rsidRPr="007B2947">
        <w:rPr>
          <w:lang w:bidi="ar-EG"/>
        </w:rPr>
        <w:t>–</w:t>
      </w:r>
      <w:r w:rsidRPr="007B2947">
        <w:rPr>
          <w:rtl/>
        </w:rPr>
        <w:tab/>
        <w:t xml:space="preserve">إتاحة منبر لمشاركة النتائج والتحاور بشأن الآثار التقنية </w:t>
      </w:r>
      <w:proofErr w:type="spellStart"/>
      <w:r w:rsidRPr="007B2947">
        <w:rPr>
          <w:rtl/>
        </w:rPr>
        <w:t>والسياساتية</w:t>
      </w:r>
      <w:proofErr w:type="spellEnd"/>
      <w:r w:rsidRPr="007B2947">
        <w:rPr>
          <w:rtl/>
        </w:rPr>
        <w:t xml:space="preserve"> والتنظيمية لتمكين الذكاء الاصطناعي في المدن والمجتمعات الذكية المستدامة.</w:t>
      </w:r>
    </w:p>
    <w:p w14:paraId="587B3417" w14:textId="77777777" w:rsidR="007B2947" w:rsidRPr="007B2947" w:rsidRDefault="007B2947" w:rsidP="009165BA">
      <w:pPr>
        <w:pStyle w:val="enumlev1"/>
        <w:spacing w:after="80"/>
        <w:rPr>
          <w:lang w:val="ar-SA" w:bidi="ar-EG"/>
        </w:rPr>
      </w:pPr>
      <w:r w:rsidRPr="007B2947">
        <w:rPr>
          <w:lang w:bidi="ar-EG"/>
        </w:rPr>
        <w:t>–</w:t>
      </w:r>
      <w:r w:rsidRPr="007B2947">
        <w:rPr>
          <w:rtl/>
        </w:rPr>
        <w:tab/>
        <w:t>تحديد أصحاب المصلحة والشركاء الذين يمكن أن يعزز قطاع تقييس الاتصالات التعاون معهم، وتحديد الخطوات المحتملة القادمة ومسار لتحويل نواتج الأفرقة المتخصصة إلى توصيات صادرة عن قطاع تقييس الاتصالات في إطار عمل لجنة الدراسات 20 للقطاع.</w:t>
      </w:r>
    </w:p>
    <w:p w14:paraId="098A3C56" w14:textId="63CFCD1B" w:rsidR="007B2947" w:rsidRPr="007B2947" w:rsidRDefault="007B2947" w:rsidP="00C75A15">
      <w:pPr>
        <w:pStyle w:val="Heading1"/>
        <w:rPr>
          <w:lang w:val="ar-SA" w:bidi="ar-EG"/>
        </w:rPr>
      </w:pPr>
      <w:r w:rsidRPr="007B2947">
        <w:rPr>
          <w:rtl/>
        </w:rPr>
        <w:t>4</w:t>
      </w:r>
      <w:r w:rsidRPr="007B2947">
        <w:rPr>
          <w:rtl/>
        </w:rPr>
        <w:tab/>
        <w:t>المهام المحددة والم</w:t>
      </w:r>
      <w:r w:rsidR="00C75A15">
        <w:rPr>
          <w:rFonts w:hint="cs"/>
          <w:rtl/>
        </w:rPr>
        <w:t>نجز</w:t>
      </w:r>
      <w:r w:rsidRPr="007B2947">
        <w:rPr>
          <w:rtl/>
        </w:rPr>
        <w:t>ات</w:t>
      </w:r>
    </w:p>
    <w:p w14:paraId="17396AE3" w14:textId="4E2BF1D8" w:rsidR="007B2947" w:rsidRPr="007B2947" w:rsidRDefault="007B2947" w:rsidP="007B2947">
      <w:pPr>
        <w:rPr>
          <w:lang w:val="ar-SA" w:bidi="ar-EG"/>
        </w:rPr>
      </w:pPr>
      <w:r w:rsidRPr="007B2947">
        <w:rPr>
          <w:rtl/>
        </w:rPr>
        <w:t>سيقوم الفريق المتخصص بإعداد تقارير تقنية ومواصفات تقنية و</w:t>
      </w:r>
      <w:r w:rsidR="00C75A15">
        <w:rPr>
          <w:rtl/>
        </w:rPr>
        <w:t>منجزات</w:t>
      </w:r>
      <w:r w:rsidRPr="007B2947">
        <w:rPr>
          <w:rtl/>
        </w:rPr>
        <w:t xml:space="preserve"> أخرى مثل:</w:t>
      </w:r>
    </w:p>
    <w:p w14:paraId="10C6506C" w14:textId="514EB8DA" w:rsidR="007B2947" w:rsidRPr="007B2947" w:rsidRDefault="007B2947" w:rsidP="00C11D67">
      <w:pPr>
        <w:pStyle w:val="enumlev1"/>
        <w:spacing w:after="80"/>
        <w:rPr>
          <w:lang w:val="ar-SA" w:bidi="ar-EG"/>
        </w:rPr>
      </w:pPr>
      <w:r w:rsidRPr="007B2947">
        <w:rPr>
          <w:lang w:bidi="ar-EG"/>
        </w:rPr>
        <w:t>–</w:t>
      </w:r>
      <w:r w:rsidRPr="007B2947">
        <w:rPr>
          <w:rtl/>
        </w:rPr>
        <w:tab/>
      </w:r>
      <w:r w:rsidR="00C75A15">
        <w:rPr>
          <w:rtl/>
        </w:rPr>
        <w:t>منجزات</w:t>
      </w:r>
      <w:r w:rsidRPr="007B2947">
        <w:rPr>
          <w:rtl/>
        </w:rPr>
        <w:t xml:space="preserve"> تشمل الأبحاث والتحقيقات وتحليلات التقييس بشأن الذكاء الاصطناعي من أجل المدن والمجتمعات الذكية المستدامة، بما في ذلك الذكاء الاصطناعي التوليدي والذكاء الاصطناعي الوكيل والذكاء الاصطناعي المادي والذكاء الاصطناعي المكاني والخدمات الحضرية المدعومة بالذكاء الاصطناعي، وهو ما قد يؤدي إلى استحداث بنود عمل جديدة لقطاع تقييس الاتصالات؛</w:t>
      </w:r>
    </w:p>
    <w:p w14:paraId="2307FD6D" w14:textId="3287C146" w:rsidR="007B2947" w:rsidRPr="007B2947" w:rsidRDefault="007B2947" w:rsidP="00C11D67">
      <w:pPr>
        <w:pStyle w:val="enumlev1"/>
        <w:spacing w:after="80"/>
        <w:rPr>
          <w:lang w:val="ar-SA" w:bidi="ar-EG"/>
        </w:rPr>
      </w:pPr>
      <w:r w:rsidRPr="007B2947">
        <w:rPr>
          <w:lang w:bidi="ar-EG"/>
        </w:rPr>
        <w:t>–</w:t>
      </w:r>
      <w:r w:rsidRPr="007B2947">
        <w:rPr>
          <w:rtl/>
        </w:rPr>
        <w:tab/>
      </w:r>
      <w:r w:rsidR="00C75A15">
        <w:rPr>
          <w:rtl/>
        </w:rPr>
        <w:t>منجزات</w:t>
      </w:r>
      <w:r w:rsidRPr="007B2947">
        <w:rPr>
          <w:rtl/>
        </w:rPr>
        <w:t xml:space="preserve"> تتعلق بالتعريفات والمصطلحات والتصنيفات والمفاهيم والرؤية المتعلقة بالذكاء الاصطناعي من أجل المدن والمجتمعات الذكية المستدامة، ويشمل ذلك حالات استعمال تمثيلية تشمل ميادين متعددة؛</w:t>
      </w:r>
    </w:p>
    <w:p w14:paraId="04920F4D" w14:textId="4BF74A9D" w:rsidR="007B2947" w:rsidRPr="007B2947" w:rsidRDefault="007B2947" w:rsidP="00C11D67">
      <w:pPr>
        <w:pStyle w:val="enumlev1"/>
        <w:spacing w:after="80"/>
        <w:rPr>
          <w:lang w:val="ar-SA" w:bidi="ar-EG"/>
        </w:rPr>
      </w:pPr>
      <w:r w:rsidRPr="007B2947">
        <w:rPr>
          <w:lang w:bidi="ar-EG"/>
        </w:rPr>
        <w:t>–</w:t>
      </w:r>
      <w:r w:rsidRPr="007B2947">
        <w:rPr>
          <w:rtl/>
        </w:rPr>
        <w:tab/>
      </w:r>
      <w:r w:rsidR="00C75A15">
        <w:rPr>
          <w:rtl/>
        </w:rPr>
        <w:t>منجزات</w:t>
      </w:r>
      <w:r w:rsidRPr="007B2947">
        <w:rPr>
          <w:rtl/>
        </w:rPr>
        <w:t xml:space="preserve"> تشمل تصميم الأنظمة والخدمات الحضرية المدعومة بالذكاء الاصطناعي؛</w:t>
      </w:r>
    </w:p>
    <w:p w14:paraId="7261A222" w14:textId="494E0A1C" w:rsidR="007B2947" w:rsidRPr="007B2947" w:rsidRDefault="007B2947" w:rsidP="00C11D67">
      <w:pPr>
        <w:pStyle w:val="enumlev1"/>
        <w:spacing w:after="80"/>
        <w:rPr>
          <w:lang w:val="ar-SA" w:bidi="ar-EG"/>
        </w:rPr>
      </w:pPr>
      <w:r w:rsidRPr="007B2947">
        <w:rPr>
          <w:lang w:bidi="ar-EG"/>
        </w:rPr>
        <w:t>–</w:t>
      </w:r>
      <w:r w:rsidRPr="007B2947">
        <w:rPr>
          <w:rtl/>
        </w:rPr>
        <w:tab/>
      </w:r>
      <w:r w:rsidR="00C75A15">
        <w:rPr>
          <w:rtl/>
        </w:rPr>
        <w:t>منجزات</w:t>
      </w:r>
      <w:r w:rsidRPr="007B2947">
        <w:rPr>
          <w:rtl/>
        </w:rPr>
        <w:t xml:space="preserve"> تتعلق بتحديد حالات الاستعمال والخصائص، والمتطلبات والأطر المعمارية والاعتبارات التشغيلية والممارسات الفضلى المتعلقة بالذكاء الاصطناعي من أجل المدن والمجتمعات الذكية المستدامة؛</w:t>
      </w:r>
    </w:p>
    <w:p w14:paraId="2695F627" w14:textId="18BFE580" w:rsidR="007B2947" w:rsidRPr="007B2947" w:rsidRDefault="007B2947" w:rsidP="00C11D67">
      <w:pPr>
        <w:pStyle w:val="enumlev1"/>
        <w:spacing w:after="80"/>
        <w:rPr>
          <w:lang w:val="ar-SA" w:bidi="ar-EG"/>
        </w:rPr>
      </w:pPr>
      <w:r w:rsidRPr="007B2947">
        <w:rPr>
          <w:lang w:bidi="ar-EG"/>
        </w:rPr>
        <w:t>–</w:t>
      </w:r>
      <w:r w:rsidRPr="007B2947">
        <w:rPr>
          <w:rtl/>
        </w:rPr>
        <w:tab/>
      </w:r>
      <w:r w:rsidR="00C75A15">
        <w:rPr>
          <w:rtl/>
        </w:rPr>
        <w:t>منجزات</w:t>
      </w:r>
      <w:r w:rsidRPr="007B2947">
        <w:rPr>
          <w:rtl/>
        </w:rPr>
        <w:t xml:space="preserve"> تتناول قابلية التشغيل البيني، وآليات التنسيق، وإدارة البيانات، والتفاعل بين الأنظمة الرقمية والمادية المدعومة بتكنولوجيات الذكاء الاصطناعي؛</w:t>
      </w:r>
    </w:p>
    <w:p w14:paraId="6210FD20" w14:textId="265BF8D5" w:rsidR="007B2947" w:rsidRPr="007B2947" w:rsidRDefault="007B2947" w:rsidP="00C11D67">
      <w:pPr>
        <w:pStyle w:val="enumlev1"/>
        <w:spacing w:after="80"/>
        <w:rPr>
          <w:lang w:val="ar-SA" w:bidi="ar-EG"/>
        </w:rPr>
      </w:pPr>
      <w:r w:rsidRPr="007B2947">
        <w:rPr>
          <w:lang w:bidi="ar-EG"/>
        </w:rPr>
        <w:lastRenderedPageBreak/>
        <w:t>–</w:t>
      </w:r>
      <w:r w:rsidRPr="007B2947">
        <w:rPr>
          <w:rtl/>
        </w:rPr>
        <w:tab/>
      </w:r>
      <w:r w:rsidR="00C75A15">
        <w:rPr>
          <w:rtl/>
        </w:rPr>
        <w:t>منجزات</w:t>
      </w:r>
      <w:r w:rsidRPr="007B2947">
        <w:rPr>
          <w:rtl/>
        </w:rPr>
        <w:t xml:space="preserve"> تتعلق بأطر إدارة دورة حياة تكنولوجيات الذكاء الاصطناعي من أجل المدن والمجتمعات الذكية المستدامة، وتقييمها وتقديرها، بما في ذلك آليات القياس المرجعي والرصد والمقارنة الدولية؛</w:t>
      </w:r>
    </w:p>
    <w:p w14:paraId="40CB8EFD" w14:textId="2797908D" w:rsidR="007B2947" w:rsidRPr="007B2947" w:rsidRDefault="007B2947" w:rsidP="00C11D67">
      <w:pPr>
        <w:pStyle w:val="enumlev1"/>
        <w:spacing w:after="80"/>
        <w:rPr>
          <w:lang w:val="ar-SA" w:bidi="ar-EG"/>
        </w:rPr>
      </w:pPr>
      <w:r w:rsidRPr="007B2947">
        <w:rPr>
          <w:lang w:bidi="ar-EG"/>
        </w:rPr>
        <w:t>–</w:t>
      </w:r>
      <w:r w:rsidRPr="007B2947">
        <w:rPr>
          <w:rtl/>
        </w:rPr>
        <w:tab/>
      </w:r>
      <w:r w:rsidR="00C75A15">
        <w:rPr>
          <w:rtl/>
        </w:rPr>
        <w:t>منجزات</w:t>
      </w:r>
      <w:r w:rsidRPr="007B2947">
        <w:rPr>
          <w:rtl/>
        </w:rPr>
        <w:t xml:space="preserve"> تتعلق باستخدامات الذكاء الاصطناعي الشاملة والمتاحة للجميع في المدن والمجتمعات الذكية المستدامة؛</w:t>
      </w:r>
    </w:p>
    <w:p w14:paraId="5C395BFF" w14:textId="77777777" w:rsidR="007B2947" w:rsidRPr="007B2947" w:rsidRDefault="007B2947" w:rsidP="00C11D67">
      <w:pPr>
        <w:pStyle w:val="enumlev1"/>
        <w:spacing w:after="80"/>
        <w:rPr>
          <w:lang w:val="ar-SA" w:bidi="ar-EG"/>
        </w:rPr>
      </w:pPr>
      <w:r w:rsidRPr="007B2947">
        <w:rPr>
          <w:lang w:bidi="ar-EG"/>
        </w:rPr>
        <w:t>–</w:t>
      </w:r>
      <w:r w:rsidRPr="007B2947">
        <w:rPr>
          <w:rtl/>
        </w:rPr>
        <w:tab/>
        <w:t>مبادئ توجيهية بشأن قابلية تطبيق مبادئ استدامة الذكاء الاصطناعي في المدن والمجتمعات الذكية المستدامة؛</w:t>
      </w:r>
    </w:p>
    <w:p w14:paraId="1F8B288B" w14:textId="77777777" w:rsidR="007B2947" w:rsidRPr="007B2947" w:rsidRDefault="007B2947" w:rsidP="00C11D67">
      <w:pPr>
        <w:pStyle w:val="enumlev1"/>
        <w:spacing w:after="80"/>
        <w:rPr>
          <w:lang w:val="ar-SA" w:bidi="ar-EG"/>
        </w:rPr>
      </w:pPr>
      <w:r w:rsidRPr="007B2947">
        <w:rPr>
          <w:lang w:bidi="ar-EG"/>
        </w:rPr>
        <w:t>–</w:t>
      </w:r>
      <w:r w:rsidRPr="007B2947">
        <w:rPr>
          <w:rtl/>
        </w:rPr>
        <w:tab/>
        <w:t>تقييم درجة الاستعداد لاعتماد الذكاء الاصطناعي وتكامله، وإجراء أبحاث للتوصل إلى خارطة طريق للمدن والمجتمعات الذكية المستدامة؛</w:t>
      </w:r>
    </w:p>
    <w:p w14:paraId="389F2D58" w14:textId="77777777" w:rsidR="007B2947" w:rsidRPr="007B2947" w:rsidRDefault="007B2947" w:rsidP="00C11D67">
      <w:pPr>
        <w:pStyle w:val="enumlev1"/>
        <w:spacing w:after="80"/>
        <w:rPr>
          <w:lang w:val="ar-SA" w:bidi="ar-EG"/>
        </w:rPr>
      </w:pPr>
      <w:r w:rsidRPr="007B2947">
        <w:rPr>
          <w:lang w:bidi="ar-EG"/>
        </w:rPr>
        <w:t>–</w:t>
      </w:r>
      <w:r w:rsidRPr="007B2947">
        <w:rPr>
          <w:rtl/>
        </w:rPr>
        <w:tab/>
        <w:t>الذكاء الاصطناعي المكاني من أجل التقارب الرقمي-المادي في المدن، ودمج الأنظمة الجغرافية المكانية والتوائم الرقمية والاستشعار في الوقت الفعلي لإنتاج نواتج قابلة لإعادة الاستخدام؛</w:t>
      </w:r>
    </w:p>
    <w:p w14:paraId="4D9B626F" w14:textId="77777777" w:rsidR="007B2947" w:rsidRPr="007B2947" w:rsidRDefault="007B2947" w:rsidP="00C11D67">
      <w:pPr>
        <w:pStyle w:val="enumlev1"/>
        <w:spacing w:after="80"/>
        <w:rPr>
          <w:lang w:val="ar-SA" w:bidi="ar-EG"/>
        </w:rPr>
      </w:pPr>
      <w:r w:rsidRPr="007B2947">
        <w:rPr>
          <w:lang w:bidi="ar-EG"/>
        </w:rPr>
        <w:t>–</w:t>
      </w:r>
      <w:r w:rsidRPr="007B2947">
        <w:rPr>
          <w:rtl/>
        </w:rPr>
        <w:tab/>
        <w:t>وضع توجيهات بشأن اعتماد تكنولوجيات الذكاء الاصطناعي التمكينية المهمة وتكاملها من أجل المدن والمجتمعات الذكية المستدامة؛</w:t>
      </w:r>
    </w:p>
    <w:p w14:paraId="5D1C1184" w14:textId="77777777" w:rsidR="007B2947" w:rsidRPr="007B2947" w:rsidRDefault="007B2947" w:rsidP="00C11D67">
      <w:pPr>
        <w:pStyle w:val="enumlev1"/>
        <w:spacing w:after="80"/>
        <w:rPr>
          <w:lang w:val="ar-SA" w:bidi="ar-EG"/>
        </w:rPr>
      </w:pPr>
      <w:r w:rsidRPr="007B2947">
        <w:rPr>
          <w:lang w:bidi="ar-EG"/>
        </w:rPr>
        <w:t>–</w:t>
      </w:r>
      <w:r w:rsidRPr="007B2947">
        <w:rPr>
          <w:rtl/>
        </w:rPr>
        <w:tab/>
        <w:t>جوانب الاستدامة بالأنظمة المدعومة بالذكاء الاصطناعي، وتشمل التطبيق وإعداد التقارير عن استهلاك الطاقة والبصمة الكربونية لعمليات نشر الذكاء الاصطناعي على مستوى المدن؛</w:t>
      </w:r>
    </w:p>
    <w:p w14:paraId="18D8E2F3" w14:textId="77777777" w:rsidR="007B2947" w:rsidRPr="007B2947" w:rsidRDefault="007B2947" w:rsidP="00C75A15">
      <w:pPr>
        <w:rPr>
          <w:lang w:val="ar-SA" w:bidi="ar-EG"/>
        </w:rPr>
      </w:pPr>
      <w:r w:rsidRPr="007B2947">
        <w:rPr>
          <w:rtl/>
        </w:rPr>
        <w:t>وذلك من أجل دعم الاتصال بلجان دراسات المعنية في قطاع تقييس الاتصالات، والكيانات الصناعية والمنظمات الخارجية، وعلى وجه الخصوص:</w:t>
      </w:r>
    </w:p>
    <w:p w14:paraId="538750A1" w14:textId="77777777" w:rsidR="007B2947" w:rsidRPr="007B2947" w:rsidRDefault="007B2947" w:rsidP="00C11D67">
      <w:pPr>
        <w:pStyle w:val="enumlev1"/>
        <w:spacing w:after="80"/>
        <w:rPr>
          <w:lang w:val="ar-SA" w:bidi="ar-EG"/>
        </w:rPr>
      </w:pPr>
      <w:r w:rsidRPr="007B2947">
        <w:rPr>
          <w:lang w:bidi="ar-EG"/>
        </w:rPr>
        <w:t>−</w:t>
      </w:r>
      <w:r w:rsidRPr="007B2947">
        <w:rPr>
          <w:rtl/>
        </w:rPr>
        <w:tab/>
        <w:t>التعاون مع لجان الدراسات بقطاع تقييس الاتصالات، والأفرقة المتخصصة، وغيرها من الجهات الأخرى المعنية بوضع المعايير.</w:t>
      </w:r>
    </w:p>
    <w:p w14:paraId="092D0DDA" w14:textId="77777777" w:rsidR="007B2947" w:rsidRPr="007B2947" w:rsidRDefault="007B2947" w:rsidP="007B2947">
      <w:pPr>
        <w:rPr>
          <w:lang w:val="ar-SA" w:bidi="ar-EG"/>
        </w:rPr>
      </w:pPr>
      <w:r w:rsidRPr="007B2947">
        <w:rPr>
          <w:rtl/>
        </w:rPr>
        <w:t>وسيضطلع الفريق المتخصص كذلك بالأنشطة التالية لدعم التعاون وتبادل المعارف:</w:t>
      </w:r>
    </w:p>
    <w:p w14:paraId="2079241D" w14:textId="77777777" w:rsidR="007B2947" w:rsidRPr="007B2947" w:rsidRDefault="007B2947" w:rsidP="00C11D67">
      <w:pPr>
        <w:pStyle w:val="enumlev1"/>
        <w:spacing w:after="80"/>
        <w:rPr>
          <w:lang w:val="ar-SA" w:bidi="ar-EG"/>
        </w:rPr>
      </w:pPr>
      <w:r w:rsidRPr="007B2947">
        <w:rPr>
          <w:lang w:bidi="ar-EG"/>
        </w:rPr>
        <w:t>–</w:t>
      </w:r>
      <w:r w:rsidRPr="007B2947">
        <w:rPr>
          <w:rtl/>
        </w:rPr>
        <w:tab/>
        <w:t xml:space="preserve">تنظيم منتديات وورش عمل وحلقات نقاش ومسابقات وفعاليات </w:t>
      </w:r>
      <w:proofErr w:type="spellStart"/>
      <w:r w:rsidRPr="007B2947">
        <w:rPr>
          <w:rtl/>
        </w:rPr>
        <w:t>هاكاثون</w:t>
      </w:r>
      <w:proofErr w:type="spellEnd"/>
      <w:r w:rsidRPr="007B2947">
        <w:rPr>
          <w:rtl/>
        </w:rPr>
        <w:t xml:space="preserve"> وأنشطة تعاونية لجمع الخبرات وتشجيع المشاركة الواسعة، ويشمل ذلك التنسيق مع المبادرات المهمة في الاتحاد والأمم المتحدة (مثل القمة العالمية للذكاء الاصطناعي من أجل المصلحة العامة، ومبادرة متحدون من أجل مدن ذكية مستدامة، ويوم الأمم المتحدة للعوالم الافتراضية، والمبادرة العالمية بشأن الذكاء الاصطناعي والعوالم الافتراضية - اكتشاف </w:t>
      </w:r>
      <w:proofErr w:type="spellStart"/>
      <w:proofErr w:type="gramStart"/>
      <w:r w:rsidRPr="007B2947">
        <w:rPr>
          <w:rtl/>
        </w:rPr>
        <w:t>السيتيفيرس</w:t>
      </w:r>
      <w:proofErr w:type="spellEnd"/>
      <w:r w:rsidRPr="007B2947">
        <w:rPr>
          <w:rtl/>
        </w:rPr>
        <w:t>)؛</w:t>
      </w:r>
      <w:proofErr w:type="gramEnd"/>
    </w:p>
    <w:p w14:paraId="626B1DB0" w14:textId="77777777" w:rsidR="007B2947" w:rsidRPr="007B2947" w:rsidRDefault="007B2947" w:rsidP="00C11D67">
      <w:pPr>
        <w:pStyle w:val="enumlev1"/>
        <w:spacing w:after="80"/>
        <w:rPr>
          <w:lang w:val="ar-SA" w:bidi="ar-EG"/>
        </w:rPr>
      </w:pPr>
      <w:r w:rsidRPr="007B2947">
        <w:rPr>
          <w:lang w:bidi="ar-EG"/>
        </w:rPr>
        <w:t>–</w:t>
      </w:r>
      <w:r w:rsidRPr="007B2947">
        <w:rPr>
          <w:rtl/>
        </w:rPr>
        <w:tab/>
        <w:t>تحديد أصحاب المصلحة الذين يمكن أن يتعاون قطاع تقييس الاتصالات معهم، وإقامة روابط وعلاقات مع المنظمات الأخرى التي يمكنها المساهمة في الأنشطة السابقة على التقييس، إلى جانب تحديد المجالات المحتملة للعمل الجماعي المحتمل والخطوات المحددة القادمة.</w:t>
      </w:r>
    </w:p>
    <w:p w14:paraId="425EC8C5" w14:textId="77777777" w:rsidR="007B2947" w:rsidRPr="007B2947" w:rsidRDefault="007B2947" w:rsidP="00C11D67">
      <w:pPr>
        <w:pStyle w:val="enumlev1"/>
        <w:spacing w:after="80"/>
        <w:rPr>
          <w:lang w:val="ar-SA" w:bidi="ar-EG"/>
        </w:rPr>
      </w:pPr>
      <w:r w:rsidRPr="007B2947">
        <w:rPr>
          <w:lang w:bidi="ar-EG"/>
        </w:rPr>
        <w:t>–</w:t>
      </w:r>
      <w:r w:rsidRPr="007B2947">
        <w:rPr>
          <w:rtl/>
        </w:rPr>
        <w:tab/>
        <w:t>إتاحة منبر لتحفيز التعاون الدولي، وتبادل المعارف والممارسات الفضلى واستكشاف الفرص والتحديات المتعلقة بالذكاء الاصطناعي من أجل المدن والمجتمعات الذكية المستدامة.</w:t>
      </w:r>
    </w:p>
    <w:p w14:paraId="4949139E" w14:textId="67FA5008" w:rsidR="007B2947" w:rsidRPr="007B2947" w:rsidRDefault="007B2947" w:rsidP="007B2947">
      <w:pPr>
        <w:rPr>
          <w:lang w:val="ar-SA" w:bidi="ar-EG"/>
        </w:rPr>
      </w:pPr>
      <w:r w:rsidRPr="007B2947">
        <w:rPr>
          <w:rtl/>
        </w:rPr>
        <w:t>وسيقدم الفريق بعد انتهاء ولايته تقريره النهائي ومجموعة كاملة من ال</w:t>
      </w:r>
      <w:r w:rsidR="00C75A15">
        <w:rPr>
          <w:rtl/>
        </w:rPr>
        <w:t>منجزات</w:t>
      </w:r>
      <w:r w:rsidRPr="007B2947">
        <w:rPr>
          <w:rtl/>
        </w:rPr>
        <w:t xml:space="preserve"> إلى لجنة الدراسات 20 لقطاع تقييس الاتصالات.</w:t>
      </w:r>
    </w:p>
    <w:p w14:paraId="13827D60" w14:textId="77777777" w:rsidR="007B2947" w:rsidRPr="007B2947" w:rsidRDefault="007B2947" w:rsidP="00C75A15">
      <w:pPr>
        <w:pStyle w:val="Heading1"/>
        <w:rPr>
          <w:lang w:val="ar-SA" w:bidi="ar-EG"/>
        </w:rPr>
      </w:pPr>
      <w:r w:rsidRPr="007B2947">
        <w:rPr>
          <w:rtl/>
        </w:rPr>
        <w:t>5</w:t>
      </w:r>
      <w:r w:rsidRPr="007B2947">
        <w:rPr>
          <w:rtl/>
        </w:rPr>
        <w:tab/>
        <w:t>الارتباطات</w:t>
      </w:r>
    </w:p>
    <w:p w14:paraId="101091B6" w14:textId="77777777" w:rsidR="007B2947" w:rsidRPr="007B2947" w:rsidRDefault="007B2947" w:rsidP="007B2947">
      <w:pPr>
        <w:rPr>
          <w:lang w:val="ar-SA" w:bidi="ar-EG"/>
        </w:rPr>
      </w:pPr>
      <w:r w:rsidRPr="007B2947">
        <w:rPr>
          <w:rtl/>
        </w:rPr>
        <w:t xml:space="preserve">سيعمل الفريق المتخصص من خلال عقد اجتماعات منتظمة مع لجنة الدراسات 20 لقطاع تقييس الاتصالات متى كان ذلك ممكناً. ويرمي عمل الفريق في المرحلة السابقة على التقييس إلى دعم أنشطة التقييس التي تضطلع بها لجنة الدراسات 20، واستكمالها وتوجيهها، دون تكرار الجهود الجارية. وعلاوة على ذلك، سينسق الفريق ويتواصل عن كثب مع لجان الدراسات الأخرى ذات الصلة في قطاع تقييس الاتصالات حسبما يقتضي الحال، لضمان الاتساق وتعزيز التآزر وتجنب ازدواجية الجهود، مع تشجيع التكامل والاستخدام الفعال لتوصيات ومنهجيات قطاع تقييس الاتصالات القائمة ذات الصلة في الميادين المعنية. ووفقاً للتوصية ITU-T A.7، سيتعاون الفريق المتخصص مع المدن والحكومات والهيئات التنظيمية والمشغلين ودوائر الصناعة والهيئات الأكاديمية والمؤسسات البحثية والمنظمات المعنية بوضع المعايير </w:t>
      </w:r>
      <w:r w:rsidRPr="007B2947">
        <w:rPr>
          <w:lang w:bidi="ar-EG"/>
        </w:rPr>
        <w:t>(SDO)</w:t>
      </w:r>
      <w:r w:rsidRPr="007B2947">
        <w:rPr>
          <w:rtl/>
        </w:rPr>
        <w:t>، والمنتديات والاتحادات المعنية، والشركات وأصحاب المصلحة الآخرين ذوي الصلة.</w:t>
      </w:r>
    </w:p>
    <w:p w14:paraId="66B2B1AE" w14:textId="77777777" w:rsidR="007B2947" w:rsidRPr="007B2947" w:rsidRDefault="007B2947" w:rsidP="007B2947">
      <w:pPr>
        <w:rPr>
          <w:lang w:val="ar-SA" w:bidi="ar-EG"/>
        </w:rPr>
      </w:pPr>
      <w:r w:rsidRPr="007B2947">
        <w:rPr>
          <w:rtl/>
        </w:rPr>
        <w:t>وسيشجع الفريق المتخصص مشاركة أعضاء الاتحاد وغير الأعضاء فيه على حد سواء، لتعزيز المشاركة الواسعة والشاملة للجميع على الساحة الدولية في مجال الذكاء الاصطناعي من أجل المدن والمجتمعات الذكية المستدامة.</w:t>
      </w:r>
    </w:p>
    <w:p w14:paraId="705753BF" w14:textId="77777777" w:rsidR="007B2947" w:rsidRPr="007B2947" w:rsidRDefault="007B2947" w:rsidP="007B2947">
      <w:pPr>
        <w:rPr>
          <w:lang w:val="ar-SA" w:bidi="ar-EG"/>
        </w:rPr>
      </w:pPr>
      <w:r w:rsidRPr="007B2947">
        <w:rPr>
          <w:rtl/>
        </w:rPr>
        <w:t>وسينظم الفريق المتخصص حلقات دراسية إلكترونية وورش عمل ومنتديات للترويج لأنشطته، وتشجيع أعضاء الاتحاد وغير الأعضاء فيه على المساهمة معاً في هذا الفريق المتخصص وأهدافه.</w:t>
      </w:r>
    </w:p>
    <w:p w14:paraId="6134CA09" w14:textId="77777777" w:rsidR="007B2947" w:rsidRPr="007B2947" w:rsidRDefault="007B2947" w:rsidP="00C75A15">
      <w:pPr>
        <w:pStyle w:val="Heading1"/>
        <w:rPr>
          <w:lang w:val="ar-SA" w:bidi="ar-EG"/>
        </w:rPr>
      </w:pPr>
      <w:r w:rsidRPr="007B2947">
        <w:rPr>
          <w:rtl/>
        </w:rPr>
        <w:lastRenderedPageBreak/>
        <w:t>6</w:t>
      </w:r>
      <w:r w:rsidRPr="007B2947">
        <w:rPr>
          <w:rtl/>
        </w:rPr>
        <w:tab/>
        <w:t>الهيكل</w:t>
      </w:r>
    </w:p>
    <w:p w14:paraId="41379AA7" w14:textId="77777777" w:rsidR="007B2947" w:rsidRPr="007B2947" w:rsidRDefault="007B2947" w:rsidP="007B2947">
      <w:pPr>
        <w:rPr>
          <w:lang w:val="ar-SA" w:bidi="ar-EG"/>
        </w:rPr>
      </w:pPr>
      <w:r w:rsidRPr="007B2947">
        <w:rPr>
          <w:rtl/>
        </w:rPr>
        <w:t>يجوز للفريق المتخصص إنشاء هيكل من الأفرقة الفرعية إذا لزم الأمر.</w:t>
      </w:r>
    </w:p>
    <w:p w14:paraId="0D34DB47" w14:textId="77777777" w:rsidR="007B2947" w:rsidRPr="007B2947" w:rsidRDefault="007B2947" w:rsidP="00C75A15">
      <w:pPr>
        <w:pStyle w:val="Heading1"/>
        <w:rPr>
          <w:lang w:val="ar-SA" w:bidi="ar-EG"/>
        </w:rPr>
      </w:pPr>
      <w:r w:rsidRPr="007B2947">
        <w:rPr>
          <w:rtl/>
        </w:rPr>
        <w:t>7</w:t>
      </w:r>
      <w:r w:rsidRPr="007B2947">
        <w:rPr>
          <w:rtl/>
        </w:rPr>
        <w:tab/>
        <w:t>لجنة الدراسات الرئيسية</w:t>
      </w:r>
    </w:p>
    <w:p w14:paraId="3FCCE7C5" w14:textId="77777777" w:rsidR="007B2947" w:rsidRPr="007B2947" w:rsidRDefault="007B2947" w:rsidP="007B2947">
      <w:pPr>
        <w:rPr>
          <w:lang w:val="ar-SA" w:bidi="ar-EG"/>
        </w:rPr>
      </w:pPr>
      <w:r w:rsidRPr="007B2947">
        <w:rPr>
          <w:rtl/>
        </w:rPr>
        <w:t>لجنة الدراسات الرئيسية للفريق المتخصص هي لجنة الدراسات 20 لقطاع تقييس الاتصالات.</w:t>
      </w:r>
    </w:p>
    <w:p w14:paraId="32E43427" w14:textId="77777777" w:rsidR="007B2947" w:rsidRPr="007B2947" w:rsidRDefault="007B2947" w:rsidP="00C75A15">
      <w:pPr>
        <w:pStyle w:val="Heading1"/>
        <w:rPr>
          <w:lang w:val="ar-SA" w:bidi="ar-EG"/>
        </w:rPr>
      </w:pPr>
      <w:r w:rsidRPr="007B2947">
        <w:rPr>
          <w:rtl/>
        </w:rPr>
        <w:t>8</w:t>
      </w:r>
      <w:r w:rsidRPr="007B2947">
        <w:rPr>
          <w:rtl/>
        </w:rPr>
        <w:tab/>
        <w:t>القيادة</w:t>
      </w:r>
    </w:p>
    <w:p w14:paraId="77B18FDC" w14:textId="77777777" w:rsidR="007B2947" w:rsidRPr="007B2947" w:rsidRDefault="007B2947" w:rsidP="007B2947">
      <w:pPr>
        <w:rPr>
          <w:lang w:val="ar-SA" w:bidi="ar-EG"/>
        </w:rPr>
      </w:pPr>
      <w:r w:rsidRPr="007B2947">
        <w:rPr>
          <w:rtl/>
        </w:rPr>
        <w:t>انظر الفقرة 3.2 من التوصية ITU-T A.7.</w:t>
      </w:r>
    </w:p>
    <w:p w14:paraId="71E8E700" w14:textId="77777777" w:rsidR="007B2947" w:rsidRPr="007B2947" w:rsidRDefault="007B2947" w:rsidP="00C75A15">
      <w:pPr>
        <w:pStyle w:val="Heading1"/>
        <w:rPr>
          <w:lang w:val="ar-SA" w:bidi="ar-EG"/>
        </w:rPr>
      </w:pPr>
      <w:r w:rsidRPr="007B2947">
        <w:rPr>
          <w:rtl/>
        </w:rPr>
        <w:t>9</w:t>
      </w:r>
      <w:r w:rsidRPr="007B2947">
        <w:rPr>
          <w:rtl/>
        </w:rPr>
        <w:tab/>
        <w:t>المشاركة</w:t>
      </w:r>
    </w:p>
    <w:p w14:paraId="0EF2E36A" w14:textId="7B6EE591" w:rsidR="007B2947" w:rsidRPr="007B2947" w:rsidRDefault="007B2947" w:rsidP="007B2947">
      <w:pPr>
        <w:rPr>
          <w:lang w:val="ar-SA" w:bidi="ar-EG"/>
        </w:rPr>
      </w:pPr>
      <w:r w:rsidRPr="007B2947">
        <w:rPr>
          <w:rtl/>
        </w:rPr>
        <w:t xml:space="preserve">انظر الفقرة </w:t>
      </w:r>
      <w:r w:rsidR="00C75A15">
        <w:t>1.3</w:t>
      </w:r>
      <w:r w:rsidRPr="007B2947">
        <w:rPr>
          <w:rtl/>
        </w:rPr>
        <w:t xml:space="preserve"> من التوصية ITU-T A.7. وستحدَّث قائمة المشاركين لتيسير الرجوع إليها وستبلَّغ بها لجنة الدراسات الرئيسية.</w:t>
      </w:r>
    </w:p>
    <w:p w14:paraId="170B0917" w14:textId="77777777" w:rsidR="007B2947" w:rsidRPr="007B2947" w:rsidRDefault="007B2947" w:rsidP="00C75A15">
      <w:pPr>
        <w:pStyle w:val="Heading1"/>
        <w:rPr>
          <w:lang w:val="ar-SA" w:bidi="ar-EG"/>
        </w:rPr>
      </w:pPr>
      <w:r w:rsidRPr="007B2947">
        <w:rPr>
          <w:rtl/>
        </w:rPr>
        <w:t>10</w:t>
      </w:r>
      <w:r w:rsidRPr="007B2947">
        <w:rPr>
          <w:rtl/>
        </w:rPr>
        <w:tab/>
        <w:t>الدعم الإداري</w:t>
      </w:r>
    </w:p>
    <w:p w14:paraId="1D6877F2" w14:textId="77777777" w:rsidR="007B2947" w:rsidRPr="007B2947" w:rsidRDefault="007B2947" w:rsidP="007B2947">
      <w:pPr>
        <w:rPr>
          <w:lang w:val="ar-SA" w:bidi="ar-EG"/>
        </w:rPr>
      </w:pPr>
      <w:r w:rsidRPr="007B2947">
        <w:rPr>
          <w:rtl/>
        </w:rPr>
        <w:t>انظر الفقرة 5 من التوصية ITU-T A.7.</w:t>
      </w:r>
    </w:p>
    <w:p w14:paraId="4BCE486B" w14:textId="77777777" w:rsidR="007B2947" w:rsidRPr="007B2947" w:rsidRDefault="007B2947" w:rsidP="00C75A15">
      <w:pPr>
        <w:pStyle w:val="Heading1"/>
        <w:rPr>
          <w:lang w:val="ar-SA" w:bidi="ar-EG"/>
        </w:rPr>
      </w:pPr>
      <w:r w:rsidRPr="007B2947">
        <w:rPr>
          <w:rtl/>
        </w:rPr>
        <w:t>11</w:t>
      </w:r>
      <w:r w:rsidRPr="007B2947">
        <w:rPr>
          <w:rtl/>
        </w:rPr>
        <w:tab/>
        <w:t>تمويل الفريق المتخصص</w:t>
      </w:r>
    </w:p>
    <w:p w14:paraId="43BD11FA" w14:textId="77777777" w:rsidR="007B2947" w:rsidRPr="007B2947" w:rsidRDefault="007B2947" w:rsidP="007B2947">
      <w:pPr>
        <w:rPr>
          <w:lang w:val="ar-SA" w:bidi="ar-EG"/>
        </w:rPr>
      </w:pPr>
      <w:r w:rsidRPr="007B2947">
        <w:rPr>
          <w:rtl/>
        </w:rPr>
        <w:t>انظر الفقرة 4 من التوصية ITU-T A.7.</w:t>
      </w:r>
    </w:p>
    <w:p w14:paraId="47678D3F" w14:textId="77777777" w:rsidR="007B2947" w:rsidRPr="007B2947" w:rsidRDefault="007B2947" w:rsidP="00C75A15">
      <w:pPr>
        <w:pStyle w:val="Heading1"/>
        <w:rPr>
          <w:lang w:val="ar-SA" w:bidi="ar-EG"/>
        </w:rPr>
      </w:pPr>
      <w:r w:rsidRPr="007B2947">
        <w:rPr>
          <w:rtl/>
        </w:rPr>
        <w:t>12</w:t>
      </w:r>
      <w:r w:rsidRPr="007B2947">
        <w:rPr>
          <w:rtl/>
        </w:rPr>
        <w:tab/>
        <w:t>الاجتماعات</w:t>
      </w:r>
    </w:p>
    <w:p w14:paraId="6AA2732A" w14:textId="77777777" w:rsidR="007B2947" w:rsidRPr="007B2947" w:rsidRDefault="007B2947" w:rsidP="007B2947">
      <w:pPr>
        <w:rPr>
          <w:lang w:val="ar-SA" w:bidi="ar-EG"/>
        </w:rPr>
      </w:pPr>
      <w:r w:rsidRPr="007B2947">
        <w:rPr>
          <w:rtl/>
        </w:rPr>
        <w:t>سيعقد الفريق المتخصص اجتماعات منتظمة. وستحدد إدارة الفريق المتخصص وتيرة اجتماعاته ومكان انعقادها. وسيستعمل الفريق المتخصص أدوات المشاركة عن بُعد إلى أقصى حد ممكن.</w:t>
      </w:r>
    </w:p>
    <w:p w14:paraId="752904D2" w14:textId="77777777" w:rsidR="007B2947" w:rsidRPr="007B2947" w:rsidRDefault="007B2947" w:rsidP="007B2947">
      <w:pPr>
        <w:rPr>
          <w:lang w:val="ar-SA" w:bidi="ar-EG"/>
        </w:rPr>
      </w:pPr>
      <w:r w:rsidRPr="007B2947">
        <w:rPr>
          <w:rtl/>
        </w:rPr>
        <w:t>وسيُعلن عن مواعيد الاجتماعات بالوسائل الإلكترونية (مثل البريد الإلكتروني والمواقع الإلكترونية) قبل انعقادها بأربعة أسابيع على الأقل.</w:t>
      </w:r>
    </w:p>
    <w:p w14:paraId="41AAE214" w14:textId="2A33A88E" w:rsidR="007B2947" w:rsidRPr="007B2947" w:rsidRDefault="007B2947" w:rsidP="00C75A15">
      <w:pPr>
        <w:pStyle w:val="Heading1"/>
        <w:rPr>
          <w:lang w:val="ar-SA" w:bidi="ar-EG"/>
        </w:rPr>
      </w:pPr>
      <w:r w:rsidRPr="007B2947">
        <w:rPr>
          <w:rtl/>
        </w:rPr>
        <w:t>13</w:t>
      </w:r>
      <w:r w:rsidRPr="007B2947">
        <w:rPr>
          <w:rtl/>
        </w:rPr>
        <w:tab/>
        <w:t>ال</w:t>
      </w:r>
      <w:r w:rsidR="00C75A15">
        <w:rPr>
          <w:rtl/>
        </w:rPr>
        <w:t>منجزات</w:t>
      </w:r>
    </w:p>
    <w:p w14:paraId="53AFE16C" w14:textId="77777777" w:rsidR="007B2947" w:rsidRPr="007B2947" w:rsidRDefault="007B2947" w:rsidP="007B2947">
      <w:pPr>
        <w:rPr>
          <w:lang w:val="ar-SA" w:bidi="ar-EG"/>
        </w:rPr>
      </w:pPr>
      <w:r w:rsidRPr="007B2947">
        <w:rPr>
          <w:rtl/>
        </w:rPr>
        <w:t>انظر الفقرة 8 من التوصية ITU-T A.7.</w:t>
      </w:r>
    </w:p>
    <w:p w14:paraId="1D67C301" w14:textId="77777777" w:rsidR="007B2947" w:rsidRPr="007B2947" w:rsidRDefault="007B2947" w:rsidP="00C75A15">
      <w:pPr>
        <w:pStyle w:val="Heading1"/>
        <w:rPr>
          <w:iCs/>
          <w:lang w:val="ar-SA" w:bidi="ar-EG"/>
        </w:rPr>
      </w:pPr>
      <w:r w:rsidRPr="007B2947">
        <w:rPr>
          <w:rtl/>
        </w:rPr>
        <w:t>14</w:t>
      </w:r>
      <w:r w:rsidRPr="007B2947">
        <w:rPr>
          <w:rtl/>
        </w:rPr>
        <w:tab/>
        <w:t>لغة العمل</w:t>
      </w:r>
    </w:p>
    <w:p w14:paraId="30B0BDE1" w14:textId="77777777" w:rsidR="007B2947" w:rsidRPr="007B2947" w:rsidRDefault="007B2947" w:rsidP="007B2947">
      <w:pPr>
        <w:rPr>
          <w:lang w:val="ar-SA" w:bidi="ar-EG"/>
        </w:rPr>
      </w:pPr>
      <w:r w:rsidRPr="007B2947">
        <w:rPr>
          <w:rtl/>
        </w:rPr>
        <w:t>لغة العمل هي الإنكليزية.</w:t>
      </w:r>
    </w:p>
    <w:p w14:paraId="07712347" w14:textId="216835A8" w:rsidR="007B2947" w:rsidRPr="007B2947" w:rsidRDefault="007B2947" w:rsidP="00C75A15">
      <w:pPr>
        <w:pStyle w:val="Heading1"/>
        <w:rPr>
          <w:iCs/>
          <w:lang w:val="ar-SA" w:bidi="ar-EG"/>
        </w:rPr>
      </w:pPr>
      <w:r w:rsidRPr="007B2947">
        <w:rPr>
          <w:rtl/>
        </w:rPr>
        <w:t>15</w:t>
      </w:r>
      <w:r w:rsidRPr="007B2947">
        <w:rPr>
          <w:rtl/>
        </w:rPr>
        <w:tab/>
        <w:t>الموافقة على ال</w:t>
      </w:r>
      <w:r w:rsidR="00C75A15">
        <w:rPr>
          <w:rtl/>
        </w:rPr>
        <w:t>منجزات</w:t>
      </w:r>
    </w:p>
    <w:p w14:paraId="1A6319A9" w14:textId="01F97096" w:rsidR="007B2947" w:rsidRPr="007B2947" w:rsidRDefault="007B2947" w:rsidP="007B2947">
      <w:pPr>
        <w:rPr>
          <w:lang w:val="ar-SA" w:bidi="ar-EG"/>
        </w:rPr>
      </w:pPr>
      <w:r w:rsidRPr="007B2947">
        <w:rPr>
          <w:rtl/>
        </w:rPr>
        <w:t xml:space="preserve">يكون الحصول على الموافقة بتوافق الآراء وفقاً للفقرة </w:t>
      </w:r>
      <w:r w:rsidR="00C75A15">
        <w:t>2.8</w:t>
      </w:r>
      <w:r w:rsidRPr="007B2947">
        <w:rPr>
          <w:rtl/>
        </w:rPr>
        <w:t xml:space="preserve"> من التوصية ITU-T A.7.</w:t>
      </w:r>
    </w:p>
    <w:p w14:paraId="66DC2B14" w14:textId="77777777" w:rsidR="007B2947" w:rsidRPr="007B2947" w:rsidRDefault="007B2947" w:rsidP="00C75A15">
      <w:pPr>
        <w:pStyle w:val="Heading1"/>
        <w:rPr>
          <w:iCs/>
          <w:lang w:val="ar-SA" w:bidi="ar-EG"/>
        </w:rPr>
      </w:pPr>
      <w:r w:rsidRPr="007B2947">
        <w:rPr>
          <w:rtl/>
        </w:rPr>
        <w:t>16</w:t>
      </w:r>
      <w:r w:rsidRPr="007B2947">
        <w:rPr>
          <w:rtl/>
        </w:rPr>
        <w:tab/>
        <w:t>المبادئ التوجيهية للعمل</w:t>
      </w:r>
    </w:p>
    <w:p w14:paraId="276D916F" w14:textId="518E6BF6" w:rsidR="007B2947" w:rsidRPr="007B2947" w:rsidRDefault="007B2947" w:rsidP="007B2947">
      <w:pPr>
        <w:rPr>
          <w:lang w:val="ar-SA" w:bidi="ar-EG"/>
        </w:rPr>
      </w:pPr>
      <w:r w:rsidRPr="007B2947">
        <w:rPr>
          <w:rtl/>
        </w:rPr>
        <w:t>يتَّبع الفريق المتخصص في عمله نفس الإجراءات المتبعة في اجتماعات أفرقة المقرِّرين (التوصية ITU-T A.1</w:t>
      </w:r>
      <w:r w:rsidR="00C75A15">
        <w:rPr>
          <w:rFonts w:hint="cs"/>
          <w:rtl/>
          <w:lang w:bidi="ar-EG"/>
        </w:rPr>
        <w:t>)</w:t>
      </w:r>
      <w:r w:rsidRPr="007B2947">
        <w:rPr>
          <w:rtl/>
        </w:rPr>
        <w:t>. ولا تحدَّد أي مبادئ توجيهية إضافية للعمل.</w:t>
      </w:r>
    </w:p>
    <w:p w14:paraId="317109C5" w14:textId="77777777" w:rsidR="007B2947" w:rsidRPr="007B2947" w:rsidRDefault="007B2947" w:rsidP="00C75A15">
      <w:pPr>
        <w:pStyle w:val="Heading1"/>
        <w:rPr>
          <w:iCs/>
          <w:lang w:val="ar-SA" w:bidi="ar-EG"/>
        </w:rPr>
      </w:pPr>
      <w:r w:rsidRPr="007B2947">
        <w:rPr>
          <w:rtl/>
        </w:rPr>
        <w:lastRenderedPageBreak/>
        <w:t>17</w:t>
      </w:r>
      <w:r w:rsidRPr="007B2947">
        <w:rPr>
          <w:rtl/>
        </w:rPr>
        <w:tab/>
        <w:t>التقارير المرحلية</w:t>
      </w:r>
    </w:p>
    <w:p w14:paraId="5890981E" w14:textId="60CA117F" w:rsidR="007B2947" w:rsidRPr="007B2947" w:rsidRDefault="007B2947" w:rsidP="007B2947">
      <w:pPr>
        <w:rPr>
          <w:lang w:val="ar-SA" w:bidi="ar-EG"/>
        </w:rPr>
      </w:pPr>
      <w:r w:rsidRPr="007B2947">
        <w:rPr>
          <w:rtl/>
        </w:rPr>
        <w:t xml:space="preserve">انظر الفقرة </w:t>
      </w:r>
      <w:r w:rsidR="00C75A15">
        <w:t>6.3</w:t>
      </w:r>
      <w:r w:rsidRPr="007B2947">
        <w:rPr>
          <w:rtl/>
        </w:rPr>
        <w:t xml:space="preserve"> من التوصية ITU-T A.7.</w:t>
      </w:r>
    </w:p>
    <w:p w14:paraId="3E2890AA" w14:textId="28A9CC64" w:rsidR="007B2947" w:rsidRPr="007B2947" w:rsidRDefault="007B2947" w:rsidP="00C75A15">
      <w:pPr>
        <w:pStyle w:val="Heading1"/>
        <w:rPr>
          <w:iCs/>
          <w:lang w:val="ar-SA" w:bidi="ar-EG"/>
        </w:rPr>
      </w:pPr>
      <w:r w:rsidRPr="007B2947">
        <w:rPr>
          <w:rtl/>
        </w:rPr>
        <w:t>18</w:t>
      </w:r>
      <w:r w:rsidRPr="007B2947">
        <w:rPr>
          <w:rtl/>
        </w:rPr>
        <w:tab/>
        <w:t>الإعلان عن تشكيل الفريق المتخصص</w:t>
      </w:r>
    </w:p>
    <w:p w14:paraId="35429476" w14:textId="77777777" w:rsidR="007B2947" w:rsidRPr="007B2947" w:rsidRDefault="007B2947" w:rsidP="007B2947">
      <w:pPr>
        <w:rPr>
          <w:lang w:val="ar-SA" w:bidi="ar-EG"/>
        </w:rPr>
      </w:pPr>
      <w:r w:rsidRPr="007B2947">
        <w:rPr>
          <w:rtl/>
        </w:rPr>
        <w:t>سيُعلن عن تشكيل الفريق المتخصص من خلال توجيه رسالة معممة من مكتب تقييس الاتصالات إلى جميع أعضاء الاتحاد وعبر النشرة الإخبارية لقطاع تقييس الاتصالات والنشرات الصحفية ووسائل أخرى تشمل التواصل مع المنظمات المعنية الأخرى.</w:t>
      </w:r>
    </w:p>
    <w:p w14:paraId="56465060" w14:textId="77777777" w:rsidR="007B2947" w:rsidRPr="007B2947" w:rsidRDefault="007B2947" w:rsidP="00C75A15">
      <w:pPr>
        <w:pStyle w:val="Heading1"/>
        <w:rPr>
          <w:iCs/>
          <w:lang w:val="ar-SA" w:bidi="ar-EG"/>
        </w:rPr>
      </w:pPr>
      <w:r w:rsidRPr="007B2947">
        <w:rPr>
          <w:rtl/>
        </w:rPr>
        <w:t>19</w:t>
      </w:r>
      <w:r w:rsidRPr="007B2947">
        <w:rPr>
          <w:rtl/>
        </w:rPr>
        <w:tab/>
        <w:t>الأحداث الهامة للفريق المتخصص ومدته</w:t>
      </w:r>
    </w:p>
    <w:p w14:paraId="62866716" w14:textId="77777777" w:rsidR="007B2947" w:rsidRPr="007B2947" w:rsidRDefault="007B2947" w:rsidP="007B2947">
      <w:pPr>
        <w:rPr>
          <w:lang w:val="ar-SA" w:bidi="ar-EG"/>
        </w:rPr>
      </w:pPr>
      <w:r w:rsidRPr="007B2947">
        <w:rPr>
          <w:rtl/>
        </w:rPr>
        <w:t>تبلغ مدة ولاية الفريق المتخصص سنة واحدة اعتباراً من الاجتماع الأول، مع إمكانية التمديد.</w:t>
      </w:r>
    </w:p>
    <w:p w14:paraId="592DACA1" w14:textId="20D647FC" w:rsidR="007B2947" w:rsidRPr="007B2947" w:rsidRDefault="007B2947" w:rsidP="007B2947">
      <w:pPr>
        <w:rPr>
          <w:lang w:val="ar-SA" w:bidi="ar-EG"/>
        </w:rPr>
      </w:pPr>
      <w:r w:rsidRPr="007B2947">
        <w:rPr>
          <w:rtl/>
        </w:rPr>
        <w:t>ويخضع أي تمديد بعد التاريخ المشار إليه أعلاه لقرار لجنة الدراسات 20 لقطاع تقييس الاتصالات، تماشياً مع التوصية</w:t>
      </w:r>
      <w:r w:rsidR="00C75A15">
        <w:rPr>
          <w:rFonts w:hint="cs"/>
          <w:rtl/>
        </w:rPr>
        <w:t> </w:t>
      </w:r>
      <w:r w:rsidR="00C75A15">
        <w:t>ITU</w:t>
      </w:r>
      <w:r w:rsidR="00C75A15">
        <w:noBreakHyphen/>
        <w:t>T A.7</w:t>
      </w:r>
      <w:r w:rsidRPr="007B2947">
        <w:rPr>
          <w:rtl/>
        </w:rPr>
        <w:t>.</w:t>
      </w:r>
    </w:p>
    <w:p w14:paraId="48447D12" w14:textId="77777777" w:rsidR="007B2947" w:rsidRPr="007B2947" w:rsidRDefault="007B2947" w:rsidP="00C75A15">
      <w:pPr>
        <w:pStyle w:val="Heading1"/>
        <w:rPr>
          <w:iCs/>
          <w:lang w:val="ar-SA" w:bidi="ar-EG"/>
        </w:rPr>
      </w:pPr>
      <w:r w:rsidRPr="007B2947">
        <w:rPr>
          <w:rtl/>
        </w:rPr>
        <w:t>20</w:t>
      </w:r>
      <w:r w:rsidRPr="007B2947">
        <w:rPr>
          <w:rtl/>
        </w:rPr>
        <w:tab/>
        <w:t>حقوق الملكية الفكرية</w:t>
      </w:r>
    </w:p>
    <w:p w14:paraId="067EFA8D" w14:textId="77777777" w:rsidR="007B2947" w:rsidRPr="007B2947" w:rsidRDefault="007B2947" w:rsidP="007B2947">
      <w:pPr>
        <w:rPr>
          <w:lang w:val="ar-SA" w:bidi="ar-EG"/>
        </w:rPr>
      </w:pPr>
      <w:r w:rsidRPr="007B2947">
        <w:rPr>
          <w:rtl/>
        </w:rPr>
        <w:t>انظر الفقرة 7 من التوصية ITU-T A.7.</w:t>
      </w:r>
    </w:p>
    <w:p w14:paraId="6031C00D" w14:textId="77777777"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25"/>
      <w:footerReference w:type="first" r:id="rId2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06BF" w14:textId="77777777" w:rsidR="00102AA4" w:rsidRDefault="00102AA4" w:rsidP="006C3242">
      <w:pPr>
        <w:spacing w:before="0" w:line="240" w:lineRule="auto"/>
      </w:pPr>
      <w:r>
        <w:separator/>
      </w:r>
    </w:p>
  </w:endnote>
  <w:endnote w:type="continuationSeparator" w:id="0">
    <w:p w14:paraId="25D0B784" w14:textId="77777777" w:rsidR="00102AA4" w:rsidRDefault="00102AA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DABE"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216B" w14:textId="77777777" w:rsidR="00102AA4" w:rsidRDefault="00102AA4" w:rsidP="006C3242">
      <w:pPr>
        <w:spacing w:before="0" w:line="240" w:lineRule="auto"/>
      </w:pPr>
      <w:r>
        <w:separator/>
      </w:r>
    </w:p>
  </w:footnote>
  <w:footnote w:type="continuationSeparator" w:id="0">
    <w:p w14:paraId="217958D0" w14:textId="77777777" w:rsidR="00102AA4" w:rsidRDefault="00102AA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90DA" w14:textId="59DC867A" w:rsidR="00447F32" w:rsidRPr="00596808" w:rsidRDefault="00596808" w:rsidP="00B916A7">
    <w:pPr>
      <w:pStyle w:val="Header"/>
      <w:spacing w:after="240" w:line="192" w:lineRule="auto"/>
      <w:jc w:val="center"/>
      <w:rPr>
        <w:rtl/>
      </w:rP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7B2947">
      <w:rPr>
        <w:sz w:val="20"/>
        <w:szCs w:val="20"/>
        <w:lang w:bidi="ar-EG"/>
      </w:rPr>
      <w:t>147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F04235"/>
    <w:multiLevelType w:val="hybridMultilevel"/>
    <w:tmpl w:val="3F864442"/>
    <w:lvl w:ilvl="0" w:tplc="B8922AB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C35D22"/>
    <w:multiLevelType w:val="hybridMultilevel"/>
    <w:tmpl w:val="6908CCA0"/>
    <w:lvl w:ilvl="0" w:tplc="B8922AB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377D3"/>
    <w:multiLevelType w:val="hybridMultilevel"/>
    <w:tmpl w:val="39143DCC"/>
    <w:lvl w:ilvl="0" w:tplc="C2B8B9E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AF0075"/>
    <w:multiLevelType w:val="hybridMultilevel"/>
    <w:tmpl w:val="7BDC3324"/>
    <w:lvl w:ilvl="0" w:tplc="C2B8B9E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1"/>
  </w:num>
  <w:num w:numId="12" w16cid:durableId="1808274268">
    <w:abstractNumId w:val="14"/>
  </w:num>
  <w:num w:numId="13" w16cid:durableId="1544446326">
    <w:abstractNumId w:val="10"/>
  </w:num>
  <w:num w:numId="14" w16cid:durableId="967929513">
    <w:abstractNumId w:val="12"/>
  </w:num>
  <w:num w:numId="15" w16cid:durableId="362749800">
    <w:abstractNumId w:val="13"/>
  </w:num>
  <w:num w:numId="16" w16cid:durableId="25329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7"/>
    <w:rsid w:val="00002A63"/>
    <w:rsid w:val="0006468A"/>
    <w:rsid w:val="00090574"/>
    <w:rsid w:val="000C1C0E"/>
    <w:rsid w:val="000C548A"/>
    <w:rsid w:val="000D74C5"/>
    <w:rsid w:val="000E327F"/>
    <w:rsid w:val="00102AA4"/>
    <w:rsid w:val="00146FE2"/>
    <w:rsid w:val="0017652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631A7"/>
    <w:rsid w:val="00367A06"/>
    <w:rsid w:val="00372F67"/>
    <w:rsid w:val="00383829"/>
    <w:rsid w:val="0039186D"/>
    <w:rsid w:val="003A3046"/>
    <w:rsid w:val="003C7EDF"/>
    <w:rsid w:val="003F4B29"/>
    <w:rsid w:val="00400EC6"/>
    <w:rsid w:val="0042686F"/>
    <w:rsid w:val="004317D8"/>
    <w:rsid w:val="00434183"/>
    <w:rsid w:val="00437B96"/>
    <w:rsid w:val="00443869"/>
    <w:rsid w:val="00447F32"/>
    <w:rsid w:val="00454D9C"/>
    <w:rsid w:val="004C1FA9"/>
    <w:rsid w:val="004E11DC"/>
    <w:rsid w:val="00503559"/>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3CF8"/>
    <w:rsid w:val="0074420E"/>
    <w:rsid w:val="00783E26"/>
    <w:rsid w:val="007B2947"/>
    <w:rsid w:val="007C3BC7"/>
    <w:rsid w:val="007C3BCD"/>
    <w:rsid w:val="007D4ACF"/>
    <w:rsid w:val="007F0787"/>
    <w:rsid w:val="0080100B"/>
    <w:rsid w:val="00807031"/>
    <w:rsid w:val="00810B7B"/>
    <w:rsid w:val="0082358A"/>
    <w:rsid w:val="008235CD"/>
    <w:rsid w:val="008247DE"/>
    <w:rsid w:val="00840B10"/>
    <w:rsid w:val="008513CB"/>
    <w:rsid w:val="00867BAE"/>
    <w:rsid w:val="00873469"/>
    <w:rsid w:val="00877F4B"/>
    <w:rsid w:val="00891703"/>
    <w:rsid w:val="008A7F84"/>
    <w:rsid w:val="009165BA"/>
    <w:rsid w:val="0091702E"/>
    <w:rsid w:val="00923B0C"/>
    <w:rsid w:val="00926F44"/>
    <w:rsid w:val="0094021C"/>
    <w:rsid w:val="0094432F"/>
    <w:rsid w:val="00952F86"/>
    <w:rsid w:val="00982B28"/>
    <w:rsid w:val="0099778F"/>
    <w:rsid w:val="009D313F"/>
    <w:rsid w:val="009E124E"/>
    <w:rsid w:val="009F17C2"/>
    <w:rsid w:val="00A327FD"/>
    <w:rsid w:val="00A47A5A"/>
    <w:rsid w:val="00A6683B"/>
    <w:rsid w:val="00A77C90"/>
    <w:rsid w:val="00A9156F"/>
    <w:rsid w:val="00A97F94"/>
    <w:rsid w:val="00AA7EA2"/>
    <w:rsid w:val="00AB0BC9"/>
    <w:rsid w:val="00AB252A"/>
    <w:rsid w:val="00AF585C"/>
    <w:rsid w:val="00AF6B5C"/>
    <w:rsid w:val="00B03099"/>
    <w:rsid w:val="00B05BC8"/>
    <w:rsid w:val="00B64B47"/>
    <w:rsid w:val="00B916A7"/>
    <w:rsid w:val="00BB0F08"/>
    <w:rsid w:val="00C002DE"/>
    <w:rsid w:val="00C11D67"/>
    <w:rsid w:val="00C53BF8"/>
    <w:rsid w:val="00C66157"/>
    <w:rsid w:val="00C674FE"/>
    <w:rsid w:val="00C67501"/>
    <w:rsid w:val="00C75633"/>
    <w:rsid w:val="00C75A15"/>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3A36"/>
    <w:rsid w:val="00DC5FB0"/>
    <w:rsid w:val="00DC680E"/>
    <w:rsid w:val="00DD1EBB"/>
    <w:rsid w:val="00DD6915"/>
    <w:rsid w:val="00DF16DC"/>
    <w:rsid w:val="00E033BE"/>
    <w:rsid w:val="00E45211"/>
    <w:rsid w:val="00E473C5"/>
    <w:rsid w:val="00E84438"/>
    <w:rsid w:val="00E92863"/>
    <w:rsid w:val="00EB796D"/>
    <w:rsid w:val="00F058DC"/>
    <w:rsid w:val="00F24FC4"/>
    <w:rsid w:val="00F2676C"/>
    <w:rsid w:val="00F52941"/>
    <w:rsid w:val="00F84366"/>
    <w:rsid w:val="00F85089"/>
    <w:rsid w:val="00F974C5"/>
    <w:rsid w:val="00FA6F46"/>
    <w:rsid w:val="00FB242C"/>
    <w:rsid w:val="00FB457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86CD7"/>
  <w15:chartTrackingRefBased/>
  <w15:docId w15:val="{224A0456-0755-40C2-827A-B0141CB6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CircularNo">
    <w:name w:val="CircularNo"/>
    <w:basedOn w:val="Normal"/>
    <w:qFormat/>
    <w:rsid w:val="007B2947"/>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SimSun" w:hAnsi="CG Times" w:cs="Calibri" w:hint="c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int/go/ai4ssc" TargetMode="External"/><Relationship Id="rId18" Type="http://schemas.openxmlformats.org/officeDocument/2006/relationships/hyperlink" Target="https://www.itu.int/en/ITU-T/focusgroups/ai4ssc/Pages/default.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tsbfgai4ssc@itu.int" TargetMode="External"/><Relationship Id="rId7" Type="http://schemas.openxmlformats.org/officeDocument/2006/relationships/endnotes" Target="endnotes.xml"/><Relationship Id="rId12" Type="http://schemas.openxmlformats.org/officeDocument/2006/relationships/hyperlink" Target="https://www.itu.int/en/ITU-T/focusgroups/ai4ssc/Pages/default.aspx" TargetMode="External"/><Relationship Id="rId17" Type="http://schemas.openxmlformats.org/officeDocument/2006/relationships/hyperlink" Target="mailto:tsbfgai4ssc@itu.i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T25-TSB-CIR-0146" TargetMode="External"/><Relationship Id="rId20" Type="http://schemas.openxmlformats.org/officeDocument/2006/relationships/hyperlink" Target="https://itu.int/go/fgai4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T-REC-A.7" TargetMode="External"/><Relationship Id="rId24" Type="http://schemas.openxmlformats.org/officeDocument/2006/relationships/hyperlink" Target="https://www.itu.int/en/ITU-T/focusgroups/ai4ssc/Pages/default.aspx" TargetMode="External"/><Relationship Id="rId5" Type="http://schemas.openxmlformats.org/officeDocument/2006/relationships/webSettings" Target="webSettings.xml"/><Relationship Id="rId15" Type="http://schemas.openxmlformats.org/officeDocument/2006/relationships/hyperlink" Target="https://itu.int/go/ai4ssc/join" TargetMode="External"/><Relationship Id="rId23" Type="http://schemas.openxmlformats.org/officeDocument/2006/relationships/hyperlink" Target="https://www.itu.int/en/ITU-T/focusgroups/ai4ssc/Pages/default.aspx" TargetMode="External"/><Relationship Id="rId28" Type="http://schemas.openxmlformats.org/officeDocument/2006/relationships/theme" Target="theme/theme1.xml"/><Relationship Id="rId10" Type="http://schemas.openxmlformats.org/officeDocument/2006/relationships/hyperlink" Target="https://www.itu.int/rec/T-REC-A.7" TargetMode="External"/><Relationship Id="rId19" Type="http://schemas.openxmlformats.org/officeDocument/2006/relationships/hyperlink" Target="mailto:tsbfgai4ssc@itu.int" TargetMode="External"/><Relationship Id="rId4" Type="http://schemas.openxmlformats.org/officeDocument/2006/relationships/settings" Target="settings.xml"/><Relationship Id="rId9" Type="http://schemas.openxmlformats.org/officeDocument/2006/relationships/hyperlink" Target="mailto:tsbfgai4ssc@itu.int" TargetMode="External"/><Relationship Id="rId14" Type="http://schemas.openxmlformats.org/officeDocument/2006/relationships/hyperlink" Target="https://itu.int/go/ai4ssc/join" TargetMode="External"/><Relationship Id="rId22" Type="http://schemas.openxmlformats.org/officeDocument/2006/relationships/hyperlink" Target="mailto:tsbfgai4ssc@itu.in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atelb\ITU\Riz,%20Imad%20-%20Arabic%20Pool%20Drive\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0</TotalTime>
  <Pages>9</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Maguire, Mairéad</cp:lastModifiedBy>
  <cp:revision>2</cp:revision>
  <dcterms:created xsi:type="dcterms:W3CDTF">2026-07-15T13:13:00Z</dcterms:created>
  <dcterms:modified xsi:type="dcterms:W3CDTF">2026-07-15T13:13:00Z</dcterms:modified>
</cp:coreProperties>
</file>