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8" w:type="dxa"/>
        <w:tblLayout w:type="fixed"/>
        <w:tblCellMar>
          <w:left w:w="0" w:type="dxa"/>
          <w:right w:w="0" w:type="dxa"/>
        </w:tblCellMar>
        <w:tblLook w:val="0000" w:firstRow="0" w:lastRow="0" w:firstColumn="0" w:lastColumn="0" w:noHBand="0" w:noVBand="0"/>
      </w:tblPr>
      <w:tblGrid>
        <w:gridCol w:w="993"/>
        <w:gridCol w:w="417"/>
        <w:gridCol w:w="3467"/>
        <w:gridCol w:w="5329"/>
      </w:tblGrid>
      <w:tr w:rsidR="007B6316" w14:paraId="0E41899D" w14:textId="77777777" w:rsidTr="007B6316">
        <w:trPr>
          <w:cantSplit/>
          <w:trHeight w:val="340"/>
        </w:trPr>
        <w:tc>
          <w:tcPr>
            <w:tcW w:w="1410" w:type="dxa"/>
            <w:gridSpan w:val="2"/>
          </w:tcPr>
          <w:p w14:paraId="750A1CB1" w14:textId="77777777" w:rsidR="007B6316" w:rsidRDefault="007B6316" w:rsidP="00303D62">
            <w:pPr>
              <w:tabs>
                <w:tab w:val="left" w:pos="4111"/>
              </w:tabs>
              <w:spacing w:before="10"/>
              <w:ind w:left="57"/>
              <w:rPr>
                <w:sz w:val="22"/>
              </w:rPr>
            </w:pPr>
            <w:r w:rsidRPr="00F1238A">
              <w:rPr>
                <w:noProof/>
                <w:lang w:val="en-US" w:eastAsia="zh-CN"/>
              </w:rPr>
              <w:drawing>
                <wp:inline distT="0" distB="0" distL="0" distR="0" wp14:anchorId="094CC8AA" wp14:editId="61BAD2C2">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8796" w:type="dxa"/>
            <w:gridSpan w:val="2"/>
            <w:vAlign w:val="center"/>
          </w:tcPr>
          <w:p w14:paraId="1FFBAE16" w14:textId="77777777" w:rsidR="007B6316" w:rsidRPr="00081FE5" w:rsidRDefault="007B6316" w:rsidP="007B6316">
            <w:pPr>
              <w:spacing w:before="0"/>
              <w:rPr>
                <w:rFonts w:cs="Times New Roman Bold"/>
                <w:b/>
                <w:bCs/>
                <w:smallCaps/>
                <w:sz w:val="26"/>
                <w:szCs w:val="26"/>
              </w:rPr>
            </w:pPr>
            <w:r w:rsidRPr="00081FE5">
              <w:rPr>
                <w:rFonts w:cs="Times New Roman Bold"/>
                <w:b/>
                <w:bCs/>
                <w:smallCaps/>
                <w:sz w:val="36"/>
                <w:szCs w:val="36"/>
              </w:rPr>
              <w:t>Unión Internacional de Telecomunicaciones</w:t>
            </w:r>
          </w:p>
          <w:p w14:paraId="1552382B" w14:textId="77777777" w:rsidR="007B6316" w:rsidRDefault="007B6316" w:rsidP="007B6316">
            <w:pPr>
              <w:spacing w:before="0"/>
            </w:pPr>
            <w:r w:rsidRPr="007B6316">
              <w:rPr>
                <w:rFonts w:cs="Times New Roman Bold"/>
                <w:b/>
                <w:bCs/>
                <w:smallCaps/>
                <w:sz w:val="28"/>
                <w:szCs w:val="28"/>
              </w:rPr>
              <w:t>Oficina</w:t>
            </w:r>
            <w:r w:rsidRPr="007B6316">
              <w:rPr>
                <w:rFonts w:cs="Times New Roman Bold"/>
                <w:b/>
                <w:bCs/>
                <w:iCs/>
                <w:smallCaps/>
                <w:sz w:val="22"/>
                <w:szCs w:val="22"/>
              </w:rPr>
              <w:t xml:space="preserve"> </w:t>
            </w:r>
            <w:r w:rsidRPr="00081FE5">
              <w:rPr>
                <w:rFonts w:cs="Times New Roman Bold"/>
                <w:b/>
                <w:bCs/>
                <w:iCs/>
                <w:smallCaps/>
                <w:sz w:val="28"/>
                <w:szCs w:val="28"/>
              </w:rPr>
              <w:t>de Normalización de las Telecomunicaciones</w:t>
            </w:r>
          </w:p>
        </w:tc>
      </w:tr>
      <w:tr w:rsidR="007B6316" w14:paraId="77AD14BB" w14:textId="77777777" w:rsidTr="00303D62">
        <w:trPr>
          <w:cantSplit/>
          <w:trHeight w:val="340"/>
        </w:trPr>
        <w:tc>
          <w:tcPr>
            <w:tcW w:w="993" w:type="dxa"/>
          </w:tcPr>
          <w:p w14:paraId="03490429" w14:textId="77777777" w:rsidR="007B6316" w:rsidRPr="007B6316" w:rsidRDefault="007B6316" w:rsidP="00303D62">
            <w:pPr>
              <w:tabs>
                <w:tab w:val="left" w:pos="4111"/>
              </w:tabs>
              <w:spacing w:before="10"/>
              <w:ind w:left="57"/>
              <w:rPr>
                <w:b/>
                <w:bCs/>
                <w:sz w:val="22"/>
              </w:rPr>
            </w:pPr>
          </w:p>
        </w:tc>
        <w:tc>
          <w:tcPr>
            <w:tcW w:w="3884" w:type="dxa"/>
            <w:gridSpan w:val="2"/>
          </w:tcPr>
          <w:p w14:paraId="23314E3F" w14:textId="77777777" w:rsidR="007B6316" w:rsidRDefault="007B6316" w:rsidP="00303D62">
            <w:pPr>
              <w:tabs>
                <w:tab w:val="left" w:pos="4111"/>
              </w:tabs>
              <w:spacing w:before="0"/>
              <w:ind w:left="57"/>
              <w:rPr>
                <w:b/>
              </w:rPr>
            </w:pPr>
          </w:p>
        </w:tc>
        <w:tc>
          <w:tcPr>
            <w:tcW w:w="5329" w:type="dxa"/>
          </w:tcPr>
          <w:p w14:paraId="359386F4" w14:textId="7C22C68B" w:rsidR="007B6316" w:rsidRDefault="007B6316" w:rsidP="007B6316">
            <w:pPr>
              <w:tabs>
                <w:tab w:val="clear" w:pos="794"/>
                <w:tab w:val="clear" w:pos="1191"/>
                <w:tab w:val="clear" w:pos="1588"/>
                <w:tab w:val="clear" w:pos="1985"/>
                <w:tab w:val="left" w:pos="284"/>
              </w:tabs>
              <w:spacing w:after="120"/>
              <w:ind w:left="284" w:hanging="227"/>
            </w:pPr>
            <w:r w:rsidRPr="00081FE5">
              <w:rPr>
                <w:szCs w:val="24"/>
              </w:rPr>
              <w:t>Ginebra,</w:t>
            </w:r>
            <w:r w:rsidR="005E2783">
              <w:rPr>
                <w:szCs w:val="24"/>
              </w:rPr>
              <w:t xml:space="preserve"> 19 de junio de 2026</w:t>
            </w:r>
          </w:p>
        </w:tc>
      </w:tr>
      <w:tr w:rsidR="001350B9" w14:paraId="4C618BF6" w14:textId="77777777" w:rsidTr="00303D62">
        <w:trPr>
          <w:cantSplit/>
          <w:trHeight w:val="340"/>
        </w:trPr>
        <w:tc>
          <w:tcPr>
            <w:tcW w:w="993" w:type="dxa"/>
          </w:tcPr>
          <w:p w14:paraId="46013ED2" w14:textId="77777777" w:rsidR="001350B9" w:rsidRPr="001350B9" w:rsidRDefault="001350B9" w:rsidP="00303D62">
            <w:pPr>
              <w:tabs>
                <w:tab w:val="left" w:pos="4111"/>
              </w:tabs>
              <w:spacing w:before="10"/>
              <w:ind w:left="57"/>
              <w:rPr>
                <w:sz w:val="22"/>
              </w:rPr>
            </w:pPr>
            <w:r w:rsidRPr="001350B9">
              <w:rPr>
                <w:sz w:val="22"/>
              </w:rPr>
              <w:t>Ref.:</w:t>
            </w:r>
          </w:p>
          <w:p w14:paraId="38D3E5EA" w14:textId="77777777" w:rsidR="001350B9" w:rsidRPr="001350B9" w:rsidRDefault="001350B9" w:rsidP="007B6316">
            <w:pPr>
              <w:tabs>
                <w:tab w:val="left" w:pos="4111"/>
              </w:tabs>
              <w:spacing w:before="10"/>
              <w:ind w:left="57"/>
              <w:rPr>
                <w:sz w:val="22"/>
              </w:rPr>
            </w:pPr>
          </w:p>
        </w:tc>
        <w:tc>
          <w:tcPr>
            <w:tcW w:w="3884" w:type="dxa"/>
            <w:gridSpan w:val="2"/>
          </w:tcPr>
          <w:p w14:paraId="342823DD" w14:textId="07F395B2" w:rsidR="001350B9" w:rsidRDefault="001350B9" w:rsidP="00303D62">
            <w:pPr>
              <w:tabs>
                <w:tab w:val="left" w:pos="4111"/>
              </w:tabs>
              <w:spacing w:before="0"/>
              <w:ind w:left="57"/>
              <w:rPr>
                <w:b/>
              </w:rPr>
            </w:pPr>
            <w:r>
              <w:rPr>
                <w:b/>
              </w:rPr>
              <w:t xml:space="preserve">Circular TSB </w:t>
            </w:r>
            <w:r w:rsidR="005E2783">
              <w:rPr>
                <w:b/>
              </w:rPr>
              <w:t>146</w:t>
            </w:r>
          </w:p>
          <w:p w14:paraId="02F4B7AC" w14:textId="6FAB5E05" w:rsidR="001350B9" w:rsidRPr="005E2783" w:rsidRDefault="005E2783" w:rsidP="00303D62">
            <w:pPr>
              <w:tabs>
                <w:tab w:val="left" w:pos="4111"/>
              </w:tabs>
              <w:spacing w:before="0"/>
              <w:ind w:left="57"/>
            </w:pPr>
            <w:r w:rsidRPr="005E2783">
              <w:rPr>
                <w:color w:val="000000"/>
                <w:szCs w:val="22"/>
                <w:lang w:val="es-ES"/>
              </w:rPr>
              <w:t>FG-AI4SSC/YZ</w:t>
            </w:r>
          </w:p>
          <w:p w14:paraId="0136E18F" w14:textId="77777777" w:rsidR="001350B9" w:rsidRDefault="001350B9" w:rsidP="007B6316">
            <w:pPr>
              <w:tabs>
                <w:tab w:val="left" w:pos="4111"/>
              </w:tabs>
              <w:spacing w:before="0"/>
              <w:ind w:left="57"/>
            </w:pPr>
          </w:p>
        </w:tc>
        <w:tc>
          <w:tcPr>
            <w:tcW w:w="5329" w:type="dxa"/>
            <w:vMerge w:val="restart"/>
          </w:tcPr>
          <w:p w14:paraId="3177D48A" w14:textId="32DB315B" w:rsidR="001350B9" w:rsidRDefault="006A0A0D" w:rsidP="00303D62">
            <w:pPr>
              <w:tabs>
                <w:tab w:val="clear" w:pos="794"/>
                <w:tab w:val="clear" w:pos="1191"/>
                <w:tab w:val="clear" w:pos="1588"/>
                <w:tab w:val="clear" w:pos="1985"/>
                <w:tab w:val="left" w:pos="284"/>
              </w:tabs>
              <w:spacing w:before="0"/>
              <w:ind w:left="284" w:hanging="227"/>
            </w:pPr>
            <w:bookmarkStart w:id="0" w:name="Addressee_S"/>
            <w:bookmarkEnd w:id="0"/>
            <w:r w:rsidRPr="00581B90">
              <w:rPr>
                <w:rFonts w:eastAsia="DengXian" w:cstheme="minorHAnsi"/>
                <w:color w:val="000000"/>
                <w:szCs w:val="24"/>
                <w:lang w:eastAsia="ja-JP"/>
              </w:rPr>
              <w:t>–</w:t>
            </w:r>
            <w:r w:rsidR="001350B9">
              <w:tab/>
              <w:t>A las Administraciones de los Estados Miembros de la Unión</w:t>
            </w:r>
            <w:r w:rsidR="00A11EEF">
              <w:t>;</w:t>
            </w:r>
          </w:p>
          <w:p w14:paraId="74AAAD54" w14:textId="77777777" w:rsidR="006A0A0D" w:rsidRDefault="006A0A0D" w:rsidP="006A0A0D">
            <w:pPr>
              <w:tabs>
                <w:tab w:val="clear" w:pos="794"/>
                <w:tab w:val="clear" w:pos="1191"/>
                <w:tab w:val="clear" w:pos="1588"/>
                <w:tab w:val="clear" w:pos="1985"/>
                <w:tab w:val="left" w:pos="284"/>
              </w:tabs>
              <w:spacing w:before="0"/>
              <w:ind w:left="284" w:hanging="227"/>
              <w:rPr>
                <w:lang w:val="es-ES"/>
              </w:rPr>
            </w:pPr>
            <w:r w:rsidRPr="00581B90">
              <w:rPr>
                <w:rFonts w:eastAsia="DengXian" w:cstheme="minorHAnsi"/>
                <w:color w:val="000000"/>
                <w:szCs w:val="24"/>
                <w:lang w:eastAsia="ja-JP"/>
              </w:rPr>
              <w:t>–</w:t>
            </w:r>
            <w:r w:rsidR="00A11EEF">
              <w:tab/>
              <w:t xml:space="preserve">Al </w:t>
            </w:r>
            <w:r w:rsidR="00A11EEF" w:rsidRPr="00697E21">
              <w:rPr>
                <w:lang w:val="es-ES"/>
              </w:rPr>
              <w:t>Estado de Palestina (Res. 99 (Rev. Dubái, 2018));</w:t>
            </w:r>
          </w:p>
          <w:p w14:paraId="309DBD6D" w14:textId="77777777" w:rsidR="006A0A0D"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A los Miembros del Sector UIT</w:t>
            </w:r>
            <w:r w:rsidR="001350B9">
              <w:noBreakHyphen/>
              <w:t>T;</w:t>
            </w:r>
          </w:p>
          <w:p w14:paraId="0328A5DF" w14:textId="77777777" w:rsidR="006A0A0D"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A los Asociados del UIT</w:t>
            </w:r>
            <w:r w:rsidR="001350B9">
              <w:noBreakHyphen/>
              <w:t>T;</w:t>
            </w:r>
          </w:p>
          <w:p w14:paraId="1DC4DBBD" w14:textId="78312489" w:rsidR="006A0A0D"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A las Instituciones Académicas de</w:t>
            </w:r>
            <w:r w:rsidR="005E2783">
              <w:t xml:space="preserve"> </w:t>
            </w:r>
            <w:r w:rsidR="001350B9">
              <w:t>l</w:t>
            </w:r>
            <w:r w:rsidR="005E2783">
              <w:t>a</w:t>
            </w:r>
            <w:r w:rsidR="001350B9">
              <w:t xml:space="preserve"> </w:t>
            </w:r>
            <w:r w:rsidR="001350B9" w:rsidRPr="00665FBD">
              <w:t>UIT</w:t>
            </w:r>
          </w:p>
          <w:p w14:paraId="10539635" w14:textId="74356CCA" w:rsidR="006A0A0D" w:rsidRDefault="006A0A0D" w:rsidP="006A0A0D">
            <w:pPr>
              <w:tabs>
                <w:tab w:val="clear" w:pos="794"/>
                <w:tab w:val="clear" w:pos="1191"/>
                <w:tab w:val="clear" w:pos="1588"/>
                <w:tab w:val="clear" w:pos="1985"/>
                <w:tab w:val="left" w:pos="284"/>
              </w:tabs>
              <w:spacing w:after="120"/>
              <w:ind w:left="284" w:hanging="227"/>
            </w:pPr>
            <w:r w:rsidRPr="00A11EEF">
              <w:rPr>
                <w:b/>
                <w:bCs/>
              </w:rPr>
              <w:t>Copia:</w:t>
            </w:r>
          </w:p>
          <w:p w14:paraId="3957F9EF" w14:textId="77777777" w:rsidR="006A0A0D"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A</w:t>
            </w:r>
            <w:r w:rsidR="005E2783">
              <w:t xml:space="preserve"> </w:t>
            </w:r>
            <w:r w:rsidR="001350B9">
              <w:t>l</w:t>
            </w:r>
            <w:r w:rsidR="005E2783">
              <w:t>os</w:t>
            </w:r>
            <w:r w:rsidR="001350B9">
              <w:t xml:space="preserve"> Presidente</w:t>
            </w:r>
            <w:r w:rsidR="005E2783">
              <w:t>s</w:t>
            </w:r>
            <w:r w:rsidR="001350B9">
              <w:t xml:space="preserve"> y a los Vicepresidentes de la</w:t>
            </w:r>
            <w:r w:rsidR="005E2783">
              <w:t xml:space="preserve">s </w:t>
            </w:r>
            <w:r w:rsidR="001350B9">
              <w:t>Comisi</w:t>
            </w:r>
            <w:r w:rsidR="005E2783">
              <w:t xml:space="preserve">ones </w:t>
            </w:r>
            <w:r w:rsidR="001350B9">
              <w:t xml:space="preserve">de Estudio </w:t>
            </w:r>
            <w:r w:rsidR="005E2783">
              <w:t>del UIT-T</w:t>
            </w:r>
            <w:r w:rsidR="001350B9">
              <w:t>;</w:t>
            </w:r>
          </w:p>
          <w:p w14:paraId="0DC9222F" w14:textId="77777777" w:rsidR="006A0A0D"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Al Director de la Oficina de Desarrollo de las Telecomunicaciones;</w:t>
            </w:r>
          </w:p>
          <w:p w14:paraId="136245E4" w14:textId="77777777" w:rsidR="001350B9" w:rsidRDefault="006A0A0D" w:rsidP="006A0A0D">
            <w:pPr>
              <w:tabs>
                <w:tab w:val="clear" w:pos="794"/>
                <w:tab w:val="clear" w:pos="1191"/>
                <w:tab w:val="clear" w:pos="1588"/>
                <w:tab w:val="clear" w:pos="1985"/>
                <w:tab w:val="left" w:pos="284"/>
              </w:tabs>
              <w:spacing w:before="0"/>
              <w:ind w:left="284" w:hanging="227"/>
            </w:pPr>
            <w:r w:rsidRPr="00581B90">
              <w:rPr>
                <w:rFonts w:eastAsia="DengXian" w:cstheme="minorHAnsi"/>
                <w:color w:val="000000"/>
                <w:szCs w:val="24"/>
                <w:lang w:eastAsia="ja-JP"/>
              </w:rPr>
              <w:t>–</w:t>
            </w:r>
            <w:r w:rsidR="001350B9">
              <w:tab/>
              <w:t xml:space="preserve">Al </w:t>
            </w:r>
            <w:proofErr w:type="gramStart"/>
            <w:r w:rsidR="001350B9">
              <w:t>Director</w:t>
            </w:r>
            <w:proofErr w:type="gramEnd"/>
            <w:r w:rsidR="001350B9">
              <w:t xml:space="preserve"> de la Oficina de Radiocomunicaciones</w:t>
            </w:r>
          </w:p>
          <w:p w14:paraId="6C7129E8" w14:textId="72039071" w:rsidR="00AF5299" w:rsidRDefault="00AF5299" w:rsidP="006A0A0D">
            <w:pPr>
              <w:tabs>
                <w:tab w:val="clear" w:pos="794"/>
                <w:tab w:val="clear" w:pos="1191"/>
                <w:tab w:val="clear" w:pos="1588"/>
                <w:tab w:val="clear" w:pos="1985"/>
                <w:tab w:val="left" w:pos="284"/>
              </w:tabs>
              <w:spacing w:before="0"/>
              <w:ind w:left="284" w:hanging="227"/>
            </w:pPr>
          </w:p>
        </w:tc>
      </w:tr>
      <w:tr w:rsidR="001350B9" w14:paraId="248169C1" w14:textId="77777777" w:rsidTr="00303D62">
        <w:trPr>
          <w:cantSplit/>
        </w:trPr>
        <w:tc>
          <w:tcPr>
            <w:tcW w:w="993" w:type="dxa"/>
          </w:tcPr>
          <w:p w14:paraId="55433EBF" w14:textId="77777777" w:rsidR="001350B9" w:rsidRPr="001350B9" w:rsidRDefault="001350B9" w:rsidP="00303D62">
            <w:pPr>
              <w:tabs>
                <w:tab w:val="left" w:pos="4111"/>
              </w:tabs>
              <w:spacing w:before="10"/>
              <w:ind w:left="57"/>
              <w:rPr>
                <w:sz w:val="22"/>
              </w:rPr>
            </w:pPr>
            <w:r w:rsidRPr="001350B9">
              <w:rPr>
                <w:sz w:val="22"/>
              </w:rPr>
              <w:t>Tel.:</w:t>
            </w:r>
          </w:p>
        </w:tc>
        <w:tc>
          <w:tcPr>
            <w:tcW w:w="3884" w:type="dxa"/>
            <w:gridSpan w:val="2"/>
          </w:tcPr>
          <w:p w14:paraId="0FCB1230" w14:textId="34C473E1" w:rsidR="001350B9" w:rsidRDefault="001350B9" w:rsidP="00303D62">
            <w:pPr>
              <w:tabs>
                <w:tab w:val="left" w:pos="4111"/>
              </w:tabs>
              <w:spacing w:before="0"/>
              <w:ind w:left="57"/>
              <w:rPr>
                <w:rStyle w:val="Hyperlink"/>
              </w:rPr>
            </w:pPr>
            <w:r>
              <w:t>+41 22 730</w:t>
            </w:r>
            <w:r w:rsidR="00A11EEF">
              <w:t xml:space="preserve"> </w:t>
            </w:r>
            <w:r w:rsidR="005E2783">
              <w:t>6465</w:t>
            </w:r>
          </w:p>
        </w:tc>
        <w:tc>
          <w:tcPr>
            <w:tcW w:w="5329" w:type="dxa"/>
            <w:vMerge/>
          </w:tcPr>
          <w:p w14:paraId="7C856505" w14:textId="77777777" w:rsidR="001350B9" w:rsidRDefault="001350B9" w:rsidP="00303D62">
            <w:pPr>
              <w:tabs>
                <w:tab w:val="left" w:pos="226"/>
                <w:tab w:val="left" w:pos="510"/>
              </w:tabs>
              <w:spacing w:before="0"/>
              <w:ind w:left="226" w:hanging="169"/>
              <w:rPr>
                <w:b/>
              </w:rPr>
            </w:pPr>
          </w:p>
        </w:tc>
      </w:tr>
      <w:tr w:rsidR="001350B9" w14:paraId="21419C65" w14:textId="77777777" w:rsidTr="00303D62">
        <w:trPr>
          <w:cantSplit/>
        </w:trPr>
        <w:tc>
          <w:tcPr>
            <w:tcW w:w="993" w:type="dxa"/>
          </w:tcPr>
          <w:p w14:paraId="13C2CB30" w14:textId="77777777" w:rsidR="001350B9" w:rsidRPr="001350B9" w:rsidRDefault="001350B9" w:rsidP="00303D62">
            <w:pPr>
              <w:tabs>
                <w:tab w:val="left" w:pos="4111"/>
              </w:tabs>
              <w:spacing w:before="10"/>
              <w:ind w:left="57"/>
              <w:rPr>
                <w:sz w:val="22"/>
              </w:rPr>
            </w:pPr>
            <w:r w:rsidRPr="001350B9">
              <w:rPr>
                <w:sz w:val="22"/>
              </w:rPr>
              <w:t>Fax:</w:t>
            </w:r>
          </w:p>
        </w:tc>
        <w:tc>
          <w:tcPr>
            <w:tcW w:w="3884" w:type="dxa"/>
            <w:gridSpan w:val="2"/>
          </w:tcPr>
          <w:p w14:paraId="32F99B26" w14:textId="77777777" w:rsidR="001350B9" w:rsidRDefault="001350B9" w:rsidP="00303D62">
            <w:pPr>
              <w:tabs>
                <w:tab w:val="left" w:pos="4111"/>
              </w:tabs>
              <w:spacing w:before="0"/>
              <w:ind w:left="57"/>
              <w:rPr>
                <w:rStyle w:val="Hyperlink"/>
              </w:rPr>
            </w:pPr>
            <w:r>
              <w:t>+41 22 730 5853</w:t>
            </w:r>
          </w:p>
        </w:tc>
        <w:tc>
          <w:tcPr>
            <w:tcW w:w="5329" w:type="dxa"/>
            <w:vMerge/>
          </w:tcPr>
          <w:p w14:paraId="2CC1C8D0" w14:textId="77777777" w:rsidR="001350B9" w:rsidRDefault="001350B9" w:rsidP="00303D62">
            <w:pPr>
              <w:tabs>
                <w:tab w:val="left" w:pos="226"/>
                <w:tab w:val="left" w:pos="510"/>
              </w:tabs>
              <w:spacing w:before="0"/>
              <w:ind w:left="226" w:hanging="169"/>
              <w:rPr>
                <w:b/>
              </w:rPr>
            </w:pPr>
          </w:p>
        </w:tc>
      </w:tr>
      <w:tr w:rsidR="001350B9" w14:paraId="5B7E17C4" w14:textId="77777777" w:rsidTr="00303D62">
        <w:trPr>
          <w:cantSplit/>
        </w:trPr>
        <w:tc>
          <w:tcPr>
            <w:tcW w:w="993" w:type="dxa"/>
          </w:tcPr>
          <w:p w14:paraId="6D199772" w14:textId="77777777" w:rsidR="001350B9" w:rsidRPr="001350B9" w:rsidRDefault="001350B9" w:rsidP="00303D62">
            <w:pPr>
              <w:tabs>
                <w:tab w:val="left" w:pos="4111"/>
              </w:tabs>
              <w:spacing w:before="10"/>
              <w:ind w:left="57"/>
              <w:rPr>
                <w:sz w:val="22"/>
              </w:rPr>
            </w:pPr>
            <w:r w:rsidRPr="001350B9">
              <w:rPr>
                <w:sz w:val="22"/>
              </w:rPr>
              <w:t>Correo-e:</w:t>
            </w:r>
          </w:p>
        </w:tc>
        <w:tc>
          <w:tcPr>
            <w:tcW w:w="3884" w:type="dxa"/>
            <w:gridSpan w:val="2"/>
          </w:tcPr>
          <w:p w14:paraId="09D3D891" w14:textId="71107BF2" w:rsidR="001350B9" w:rsidRDefault="005E2783" w:rsidP="00303D62">
            <w:pPr>
              <w:tabs>
                <w:tab w:val="left" w:pos="4111"/>
              </w:tabs>
              <w:spacing w:before="0"/>
              <w:ind w:left="57"/>
            </w:pPr>
            <w:hyperlink r:id="rId9" w:history="1">
              <w:r w:rsidRPr="00697E21">
                <w:rPr>
                  <w:rStyle w:val="Hyperlink"/>
                  <w:szCs w:val="18"/>
                </w:rPr>
                <w:t>tsbfgai4ssc@itu.int</w:t>
              </w:r>
            </w:hyperlink>
          </w:p>
        </w:tc>
        <w:tc>
          <w:tcPr>
            <w:tcW w:w="5329" w:type="dxa"/>
            <w:vMerge/>
          </w:tcPr>
          <w:p w14:paraId="1F27F8BC" w14:textId="77777777" w:rsidR="001350B9" w:rsidRDefault="001350B9" w:rsidP="00303D62">
            <w:pPr>
              <w:tabs>
                <w:tab w:val="clear" w:pos="794"/>
                <w:tab w:val="clear" w:pos="1191"/>
                <w:tab w:val="clear" w:pos="1588"/>
                <w:tab w:val="clear" w:pos="1985"/>
                <w:tab w:val="left" w:pos="226"/>
                <w:tab w:val="left" w:pos="510"/>
              </w:tabs>
              <w:spacing w:before="0"/>
              <w:ind w:left="226" w:hanging="169"/>
            </w:pPr>
          </w:p>
        </w:tc>
      </w:tr>
      <w:tr w:rsidR="007B6316" w14:paraId="41EB9C9C" w14:textId="77777777" w:rsidTr="00DA30ED">
        <w:trPr>
          <w:cantSplit/>
        </w:trPr>
        <w:tc>
          <w:tcPr>
            <w:tcW w:w="993" w:type="dxa"/>
          </w:tcPr>
          <w:p w14:paraId="7AE37BE7" w14:textId="77777777" w:rsidR="007B6316" w:rsidRPr="001350B9" w:rsidRDefault="007B6316" w:rsidP="00303D62">
            <w:pPr>
              <w:tabs>
                <w:tab w:val="left" w:pos="4111"/>
              </w:tabs>
              <w:spacing w:before="10"/>
              <w:ind w:left="57"/>
              <w:rPr>
                <w:sz w:val="22"/>
              </w:rPr>
            </w:pPr>
            <w:r w:rsidRPr="001350B9">
              <w:rPr>
                <w:sz w:val="22"/>
              </w:rPr>
              <w:t>Asunto:</w:t>
            </w:r>
          </w:p>
        </w:tc>
        <w:tc>
          <w:tcPr>
            <w:tcW w:w="9213" w:type="dxa"/>
            <w:gridSpan w:val="3"/>
          </w:tcPr>
          <w:p w14:paraId="0415585D" w14:textId="257448FB" w:rsidR="007B6316" w:rsidRDefault="005E2783" w:rsidP="00303D62">
            <w:pPr>
              <w:tabs>
                <w:tab w:val="left" w:pos="4111"/>
              </w:tabs>
              <w:spacing w:before="0"/>
              <w:rPr>
                <w:b/>
              </w:rPr>
            </w:pPr>
            <w:r>
              <w:rPr>
                <w:b/>
                <w:bCs/>
                <w:color w:val="000000"/>
                <w:szCs w:val="22"/>
                <w:lang w:val="es-ES"/>
              </w:rPr>
              <w:t xml:space="preserve">Foro sobre IA y </w:t>
            </w:r>
            <w:proofErr w:type="spellStart"/>
            <w:r>
              <w:rPr>
                <w:b/>
                <w:bCs/>
                <w:color w:val="000000"/>
                <w:szCs w:val="22"/>
                <w:lang w:val="es-ES"/>
              </w:rPr>
              <w:t>urbaverso</w:t>
            </w:r>
            <w:proofErr w:type="spellEnd"/>
            <w:r>
              <w:rPr>
                <w:b/>
                <w:bCs/>
                <w:color w:val="000000"/>
                <w:szCs w:val="22"/>
                <w:lang w:val="es-ES"/>
              </w:rPr>
              <w:t>: Sentando las bases de una innovación urbana interoperable y escalable (Tampere (Finlandia), 9 y 10 de septiembre de 2026)</w:t>
            </w:r>
          </w:p>
        </w:tc>
      </w:tr>
    </w:tbl>
    <w:p w14:paraId="06E3E8B0" w14:textId="5A5CE6CE" w:rsidR="00C34772" w:rsidRDefault="00C34772" w:rsidP="007B6316">
      <w:pPr>
        <w:spacing w:before="320"/>
      </w:pPr>
      <w:bookmarkStart w:id="1" w:name="StartTyping_S"/>
      <w:bookmarkStart w:id="2" w:name="suitetext"/>
      <w:bookmarkStart w:id="3" w:name="text"/>
      <w:bookmarkEnd w:id="1"/>
      <w:bookmarkEnd w:id="2"/>
      <w:bookmarkEnd w:id="3"/>
      <w:r>
        <w:t>Muy Señora mía/Muy Señor mío:</w:t>
      </w:r>
    </w:p>
    <w:p w14:paraId="1D35A41B" w14:textId="77777777" w:rsidR="00A80734" w:rsidRPr="00697E21" w:rsidRDefault="00A80734" w:rsidP="00A80734">
      <w:pPr>
        <w:rPr>
          <w:rFonts w:cs="Calibri"/>
          <w:szCs w:val="22"/>
          <w:lang w:val="es-ES"/>
        </w:rPr>
      </w:pPr>
      <w:r>
        <w:rPr>
          <w:szCs w:val="22"/>
          <w:lang w:val="es-ES"/>
        </w:rPr>
        <w:t>1</w:t>
      </w:r>
      <w:r>
        <w:rPr>
          <w:szCs w:val="22"/>
          <w:lang w:val="es-ES"/>
        </w:rPr>
        <w:tab/>
        <w:t xml:space="preserve">Me complace informarle de que la Unión Internacional de Telecomunicaciones (UIT), el Programa de las Naciones Unidas para los Asentamientos Humanos (ONU-Hábitat) y la ciudad de Tampere están organizando el </w:t>
      </w:r>
      <w:r>
        <w:rPr>
          <w:b/>
          <w:bCs/>
          <w:szCs w:val="22"/>
          <w:lang w:val="es-ES"/>
        </w:rPr>
        <w:t xml:space="preserve">Foro sobre IA y </w:t>
      </w:r>
      <w:proofErr w:type="spellStart"/>
      <w:r>
        <w:rPr>
          <w:b/>
          <w:bCs/>
          <w:szCs w:val="22"/>
          <w:lang w:val="es-ES"/>
        </w:rPr>
        <w:t>urbaverso</w:t>
      </w:r>
      <w:proofErr w:type="spellEnd"/>
      <w:r>
        <w:rPr>
          <w:b/>
          <w:bCs/>
          <w:szCs w:val="22"/>
          <w:lang w:val="es-ES"/>
        </w:rPr>
        <w:t>: sentando las bases de una innovación urbana interoperable y escalable</w:t>
      </w:r>
      <w:r>
        <w:rPr>
          <w:szCs w:val="22"/>
          <w:lang w:val="es-ES"/>
        </w:rPr>
        <w:t xml:space="preserve">, que tendrá lugar los días </w:t>
      </w:r>
      <w:r>
        <w:rPr>
          <w:b/>
          <w:bCs/>
          <w:szCs w:val="22"/>
          <w:lang w:val="es-ES"/>
        </w:rPr>
        <w:t>9 y 10 de septiembre de 2026 en Tampere (Finlandia)</w:t>
      </w:r>
      <w:r>
        <w:rPr>
          <w:szCs w:val="22"/>
          <w:lang w:val="es-ES"/>
        </w:rPr>
        <w:t>. El Foro será presencial con participación a distancia, amablemente acogido por la ciudad de Tampere.</w:t>
      </w:r>
    </w:p>
    <w:p w14:paraId="2DE574A1" w14:textId="3877FA35" w:rsidR="00A80734" w:rsidRPr="00697E21" w:rsidRDefault="00A80734" w:rsidP="00A80734">
      <w:pPr>
        <w:tabs>
          <w:tab w:val="left" w:pos="709"/>
        </w:tabs>
        <w:rPr>
          <w:rFonts w:cstheme="minorHAnsi"/>
          <w:szCs w:val="22"/>
          <w:lang w:val="es-ES"/>
        </w:rPr>
      </w:pPr>
      <w:r>
        <w:rPr>
          <w:szCs w:val="22"/>
          <w:lang w:val="es-ES"/>
        </w:rPr>
        <w:t>2</w:t>
      </w:r>
      <w:r>
        <w:rPr>
          <w:szCs w:val="22"/>
          <w:lang w:val="es-ES"/>
        </w:rPr>
        <w:tab/>
        <w:t xml:space="preserve">El Foro irá seguido de la primera reunión del </w:t>
      </w:r>
      <w:hyperlink r:id="rId10" w:history="1">
        <w:r w:rsidRPr="00697E21">
          <w:rPr>
            <w:rStyle w:val="Hyperlink"/>
            <w:szCs w:val="22"/>
            <w:lang w:val="es-ES"/>
          </w:rPr>
          <w:t>Grupo Temático del UIT-T sobre IA para las ciudades y comunidades inteligentes y sostenibles (GT-AI4SSC)</w:t>
        </w:r>
      </w:hyperlink>
      <w:r>
        <w:rPr>
          <w:szCs w:val="22"/>
          <w:lang w:val="es-ES"/>
        </w:rPr>
        <w:t>, que se celebrará los días 10 y 11</w:t>
      </w:r>
      <w:r w:rsidR="00B0220D">
        <w:rPr>
          <w:szCs w:val="22"/>
          <w:lang w:val="es-ES"/>
        </w:rPr>
        <w:t> </w:t>
      </w:r>
      <w:r>
        <w:rPr>
          <w:szCs w:val="22"/>
          <w:lang w:val="es-ES"/>
        </w:rPr>
        <w:t xml:space="preserve">de septiembre de 2026 en el mismo lugar. Para más detalles, véase la </w:t>
      </w:r>
      <w:hyperlink r:id="rId11" w:history="1">
        <w:r w:rsidRPr="00697E21">
          <w:rPr>
            <w:rStyle w:val="Hyperlink"/>
            <w:szCs w:val="22"/>
            <w:lang w:val="es-ES"/>
          </w:rPr>
          <w:t>Circular TSB 147</w:t>
        </w:r>
      </w:hyperlink>
      <w:r>
        <w:rPr>
          <w:szCs w:val="22"/>
          <w:lang w:val="es-ES"/>
        </w:rPr>
        <w:t>.</w:t>
      </w:r>
      <w:hyperlink r:id="rId12" w:history="1"/>
      <w:hyperlink r:id="rId13" w:history="1"/>
    </w:p>
    <w:p w14:paraId="56B80FA4" w14:textId="77777777" w:rsidR="00A80734" w:rsidRPr="00697E21" w:rsidRDefault="00A80734" w:rsidP="00A80734">
      <w:pPr>
        <w:keepNext/>
        <w:rPr>
          <w:rFonts w:cs="Calibri"/>
          <w:szCs w:val="22"/>
          <w:lang w:val="es-ES"/>
        </w:rPr>
      </w:pPr>
      <w:r>
        <w:rPr>
          <w:szCs w:val="22"/>
          <w:lang w:val="es-ES"/>
        </w:rPr>
        <w:t>3</w:t>
      </w:r>
      <w:r>
        <w:rPr>
          <w:szCs w:val="22"/>
          <w:lang w:val="es-ES"/>
        </w:rPr>
        <w:tab/>
        <w:t>Los objetivos del Foro son:</w:t>
      </w:r>
    </w:p>
    <w:p w14:paraId="6E3CE788" w14:textId="429765DB" w:rsidR="00A80734" w:rsidRPr="00697E21" w:rsidRDefault="006A0A0D" w:rsidP="00A80734">
      <w:pPr>
        <w:pStyle w:val="enumlev1"/>
        <w:rPr>
          <w:lang w:val="es-ES"/>
        </w:rPr>
      </w:pPr>
      <w:r w:rsidRPr="00581B90">
        <w:rPr>
          <w:rFonts w:eastAsia="DengXian" w:cstheme="minorHAnsi"/>
          <w:color w:val="000000"/>
          <w:szCs w:val="24"/>
          <w:lang w:eastAsia="ja-JP"/>
        </w:rPr>
        <w:t>–</w:t>
      </w:r>
      <w:r w:rsidR="00671EAB">
        <w:rPr>
          <w:lang w:val="es-ES"/>
        </w:rPr>
        <w:tab/>
      </w:r>
      <w:r w:rsidR="00A80734">
        <w:rPr>
          <w:lang w:val="es-ES"/>
        </w:rPr>
        <w:t>explorar las nuevas tendencias, oportunidades y retos relacionados con la IA para las ciudades y comunidades inteligentes y sostenibles;</w:t>
      </w:r>
    </w:p>
    <w:p w14:paraId="318B4E42" w14:textId="7D0FB53A" w:rsidR="00A80734" w:rsidRPr="00697E21" w:rsidRDefault="006A0A0D" w:rsidP="00A80734">
      <w:pPr>
        <w:pStyle w:val="enumlev1"/>
        <w:rPr>
          <w:lang w:val="es-ES"/>
        </w:rPr>
      </w:pPr>
      <w:r w:rsidRPr="00581B90">
        <w:rPr>
          <w:rFonts w:eastAsia="DengXian" w:cstheme="minorHAnsi"/>
          <w:color w:val="000000"/>
          <w:szCs w:val="24"/>
          <w:lang w:eastAsia="ja-JP"/>
        </w:rPr>
        <w:t>–</w:t>
      </w:r>
      <w:r w:rsidR="00671EAB">
        <w:rPr>
          <w:lang w:val="es-ES"/>
        </w:rPr>
        <w:tab/>
      </w:r>
      <w:r w:rsidR="00A80734">
        <w:rPr>
          <w:lang w:val="es-ES"/>
        </w:rPr>
        <w:t>compartir experiencias, prácticas idóneas y casos de uso sobre la adopción e integración de sistemas y servicios urbanos basados en IA;</w:t>
      </w:r>
    </w:p>
    <w:p w14:paraId="48460B93" w14:textId="355FF98E" w:rsidR="00A80734" w:rsidRPr="00697E21" w:rsidRDefault="006A0A0D" w:rsidP="00A80734">
      <w:pPr>
        <w:pStyle w:val="enumlev1"/>
        <w:rPr>
          <w:lang w:val="es-ES"/>
        </w:rPr>
      </w:pPr>
      <w:r w:rsidRPr="00581B90">
        <w:rPr>
          <w:rFonts w:eastAsia="DengXian" w:cstheme="minorHAnsi"/>
          <w:color w:val="000000"/>
          <w:szCs w:val="24"/>
          <w:lang w:eastAsia="ja-JP"/>
        </w:rPr>
        <w:t>–</w:t>
      </w:r>
      <w:r w:rsidR="00671EAB">
        <w:rPr>
          <w:lang w:val="es-ES"/>
        </w:rPr>
        <w:tab/>
      </w:r>
      <w:r w:rsidR="00A80734">
        <w:rPr>
          <w:lang w:val="es-ES"/>
        </w:rPr>
        <w:t>debatir los requisitos, los enfoques de interoperabilidad y los marcos propicios para el despliegue escalable de la IA en ciudades y comunidades;</w:t>
      </w:r>
    </w:p>
    <w:p w14:paraId="4236D8D3" w14:textId="44990042" w:rsidR="00A80734" w:rsidRPr="00697E21" w:rsidRDefault="006A0A0D" w:rsidP="00A80734">
      <w:pPr>
        <w:pStyle w:val="enumlev1"/>
        <w:rPr>
          <w:lang w:val="es-ES"/>
        </w:rPr>
      </w:pPr>
      <w:r w:rsidRPr="00581B90">
        <w:rPr>
          <w:rFonts w:eastAsia="DengXian" w:cstheme="minorHAnsi"/>
          <w:color w:val="000000"/>
          <w:szCs w:val="24"/>
          <w:lang w:eastAsia="ja-JP"/>
        </w:rPr>
        <w:t>–</w:t>
      </w:r>
      <w:r w:rsidR="00671EAB">
        <w:rPr>
          <w:lang w:val="es-ES"/>
        </w:rPr>
        <w:tab/>
      </w:r>
      <w:r w:rsidR="00A80734">
        <w:rPr>
          <w:lang w:val="es-ES"/>
        </w:rPr>
        <w:t>fomentar la colaboración entre ciudades, gobiernos, industria, instituciones académicas, organizaciones de normalización y organizaciones internacionales;</w:t>
      </w:r>
    </w:p>
    <w:p w14:paraId="4D28E900" w14:textId="309924D5" w:rsidR="00A80734" w:rsidRPr="00697E21" w:rsidRDefault="006A0A0D" w:rsidP="00A80734">
      <w:pPr>
        <w:pStyle w:val="enumlev1"/>
        <w:rPr>
          <w:lang w:val="es-ES"/>
        </w:rPr>
      </w:pPr>
      <w:r w:rsidRPr="00581B90">
        <w:rPr>
          <w:rFonts w:eastAsia="DengXian" w:cstheme="minorHAnsi"/>
          <w:color w:val="000000"/>
          <w:szCs w:val="24"/>
          <w:lang w:eastAsia="ja-JP"/>
        </w:rPr>
        <w:t>–</w:t>
      </w:r>
      <w:r w:rsidR="00671EAB">
        <w:rPr>
          <w:lang w:val="es-ES"/>
        </w:rPr>
        <w:tab/>
      </w:r>
      <w:r w:rsidR="00A80734">
        <w:rPr>
          <w:lang w:val="es-ES"/>
        </w:rPr>
        <w:t>presentar el recién creado Grupo Temático del UIT-T sobre IA para las ciudades y comunidades inteligentes y sostenibles (GT-AI4SSC) y fomentar la participación en sus trabajos.</w:t>
      </w:r>
    </w:p>
    <w:p w14:paraId="7837AB5F" w14:textId="77777777" w:rsidR="00B0220D" w:rsidRDefault="00B0220D">
      <w:pPr>
        <w:tabs>
          <w:tab w:val="clear" w:pos="794"/>
          <w:tab w:val="clear" w:pos="1191"/>
          <w:tab w:val="clear" w:pos="1588"/>
          <w:tab w:val="clear" w:pos="1985"/>
        </w:tabs>
        <w:overflowPunct/>
        <w:autoSpaceDE/>
        <w:autoSpaceDN/>
        <w:adjustRightInd/>
        <w:spacing w:before="0"/>
        <w:textAlignment w:val="auto"/>
        <w:rPr>
          <w:szCs w:val="22"/>
          <w:lang w:val="es-ES"/>
        </w:rPr>
      </w:pPr>
      <w:r>
        <w:rPr>
          <w:szCs w:val="22"/>
          <w:lang w:val="es-ES"/>
        </w:rPr>
        <w:br w:type="page"/>
      </w:r>
    </w:p>
    <w:p w14:paraId="357F7061" w14:textId="6DC6A1BC" w:rsidR="00A80734" w:rsidRPr="00697E21" w:rsidRDefault="00A80734" w:rsidP="00A80734">
      <w:pPr>
        <w:rPr>
          <w:rFonts w:cs="Calibri"/>
          <w:szCs w:val="22"/>
          <w:lang w:val="es-ES"/>
        </w:rPr>
      </w:pPr>
      <w:r>
        <w:rPr>
          <w:szCs w:val="22"/>
          <w:lang w:val="es-ES"/>
        </w:rPr>
        <w:lastRenderedPageBreak/>
        <w:t>4</w:t>
      </w:r>
      <w:r>
        <w:rPr>
          <w:szCs w:val="22"/>
          <w:lang w:val="es-ES"/>
        </w:rPr>
        <w:tab/>
        <w:t>La participación en el Foro y en la reunión del Grupo Temático está abierta a los Estados Miembros, a los Miembros de Sector, a los Asociados y a las Instituciones Académicas de la UIT, y a cualquier persona de un país que sea miembro de la UIT y desee contribuir a los trabajos. Esto incluye a las personas que también sean miembros de organizaciones nacionales, regionales e internacionales.</w:t>
      </w:r>
    </w:p>
    <w:p w14:paraId="750708BC" w14:textId="32A6400B" w:rsidR="00A80734" w:rsidRPr="00697E21" w:rsidRDefault="00A80734" w:rsidP="00A80734">
      <w:pPr>
        <w:rPr>
          <w:rFonts w:cs="Calibri"/>
          <w:b/>
          <w:bCs/>
          <w:szCs w:val="22"/>
          <w:lang w:val="es-ES"/>
        </w:rPr>
      </w:pPr>
      <w:r>
        <w:rPr>
          <w:szCs w:val="22"/>
          <w:lang w:val="es-ES"/>
        </w:rPr>
        <w:t>5</w:t>
      </w:r>
      <w:r>
        <w:rPr>
          <w:szCs w:val="22"/>
          <w:lang w:val="es-ES"/>
        </w:rPr>
        <w:tab/>
        <w:t xml:space="preserve">La información relativa al Foro, incluido el proyecto de programa, los oradores, el enlace de inscripción y los detalles de la participación a distancia, estará disponible en la </w:t>
      </w:r>
      <w:hyperlink r:id="rId14" w:history="1">
        <w:r w:rsidRPr="00697E21">
          <w:rPr>
            <w:rStyle w:val="Hyperlink"/>
            <w:szCs w:val="22"/>
            <w:lang w:val="es-ES"/>
          </w:rPr>
          <w:t>página web del GT</w:t>
        </w:r>
        <w:r w:rsidR="00B0220D">
          <w:rPr>
            <w:rStyle w:val="Hyperlink"/>
            <w:szCs w:val="22"/>
            <w:lang w:val="es-ES"/>
          </w:rPr>
          <w:noBreakHyphen/>
        </w:r>
        <w:r w:rsidRPr="00697E21">
          <w:rPr>
            <w:rStyle w:val="Hyperlink"/>
            <w:szCs w:val="22"/>
            <w:lang w:val="es-ES"/>
          </w:rPr>
          <w:t>AI4SSC</w:t>
        </w:r>
      </w:hyperlink>
      <w:r>
        <w:rPr>
          <w:szCs w:val="22"/>
          <w:lang w:val="es-ES"/>
        </w:rPr>
        <w:t>. La página web del evento se irá actualizando a medida que se disponga de más información. Se recomienda a los participantes consultar periódicamente la página web para mantenerse al día de las novedades.</w:t>
      </w:r>
      <w:hyperlink r:id="rId15" w:history="1"/>
    </w:p>
    <w:p w14:paraId="29E709C9" w14:textId="77777777" w:rsidR="00A80734" w:rsidRPr="00B0220D" w:rsidRDefault="00A80734" w:rsidP="00A80734">
      <w:pPr>
        <w:spacing w:after="120"/>
        <w:rPr>
          <w:rFonts w:cs="Calibri"/>
          <w:szCs w:val="22"/>
          <w:lang w:val="es-ES"/>
        </w:rPr>
      </w:pPr>
      <w:r>
        <w:rPr>
          <w:szCs w:val="22"/>
          <w:lang w:val="es-ES"/>
        </w:rPr>
        <w:t>6</w:t>
      </w:r>
      <w:r>
        <w:rPr>
          <w:szCs w:val="22"/>
          <w:lang w:val="es-ES"/>
        </w:rPr>
        <w:tab/>
        <w:t xml:space="preserve">A fin de que el anfitrión pueda adoptar las disposiciones logísticas necesarias, los participantes deberán inscribirse a la mayor brevedad posible utilizando el formulario en línea disponible en la </w:t>
      </w:r>
      <w:hyperlink r:id="rId16" w:history="1">
        <w:r w:rsidRPr="00697E21">
          <w:rPr>
            <w:rStyle w:val="Hyperlink"/>
            <w:szCs w:val="22"/>
            <w:lang w:val="es-ES"/>
          </w:rPr>
          <w:t>página web del GT-AI4SSC</w:t>
        </w:r>
      </w:hyperlink>
      <w:r>
        <w:rPr>
          <w:szCs w:val="22"/>
          <w:lang w:val="es-ES"/>
        </w:rPr>
        <w:t xml:space="preserve">. La inscripción es obligatoria para todos los participantes. </w:t>
      </w:r>
      <w:r>
        <w:rPr>
          <w:b/>
          <w:bCs/>
          <w:szCs w:val="22"/>
          <w:lang w:val="es-ES"/>
        </w:rPr>
        <w:t>Le ruego tenga presente que la preinscripción de los participantes en el Foro es obligatoria y se llevará a cabo exclusivamente en línea.</w:t>
      </w:r>
      <w:r w:rsidRPr="00956592">
        <w:rPr>
          <w:b/>
          <w:bCs/>
          <w:szCs w:val="22"/>
          <w:lang w:val="es-ES"/>
        </w:rPr>
        <w:t xml:space="preserve"> La participación en el Foro es gratuita</w:t>
      </w:r>
      <w:r w:rsidRPr="00B0220D">
        <w:rPr>
          <w:szCs w:val="22"/>
          <w:lang w:val="es-ES"/>
        </w:rPr>
        <w:t>.</w:t>
      </w:r>
      <w:hyperlink r:id="rId17" w:history="1"/>
    </w:p>
    <w:p w14:paraId="1F6F36AB" w14:textId="77777777" w:rsidR="00A80734" w:rsidRPr="00697E21" w:rsidRDefault="00A80734" w:rsidP="00A80734">
      <w:pPr>
        <w:spacing w:after="120"/>
        <w:rPr>
          <w:rFonts w:cs="Calibri"/>
          <w:szCs w:val="22"/>
          <w:lang w:val="es-ES"/>
        </w:rPr>
      </w:pPr>
      <w:r>
        <w:rPr>
          <w:szCs w:val="22"/>
          <w:lang w:val="es-ES"/>
        </w:rPr>
        <w:t>7</w:t>
      </w:r>
      <w:r>
        <w:rPr>
          <w:szCs w:val="22"/>
          <w:lang w:val="es-ES"/>
        </w:rPr>
        <w:tab/>
        <w:t>Le recuerdo que los ciudadanos procedentes de ciertos países necesitan obtener un visado para entrar y permanecer en Finlandia. Si es necesario, los visados deben solicitarse antes de la fecha de llegada en la embajada o consulado que representa a Finlandia en su país o, si no existiera dicha oficina en su país, en la que sea más cercana al país de salida. Los plazos varían, por lo que se sugiere consultar directamente con la representación correspondiente y presentar la solicitud con antelación.</w:t>
      </w:r>
    </w:p>
    <w:p w14:paraId="0890FF03" w14:textId="40BDBAE4" w:rsidR="00A80734" w:rsidRPr="00697E21" w:rsidRDefault="00A80734" w:rsidP="00A80734">
      <w:pPr>
        <w:spacing w:after="120"/>
        <w:rPr>
          <w:rFonts w:cs="Calibri"/>
          <w:szCs w:val="22"/>
          <w:lang w:val="es-ES"/>
        </w:rPr>
      </w:pPr>
      <w:r>
        <w:rPr>
          <w:szCs w:val="22"/>
          <w:lang w:val="es-ES"/>
        </w:rPr>
        <w:t>Los detalles adicionales y la documentación necesaria para la tramitación de visados, en su caso, se facilitarán en el documento logístico de la reunión que estará disponible en la página web del</w:t>
      </w:r>
      <w:r w:rsidR="00B0220D">
        <w:rPr>
          <w:szCs w:val="22"/>
          <w:lang w:val="es-ES"/>
        </w:rPr>
        <w:t> </w:t>
      </w:r>
      <w:r>
        <w:rPr>
          <w:szCs w:val="22"/>
          <w:lang w:val="es-ES"/>
        </w:rPr>
        <w:t>GT</w:t>
      </w:r>
      <w:r w:rsidR="00B0220D">
        <w:rPr>
          <w:szCs w:val="22"/>
          <w:lang w:val="es-ES"/>
        </w:rPr>
        <w:noBreakHyphen/>
      </w:r>
      <w:r>
        <w:rPr>
          <w:szCs w:val="22"/>
          <w:lang w:val="es-ES"/>
        </w:rPr>
        <w:t>AI4SSC.</w:t>
      </w:r>
    </w:p>
    <w:p w14:paraId="3D93D51B" w14:textId="77777777" w:rsidR="00A80734" w:rsidRPr="00697E21" w:rsidRDefault="00A80734" w:rsidP="00A80734">
      <w:pPr>
        <w:spacing w:after="120"/>
        <w:rPr>
          <w:rFonts w:cs="Calibri"/>
          <w:szCs w:val="22"/>
          <w:lang w:val="es-ES"/>
        </w:rPr>
      </w:pPr>
      <w:r>
        <w:rPr>
          <w:szCs w:val="22"/>
          <w:lang w:val="es-ES"/>
        </w:rPr>
        <w:t>Le saluda atentamente,</w:t>
      </w:r>
      <w:bookmarkStart w:id="4" w:name="_Hlk124842710"/>
    </w:p>
    <w:bookmarkEnd w:id="4"/>
    <w:p w14:paraId="0C405A18" w14:textId="77777777" w:rsidR="007B6316" w:rsidRPr="00081FE5" w:rsidRDefault="007B6316" w:rsidP="007B6316">
      <w:pPr>
        <w:spacing w:before="480" w:line="480" w:lineRule="auto"/>
        <w:rPr>
          <w:sz w:val="28"/>
          <w:szCs w:val="22"/>
        </w:rPr>
      </w:pPr>
      <w:r w:rsidRPr="00081FE5">
        <w:rPr>
          <w:i/>
          <w:iCs/>
          <w:szCs w:val="24"/>
        </w:rPr>
        <w:t>(firmado)</w:t>
      </w:r>
    </w:p>
    <w:p w14:paraId="21605FED" w14:textId="3433FDD3" w:rsidR="00401C20" w:rsidRPr="00A11EEF" w:rsidRDefault="001350B9" w:rsidP="00A11EEF">
      <w:pPr>
        <w:spacing w:before="360"/>
      </w:pPr>
      <w:r w:rsidRPr="001350B9">
        <w:rPr>
          <w:rFonts w:cstheme="minorHAnsi"/>
          <w:szCs w:val="22"/>
          <w:lang w:val="es-ES"/>
        </w:rPr>
        <w:t>Seizo Onoe</w:t>
      </w:r>
      <w:r w:rsidR="007B6316" w:rsidRPr="00081FE5">
        <w:br/>
        <w:t>Director de la Oficina de</w:t>
      </w:r>
      <w:r w:rsidR="007B6316" w:rsidRPr="00081FE5">
        <w:br/>
        <w:t>Normalización de las Telecomunicaciones</w:t>
      </w:r>
    </w:p>
    <w:sectPr w:rsidR="00401C20" w:rsidRPr="00A11EEF" w:rsidSect="00B87E9E">
      <w:headerReference w:type="default" r:id="rId18"/>
      <w:footerReference w:type="first" r:id="rId19"/>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41D94" w14:textId="77777777" w:rsidR="00F920B5" w:rsidRDefault="00F920B5">
      <w:r>
        <w:separator/>
      </w:r>
    </w:p>
  </w:endnote>
  <w:endnote w:type="continuationSeparator" w:id="0">
    <w:p w14:paraId="3E9CB629" w14:textId="77777777" w:rsidR="00F920B5" w:rsidRDefault="00F9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7FEC" w14:textId="77777777" w:rsidR="0014464D" w:rsidRPr="00D834E7" w:rsidRDefault="0014464D" w:rsidP="00FC416A">
    <w:pPr>
      <w:pStyle w:val="FirstFooter"/>
      <w:ind w:left="-397" w:right="-397"/>
      <w:jc w:val="center"/>
      <w:rPr>
        <w:color w:val="0070C0"/>
        <w:szCs w:val="18"/>
        <w:lang w:val="es-ES"/>
      </w:rPr>
    </w:pPr>
    <w:r w:rsidRPr="00D834E7">
      <w:rPr>
        <w:color w:val="0070C0"/>
        <w:szCs w:val="18"/>
        <w:lang w:val="es-ES"/>
      </w:rPr>
      <w:t>Unión Internacional de Telecomunicaciones • Place des Nations,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9569A" w14:textId="77777777" w:rsidR="00F920B5" w:rsidRDefault="00F920B5">
      <w:r>
        <w:t>____________________</w:t>
      </w:r>
    </w:p>
  </w:footnote>
  <w:footnote w:type="continuationSeparator" w:id="0">
    <w:p w14:paraId="457FD973" w14:textId="77777777" w:rsidR="00F920B5" w:rsidRDefault="00F92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16DF" w14:textId="6DDE8916" w:rsidR="006969B4" w:rsidRDefault="006969B4">
    <w:pPr>
      <w:pStyle w:val="Header"/>
      <w:rPr>
        <w:rStyle w:val="PageNumbe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7B6316">
      <w:rPr>
        <w:rStyle w:val="PageNumber"/>
        <w:noProof/>
        <w:sz w:val="18"/>
        <w:szCs w:val="18"/>
      </w:rPr>
      <w:t>2</w:t>
    </w:r>
    <w:r w:rsidR="00B87E9E" w:rsidRPr="00303D62">
      <w:rPr>
        <w:rStyle w:val="PageNumber"/>
        <w:sz w:val="18"/>
        <w:szCs w:val="18"/>
      </w:rPr>
      <w:fldChar w:fldCharType="end"/>
    </w:r>
    <w:r w:rsidRPr="00303D62">
      <w:rPr>
        <w:rStyle w:val="PageNumber"/>
        <w:sz w:val="18"/>
        <w:szCs w:val="18"/>
      </w:rPr>
      <w:t xml:space="preserve"> -</w:t>
    </w:r>
  </w:p>
  <w:p w14:paraId="0D3E08FE" w14:textId="6B6982B6" w:rsidR="00643091" w:rsidRPr="00303D62" w:rsidRDefault="00643091">
    <w:pPr>
      <w:pStyle w:val="Header"/>
      <w:rPr>
        <w:sz w:val="18"/>
        <w:szCs w:val="18"/>
      </w:rPr>
    </w:pPr>
    <w:r>
      <w:rPr>
        <w:rStyle w:val="PageNumber"/>
        <w:sz w:val="18"/>
        <w:szCs w:val="18"/>
      </w:rPr>
      <w:t>Circular TSB 146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C07"/>
    <w:multiLevelType w:val="hybridMultilevel"/>
    <w:tmpl w:val="CFC2F406"/>
    <w:lvl w:ilvl="0" w:tplc="89C4AE32">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297730853">
    <w:abstractNumId w:val="1"/>
  </w:num>
  <w:num w:numId="2" w16cid:durableId="1345282128">
    <w:abstractNumId w:val="4"/>
  </w:num>
  <w:num w:numId="3" w16cid:durableId="1069613404">
    <w:abstractNumId w:val="3"/>
  </w:num>
  <w:num w:numId="4" w16cid:durableId="374936234">
    <w:abstractNumId w:val="2"/>
  </w:num>
  <w:num w:numId="5" w16cid:durableId="51468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EEF"/>
    <w:rsid w:val="00002529"/>
    <w:rsid w:val="00085662"/>
    <w:rsid w:val="000C382F"/>
    <w:rsid w:val="001173CC"/>
    <w:rsid w:val="001350B9"/>
    <w:rsid w:val="0014464D"/>
    <w:rsid w:val="001A54CC"/>
    <w:rsid w:val="001E3265"/>
    <w:rsid w:val="00257FB4"/>
    <w:rsid w:val="00282813"/>
    <w:rsid w:val="002E496E"/>
    <w:rsid w:val="00303D62"/>
    <w:rsid w:val="00335367"/>
    <w:rsid w:val="00370C2D"/>
    <w:rsid w:val="003D1E8D"/>
    <w:rsid w:val="003D673B"/>
    <w:rsid w:val="003F2855"/>
    <w:rsid w:val="00401C20"/>
    <w:rsid w:val="004A7957"/>
    <w:rsid w:val="004C4144"/>
    <w:rsid w:val="0055719E"/>
    <w:rsid w:val="005E2783"/>
    <w:rsid w:val="00643091"/>
    <w:rsid w:val="00671EAB"/>
    <w:rsid w:val="006969B4"/>
    <w:rsid w:val="006A0A0D"/>
    <w:rsid w:val="006E0524"/>
    <w:rsid w:val="006E4F7B"/>
    <w:rsid w:val="00781E2A"/>
    <w:rsid w:val="007933A2"/>
    <w:rsid w:val="007B6316"/>
    <w:rsid w:val="00814503"/>
    <w:rsid w:val="008258C2"/>
    <w:rsid w:val="008505BD"/>
    <w:rsid w:val="00850C78"/>
    <w:rsid w:val="00876165"/>
    <w:rsid w:val="00884D12"/>
    <w:rsid w:val="008C17AD"/>
    <w:rsid w:val="008D02CD"/>
    <w:rsid w:val="0091370C"/>
    <w:rsid w:val="0095172A"/>
    <w:rsid w:val="009A0BA0"/>
    <w:rsid w:val="00A11EEF"/>
    <w:rsid w:val="00A54E47"/>
    <w:rsid w:val="00A80734"/>
    <w:rsid w:val="00AB6E3A"/>
    <w:rsid w:val="00AE7093"/>
    <w:rsid w:val="00AF5299"/>
    <w:rsid w:val="00B0220D"/>
    <w:rsid w:val="00B422BC"/>
    <w:rsid w:val="00B43F77"/>
    <w:rsid w:val="00B55A3E"/>
    <w:rsid w:val="00B87E9E"/>
    <w:rsid w:val="00B95F0A"/>
    <w:rsid w:val="00B96180"/>
    <w:rsid w:val="00B96ECF"/>
    <w:rsid w:val="00C116FE"/>
    <w:rsid w:val="00C17AC0"/>
    <w:rsid w:val="00C34772"/>
    <w:rsid w:val="00C5465A"/>
    <w:rsid w:val="00D54642"/>
    <w:rsid w:val="00D834E7"/>
    <w:rsid w:val="00DD77C9"/>
    <w:rsid w:val="00DF3538"/>
    <w:rsid w:val="00E839B0"/>
    <w:rsid w:val="00E92C09"/>
    <w:rsid w:val="00F14380"/>
    <w:rsid w:val="00F6461F"/>
    <w:rsid w:val="00F920B5"/>
    <w:rsid w:val="00FC416A"/>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9AFF5"/>
  <w15:docId w15:val="{7836EF2C-4868-426D-84F7-C109140F0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
    <w:basedOn w:val="DefaultParagraphFont"/>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T25-TSB-CIR-0147"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tu.int/go/ai4ssc" TargetMode="External"/><Relationship Id="rId17" Type="http://schemas.openxmlformats.org/officeDocument/2006/relationships/hyperlink" Target="https://www.itu.int/go/fgai4ssc" TargetMode="External"/><Relationship Id="rId2" Type="http://schemas.openxmlformats.org/officeDocument/2006/relationships/numbering" Target="numbering.xml"/><Relationship Id="rId16" Type="http://schemas.openxmlformats.org/officeDocument/2006/relationships/hyperlink" Target="https://www.itu.int/en/ITU-T/focusgroups/ai4ssc/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T25-TSB-CIR-0147/es" TargetMode="External"/><Relationship Id="rId5" Type="http://schemas.openxmlformats.org/officeDocument/2006/relationships/webSettings" Target="webSettings.xml"/><Relationship Id="rId15" Type="http://schemas.openxmlformats.org/officeDocument/2006/relationships/hyperlink" Target="https://www.itu.int/go/fgai4ssc" TargetMode="External"/><Relationship Id="rId10" Type="http://schemas.openxmlformats.org/officeDocument/2006/relationships/hyperlink" Target="https://www.itu.int/en/ITU-T/focusgroups/ai4ssc/Pages/default.aspx"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sbfgai4ssc@itu.int" TargetMode="External"/><Relationship Id="rId14" Type="http://schemas.openxmlformats.org/officeDocument/2006/relationships/hyperlink" Target="https://www.itu.int/en/ITU-T/focusgroups/ai4ssc/Pages/default.aspx"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TSB\PS_TSB_Circular_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27D5-7057-4C1D-9DB1-7B326968D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PS_TSB_Circular_Letter.dotx</Template>
  <TotalTime>1</TotalTime>
  <Pages>2</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5042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Spanish</dc:creator>
  <cp:lastModifiedBy>Maguire, Mairéad</cp:lastModifiedBy>
  <cp:revision>2</cp:revision>
  <cp:lastPrinted>2011-04-15T08:24:00Z</cp:lastPrinted>
  <dcterms:created xsi:type="dcterms:W3CDTF">2026-07-16T08:51:00Z</dcterms:created>
  <dcterms:modified xsi:type="dcterms:W3CDTF">2026-07-16T08:51:00Z</dcterms:modified>
</cp:coreProperties>
</file>