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482"/>
        <w:gridCol w:w="4968"/>
      </w:tblGrid>
      <w:tr w:rsidR="00EF6A23" w:rsidRPr="0016557D" w14:paraId="3FDAE1F3" w14:textId="77777777" w:rsidTr="003F083D">
        <w:trPr>
          <w:cantSplit/>
        </w:trPr>
        <w:tc>
          <w:tcPr>
            <w:tcW w:w="0" w:type="auto"/>
            <w:vAlign w:val="center"/>
          </w:tcPr>
          <w:p w14:paraId="3DE42CAA" w14:textId="77777777" w:rsidR="00EF6A23" w:rsidRPr="0016557D" w:rsidRDefault="00EF6A23" w:rsidP="00D14F31">
            <w:pPr>
              <w:tabs>
                <w:tab w:val="right" w:pos="8732"/>
              </w:tabs>
              <w:spacing w:before="0"/>
              <w:rPr>
                <w:b/>
                <w:bCs/>
                <w:iCs/>
                <w:color w:val="FFFFFF"/>
                <w:sz w:val="30"/>
                <w:szCs w:val="30"/>
              </w:rPr>
            </w:pPr>
            <w:r w:rsidRPr="0016557D">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16557D" w:rsidRDefault="00EF6A23" w:rsidP="00EF6A23">
            <w:pPr>
              <w:spacing w:before="0"/>
              <w:rPr>
                <w:rFonts w:cs="Times New Roman Bold"/>
                <w:b/>
                <w:bCs/>
                <w:iCs/>
                <w:smallCaps/>
                <w:sz w:val="34"/>
                <w:szCs w:val="34"/>
              </w:rPr>
            </w:pPr>
            <w:r w:rsidRPr="0016557D">
              <w:rPr>
                <w:rFonts w:cs="Times New Roman Bold"/>
                <w:b/>
                <w:bCs/>
                <w:iCs/>
                <w:smallCaps/>
                <w:sz w:val="34"/>
                <w:szCs w:val="34"/>
              </w:rPr>
              <w:t>Union internationale des télécommunications</w:t>
            </w:r>
          </w:p>
          <w:p w14:paraId="089E66D0" w14:textId="77777777" w:rsidR="00EF6A23" w:rsidRPr="0016557D" w:rsidRDefault="00EF6A23" w:rsidP="00EF6A23">
            <w:pPr>
              <w:spacing w:before="0"/>
              <w:rPr>
                <w:color w:val="FFFFFF"/>
                <w:sz w:val="26"/>
                <w:szCs w:val="26"/>
              </w:rPr>
            </w:pPr>
            <w:r w:rsidRPr="0016557D">
              <w:rPr>
                <w:rFonts w:cs="Times New Roman Bold"/>
                <w:b/>
                <w:bCs/>
                <w:iCs/>
                <w:smallCaps/>
                <w:sz w:val="28"/>
                <w:szCs w:val="28"/>
              </w:rPr>
              <w:t>B</w:t>
            </w:r>
            <w:r w:rsidRPr="0016557D">
              <w:rPr>
                <w:b/>
                <w:bCs/>
                <w:iCs/>
                <w:smallCaps/>
                <w:sz w:val="28"/>
                <w:szCs w:val="28"/>
              </w:rPr>
              <w:t>ureau de la Normalisation des Télécommunications</w:t>
            </w:r>
          </w:p>
        </w:tc>
      </w:tr>
      <w:tr w:rsidR="00036F4F" w:rsidRPr="0016557D" w14:paraId="18B25741" w14:textId="77777777" w:rsidTr="00307FB4">
        <w:trPr>
          <w:cantSplit/>
        </w:trPr>
        <w:tc>
          <w:tcPr>
            <w:tcW w:w="0" w:type="auto"/>
          </w:tcPr>
          <w:p w14:paraId="4B1AFD72" w14:textId="77777777" w:rsidR="00036F4F" w:rsidRPr="0016557D" w:rsidRDefault="00036F4F" w:rsidP="00A5280F">
            <w:pPr>
              <w:tabs>
                <w:tab w:val="left" w:pos="4111"/>
              </w:tabs>
              <w:spacing w:before="10"/>
              <w:ind w:left="57"/>
            </w:pPr>
          </w:p>
        </w:tc>
        <w:tc>
          <w:tcPr>
            <w:tcW w:w="3399" w:type="dxa"/>
          </w:tcPr>
          <w:p w14:paraId="6579D3E8" w14:textId="77777777" w:rsidR="00036F4F" w:rsidRPr="0016557D" w:rsidRDefault="00036F4F" w:rsidP="00A5280F">
            <w:pPr>
              <w:tabs>
                <w:tab w:val="left" w:pos="4111"/>
              </w:tabs>
              <w:spacing w:before="10"/>
              <w:ind w:left="57"/>
              <w:rPr>
                <w:b/>
              </w:rPr>
            </w:pPr>
          </w:p>
        </w:tc>
        <w:tc>
          <w:tcPr>
            <w:tcW w:w="5051" w:type="dxa"/>
          </w:tcPr>
          <w:p w14:paraId="0DC34ECA" w14:textId="0550F2BE" w:rsidR="00036F4F" w:rsidRPr="0016557D" w:rsidRDefault="00036F4F" w:rsidP="00A5645A">
            <w:pPr>
              <w:tabs>
                <w:tab w:val="clear" w:pos="794"/>
                <w:tab w:val="clear" w:pos="1191"/>
                <w:tab w:val="clear" w:pos="1588"/>
                <w:tab w:val="clear" w:pos="1985"/>
                <w:tab w:val="left" w:pos="284"/>
              </w:tabs>
              <w:spacing w:after="120"/>
              <w:ind w:left="284" w:hanging="227"/>
            </w:pPr>
            <w:r w:rsidRPr="0016557D">
              <w:t>Genève, le</w:t>
            </w:r>
            <w:r w:rsidR="004419E9" w:rsidRPr="0016557D">
              <w:t xml:space="preserve"> </w:t>
            </w:r>
            <w:r w:rsidR="008D2BA6" w:rsidRPr="0016557D">
              <w:t>19 juin 2026</w:t>
            </w:r>
          </w:p>
        </w:tc>
      </w:tr>
      <w:tr w:rsidR="00445B68" w:rsidRPr="0016557D" w14:paraId="16CDDFEF" w14:textId="77777777" w:rsidTr="00307FB4">
        <w:trPr>
          <w:cantSplit/>
          <w:trHeight w:val="340"/>
        </w:trPr>
        <w:tc>
          <w:tcPr>
            <w:tcW w:w="0" w:type="auto"/>
          </w:tcPr>
          <w:p w14:paraId="3EFF375D" w14:textId="58556577" w:rsidR="00445B68" w:rsidRPr="0016557D" w:rsidRDefault="00445B68" w:rsidP="00307FB4">
            <w:pPr>
              <w:tabs>
                <w:tab w:val="left" w:pos="4111"/>
              </w:tabs>
              <w:spacing w:before="10"/>
              <w:ind w:left="57"/>
              <w:rPr>
                <w:b/>
                <w:bCs/>
              </w:rPr>
            </w:pPr>
            <w:r w:rsidRPr="0016557D">
              <w:rPr>
                <w:b/>
                <w:bCs/>
              </w:rPr>
              <w:t>Réf.:</w:t>
            </w:r>
          </w:p>
        </w:tc>
        <w:tc>
          <w:tcPr>
            <w:tcW w:w="3399" w:type="dxa"/>
          </w:tcPr>
          <w:p w14:paraId="5FFBBC9B" w14:textId="6F7D58B4" w:rsidR="00445B68" w:rsidRPr="0016557D" w:rsidRDefault="00445B68" w:rsidP="00A5280F">
            <w:pPr>
              <w:tabs>
                <w:tab w:val="left" w:pos="4111"/>
              </w:tabs>
              <w:spacing w:before="10"/>
              <w:ind w:left="57"/>
              <w:rPr>
                <w:b/>
              </w:rPr>
            </w:pPr>
            <w:r w:rsidRPr="0016557D">
              <w:rPr>
                <w:b/>
              </w:rPr>
              <w:t xml:space="preserve">Circulaire TSB </w:t>
            </w:r>
            <w:r w:rsidR="008D2BA6" w:rsidRPr="0016557D">
              <w:rPr>
                <w:b/>
              </w:rPr>
              <w:t>146</w:t>
            </w:r>
          </w:p>
          <w:p w14:paraId="577F6DA2" w14:textId="75872DD7" w:rsidR="00445B68" w:rsidRPr="0016557D" w:rsidRDefault="0016557D" w:rsidP="00307FB4">
            <w:pPr>
              <w:tabs>
                <w:tab w:val="left" w:pos="4111"/>
              </w:tabs>
              <w:spacing w:before="10"/>
              <w:ind w:left="57"/>
              <w:rPr>
                <w:b/>
                <w:bCs/>
              </w:rPr>
            </w:pPr>
            <w:r w:rsidRPr="0016557D">
              <w:rPr>
                <w:b/>
                <w:bCs/>
              </w:rPr>
              <w:t>FG-AI4SSC/YZ</w:t>
            </w:r>
          </w:p>
        </w:tc>
        <w:tc>
          <w:tcPr>
            <w:tcW w:w="5051" w:type="dxa"/>
            <w:vMerge w:val="restart"/>
          </w:tcPr>
          <w:p w14:paraId="35271D8E" w14:textId="27599625" w:rsidR="00307FB4" w:rsidRPr="0016557D" w:rsidRDefault="00307FB4" w:rsidP="00307FB4">
            <w:pPr>
              <w:tabs>
                <w:tab w:val="left" w:pos="4111"/>
              </w:tabs>
              <w:spacing w:before="0"/>
              <w:ind w:left="426" w:hanging="426"/>
            </w:pPr>
            <w:bookmarkStart w:id="0" w:name="Addressee_F"/>
            <w:bookmarkEnd w:id="0"/>
            <w:r w:rsidRPr="0016557D">
              <w:t>–</w:t>
            </w:r>
            <w:r w:rsidRPr="0016557D">
              <w:tab/>
            </w:r>
            <w:r w:rsidR="008D2BA6" w:rsidRPr="0016557D">
              <w:t xml:space="preserve">Aux </w:t>
            </w:r>
            <w:r w:rsidRPr="0016557D">
              <w:t>Administrations des États Membres de l'Union;</w:t>
            </w:r>
          </w:p>
          <w:p w14:paraId="495BE784" w14:textId="64ABE169" w:rsidR="008D2BA6" w:rsidRPr="0016557D" w:rsidRDefault="00307FB4" w:rsidP="008D2BA6">
            <w:pPr>
              <w:tabs>
                <w:tab w:val="left" w:pos="4111"/>
              </w:tabs>
              <w:spacing w:before="0"/>
              <w:ind w:left="426" w:hanging="426"/>
            </w:pPr>
            <w:r w:rsidRPr="0016557D">
              <w:t>–</w:t>
            </w:r>
            <w:r w:rsidRPr="0016557D">
              <w:tab/>
            </w:r>
            <w:r w:rsidR="008D2BA6" w:rsidRPr="0016557D">
              <w:t>À l'État de Palestine (Résolution 99 (Rév. Dubaï, 2018));</w:t>
            </w:r>
          </w:p>
          <w:p w14:paraId="65CD9FAC" w14:textId="77777777" w:rsidR="008D2BA6" w:rsidRPr="0016557D" w:rsidRDefault="008D2BA6" w:rsidP="008D2BA6">
            <w:pPr>
              <w:tabs>
                <w:tab w:val="left" w:pos="4111"/>
              </w:tabs>
              <w:spacing w:before="0"/>
              <w:ind w:left="426" w:hanging="426"/>
            </w:pPr>
            <w:r w:rsidRPr="0016557D">
              <w:t>–</w:t>
            </w:r>
            <w:r w:rsidRPr="0016557D">
              <w:tab/>
              <w:t>Aux Membres du Secteur de l'UIT-T;</w:t>
            </w:r>
          </w:p>
          <w:p w14:paraId="1C7378D5" w14:textId="77777777" w:rsidR="008D2BA6" w:rsidRPr="0016557D" w:rsidRDefault="008D2BA6" w:rsidP="008D2BA6">
            <w:pPr>
              <w:tabs>
                <w:tab w:val="left" w:pos="4111"/>
              </w:tabs>
              <w:spacing w:before="0"/>
              <w:ind w:left="426" w:hanging="426"/>
            </w:pPr>
            <w:r w:rsidRPr="0016557D">
              <w:t>–</w:t>
            </w:r>
            <w:r w:rsidRPr="0016557D">
              <w:tab/>
              <w:t>Aux Associés de l'UIT-T;</w:t>
            </w:r>
          </w:p>
          <w:p w14:paraId="461460AE" w14:textId="06582A75" w:rsidR="00445B68" w:rsidRPr="0016557D" w:rsidRDefault="008D2BA6" w:rsidP="008D2BA6">
            <w:pPr>
              <w:tabs>
                <w:tab w:val="left" w:pos="4111"/>
              </w:tabs>
              <w:spacing w:before="0"/>
              <w:ind w:left="426" w:hanging="426"/>
            </w:pPr>
            <w:r w:rsidRPr="0016557D">
              <w:t>–</w:t>
            </w:r>
            <w:r w:rsidRPr="0016557D">
              <w:tab/>
              <w:t>Aux établissements universitaires participant aux travaux de l'UIT</w:t>
            </w:r>
          </w:p>
        </w:tc>
      </w:tr>
      <w:tr w:rsidR="00307FB4" w:rsidRPr="0016557D" w14:paraId="06A3F0E7" w14:textId="77777777" w:rsidTr="00307FB4">
        <w:trPr>
          <w:cantSplit/>
          <w:trHeight w:val="340"/>
        </w:trPr>
        <w:tc>
          <w:tcPr>
            <w:tcW w:w="0" w:type="auto"/>
          </w:tcPr>
          <w:p w14:paraId="5CF43A7B" w14:textId="5DF69414" w:rsidR="00307FB4" w:rsidRPr="0016557D" w:rsidRDefault="00307FB4" w:rsidP="00A5280F">
            <w:pPr>
              <w:tabs>
                <w:tab w:val="left" w:pos="4111"/>
              </w:tabs>
              <w:spacing w:before="10"/>
              <w:ind w:left="57"/>
              <w:rPr>
                <w:b/>
                <w:bCs/>
              </w:rPr>
            </w:pPr>
          </w:p>
        </w:tc>
        <w:tc>
          <w:tcPr>
            <w:tcW w:w="3399" w:type="dxa"/>
          </w:tcPr>
          <w:p w14:paraId="2074781F" w14:textId="09A503B7" w:rsidR="00307FB4" w:rsidRPr="0016557D" w:rsidRDefault="00307FB4" w:rsidP="00A5280F">
            <w:pPr>
              <w:tabs>
                <w:tab w:val="left" w:pos="4111"/>
              </w:tabs>
              <w:spacing w:before="10"/>
              <w:ind w:left="57"/>
              <w:rPr>
                <w:b/>
              </w:rPr>
            </w:pPr>
          </w:p>
        </w:tc>
        <w:tc>
          <w:tcPr>
            <w:tcW w:w="5051" w:type="dxa"/>
            <w:vMerge/>
          </w:tcPr>
          <w:p w14:paraId="2F310545" w14:textId="77777777" w:rsidR="00307FB4" w:rsidRPr="0016557D" w:rsidRDefault="00307FB4" w:rsidP="00A5280F">
            <w:pPr>
              <w:tabs>
                <w:tab w:val="clear" w:pos="794"/>
                <w:tab w:val="clear" w:pos="1191"/>
                <w:tab w:val="clear" w:pos="1588"/>
                <w:tab w:val="clear" w:pos="1985"/>
                <w:tab w:val="left" w:pos="284"/>
              </w:tabs>
              <w:spacing w:before="0"/>
              <w:ind w:left="284" w:hanging="227"/>
            </w:pPr>
          </w:p>
        </w:tc>
      </w:tr>
      <w:tr w:rsidR="00445B68" w:rsidRPr="0016557D" w14:paraId="724FD23E" w14:textId="77777777" w:rsidTr="00307FB4">
        <w:trPr>
          <w:cantSplit/>
        </w:trPr>
        <w:tc>
          <w:tcPr>
            <w:tcW w:w="0" w:type="auto"/>
          </w:tcPr>
          <w:p w14:paraId="73149CCD" w14:textId="77777777" w:rsidR="00445B68" w:rsidRPr="0016557D" w:rsidRDefault="00445B68" w:rsidP="00A5280F">
            <w:pPr>
              <w:tabs>
                <w:tab w:val="left" w:pos="4111"/>
              </w:tabs>
              <w:spacing w:before="10"/>
              <w:ind w:left="57"/>
              <w:rPr>
                <w:b/>
                <w:bCs/>
                <w:sz w:val="20"/>
              </w:rPr>
            </w:pPr>
            <w:r w:rsidRPr="0016557D">
              <w:rPr>
                <w:b/>
                <w:bCs/>
              </w:rPr>
              <w:t>Tél.:</w:t>
            </w:r>
          </w:p>
        </w:tc>
        <w:tc>
          <w:tcPr>
            <w:tcW w:w="3399" w:type="dxa"/>
          </w:tcPr>
          <w:p w14:paraId="78D06186" w14:textId="1D2202DE" w:rsidR="00445B68" w:rsidRPr="0016557D" w:rsidRDefault="00445B68" w:rsidP="00A5280F">
            <w:pPr>
              <w:tabs>
                <w:tab w:val="left" w:pos="4111"/>
              </w:tabs>
              <w:spacing w:before="0"/>
              <w:ind w:left="57"/>
            </w:pPr>
            <w:r w:rsidRPr="0016557D">
              <w:t>+41 22 730</w:t>
            </w:r>
            <w:r w:rsidR="00307FB4" w:rsidRPr="0016557D">
              <w:t xml:space="preserve"> 6</w:t>
            </w:r>
            <w:r w:rsidR="0016557D" w:rsidRPr="0016557D">
              <w:t>465</w:t>
            </w:r>
          </w:p>
        </w:tc>
        <w:tc>
          <w:tcPr>
            <w:tcW w:w="5051" w:type="dxa"/>
            <w:vMerge/>
          </w:tcPr>
          <w:p w14:paraId="6D3A5806" w14:textId="77777777" w:rsidR="00445B68" w:rsidRPr="0016557D" w:rsidRDefault="00445B68" w:rsidP="00A5280F">
            <w:pPr>
              <w:tabs>
                <w:tab w:val="left" w:pos="226"/>
                <w:tab w:val="left" w:pos="4111"/>
              </w:tabs>
              <w:spacing w:before="0"/>
              <w:ind w:left="226" w:hanging="226"/>
              <w:rPr>
                <w:b/>
              </w:rPr>
            </w:pPr>
          </w:p>
        </w:tc>
      </w:tr>
      <w:tr w:rsidR="00307FB4" w:rsidRPr="0016557D" w14:paraId="030F9AE5" w14:textId="77777777" w:rsidTr="00E75269">
        <w:trPr>
          <w:cantSplit/>
          <w:trHeight w:val="586"/>
        </w:trPr>
        <w:tc>
          <w:tcPr>
            <w:tcW w:w="0" w:type="auto"/>
          </w:tcPr>
          <w:p w14:paraId="7B417C4C" w14:textId="77777777" w:rsidR="00307FB4" w:rsidRPr="0016557D" w:rsidRDefault="00307FB4" w:rsidP="00A5280F">
            <w:pPr>
              <w:tabs>
                <w:tab w:val="left" w:pos="4111"/>
              </w:tabs>
              <w:spacing w:before="10"/>
              <w:ind w:left="57"/>
              <w:rPr>
                <w:b/>
                <w:bCs/>
                <w:sz w:val="20"/>
              </w:rPr>
            </w:pPr>
            <w:r w:rsidRPr="0016557D">
              <w:rPr>
                <w:b/>
                <w:bCs/>
              </w:rPr>
              <w:t>Télécopie:</w:t>
            </w:r>
          </w:p>
        </w:tc>
        <w:tc>
          <w:tcPr>
            <w:tcW w:w="3399" w:type="dxa"/>
          </w:tcPr>
          <w:p w14:paraId="1A4A5F7B" w14:textId="77777777" w:rsidR="00307FB4" w:rsidRPr="0016557D" w:rsidRDefault="00307FB4" w:rsidP="00A5280F">
            <w:pPr>
              <w:tabs>
                <w:tab w:val="left" w:pos="4111"/>
              </w:tabs>
              <w:spacing w:before="0"/>
              <w:ind w:left="57"/>
            </w:pPr>
            <w:r w:rsidRPr="0016557D">
              <w:t>+41 22 730 5853</w:t>
            </w:r>
          </w:p>
        </w:tc>
        <w:tc>
          <w:tcPr>
            <w:tcW w:w="5051" w:type="dxa"/>
            <w:vMerge/>
          </w:tcPr>
          <w:p w14:paraId="323DAC81" w14:textId="77777777" w:rsidR="00307FB4" w:rsidRPr="0016557D" w:rsidRDefault="00307FB4" w:rsidP="00A5280F">
            <w:pPr>
              <w:tabs>
                <w:tab w:val="left" w:pos="226"/>
                <w:tab w:val="left" w:pos="4111"/>
              </w:tabs>
              <w:spacing w:before="0"/>
              <w:ind w:left="226" w:hanging="226"/>
              <w:rPr>
                <w:b/>
              </w:rPr>
            </w:pPr>
          </w:p>
        </w:tc>
      </w:tr>
      <w:tr w:rsidR="00307FB4" w:rsidRPr="0016557D" w14:paraId="640FB6B9" w14:textId="77777777" w:rsidTr="00307FB4">
        <w:trPr>
          <w:cantSplit/>
        </w:trPr>
        <w:tc>
          <w:tcPr>
            <w:tcW w:w="0" w:type="auto"/>
          </w:tcPr>
          <w:p w14:paraId="15527369" w14:textId="0865F49A" w:rsidR="00307FB4" w:rsidRPr="0016557D" w:rsidRDefault="00307FB4" w:rsidP="00A5280F">
            <w:pPr>
              <w:tabs>
                <w:tab w:val="left" w:pos="4111"/>
              </w:tabs>
              <w:spacing w:before="10"/>
              <w:ind w:left="57"/>
              <w:rPr>
                <w:b/>
                <w:bCs/>
              </w:rPr>
            </w:pPr>
            <w:r w:rsidRPr="0016557D">
              <w:rPr>
                <w:b/>
                <w:bCs/>
              </w:rPr>
              <w:t>Courriel:</w:t>
            </w:r>
          </w:p>
        </w:tc>
        <w:tc>
          <w:tcPr>
            <w:tcW w:w="3399" w:type="dxa"/>
          </w:tcPr>
          <w:p w14:paraId="172249CE" w14:textId="4D6E07FC" w:rsidR="00307FB4" w:rsidRPr="0016557D" w:rsidRDefault="0016557D" w:rsidP="00A5280F">
            <w:pPr>
              <w:tabs>
                <w:tab w:val="left" w:pos="4111"/>
              </w:tabs>
              <w:spacing w:before="0"/>
              <w:ind w:left="57"/>
            </w:pPr>
            <w:hyperlink r:id="rId9" w:history="1">
              <w:r w:rsidRPr="0016557D">
                <w:rPr>
                  <w:rStyle w:val="Hyperlink"/>
                </w:rPr>
                <w:t>tsbfgai4ssc@itu.int</w:t>
              </w:r>
            </w:hyperlink>
          </w:p>
        </w:tc>
        <w:tc>
          <w:tcPr>
            <w:tcW w:w="5051" w:type="dxa"/>
          </w:tcPr>
          <w:p w14:paraId="55E5D357" w14:textId="77777777" w:rsidR="00307FB4" w:rsidRPr="0016557D" w:rsidRDefault="00307FB4" w:rsidP="00307FB4">
            <w:pPr>
              <w:tabs>
                <w:tab w:val="clear" w:pos="794"/>
                <w:tab w:val="left" w:pos="226"/>
                <w:tab w:val="left" w:pos="4111"/>
              </w:tabs>
              <w:spacing w:before="0"/>
              <w:ind w:left="226" w:hanging="226"/>
              <w:rPr>
                <w:b/>
                <w:bCs/>
              </w:rPr>
            </w:pPr>
            <w:r w:rsidRPr="0016557D">
              <w:rPr>
                <w:b/>
                <w:bCs/>
              </w:rPr>
              <w:t>Copie:</w:t>
            </w:r>
          </w:p>
          <w:p w14:paraId="6CE98CB1" w14:textId="30E34639" w:rsidR="00307FB4" w:rsidRPr="0016557D" w:rsidRDefault="00307FB4" w:rsidP="00307FB4">
            <w:pPr>
              <w:tabs>
                <w:tab w:val="clear" w:pos="794"/>
                <w:tab w:val="left" w:pos="4111"/>
              </w:tabs>
              <w:spacing w:before="0"/>
              <w:ind w:left="426" w:hanging="426"/>
            </w:pPr>
            <w:r w:rsidRPr="0016557D">
              <w:t>–</w:t>
            </w:r>
            <w:r w:rsidRPr="0016557D">
              <w:tab/>
              <w:t>Aux Présidents et Vice-Présidents des Commissions d'études;</w:t>
            </w:r>
          </w:p>
          <w:p w14:paraId="56C75C35" w14:textId="1A09D40C" w:rsidR="00307FB4" w:rsidRPr="0016557D" w:rsidRDefault="00307FB4" w:rsidP="00307FB4">
            <w:pPr>
              <w:tabs>
                <w:tab w:val="clear" w:pos="794"/>
                <w:tab w:val="left" w:pos="4111"/>
              </w:tabs>
              <w:spacing w:before="0"/>
              <w:ind w:left="426" w:hanging="426"/>
            </w:pPr>
            <w:r w:rsidRPr="0016557D">
              <w:t>–</w:t>
            </w:r>
            <w:r w:rsidRPr="0016557D">
              <w:tab/>
              <w:t>Au Directeur du Bureau de développement des télécommunications;</w:t>
            </w:r>
          </w:p>
          <w:p w14:paraId="19762254" w14:textId="061893F3" w:rsidR="00307FB4" w:rsidRPr="0016557D" w:rsidRDefault="00307FB4" w:rsidP="00307FB4">
            <w:pPr>
              <w:tabs>
                <w:tab w:val="clear" w:pos="794"/>
                <w:tab w:val="left" w:pos="4111"/>
              </w:tabs>
              <w:spacing w:before="0"/>
              <w:ind w:left="426" w:hanging="426"/>
            </w:pPr>
            <w:r w:rsidRPr="0016557D">
              <w:t>–</w:t>
            </w:r>
            <w:r w:rsidRPr="0016557D">
              <w:tab/>
              <w:t>Au Directeur du Bureau des radiocommunications</w:t>
            </w:r>
          </w:p>
        </w:tc>
      </w:tr>
      <w:tr w:rsidR="00517A03" w:rsidRPr="0016557D" w14:paraId="5435C04A" w14:textId="77777777" w:rsidTr="00C41B89">
        <w:trPr>
          <w:cantSplit/>
          <w:trHeight w:val="397"/>
        </w:trPr>
        <w:tc>
          <w:tcPr>
            <w:tcW w:w="0" w:type="auto"/>
          </w:tcPr>
          <w:p w14:paraId="2A0B9B4F" w14:textId="77777777" w:rsidR="00517A03" w:rsidRPr="0016557D" w:rsidRDefault="00517A03" w:rsidP="00307FB4">
            <w:pPr>
              <w:tabs>
                <w:tab w:val="left" w:pos="4111"/>
              </w:tabs>
              <w:ind w:left="57"/>
              <w:rPr>
                <w:b/>
                <w:bCs/>
                <w:szCs w:val="22"/>
              </w:rPr>
            </w:pPr>
            <w:r w:rsidRPr="0016557D">
              <w:rPr>
                <w:b/>
                <w:bCs/>
                <w:szCs w:val="22"/>
              </w:rPr>
              <w:t>Objet:</w:t>
            </w:r>
          </w:p>
        </w:tc>
        <w:tc>
          <w:tcPr>
            <w:tcW w:w="0" w:type="auto"/>
            <w:gridSpan w:val="2"/>
          </w:tcPr>
          <w:p w14:paraId="1A51EE75" w14:textId="4610D59E" w:rsidR="00517A03" w:rsidRPr="0016557D" w:rsidRDefault="008D2BA6" w:rsidP="0048088B">
            <w:pPr>
              <w:tabs>
                <w:tab w:val="left" w:pos="4111"/>
              </w:tabs>
              <w:spacing w:after="120"/>
              <w:ind w:left="57"/>
              <w:rPr>
                <w:b/>
                <w:bCs/>
                <w:szCs w:val="22"/>
              </w:rPr>
            </w:pPr>
            <w:r w:rsidRPr="0016557D">
              <w:rPr>
                <w:b/>
                <w:bCs/>
                <w:szCs w:val="22"/>
              </w:rPr>
              <w:t>Forum sur l'intelligence artificielle et les métavilles: jeter les bases d'une innovation urbaine interopérable et modulable (Tampere (Finlande), 9 et 10 septembre 2026)</w:t>
            </w:r>
          </w:p>
        </w:tc>
      </w:tr>
    </w:tbl>
    <w:p w14:paraId="2D1EC328" w14:textId="77777777" w:rsidR="00517A03" w:rsidRPr="0016557D" w:rsidRDefault="00517A03" w:rsidP="0048088B">
      <w:pPr>
        <w:spacing w:before="360"/>
      </w:pPr>
      <w:bookmarkStart w:id="1" w:name="StartTyping_F"/>
      <w:bookmarkEnd w:id="1"/>
      <w:r w:rsidRPr="0016557D">
        <w:t>Madame, Monsieur,</w:t>
      </w:r>
    </w:p>
    <w:p w14:paraId="054990DB" w14:textId="4AC8FC81" w:rsidR="008D2BA6" w:rsidRPr="0016557D" w:rsidRDefault="008D2BA6" w:rsidP="008D2BA6">
      <w:pPr>
        <w:rPr>
          <w:bCs/>
        </w:rPr>
      </w:pPr>
      <w:r w:rsidRPr="0016557D">
        <w:rPr>
          <w:bCs/>
        </w:rPr>
        <w:t>1</w:t>
      </w:r>
      <w:r w:rsidRPr="0016557D">
        <w:rPr>
          <w:bCs/>
        </w:rPr>
        <w:tab/>
        <w:t xml:space="preserve">J'ai l'honneur de vous informer que l'Union internationale des télécommunications (UIT), le Programme des Nations Unies pour les établissements humains (ONU-Habitat) et la ville de Tampere organisent le </w:t>
      </w:r>
      <w:r w:rsidRPr="0016557D">
        <w:rPr>
          <w:b/>
        </w:rPr>
        <w:t>Forum sur l'intelligence artificielle et les métavilles: jeter les bases d'une innovation urbaine interopérable et modulable</w:t>
      </w:r>
      <w:r w:rsidRPr="0016557D">
        <w:rPr>
          <w:bCs/>
        </w:rPr>
        <w:t xml:space="preserve">, qui se tiendra </w:t>
      </w:r>
      <w:r w:rsidRPr="0016557D">
        <w:rPr>
          <w:b/>
        </w:rPr>
        <w:t>les 9 et 10 septembre 2026 à Tampere (Finlande)</w:t>
      </w:r>
      <w:r w:rsidRPr="0016557D">
        <w:rPr>
          <w:bCs/>
        </w:rPr>
        <w:t>. Le Forum se tiendra en présentiel avec possibilité de participation à distance, à l'aimable invitation de la ville de Tampere.</w:t>
      </w:r>
    </w:p>
    <w:p w14:paraId="7246C752" w14:textId="2F6334DF" w:rsidR="008D2BA6" w:rsidRPr="0016557D" w:rsidRDefault="008D2BA6" w:rsidP="008D2BA6">
      <w:pPr>
        <w:rPr>
          <w:bCs/>
        </w:rPr>
      </w:pPr>
      <w:r w:rsidRPr="0016557D">
        <w:rPr>
          <w:bCs/>
        </w:rPr>
        <w:t>2</w:t>
      </w:r>
      <w:r w:rsidRPr="0016557D">
        <w:rPr>
          <w:bCs/>
        </w:rPr>
        <w:tab/>
        <w:t xml:space="preserve">Le Forum sera suivi de la première réunion du </w:t>
      </w:r>
      <w:hyperlink r:id="rId10" w:anchor="/fr" w:history="1">
        <w:r w:rsidRPr="0016557D">
          <w:rPr>
            <w:rStyle w:val="Hyperlink"/>
            <w:bCs/>
          </w:rPr>
          <w:t>Groupe spécialisé de l'UIT sur l'intelligence artificielle au service des villes et des communautés intelligentes et durables (FG-AI4SSC)</w:t>
        </w:r>
      </w:hyperlink>
      <w:r w:rsidRPr="0016557D">
        <w:rPr>
          <w:bCs/>
        </w:rPr>
        <w:t xml:space="preserve">, qui aura lieu les 10 et 11 septembre 2026 au même endroit. Voir la </w:t>
      </w:r>
      <w:hyperlink r:id="rId11" w:history="1">
        <w:r w:rsidRPr="0016557D">
          <w:rPr>
            <w:rStyle w:val="Hyperlink"/>
            <w:bCs/>
          </w:rPr>
          <w:t>Circulaire TSB 147</w:t>
        </w:r>
      </w:hyperlink>
      <w:r w:rsidRPr="0016557D">
        <w:rPr>
          <w:bCs/>
        </w:rPr>
        <w:t xml:space="preserve"> pour en savoir plus.</w:t>
      </w:r>
    </w:p>
    <w:p w14:paraId="2059839C" w14:textId="77777777" w:rsidR="008D2BA6" w:rsidRPr="0016557D" w:rsidRDefault="008D2BA6" w:rsidP="008D2BA6">
      <w:pPr>
        <w:rPr>
          <w:bCs/>
        </w:rPr>
      </w:pPr>
      <w:r w:rsidRPr="0016557D">
        <w:rPr>
          <w:bCs/>
        </w:rPr>
        <w:t>3</w:t>
      </w:r>
      <w:r w:rsidRPr="0016557D">
        <w:rPr>
          <w:bCs/>
        </w:rPr>
        <w:tab/>
        <w:t>Les objectifs de ce Forum sont les suivants:</w:t>
      </w:r>
    </w:p>
    <w:p w14:paraId="251AC407" w14:textId="13683265" w:rsidR="008D2BA6" w:rsidRPr="0016557D" w:rsidRDefault="008D2BA6" w:rsidP="008D2BA6">
      <w:pPr>
        <w:pStyle w:val="enumlev1"/>
      </w:pPr>
      <w:r w:rsidRPr="0016557D">
        <w:t>–</w:t>
      </w:r>
      <w:r w:rsidRPr="0016557D">
        <w:tab/>
        <w:t>Étudier les tendances, les possibilités et les défis émergents liés à l'intelligence artificielle au service des villes et des communautés intelligentes et durables.</w:t>
      </w:r>
    </w:p>
    <w:p w14:paraId="0EDEF78B" w14:textId="0C88107D" w:rsidR="008D2BA6" w:rsidRPr="0016557D" w:rsidRDefault="008D2BA6" w:rsidP="008D2BA6">
      <w:pPr>
        <w:pStyle w:val="enumlev1"/>
      </w:pPr>
      <w:r w:rsidRPr="0016557D">
        <w:t>–</w:t>
      </w:r>
      <w:r w:rsidRPr="0016557D">
        <w:tab/>
        <w:t>Échanger des expériences, des bonnes pratiques et des cas d'utilisation concernant l'adoption et l'intégration de systèmes et de services urbains reposant sur l'intelligence artificielle.</w:t>
      </w:r>
    </w:p>
    <w:p w14:paraId="1ACB4F6A" w14:textId="5A41DFC2" w:rsidR="008D2BA6" w:rsidRPr="0016557D" w:rsidRDefault="008D2BA6" w:rsidP="008D2BA6">
      <w:pPr>
        <w:pStyle w:val="enumlev1"/>
      </w:pPr>
      <w:r w:rsidRPr="0016557D">
        <w:t>–</w:t>
      </w:r>
      <w:r w:rsidRPr="0016557D">
        <w:tab/>
        <w:t>Examiner les exigences, les voies d'approche en matière d'interopérabilité et les cadres propices au déploiement modulable de l'intelligence artificielle dans les villes et les communautés.</w:t>
      </w:r>
    </w:p>
    <w:p w14:paraId="04B246AA" w14:textId="12B1085C" w:rsidR="008D2BA6" w:rsidRPr="0016557D" w:rsidRDefault="008D2BA6" w:rsidP="008D2BA6">
      <w:pPr>
        <w:pStyle w:val="enumlev1"/>
      </w:pPr>
      <w:r w:rsidRPr="0016557D">
        <w:t>–</w:t>
      </w:r>
      <w:r w:rsidRPr="0016557D">
        <w:tab/>
        <w:t>Encourager la collaboration entre les villes, les autorités publiques, le secteur privé, les établissements universitaires, les organisations de normalisation et les organisations internationales.</w:t>
      </w:r>
    </w:p>
    <w:p w14:paraId="464DA13A" w14:textId="5D7CC1C0" w:rsidR="008D2BA6" w:rsidRPr="0016557D" w:rsidRDefault="008D2BA6" w:rsidP="008D2BA6">
      <w:pPr>
        <w:pStyle w:val="enumlev1"/>
      </w:pPr>
      <w:r w:rsidRPr="0016557D">
        <w:lastRenderedPageBreak/>
        <w:t>–</w:t>
      </w:r>
      <w:r w:rsidRPr="0016557D">
        <w:tab/>
        <w:t>Présenter le Groupe spécialisé de l'UIT-T nouvellement créé sur l'intelligence artificielle au service des villes et des communautés intelligentes et durables (FG-AI4SSC), et encourager la participation à ses travaux.</w:t>
      </w:r>
    </w:p>
    <w:p w14:paraId="2B2F1420" w14:textId="3B488FC7" w:rsidR="008D2BA6" w:rsidRPr="0016557D" w:rsidRDefault="008D2BA6" w:rsidP="008D2BA6">
      <w:pPr>
        <w:rPr>
          <w:bCs/>
        </w:rPr>
      </w:pPr>
      <w:r w:rsidRPr="0016557D">
        <w:rPr>
          <w:bCs/>
        </w:rPr>
        <w:t>4</w:t>
      </w:r>
      <w:r w:rsidRPr="0016557D">
        <w:rPr>
          <w:bCs/>
        </w:rPr>
        <w:tab/>
        <w:t>La participation au Forum et à la réunion du Groupe spécialisé est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214533FF" w14:textId="6F50CBDD" w:rsidR="008D2BA6" w:rsidRPr="0016557D" w:rsidRDefault="008D2BA6" w:rsidP="008D2BA6">
      <w:pPr>
        <w:rPr>
          <w:bCs/>
        </w:rPr>
      </w:pPr>
      <w:r w:rsidRPr="0016557D">
        <w:rPr>
          <w:bCs/>
        </w:rPr>
        <w:t>5</w:t>
      </w:r>
      <w:r w:rsidRPr="0016557D">
        <w:rPr>
          <w:bCs/>
        </w:rPr>
        <w:tab/>
        <w:t xml:space="preserve">Les informations relatives au Forum, portant notamment sur le projet de programme, les intervenants, le lien pour l'inscription et les renseignements concernant la participation à distance seront mis à disposition sur la </w:t>
      </w:r>
      <w:hyperlink r:id="rId12" w:anchor="/fr" w:history="1">
        <w:r w:rsidRPr="0016557D">
          <w:rPr>
            <w:rStyle w:val="Hyperlink"/>
            <w:bCs/>
          </w:rPr>
          <w:t>page d'accueil du Groupe FG-AI4SSC</w:t>
        </w:r>
      </w:hyperlink>
      <w:r w:rsidRPr="0016557D">
        <w:rPr>
          <w:bCs/>
        </w:rPr>
        <w:t>. La page web de la manifestation sera mise à jour périodiquement, à mesure que parviendront des informations nouvelles. Il est recommandé aux participants de la consulter régulièrement pour prendre connaissance des dernières informations.</w:t>
      </w:r>
    </w:p>
    <w:p w14:paraId="76E87C33" w14:textId="0D2502B4" w:rsidR="008D2BA6" w:rsidRPr="0016557D" w:rsidRDefault="008D2BA6" w:rsidP="008D2BA6">
      <w:pPr>
        <w:rPr>
          <w:b/>
        </w:rPr>
      </w:pPr>
      <w:r w:rsidRPr="0016557D">
        <w:rPr>
          <w:bCs/>
        </w:rPr>
        <w:t>6</w:t>
      </w:r>
      <w:r w:rsidRPr="0016557D">
        <w:rPr>
          <w:bCs/>
        </w:rPr>
        <w:tab/>
        <w:t xml:space="preserve">Pour permettre à l'organisme hôte de prendre les dispositions qui s'imposent sur le plan logistique, il est demandé aux participants de s'inscrire en ligne via la </w:t>
      </w:r>
      <w:hyperlink r:id="rId13" w:anchor="/fr" w:history="1">
        <w:r w:rsidRPr="0016557D">
          <w:rPr>
            <w:rStyle w:val="Hyperlink"/>
            <w:bCs/>
          </w:rPr>
          <w:t>page d'accueil du Groupe FG</w:t>
        </w:r>
        <w:r w:rsidRPr="0016557D">
          <w:rPr>
            <w:rStyle w:val="Hyperlink"/>
            <w:bCs/>
          </w:rPr>
          <w:noBreakHyphen/>
          <w:t>AI4SSC</w:t>
        </w:r>
      </w:hyperlink>
      <w:r w:rsidRPr="0016557D">
        <w:rPr>
          <w:bCs/>
        </w:rPr>
        <w:t xml:space="preserve"> dès que possible. L'inscription est obligatoire pour tous les participants. </w:t>
      </w:r>
      <w:r w:rsidRPr="0016557D">
        <w:rPr>
          <w:b/>
        </w:rPr>
        <w:t>Veuillez noter que l'inscription préalable des participants au Forum est obligatoire et se fera exclusivement en ligne. La participation au Forum est gratuite.</w:t>
      </w:r>
    </w:p>
    <w:p w14:paraId="4FF1A411" w14:textId="77777777" w:rsidR="008D2BA6" w:rsidRPr="0016557D" w:rsidRDefault="008D2BA6" w:rsidP="008D2BA6">
      <w:pPr>
        <w:rPr>
          <w:bCs/>
        </w:rPr>
      </w:pPr>
      <w:r w:rsidRPr="0016557D">
        <w:rPr>
          <w:bCs/>
        </w:rPr>
        <w:t>7</w:t>
      </w:r>
      <w:r w:rsidRPr="0016557D">
        <w:rPr>
          <w:bCs/>
        </w:rPr>
        <w:tab/>
        <w:t>Nous vous rappelons que, pour les ressortissants de certains pays, l'entrée et le séjour sur le territoire de la Finlande sont soumis à l'obtention d'un visa. Si vous avez besoin d'un visa, celui-ci doit être demandé avant la date de votre arrivée et obtenu auprès de l'ambassade ou du consulat de la Finlande dans votre pays ou, à défaut, dans le pays le plus proche de votre pays de départ. Les délais pouvant varier, nous vous suggérons de vous renseigner directement auprès de la représentation concernée et de formuler votre demande au plus tôt.</w:t>
      </w:r>
    </w:p>
    <w:p w14:paraId="042FFD9E" w14:textId="77777777" w:rsidR="008D2BA6" w:rsidRPr="0016557D" w:rsidRDefault="008D2BA6" w:rsidP="008D2BA6">
      <w:pPr>
        <w:rPr>
          <w:bCs/>
        </w:rPr>
      </w:pPr>
      <w:r w:rsidRPr="0016557D">
        <w:rPr>
          <w:bCs/>
        </w:rPr>
        <w:t>Vous trouverez sur le site web du Groupe FG-AI4SSC, dans le document d'informations pratiques pour la réunion, des renseignements supplémentaires et les documents nécessaires pour le traitement des demandes de visas, le cas échéant.</w:t>
      </w:r>
    </w:p>
    <w:p w14:paraId="46F2C3C2" w14:textId="402136EB" w:rsidR="00307FB4" w:rsidRPr="0016557D" w:rsidRDefault="008D2BA6" w:rsidP="008D2BA6">
      <w:pPr>
        <w:rPr>
          <w:bCs/>
        </w:rPr>
      </w:pPr>
      <w:r w:rsidRPr="0016557D">
        <w:rPr>
          <w:bCs/>
        </w:rPr>
        <w:t>Veuillez agréer, Madame, Monsieur, l'assurance de ma haute considération.</w:t>
      </w:r>
    </w:p>
    <w:p w14:paraId="3A296738" w14:textId="5A5DBCDD" w:rsidR="00B60868" w:rsidRPr="0016557D" w:rsidRDefault="00B60868" w:rsidP="00B60868">
      <w:pPr>
        <w:spacing w:before="480" w:after="480"/>
        <w:rPr>
          <w:bCs/>
        </w:rPr>
      </w:pPr>
      <w:r w:rsidRPr="0016557D">
        <w:rPr>
          <w:bCs/>
        </w:rPr>
        <w:t>(</w:t>
      </w:r>
      <w:r w:rsidRPr="0016557D">
        <w:rPr>
          <w:bCs/>
          <w:i/>
        </w:rPr>
        <w:t>signé</w:t>
      </w:r>
      <w:r w:rsidRPr="0016557D">
        <w:rPr>
          <w:bCs/>
        </w:rPr>
        <w:t>)</w:t>
      </w:r>
    </w:p>
    <w:p w14:paraId="558FB742" w14:textId="175CD9BE" w:rsidR="002937DB" w:rsidRPr="0016557D" w:rsidRDefault="00307FB4" w:rsidP="00B60868">
      <w:pPr>
        <w:rPr>
          <w:bCs/>
        </w:rPr>
      </w:pPr>
      <w:r w:rsidRPr="0016557D">
        <w:rPr>
          <w:bCs/>
        </w:rPr>
        <w:t>Seizo Onoe</w:t>
      </w:r>
      <w:r w:rsidR="00B60868" w:rsidRPr="0016557D">
        <w:rPr>
          <w:bCs/>
        </w:rPr>
        <w:br/>
      </w:r>
      <w:r w:rsidRPr="0016557D">
        <w:rPr>
          <w:bCs/>
        </w:rPr>
        <w:t>Directeur du Bureau de la normalisation</w:t>
      </w:r>
      <w:r w:rsidR="00B60868" w:rsidRPr="0016557D">
        <w:rPr>
          <w:bCs/>
        </w:rPr>
        <w:br/>
      </w:r>
      <w:r w:rsidRPr="0016557D">
        <w:rPr>
          <w:bCs/>
        </w:rPr>
        <w:t>des télécommunications</w:t>
      </w:r>
    </w:p>
    <w:sectPr w:rsidR="002937DB" w:rsidRPr="0016557D"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D232" w14:textId="77777777" w:rsidR="00116CE5" w:rsidRDefault="00116CE5">
      <w:r>
        <w:separator/>
      </w:r>
    </w:p>
  </w:endnote>
  <w:endnote w:type="continuationSeparator" w:id="0">
    <w:p w14:paraId="1DD6B935" w14:textId="77777777" w:rsidR="00116CE5" w:rsidRDefault="0011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6A50CB4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w:t>
    </w:r>
    <w:r w:rsidR="0016557D">
      <w:rPr>
        <w:color w:val="0070C0"/>
        <w:sz w:val="18"/>
        <w:szCs w:val="18"/>
        <w:lang w:val="fr-CH"/>
      </w:rPr>
      <w:t>Télécopie</w:t>
    </w:r>
    <w:r w:rsidRPr="003E66AD">
      <w:rPr>
        <w:color w:val="0070C0"/>
        <w:sz w:val="18"/>
        <w:szCs w:val="18"/>
        <w:lang w:val="fr-CH"/>
      </w:rPr>
      <w:t xml:space="preserve">: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4B97" w14:textId="77777777" w:rsidR="00116CE5" w:rsidRDefault="00116CE5">
      <w:r>
        <w:t>____________________</w:t>
      </w:r>
    </w:p>
  </w:footnote>
  <w:footnote w:type="continuationSeparator" w:id="0">
    <w:p w14:paraId="48681B06" w14:textId="77777777" w:rsidR="00116CE5" w:rsidRDefault="0011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661CD535" w:rsidR="00697BC1" w:rsidRPr="00697BC1" w:rsidRDefault="00116CE5"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8D2BA6">
      <w:rPr>
        <w:noProof/>
        <w:sz w:val="18"/>
        <w:szCs w:val="16"/>
      </w:rPr>
      <w:t>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A5BFB"/>
    <w:rsid w:val="000B0D96"/>
    <w:rsid w:val="000B59D8"/>
    <w:rsid w:val="000C1F6B"/>
    <w:rsid w:val="000C25CC"/>
    <w:rsid w:val="000C56BE"/>
    <w:rsid w:val="001026FD"/>
    <w:rsid w:val="001077FD"/>
    <w:rsid w:val="00115DD7"/>
    <w:rsid w:val="00116CE5"/>
    <w:rsid w:val="0016557D"/>
    <w:rsid w:val="00167472"/>
    <w:rsid w:val="00167F92"/>
    <w:rsid w:val="00173738"/>
    <w:rsid w:val="001B79A3"/>
    <w:rsid w:val="002152A3"/>
    <w:rsid w:val="0023667A"/>
    <w:rsid w:val="00282813"/>
    <w:rsid w:val="00290D80"/>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D2BA6"/>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focusgroups/ai4ssc/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focusgroups/ai4ssc/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147/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focusgroups/ai4ssc/Pages/default.aspx" TargetMode="External"/><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5364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2026-07-16T08:51:00Z</dcterms:created>
  <dcterms:modified xsi:type="dcterms:W3CDTF">2026-07-16T08:51:00Z</dcterms:modified>
</cp:coreProperties>
</file>