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41BDE50F"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8A2782">
              <w:rPr>
                <w:rFonts w:cstheme="minorHAnsi"/>
                <w:szCs w:val="22"/>
                <w:lang w:eastAsia="zh-CN"/>
              </w:rPr>
              <w:t>6</w:t>
            </w:r>
            <w:r>
              <w:rPr>
                <w:rFonts w:cstheme="minorHAnsi" w:hint="eastAsia"/>
                <w:szCs w:val="22"/>
                <w:lang w:eastAsia="zh-CN"/>
              </w:rPr>
              <w:t>年</w:t>
            </w:r>
            <w:r w:rsidR="008A2782">
              <w:rPr>
                <w:rFonts w:cstheme="minorHAnsi"/>
                <w:szCs w:val="22"/>
                <w:lang w:eastAsia="zh-CN"/>
              </w:rPr>
              <w:t>6</w:t>
            </w:r>
            <w:r>
              <w:rPr>
                <w:rFonts w:cstheme="minorHAnsi" w:hint="eastAsia"/>
                <w:szCs w:val="22"/>
                <w:lang w:eastAsia="zh-CN"/>
              </w:rPr>
              <w:t>月</w:t>
            </w:r>
            <w:r w:rsidR="008A2782">
              <w:rPr>
                <w:rFonts w:cstheme="minorHAnsi"/>
                <w:szCs w:val="22"/>
                <w:lang w:eastAsia="zh-CN"/>
              </w:rPr>
              <w:t>19</w:t>
            </w:r>
            <w:r>
              <w:rPr>
                <w:rFonts w:cstheme="minorHAnsi" w:hint="eastAsia"/>
                <w:szCs w:val="22"/>
                <w:lang w:eastAsia="zh-CN"/>
              </w:rPr>
              <w:t>日，日内瓦</w:t>
            </w:r>
          </w:p>
        </w:tc>
      </w:tr>
      <w:tr w:rsidR="008A2782" w:rsidRPr="003D69B8" w14:paraId="71AA0546" w14:textId="77777777" w:rsidTr="00666DD6">
        <w:trPr>
          <w:cantSplit/>
          <w:trHeight w:val="746"/>
        </w:trPr>
        <w:tc>
          <w:tcPr>
            <w:tcW w:w="1134" w:type="dxa"/>
          </w:tcPr>
          <w:p w14:paraId="0E20DD5D" w14:textId="312634C3" w:rsidR="008A2782" w:rsidRPr="00FA0A8E" w:rsidRDefault="008A2782" w:rsidP="008A2782">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248B53E8" w14:textId="77777777" w:rsidR="008A2782" w:rsidRPr="00D46C8B" w:rsidRDefault="008A2782" w:rsidP="008A2782">
            <w:pPr>
              <w:pStyle w:val="CircularNo"/>
              <w:rPr>
                <w:lang w:val="en-GB"/>
              </w:rPr>
            </w:pPr>
            <w:r>
              <w:rPr>
                <w:bCs/>
                <w:color w:val="000000"/>
                <w:lang w:val="zh-CN"/>
              </w:rPr>
              <w:t>电信标准化局第</w:t>
            </w:r>
            <w:r>
              <w:rPr>
                <w:bCs/>
                <w:color w:val="000000"/>
                <w:lang w:val="zh-CN"/>
              </w:rPr>
              <w:t>146</w:t>
            </w:r>
            <w:r>
              <w:rPr>
                <w:bCs/>
                <w:color w:val="000000"/>
                <w:lang w:val="zh-CN"/>
              </w:rPr>
              <w:t>号通函</w:t>
            </w:r>
          </w:p>
          <w:p w14:paraId="26ABBF6A" w14:textId="101EC3ED" w:rsidR="008A2782" w:rsidRPr="003D69B8" w:rsidRDefault="008A2782" w:rsidP="008A2782">
            <w:pPr>
              <w:pStyle w:val="Tabletext"/>
              <w:ind w:firstLine="23"/>
              <w:rPr>
                <w:rFonts w:cstheme="minorHAnsi"/>
                <w:szCs w:val="22"/>
                <w:lang w:eastAsia="zh-CN"/>
              </w:rPr>
            </w:pPr>
            <w:r>
              <w:rPr>
                <w:b/>
                <w:bCs/>
                <w:color w:val="000000"/>
                <w:szCs w:val="22"/>
                <w:lang w:val="zh-CN"/>
              </w:rPr>
              <w:t>FG-AI4SSC/YZ</w:t>
            </w:r>
          </w:p>
        </w:tc>
        <w:tc>
          <w:tcPr>
            <w:tcW w:w="5245" w:type="dxa"/>
            <w:gridSpan w:val="2"/>
            <w:vMerge w:val="restart"/>
          </w:tcPr>
          <w:p w14:paraId="6AEA8188" w14:textId="77777777" w:rsidR="008A2782" w:rsidRPr="00147EE9" w:rsidRDefault="008A2782" w:rsidP="008A2782">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8A2782" w:rsidRPr="00147EE9" w:rsidRDefault="008A2782" w:rsidP="008A2782">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77777777" w:rsidR="008A2782" w:rsidRDefault="008A2782" w:rsidP="008A2782">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405FBC4D" w14:textId="45B6925E" w:rsidR="008A2782" w:rsidRPr="0006127B" w:rsidRDefault="008A2782" w:rsidP="008A2782">
            <w:pPr>
              <w:pStyle w:val="Tabletext"/>
              <w:tabs>
                <w:tab w:val="clear" w:pos="284"/>
                <w:tab w:val="left" w:pos="627"/>
              </w:tabs>
              <w:spacing w:after="0"/>
              <w:ind w:left="430" w:hanging="373"/>
              <w:rPr>
                <w:color w:val="000000"/>
                <w:szCs w:val="22"/>
                <w:lang w:val="zh-CN"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06127B">
              <w:rPr>
                <w:color w:val="000000"/>
                <w:szCs w:val="22"/>
                <w:lang w:val="zh-CN" w:eastAsia="zh-CN"/>
              </w:rPr>
              <w:t>ITU-T</w:t>
            </w:r>
            <w:r w:rsidRPr="008A2782">
              <w:rPr>
                <w:rFonts w:eastAsiaTheme="minorEastAsia" w:cstheme="minorHAnsi"/>
                <w:szCs w:val="22"/>
                <w:lang w:eastAsia="zh-CN"/>
              </w:rPr>
              <w:t>部门</w:t>
            </w:r>
            <w:r w:rsidRPr="0006127B">
              <w:rPr>
                <w:color w:val="000000"/>
                <w:szCs w:val="22"/>
                <w:lang w:val="zh-CN" w:eastAsia="zh-CN"/>
              </w:rPr>
              <w:t>成员</w:t>
            </w:r>
            <w:r>
              <w:rPr>
                <w:color w:val="000000"/>
                <w:szCs w:val="22"/>
                <w:lang w:val="zh-CN" w:eastAsia="zh-CN"/>
              </w:rPr>
              <w:t>；</w:t>
            </w:r>
          </w:p>
          <w:p w14:paraId="33C7A087" w14:textId="77777777" w:rsidR="008A2782" w:rsidRPr="0006127B" w:rsidRDefault="008A2782" w:rsidP="008A2782">
            <w:pPr>
              <w:pStyle w:val="Tabletext"/>
              <w:tabs>
                <w:tab w:val="clear" w:pos="284"/>
                <w:tab w:val="left" w:pos="627"/>
              </w:tabs>
              <w:spacing w:after="0"/>
              <w:ind w:left="430" w:hanging="373"/>
              <w:rPr>
                <w:color w:val="000000"/>
                <w:szCs w:val="22"/>
                <w:lang w:val="zh-CN" w:eastAsia="zh-CN"/>
              </w:rPr>
            </w:pPr>
            <w:r w:rsidRPr="0006127B">
              <w:rPr>
                <w:color w:val="000000"/>
                <w:szCs w:val="22"/>
                <w:lang w:val="zh-CN" w:eastAsia="zh-CN"/>
              </w:rPr>
              <w:t>-</w:t>
            </w:r>
            <w:r w:rsidRPr="0006127B">
              <w:rPr>
                <w:color w:val="000000"/>
                <w:szCs w:val="22"/>
                <w:lang w:val="zh-CN" w:eastAsia="zh-CN"/>
              </w:rPr>
              <w:tab/>
              <w:t>ITU-T</w:t>
            </w:r>
            <w:r w:rsidRPr="0006127B">
              <w:rPr>
                <w:color w:val="000000"/>
                <w:szCs w:val="22"/>
                <w:lang w:val="zh-CN" w:eastAsia="zh-CN"/>
              </w:rPr>
              <w:t>部门准成员</w:t>
            </w:r>
            <w:r>
              <w:rPr>
                <w:color w:val="000000"/>
                <w:szCs w:val="22"/>
                <w:lang w:val="zh-CN" w:eastAsia="zh-CN"/>
              </w:rPr>
              <w:t>；</w:t>
            </w:r>
          </w:p>
          <w:p w14:paraId="0C662A9F" w14:textId="77777777" w:rsidR="008A2782" w:rsidRPr="00331336" w:rsidRDefault="008A2782" w:rsidP="008A2782">
            <w:pPr>
              <w:pStyle w:val="Tabletext"/>
              <w:tabs>
                <w:tab w:val="clear" w:pos="284"/>
                <w:tab w:val="left" w:pos="627"/>
              </w:tabs>
              <w:spacing w:after="0"/>
              <w:ind w:left="430" w:hanging="373"/>
              <w:rPr>
                <w:rFonts w:cs="Calibri"/>
                <w:szCs w:val="22"/>
                <w:lang w:eastAsia="zh-CN"/>
              </w:rPr>
            </w:pPr>
            <w:r w:rsidRPr="0006127B">
              <w:rPr>
                <w:color w:val="000000"/>
                <w:szCs w:val="22"/>
                <w:lang w:val="zh-CN" w:eastAsia="zh-CN"/>
              </w:rPr>
              <w:t>-</w:t>
            </w:r>
            <w:r w:rsidRPr="0006127B">
              <w:rPr>
                <w:color w:val="000000"/>
                <w:szCs w:val="22"/>
                <w:lang w:val="zh-CN" w:eastAsia="zh-CN"/>
              </w:rPr>
              <w:tab/>
            </w:r>
            <w:r w:rsidRPr="008A2782">
              <w:rPr>
                <w:rFonts w:eastAsiaTheme="minorEastAsia" w:cstheme="minorHAnsi"/>
                <w:szCs w:val="22"/>
                <w:lang w:eastAsia="zh-CN"/>
              </w:rPr>
              <w:t>国际电联学术成员</w:t>
            </w:r>
          </w:p>
          <w:p w14:paraId="04F83040" w14:textId="77777777" w:rsidR="008A2782" w:rsidRPr="008A2782" w:rsidRDefault="008A2782" w:rsidP="008A2782">
            <w:pPr>
              <w:pStyle w:val="Tabletext"/>
              <w:tabs>
                <w:tab w:val="clear" w:pos="284"/>
                <w:tab w:val="clear" w:pos="567"/>
                <w:tab w:val="left" w:pos="572"/>
                <w:tab w:val="left" w:pos="627"/>
              </w:tabs>
              <w:spacing w:after="0"/>
              <w:ind w:left="430" w:hanging="373"/>
              <w:rPr>
                <w:rFonts w:eastAsiaTheme="minorEastAsia" w:cs="Calibri"/>
                <w:szCs w:val="22"/>
                <w:lang w:val="en-US" w:eastAsia="zh-CN"/>
              </w:rPr>
            </w:pPr>
          </w:p>
          <w:p w14:paraId="273145FF" w14:textId="77777777" w:rsidR="008A2782" w:rsidRPr="00A57F24" w:rsidRDefault="008A2782" w:rsidP="008A2782">
            <w:pPr>
              <w:pStyle w:val="Tabletext"/>
              <w:ind w:left="283" w:hanging="283"/>
              <w:rPr>
                <w:rFonts w:cstheme="minorHAnsi"/>
                <w:szCs w:val="22"/>
                <w:lang w:eastAsia="zh-CN"/>
              </w:rPr>
            </w:pPr>
            <w:r w:rsidRPr="00A57F24">
              <w:rPr>
                <w:b/>
                <w:bCs/>
                <w:szCs w:val="22"/>
                <w:lang w:val="zh-CN" w:eastAsia="zh-CN"/>
              </w:rPr>
              <w:t>抄送：</w:t>
            </w:r>
          </w:p>
          <w:p w14:paraId="7B8DA041" w14:textId="77777777" w:rsidR="008A2782" w:rsidRPr="00331336" w:rsidRDefault="008A2782" w:rsidP="008A2782">
            <w:pPr>
              <w:pStyle w:val="Tabletext"/>
              <w:tabs>
                <w:tab w:val="clear" w:pos="284"/>
                <w:tab w:val="left" w:pos="627"/>
              </w:tabs>
              <w:spacing w:after="0"/>
              <w:ind w:left="430" w:hanging="373"/>
              <w:rPr>
                <w:rFonts w:cs="Calibri"/>
                <w:szCs w:val="22"/>
                <w:lang w:eastAsia="zh-CN"/>
              </w:rPr>
            </w:pPr>
            <w:r w:rsidRPr="002C0D7E">
              <w:rPr>
                <w:rFonts w:cs="Calibri"/>
                <w:szCs w:val="22"/>
                <w:lang w:eastAsia="zh-CN"/>
              </w:rPr>
              <w:t>-</w:t>
            </w:r>
            <w:r w:rsidRPr="002C0D7E">
              <w:rPr>
                <w:rFonts w:cs="Calibri"/>
                <w:szCs w:val="22"/>
                <w:lang w:eastAsia="zh-CN"/>
              </w:rPr>
              <w:tab/>
            </w:r>
            <w:r>
              <w:rPr>
                <w:color w:val="000000"/>
                <w:szCs w:val="22"/>
                <w:lang w:val="zh-CN" w:eastAsia="zh-CN"/>
              </w:rPr>
              <w:t>ITU-T</w:t>
            </w:r>
            <w:r>
              <w:rPr>
                <w:color w:val="000000"/>
                <w:szCs w:val="22"/>
                <w:lang w:val="zh-CN" w:eastAsia="zh-CN"/>
              </w:rPr>
              <w:t>各研究组的正副主席；</w:t>
            </w:r>
          </w:p>
          <w:p w14:paraId="0349DEB8" w14:textId="77777777" w:rsidR="008A2782" w:rsidRPr="00331336" w:rsidRDefault="008A2782" w:rsidP="008A2782">
            <w:pPr>
              <w:pStyle w:val="Tabletext"/>
              <w:tabs>
                <w:tab w:val="clear" w:pos="284"/>
                <w:tab w:val="left" w:pos="627"/>
              </w:tabs>
              <w:spacing w:after="0"/>
              <w:ind w:left="430" w:hanging="373"/>
              <w:rPr>
                <w:rFonts w:cs="Calibri"/>
                <w:szCs w:val="22"/>
                <w:lang w:eastAsia="zh-CN"/>
              </w:rPr>
            </w:pPr>
            <w:r w:rsidRPr="002C0D7E">
              <w:rPr>
                <w:rFonts w:cs="Calibri"/>
                <w:szCs w:val="22"/>
                <w:lang w:eastAsia="zh-CN"/>
              </w:rPr>
              <w:t>-</w:t>
            </w:r>
            <w:r w:rsidRPr="002C0D7E">
              <w:rPr>
                <w:rFonts w:cs="Calibri"/>
                <w:szCs w:val="22"/>
                <w:lang w:eastAsia="zh-CN"/>
              </w:rPr>
              <w:tab/>
            </w:r>
            <w:r>
              <w:rPr>
                <w:color w:val="000000"/>
                <w:szCs w:val="22"/>
                <w:lang w:val="zh-CN" w:eastAsia="zh-CN"/>
              </w:rPr>
              <w:t>电信发展局主任；</w:t>
            </w:r>
          </w:p>
          <w:p w14:paraId="17587AEF" w14:textId="77777777" w:rsidR="008A2782" w:rsidRDefault="008A2782" w:rsidP="008A2782">
            <w:pPr>
              <w:pStyle w:val="Tabletext"/>
              <w:tabs>
                <w:tab w:val="clear" w:pos="284"/>
                <w:tab w:val="left" w:pos="627"/>
              </w:tabs>
              <w:spacing w:after="0"/>
              <w:ind w:left="430" w:hanging="373"/>
              <w:rPr>
                <w:color w:val="000000"/>
                <w:szCs w:val="22"/>
                <w:lang w:val="fr-CH" w:eastAsia="zh-CN"/>
              </w:rPr>
            </w:pPr>
            <w:r w:rsidRPr="002C0D7E">
              <w:rPr>
                <w:rFonts w:cs="Calibri"/>
                <w:szCs w:val="22"/>
                <w:lang w:eastAsia="zh-CN"/>
              </w:rPr>
              <w:t>-</w:t>
            </w:r>
            <w:r w:rsidRPr="002C0D7E">
              <w:rPr>
                <w:rFonts w:cs="Calibri"/>
                <w:szCs w:val="22"/>
                <w:lang w:eastAsia="zh-CN"/>
              </w:rPr>
              <w:tab/>
            </w:r>
            <w:r w:rsidRPr="00616DF8">
              <w:rPr>
                <w:color w:val="000000"/>
                <w:szCs w:val="22"/>
                <w:lang w:val="zh-CN" w:eastAsia="zh-CN"/>
              </w:rPr>
              <w:t>无线电通信</w:t>
            </w:r>
            <w:r>
              <w:rPr>
                <w:color w:val="000000"/>
                <w:szCs w:val="22"/>
                <w:lang w:val="zh-CN" w:eastAsia="zh-CN"/>
              </w:rPr>
              <w:t>局主任。</w:t>
            </w:r>
          </w:p>
          <w:p w14:paraId="33CA4446" w14:textId="517305E2" w:rsidR="00D46C8B" w:rsidRPr="00D46C8B" w:rsidRDefault="00D46C8B" w:rsidP="008A2782">
            <w:pPr>
              <w:pStyle w:val="Tabletext"/>
              <w:tabs>
                <w:tab w:val="clear" w:pos="284"/>
                <w:tab w:val="left" w:pos="627"/>
              </w:tabs>
              <w:spacing w:after="0"/>
              <w:ind w:left="430" w:hanging="373"/>
              <w:rPr>
                <w:rFonts w:cs="Calibri"/>
                <w:szCs w:val="22"/>
                <w:lang w:val="fr-CH" w:eastAsia="zh-CN"/>
              </w:rPr>
            </w:pPr>
          </w:p>
        </w:tc>
      </w:tr>
      <w:bookmarkEnd w:id="0"/>
      <w:tr w:rsidR="008A2782" w:rsidRPr="003D69B8" w14:paraId="2419CB4B" w14:textId="77777777" w:rsidTr="00666DD6">
        <w:trPr>
          <w:cantSplit/>
          <w:trHeight w:val="221"/>
        </w:trPr>
        <w:tc>
          <w:tcPr>
            <w:tcW w:w="1134" w:type="dxa"/>
          </w:tcPr>
          <w:p w14:paraId="22993216" w14:textId="6F40941A" w:rsidR="008A2782" w:rsidRPr="003D69B8" w:rsidRDefault="008A2782" w:rsidP="008A2782">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7E3F96F6" w:rsidR="008A2782" w:rsidRPr="00983374" w:rsidRDefault="008A2782" w:rsidP="008A2782">
            <w:pPr>
              <w:pStyle w:val="Tabletext"/>
              <w:ind w:firstLine="23"/>
              <w:rPr>
                <w:lang w:eastAsia="zh-CN"/>
              </w:rPr>
            </w:pPr>
            <w:r>
              <w:rPr>
                <w:color w:val="000000"/>
                <w:szCs w:val="22"/>
                <w:lang w:val="zh-CN"/>
              </w:rPr>
              <w:t>+41 22 730 6465</w:t>
            </w:r>
          </w:p>
        </w:tc>
        <w:tc>
          <w:tcPr>
            <w:tcW w:w="5245" w:type="dxa"/>
            <w:gridSpan w:val="2"/>
            <w:vMerge/>
          </w:tcPr>
          <w:p w14:paraId="65590B77" w14:textId="77777777" w:rsidR="008A2782" w:rsidRPr="003D69B8" w:rsidRDefault="008A2782" w:rsidP="008A2782">
            <w:pPr>
              <w:pStyle w:val="Tabletext"/>
              <w:ind w:left="283" w:hanging="283"/>
              <w:rPr>
                <w:rFonts w:cstheme="minorHAnsi"/>
                <w:szCs w:val="22"/>
              </w:rPr>
            </w:pPr>
          </w:p>
        </w:tc>
      </w:tr>
      <w:tr w:rsidR="008A2782" w:rsidRPr="003D69B8" w14:paraId="029CC34E" w14:textId="77777777" w:rsidTr="00666DD6">
        <w:trPr>
          <w:cantSplit/>
          <w:trHeight w:val="282"/>
        </w:trPr>
        <w:tc>
          <w:tcPr>
            <w:tcW w:w="1134" w:type="dxa"/>
          </w:tcPr>
          <w:p w14:paraId="0C98C7C7" w14:textId="3C6543B7" w:rsidR="008A2782" w:rsidRPr="003D69B8" w:rsidRDefault="008A2782" w:rsidP="008A2782">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5C15401A" w:rsidR="008A2782" w:rsidRPr="003D69B8" w:rsidRDefault="008A2782" w:rsidP="008A2782">
            <w:pPr>
              <w:pStyle w:val="Tabletext"/>
              <w:ind w:firstLine="23"/>
              <w:rPr>
                <w:rFonts w:cstheme="minorHAnsi"/>
                <w:b/>
                <w:szCs w:val="22"/>
              </w:rPr>
            </w:pPr>
            <w:r>
              <w:rPr>
                <w:color w:val="000000"/>
                <w:szCs w:val="22"/>
                <w:lang w:val="zh-CN"/>
              </w:rPr>
              <w:t>+41 22 730 5853</w:t>
            </w:r>
          </w:p>
        </w:tc>
        <w:tc>
          <w:tcPr>
            <w:tcW w:w="5245" w:type="dxa"/>
            <w:gridSpan w:val="2"/>
            <w:vMerge/>
          </w:tcPr>
          <w:p w14:paraId="71C3E107" w14:textId="77777777" w:rsidR="008A2782" w:rsidRPr="003D69B8" w:rsidRDefault="008A2782" w:rsidP="008A2782">
            <w:pPr>
              <w:pStyle w:val="Tabletext"/>
              <w:ind w:left="283" w:hanging="283"/>
              <w:rPr>
                <w:rFonts w:cstheme="minorHAnsi"/>
                <w:szCs w:val="22"/>
              </w:rPr>
            </w:pPr>
          </w:p>
        </w:tc>
      </w:tr>
      <w:tr w:rsidR="008A2782" w:rsidRPr="003D69B8" w14:paraId="23974B66" w14:textId="77777777" w:rsidTr="00666DD6">
        <w:trPr>
          <w:cantSplit/>
          <w:trHeight w:val="376"/>
        </w:trPr>
        <w:tc>
          <w:tcPr>
            <w:tcW w:w="1134" w:type="dxa"/>
          </w:tcPr>
          <w:p w14:paraId="52FD4141" w14:textId="6134BBA6" w:rsidR="008A2782" w:rsidRPr="003D69B8" w:rsidRDefault="008A2782" w:rsidP="008A2782">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64C7B7FA" w:rsidR="008A2782" w:rsidRPr="003D69B8" w:rsidRDefault="008A2782" w:rsidP="008A2782">
            <w:pPr>
              <w:pStyle w:val="Tabletext"/>
              <w:ind w:firstLine="23"/>
              <w:rPr>
                <w:rFonts w:cstheme="minorHAnsi"/>
                <w:szCs w:val="22"/>
              </w:rPr>
            </w:pPr>
            <w:hyperlink r:id="rId12" w:history="1">
              <w:r w:rsidRPr="000721DE">
                <w:rPr>
                  <w:rStyle w:val="Hyperlink"/>
                  <w:szCs w:val="18"/>
                </w:rPr>
                <w:t>tsbfg</w:t>
              </w:r>
              <w:r w:rsidRPr="000721DE">
                <w:rPr>
                  <w:rStyle w:val="Hyperlink"/>
                  <w:szCs w:val="18"/>
                  <w:lang w:eastAsia="zh-CN"/>
                </w:rPr>
                <w:t>ai4ssc</w:t>
              </w:r>
              <w:r w:rsidRPr="000721DE">
                <w:rPr>
                  <w:rStyle w:val="Hyperlink"/>
                  <w:szCs w:val="18"/>
                </w:rPr>
                <w:t>@itu.int</w:t>
              </w:r>
            </w:hyperlink>
            <w:r w:rsidRPr="000721DE">
              <w:rPr>
                <w:szCs w:val="18"/>
              </w:rPr>
              <w:t xml:space="preserve"> </w:t>
            </w:r>
          </w:p>
        </w:tc>
        <w:tc>
          <w:tcPr>
            <w:tcW w:w="5245" w:type="dxa"/>
            <w:gridSpan w:val="2"/>
            <w:vMerge/>
          </w:tcPr>
          <w:p w14:paraId="6FEAF3C9" w14:textId="77777777" w:rsidR="008A2782" w:rsidRPr="003D69B8" w:rsidRDefault="008A2782" w:rsidP="008A2782">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00AD586F" w:rsidR="00951309" w:rsidRPr="005F1929" w:rsidRDefault="008A2782" w:rsidP="00FA0A8E">
            <w:pPr>
              <w:pStyle w:val="Tabletext"/>
              <w:spacing w:before="120" w:after="0"/>
              <w:ind w:firstLine="37"/>
              <w:rPr>
                <w:rFonts w:cstheme="minorHAnsi"/>
                <w:b/>
                <w:bCs/>
                <w:szCs w:val="22"/>
                <w:lang w:eastAsia="zh-CN"/>
              </w:rPr>
            </w:pPr>
            <w:r>
              <w:rPr>
                <w:b/>
                <w:bCs/>
                <w:color w:val="000000"/>
                <w:szCs w:val="22"/>
                <w:lang w:val="zh-CN" w:eastAsia="zh-CN"/>
              </w:rPr>
              <w:t>人工智能和城市元宇宙论坛：为可互操作和</w:t>
            </w:r>
            <w:proofErr w:type="gramStart"/>
            <w:r>
              <w:rPr>
                <w:b/>
                <w:bCs/>
                <w:color w:val="000000"/>
                <w:szCs w:val="22"/>
                <w:lang w:val="zh-CN" w:eastAsia="zh-CN"/>
              </w:rPr>
              <w:t>可</w:t>
            </w:r>
            <w:proofErr w:type="gramEnd"/>
            <w:r>
              <w:rPr>
                <w:b/>
                <w:bCs/>
                <w:color w:val="000000"/>
                <w:szCs w:val="22"/>
                <w:lang w:val="zh-CN" w:eastAsia="zh-CN"/>
              </w:rPr>
              <w:t>扩展的城市创新奠定基础</w:t>
            </w:r>
            <w:r>
              <w:rPr>
                <w:b/>
                <w:bCs/>
                <w:color w:val="000000"/>
                <w:szCs w:val="22"/>
                <w:lang w:val="en-US" w:eastAsia="zh-CN"/>
              </w:rPr>
              <w:br/>
            </w:r>
            <w:r>
              <w:rPr>
                <w:b/>
                <w:bCs/>
                <w:color w:val="000000"/>
                <w:szCs w:val="22"/>
                <w:lang w:val="zh-CN" w:eastAsia="zh-CN"/>
              </w:rPr>
              <w:t>（</w:t>
            </w:r>
            <w:r>
              <w:rPr>
                <w:b/>
                <w:bCs/>
                <w:color w:val="000000"/>
                <w:szCs w:val="22"/>
                <w:lang w:val="zh-CN" w:eastAsia="zh-CN"/>
              </w:rPr>
              <w:t>2026</w:t>
            </w:r>
            <w:r>
              <w:rPr>
                <w:b/>
                <w:bCs/>
                <w:color w:val="000000"/>
                <w:szCs w:val="22"/>
                <w:lang w:val="zh-CN" w:eastAsia="zh-CN"/>
              </w:rPr>
              <w:t>年</w:t>
            </w:r>
            <w:r>
              <w:rPr>
                <w:b/>
                <w:bCs/>
                <w:color w:val="000000"/>
                <w:szCs w:val="22"/>
                <w:lang w:val="zh-CN" w:eastAsia="zh-CN"/>
              </w:rPr>
              <w:t>9</w:t>
            </w:r>
            <w:r>
              <w:rPr>
                <w:b/>
                <w:bCs/>
                <w:color w:val="000000"/>
                <w:szCs w:val="22"/>
                <w:lang w:val="zh-CN" w:eastAsia="zh-CN"/>
              </w:rPr>
              <w:t>月</w:t>
            </w:r>
            <w:r>
              <w:rPr>
                <w:b/>
                <w:bCs/>
                <w:color w:val="000000"/>
                <w:szCs w:val="22"/>
                <w:lang w:val="zh-CN" w:eastAsia="zh-CN"/>
              </w:rPr>
              <w:t>9</w:t>
            </w:r>
            <w:r>
              <w:rPr>
                <w:rFonts w:hint="eastAsia"/>
                <w:b/>
                <w:bCs/>
                <w:color w:val="000000"/>
                <w:szCs w:val="22"/>
                <w:lang w:val="zh-CN" w:eastAsia="zh-CN"/>
              </w:rPr>
              <w:t>日</w:t>
            </w:r>
            <w:r>
              <w:rPr>
                <w:b/>
                <w:bCs/>
                <w:color w:val="000000"/>
                <w:szCs w:val="22"/>
                <w:lang w:val="zh-CN" w:eastAsia="zh-CN"/>
              </w:rPr>
              <w:t>和</w:t>
            </w:r>
            <w:r>
              <w:rPr>
                <w:b/>
                <w:bCs/>
                <w:color w:val="000000"/>
                <w:szCs w:val="22"/>
                <w:lang w:val="zh-CN" w:eastAsia="zh-CN"/>
              </w:rPr>
              <w:t>10</w:t>
            </w:r>
            <w:r>
              <w:rPr>
                <w:b/>
                <w:bCs/>
                <w:color w:val="000000"/>
                <w:szCs w:val="22"/>
                <w:lang w:val="zh-CN" w:eastAsia="zh-CN"/>
              </w:rPr>
              <w:t>日，芬兰坦佩雷）</w:t>
            </w:r>
          </w:p>
        </w:tc>
      </w:tr>
    </w:tbl>
    <w:p w14:paraId="77290EF7" w14:textId="77777777"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4FF9CE68" w14:textId="77777777" w:rsidR="008A2782" w:rsidRPr="00331336" w:rsidRDefault="008A2782" w:rsidP="008A2782">
      <w:pPr>
        <w:rPr>
          <w:rFonts w:cs="Calibri"/>
          <w:szCs w:val="22"/>
          <w:lang w:eastAsia="zh-CN"/>
        </w:rPr>
      </w:pPr>
      <w:r>
        <w:rPr>
          <w:szCs w:val="22"/>
          <w:lang w:val="zh-CN" w:eastAsia="zh-CN"/>
        </w:rPr>
        <w:t>1</w:t>
      </w:r>
      <w:r>
        <w:rPr>
          <w:szCs w:val="22"/>
          <w:lang w:val="zh-CN" w:eastAsia="zh-CN"/>
        </w:rPr>
        <w:tab/>
      </w:r>
      <w:r>
        <w:rPr>
          <w:szCs w:val="22"/>
          <w:lang w:val="zh-CN" w:eastAsia="zh-CN"/>
        </w:rPr>
        <w:t>我高兴地通知您，国际电信联盟（</w:t>
      </w:r>
      <w:r>
        <w:rPr>
          <w:szCs w:val="22"/>
          <w:lang w:val="zh-CN" w:eastAsia="zh-CN"/>
        </w:rPr>
        <w:t>ITU</w:t>
      </w:r>
      <w:r>
        <w:rPr>
          <w:szCs w:val="22"/>
          <w:lang w:val="zh-CN" w:eastAsia="zh-CN"/>
        </w:rPr>
        <w:t>）、联合国人居署（</w:t>
      </w:r>
      <w:r>
        <w:rPr>
          <w:szCs w:val="22"/>
          <w:lang w:val="zh-CN" w:eastAsia="zh-CN"/>
        </w:rPr>
        <w:t>UN-Habitat</w:t>
      </w:r>
      <w:r>
        <w:rPr>
          <w:szCs w:val="22"/>
          <w:lang w:val="zh-CN" w:eastAsia="zh-CN"/>
        </w:rPr>
        <w:t>）和坦佩雷市将于</w:t>
      </w:r>
      <w:r>
        <w:rPr>
          <w:szCs w:val="22"/>
          <w:lang w:val="zh-CN" w:eastAsia="zh-CN"/>
        </w:rPr>
        <w:t>2026</w:t>
      </w:r>
      <w:r>
        <w:rPr>
          <w:szCs w:val="22"/>
          <w:lang w:val="zh-CN" w:eastAsia="zh-CN"/>
        </w:rPr>
        <w:t>年</w:t>
      </w:r>
      <w:r>
        <w:rPr>
          <w:szCs w:val="22"/>
          <w:lang w:val="zh-CN" w:eastAsia="zh-CN"/>
        </w:rPr>
        <w:t>9</w:t>
      </w:r>
      <w:r>
        <w:rPr>
          <w:szCs w:val="22"/>
          <w:lang w:val="zh-CN" w:eastAsia="zh-CN"/>
        </w:rPr>
        <w:t>月</w:t>
      </w:r>
      <w:r>
        <w:rPr>
          <w:szCs w:val="22"/>
          <w:lang w:val="zh-CN" w:eastAsia="zh-CN"/>
        </w:rPr>
        <w:t>9</w:t>
      </w:r>
      <w:r>
        <w:rPr>
          <w:szCs w:val="22"/>
          <w:lang w:val="zh-CN" w:eastAsia="zh-CN"/>
        </w:rPr>
        <w:t>日至</w:t>
      </w:r>
      <w:r>
        <w:rPr>
          <w:szCs w:val="22"/>
          <w:lang w:val="zh-CN" w:eastAsia="zh-CN"/>
        </w:rPr>
        <w:t>10</w:t>
      </w:r>
      <w:r>
        <w:rPr>
          <w:szCs w:val="22"/>
          <w:lang w:val="zh-CN" w:eastAsia="zh-CN"/>
        </w:rPr>
        <w:t>日在芬兰坦佩雷举办</w:t>
      </w:r>
      <w:r>
        <w:rPr>
          <w:rFonts w:hint="eastAsia"/>
          <w:szCs w:val="22"/>
          <w:lang w:val="zh-CN" w:eastAsia="zh-CN"/>
        </w:rPr>
        <w:t>“</w:t>
      </w:r>
      <w:r w:rsidRPr="0006127B">
        <w:rPr>
          <w:b/>
          <w:bCs/>
          <w:szCs w:val="22"/>
          <w:lang w:val="zh-CN" w:eastAsia="zh-CN"/>
        </w:rPr>
        <w:t>人工智能和城市元宇宙论坛：为可互操作和</w:t>
      </w:r>
      <w:proofErr w:type="gramStart"/>
      <w:r w:rsidRPr="0006127B">
        <w:rPr>
          <w:b/>
          <w:bCs/>
          <w:szCs w:val="22"/>
          <w:lang w:val="zh-CN" w:eastAsia="zh-CN"/>
        </w:rPr>
        <w:t>可</w:t>
      </w:r>
      <w:proofErr w:type="gramEnd"/>
      <w:r w:rsidRPr="0006127B">
        <w:rPr>
          <w:b/>
          <w:bCs/>
          <w:szCs w:val="22"/>
          <w:lang w:val="zh-CN" w:eastAsia="zh-CN"/>
        </w:rPr>
        <w:t>扩展的城市创新奠定基础</w:t>
      </w:r>
      <w:r>
        <w:rPr>
          <w:rFonts w:hint="eastAsia"/>
          <w:szCs w:val="22"/>
          <w:lang w:val="zh-CN" w:eastAsia="zh-CN"/>
        </w:rPr>
        <w:t>”</w:t>
      </w:r>
      <w:r>
        <w:rPr>
          <w:szCs w:val="22"/>
          <w:lang w:val="zh-CN" w:eastAsia="zh-CN"/>
        </w:rPr>
        <w:t>。</w:t>
      </w:r>
      <w:r>
        <w:rPr>
          <w:rFonts w:hint="eastAsia"/>
          <w:szCs w:val="22"/>
          <w:lang w:val="zh-CN" w:eastAsia="zh-CN"/>
        </w:rPr>
        <w:t>此</w:t>
      </w:r>
      <w:r>
        <w:rPr>
          <w:szCs w:val="22"/>
          <w:lang w:val="zh-CN" w:eastAsia="zh-CN"/>
        </w:rPr>
        <w:t>论坛将是一</w:t>
      </w:r>
      <w:r>
        <w:rPr>
          <w:rFonts w:hint="eastAsia"/>
          <w:szCs w:val="22"/>
          <w:lang w:val="zh-CN" w:eastAsia="zh-CN"/>
        </w:rPr>
        <w:t>场</w:t>
      </w:r>
      <w:r>
        <w:rPr>
          <w:szCs w:val="22"/>
          <w:lang w:val="zh-CN" w:eastAsia="zh-CN"/>
        </w:rPr>
        <w:t>可远程参与的实体活动，由坦佩雷市主办。</w:t>
      </w:r>
    </w:p>
    <w:p w14:paraId="3D705BF3" w14:textId="1CBB3FD6" w:rsidR="008A2782" w:rsidRPr="00331336" w:rsidRDefault="008A2782" w:rsidP="008A2782">
      <w:pPr>
        <w:tabs>
          <w:tab w:val="left" w:pos="709"/>
        </w:tabs>
        <w:rPr>
          <w:rFonts w:cstheme="minorHAnsi"/>
          <w:szCs w:val="22"/>
          <w:lang w:eastAsia="zh-CN"/>
        </w:rPr>
      </w:pPr>
      <w:r>
        <w:rPr>
          <w:szCs w:val="22"/>
          <w:lang w:val="zh-CN" w:eastAsia="zh-CN"/>
        </w:rPr>
        <w:t>2</w:t>
      </w:r>
      <w:r>
        <w:rPr>
          <w:szCs w:val="22"/>
          <w:lang w:val="zh-CN" w:eastAsia="zh-CN"/>
        </w:rPr>
        <w:tab/>
      </w:r>
      <w:r>
        <w:rPr>
          <w:szCs w:val="22"/>
          <w:lang w:val="zh-CN" w:eastAsia="zh-CN"/>
        </w:rPr>
        <w:t>论坛</w:t>
      </w:r>
      <w:r>
        <w:rPr>
          <w:rFonts w:hint="eastAsia"/>
          <w:szCs w:val="22"/>
          <w:lang w:val="zh-CN" w:eastAsia="zh-CN"/>
        </w:rPr>
        <w:t>结束</w:t>
      </w:r>
      <w:r>
        <w:rPr>
          <w:szCs w:val="22"/>
          <w:lang w:val="zh-CN" w:eastAsia="zh-CN"/>
        </w:rPr>
        <w:t>后，</w:t>
      </w:r>
      <w:hyperlink r:id="rId13" w:history="1">
        <w:r w:rsidRPr="008A2782">
          <w:rPr>
            <w:rStyle w:val="Hyperlink"/>
            <w:szCs w:val="22"/>
            <w:lang w:val="zh-CN" w:eastAsia="zh-CN"/>
          </w:rPr>
          <w:t>ITU-T</w:t>
        </w:r>
        <w:r w:rsidRPr="008A2782">
          <w:rPr>
            <w:rStyle w:val="Hyperlink"/>
            <w:szCs w:val="22"/>
            <w:lang w:val="zh-CN" w:eastAsia="zh-CN"/>
          </w:rPr>
          <w:t>人工智能促进可持续智慧城市和社区焦点组（</w:t>
        </w:r>
        <w:r w:rsidRPr="008A2782">
          <w:rPr>
            <w:rStyle w:val="Hyperlink"/>
            <w:szCs w:val="22"/>
            <w:lang w:val="zh-CN" w:eastAsia="zh-CN"/>
          </w:rPr>
          <w:t>FG-AI4SSC</w:t>
        </w:r>
        <w:r w:rsidRPr="008A2782">
          <w:rPr>
            <w:rStyle w:val="Hyperlink"/>
            <w:szCs w:val="22"/>
            <w:lang w:val="zh-CN" w:eastAsia="zh-CN"/>
          </w:rPr>
          <w:t>）</w:t>
        </w:r>
      </w:hyperlink>
      <w:r>
        <w:rPr>
          <w:szCs w:val="22"/>
          <w:lang w:val="zh-CN" w:eastAsia="zh-CN"/>
        </w:rPr>
        <w:t>第一次会议将于</w:t>
      </w:r>
      <w:r>
        <w:rPr>
          <w:szCs w:val="22"/>
          <w:lang w:val="zh-CN" w:eastAsia="zh-CN"/>
        </w:rPr>
        <w:t>2026</w:t>
      </w:r>
      <w:r>
        <w:rPr>
          <w:szCs w:val="22"/>
          <w:lang w:val="zh-CN" w:eastAsia="zh-CN"/>
        </w:rPr>
        <w:t>年</w:t>
      </w:r>
      <w:r>
        <w:rPr>
          <w:szCs w:val="22"/>
          <w:lang w:val="zh-CN" w:eastAsia="zh-CN"/>
        </w:rPr>
        <w:t>9</w:t>
      </w:r>
      <w:r>
        <w:rPr>
          <w:szCs w:val="22"/>
          <w:lang w:val="zh-CN" w:eastAsia="zh-CN"/>
        </w:rPr>
        <w:t>月</w:t>
      </w:r>
      <w:r>
        <w:rPr>
          <w:szCs w:val="22"/>
          <w:lang w:val="zh-CN" w:eastAsia="zh-CN"/>
        </w:rPr>
        <w:t>10-11</w:t>
      </w:r>
      <w:r>
        <w:rPr>
          <w:szCs w:val="22"/>
          <w:lang w:val="zh-CN" w:eastAsia="zh-CN"/>
        </w:rPr>
        <w:t>日在同一地点举行。详情见</w:t>
      </w:r>
      <w:r>
        <w:fldChar w:fldCharType="begin"/>
      </w:r>
      <w:r>
        <w:rPr>
          <w:lang w:eastAsia="zh-CN"/>
        </w:rPr>
        <w:instrText>HYPERLINK "https://www.itu.int/md/T25-TSB-CIR-0147"</w:instrText>
      </w:r>
      <w:r>
        <w:fldChar w:fldCharType="separate"/>
      </w:r>
      <w:r w:rsidRPr="008A2782">
        <w:rPr>
          <w:rStyle w:val="Hyperlink"/>
          <w:szCs w:val="22"/>
          <w:lang w:val="zh-CN" w:eastAsia="zh-CN"/>
        </w:rPr>
        <w:t>电信标准化局第</w:t>
      </w:r>
      <w:r w:rsidRPr="008A2782">
        <w:rPr>
          <w:rStyle w:val="Hyperlink"/>
          <w:szCs w:val="22"/>
          <w:lang w:val="zh-CN" w:eastAsia="zh-CN"/>
        </w:rPr>
        <w:t>147</w:t>
      </w:r>
      <w:r w:rsidRPr="008A2782">
        <w:rPr>
          <w:rStyle w:val="Hyperlink"/>
          <w:szCs w:val="22"/>
          <w:lang w:val="zh-CN" w:eastAsia="zh-CN"/>
        </w:rPr>
        <w:t>号通函</w:t>
      </w:r>
      <w:r>
        <w:fldChar w:fldCharType="end"/>
      </w:r>
      <w:r>
        <w:rPr>
          <w:szCs w:val="22"/>
          <w:lang w:val="zh-CN" w:eastAsia="zh-CN"/>
        </w:rPr>
        <w:t>。</w:t>
      </w:r>
      <w:r>
        <w:fldChar w:fldCharType="begin"/>
      </w:r>
      <w:r>
        <w:rPr>
          <w:lang w:eastAsia="zh-CN"/>
        </w:rPr>
        <w:instrText>HYPERLINK "https://itu.int/go/ai4ssc"</w:instrText>
      </w:r>
      <w:r>
        <w:fldChar w:fldCharType="separate"/>
      </w:r>
      <w:r>
        <w:fldChar w:fldCharType="end"/>
      </w:r>
      <w:r>
        <w:fldChar w:fldCharType="begin"/>
      </w:r>
      <w:r>
        <w:rPr>
          <w:lang w:eastAsia="zh-CN"/>
        </w:rPr>
        <w:instrText>HYPERLINK "https://www.itu.int/md/T25-TSB-CIR-0147"</w:instrText>
      </w:r>
      <w:r>
        <w:fldChar w:fldCharType="separate"/>
      </w:r>
      <w:r>
        <w:fldChar w:fldCharType="end"/>
      </w:r>
    </w:p>
    <w:p w14:paraId="1A844FE6" w14:textId="77777777" w:rsidR="008A2782" w:rsidRPr="00331336" w:rsidRDefault="008A2782" w:rsidP="008A2782">
      <w:pPr>
        <w:keepNext/>
        <w:rPr>
          <w:rFonts w:cs="Calibri"/>
          <w:szCs w:val="22"/>
          <w:lang w:eastAsia="zh-CN"/>
        </w:rPr>
      </w:pPr>
      <w:r>
        <w:rPr>
          <w:szCs w:val="22"/>
          <w:lang w:val="zh-CN" w:eastAsia="zh-CN"/>
        </w:rPr>
        <w:t>3</w:t>
      </w:r>
      <w:r>
        <w:rPr>
          <w:szCs w:val="22"/>
          <w:lang w:val="zh-CN" w:eastAsia="zh-CN"/>
        </w:rPr>
        <w:tab/>
      </w:r>
      <w:r>
        <w:rPr>
          <w:rFonts w:hint="eastAsia"/>
          <w:szCs w:val="22"/>
          <w:lang w:val="zh-CN" w:eastAsia="zh-CN"/>
        </w:rPr>
        <w:t>本次</w:t>
      </w:r>
      <w:r>
        <w:rPr>
          <w:szCs w:val="22"/>
          <w:lang w:val="zh-CN" w:eastAsia="zh-CN"/>
        </w:rPr>
        <w:t>论坛</w:t>
      </w:r>
      <w:r>
        <w:rPr>
          <w:rFonts w:hint="eastAsia"/>
          <w:szCs w:val="22"/>
          <w:lang w:val="zh-CN" w:eastAsia="zh-CN"/>
        </w:rPr>
        <w:t>旨在</w:t>
      </w:r>
      <w:r>
        <w:rPr>
          <w:szCs w:val="22"/>
          <w:lang w:val="zh-CN" w:eastAsia="zh-CN"/>
        </w:rPr>
        <w:t>：</w:t>
      </w:r>
    </w:p>
    <w:p w14:paraId="60F9DD21" w14:textId="77777777" w:rsidR="008A2782" w:rsidRPr="00331336" w:rsidRDefault="008A2782" w:rsidP="008A2782">
      <w:pPr>
        <w:numPr>
          <w:ilvl w:val="0"/>
          <w:numId w:val="27"/>
        </w:numPr>
        <w:tabs>
          <w:tab w:val="clear" w:pos="794"/>
          <w:tab w:val="clear" w:pos="1191"/>
          <w:tab w:val="clear" w:pos="1588"/>
          <w:tab w:val="clear" w:pos="1985"/>
        </w:tabs>
        <w:spacing w:after="120" w:line="280" w:lineRule="exact"/>
        <w:ind w:left="826" w:hanging="826"/>
        <w:jc w:val="both"/>
        <w:rPr>
          <w:lang w:eastAsia="zh-CN"/>
        </w:rPr>
      </w:pPr>
      <w:r>
        <w:rPr>
          <w:lang w:val="zh-CN" w:eastAsia="zh-CN"/>
        </w:rPr>
        <w:t>探索与人工智能促进可持续智慧城市和社区相关的新趋势、机遇和挑战；</w:t>
      </w:r>
    </w:p>
    <w:p w14:paraId="6CA52C21" w14:textId="77777777" w:rsidR="008A2782" w:rsidRPr="00331336" w:rsidRDefault="008A2782" w:rsidP="008A2782">
      <w:pPr>
        <w:numPr>
          <w:ilvl w:val="0"/>
          <w:numId w:val="27"/>
        </w:numPr>
        <w:tabs>
          <w:tab w:val="clear" w:pos="794"/>
          <w:tab w:val="clear" w:pos="1191"/>
          <w:tab w:val="clear" w:pos="1588"/>
          <w:tab w:val="clear" w:pos="1985"/>
        </w:tabs>
        <w:spacing w:after="120" w:line="280" w:lineRule="exact"/>
        <w:ind w:left="826" w:hanging="826"/>
        <w:jc w:val="both"/>
        <w:rPr>
          <w:lang w:eastAsia="zh-CN"/>
        </w:rPr>
      </w:pPr>
      <w:r>
        <w:rPr>
          <w:lang w:val="zh-CN" w:eastAsia="zh-CN"/>
        </w:rPr>
        <w:t>分享关于采用和整合人工智能赋能的城市系统和服务</w:t>
      </w:r>
      <w:r>
        <w:rPr>
          <w:rFonts w:hint="eastAsia"/>
          <w:lang w:val="zh-CN" w:eastAsia="zh-CN"/>
        </w:rPr>
        <w:t>方面</w:t>
      </w:r>
      <w:r>
        <w:rPr>
          <w:lang w:val="zh-CN" w:eastAsia="zh-CN"/>
        </w:rPr>
        <w:t>的经验、最佳做法和用例；</w:t>
      </w:r>
    </w:p>
    <w:p w14:paraId="179AD278" w14:textId="77777777" w:rsidR="008A2782" w:rsidRPr="00331336" w:rsidRDefault="008A2782" w:rsidP="008A2782">
      <w:pPr>
        <w:numPr>
          <w:ilvl w:val="0"/>
          <w:numId w:val="27"/>
        </w:numPr>
        <w:tabs>
          <w:tab w:val="clear" w:pos="794"/>
          <w:tab w:val="clear" w:pos="1191"/>
          <w:tab w:val="clear" w:pos="1588"/>
          <w:tab w:val="clear" w:pos="1985"/>
        </w:tabs>
        <w:spacing w:after="120" w:line="280" w:lineRule="exact"/>
        <w:ind w:left="826" w:hanging="826"/>
        <w:jc w:val="both"/>
        <w:rPr>
          <w:lang w:eastAsia="zh-CN"/>
        </w:rPr>
      </w:pPr>
      <w:r>
        <w:rPr>
          <w:lang w:val="zh-CN" w:eastAsia="zh-CN"/>
        </w:rPr>
        <w:t>讨论在城市和社区进行可扩展</w:t>
      </w:r>
      <w:r>
        <w:rPr>
          <w:lang w:val="zh-CN" w:eastAsia="zh-CN"/>
        </w:rPr>
        <w:t>AI</w:t>
      </w:r>
      <w:r>
        <w:rPr>
          <w:lang w:val="zh-CN" w:eastAsia="zh-CN"/>
        </w:rPr>
        <w:t>部署的要求、互操作性方法和</w:t>
      </w:r>
      <w:r>
        <w:rPr>
          <w:rFonts w:hint="eastAsia"/>
          <w:lang w:val="zh-CN" w:eastAsia="zh-CN"/>
        </w:rPr>
        <w:t>支撑</w:t>
      </w:r>
      <w:r>
        <w:rPr>
          <w:lang w:val="zh-CN" w:eastAsia="zh-CN"/>
        </w:rPr>
        <w:t>框架；</w:t>
      </w:r>
    </w:p>
    <w:p w14:paraId="29890F66" w14:textId="77777777" w:rsidR="008A2782" w:rsidRPr="00331336" w:rsidRDefault="008A2782" w:rsidP="008A2782">
      <w:pPr>
        <w:numPr>
          <w:ilvl w:val="0"/>
          <w:numId w:val="27"/>
        </w:numPr>
        <w:tabs>
          <w:tab w:val="clear" w:pos="794"/>
          <w:tab w:val="clear" w:pos="1191"/>
          <w:tab w:val="clear" w:pos="1588"/>
          <w:tab w:val="clear" w:pos="1985"/>
        </w:tabs>
        <w:spacing w:after="120" w:line="280" w:lineRule="exact"/>
        <w:ind w:left="826" w:hanging="826"/>
        <w:jc w:val="both"/>
        <w:rPr>
          <w:lang w:eastAsia="zh-CN"/>
        </w:rPr>
      </w:pPr>
      <w:r>
        <w:rPr>
          <w:lang w:val="zh-CN" w:eastAsia="zh-CN"/>
        </w:rPr>
        <w:t>促进城市、政府、行业、学术界、标准制定组织和国际组织之间的协作；</w:t>
      </w:r>
    </w:p>
    <w:p w14:paraId="0A2092AD" w14:textId="77777777" w:rsidR="008A2782" w:rsidRPr="00331336" w:rsidRDefault="008A2782" w:rsidP="008A2782">
      <w:pPr>
        <w:numPr>
          <w:ilvl w:val="0"/>
          <w:numId w:val="27"/>
        </w:numPr>
        <w:tabs>
          <w:tab w:val="clear" w:pos="794"/>
          <w:tab w:val="clear" w:pos="1191"/>
          <w:tab w:val="clear" w:pos="1588"/>
          <w:tab w:val="clear" w:pos="1985"/>
        </w:tabs>
        <w:spacing w:after="120" w:line="280" w:lineRule="exact"/>
        <w:ind w:left="826" w:hanging="826"/>
        <w:jc w:val="both"/>
        <w:rPr>
          <w:lang w:eastAsia="zh-CN"/>
        </w:rPr>
      </w:pPr>
      <w:r>
        <w:rPr>
          <w:rFonts w:hint="eastAsia"/>
          <w:lang w:val="zh-CN" w:eastAsia="zh-CN"/>
        </w:rPr>
        <w:t>介绍</w:t>
      </w:r>
      <w:r>
        <w:rPr>
          <w:lang w:val="zh-CN" w:eastAsia="zh-CN"/>
        </w:rPr>
        <w:t>新成立的</w:t>
      </w:r>
      <w:r>
        <w:rPr>
          <w:lang w:val="zh-CN" w:eastAsia="zh-CN"/>
        </w:rPr>
        <w:t>ITU-T</w:t>
      </w:r>
      <w:r>
        <w:rPr>
          <w:lang w:val="zh-CN" w:eastAsia="zh-CN"/>
        </w:rPr>
        <w:t>人工智能促进可持续智慧城市和社区焦点组（</w:t>
      </w:r>
      <w:r>
        <w:rPr>
          <w:lang w:val="zh-CN" w:eastAsia="zh-CN"/>
        </w:rPr>
        <w:t>FG-AI4SSC</w:t>
      </w:r>
      <w:r>
        <w:rPr>
          <w:lang w:val="zh-CN" w:eastAsia="zh-CN"/>
        </w:rPr>
        <w:t>）并鼓励参与其工作。</w:t>
      </w:r>
    </w:p>
    <w:p w14:paraId="1EA7A96D" w14:textId="77777777" w:rsidR="008A2782" w:rsidRPr="00331336" w:rsidRDefault="008A2782" w:rsidP="008A2782">
      <w:pPr>
        <w:rPr>
          <w:rFonts w:cs="Calibri"/>
          <w:szCs w:val="22"/>
          <w:lang w:eastAsia="zh-CN"/>
        </w:rPr>
      </w:pPr>
      <w:r>
        <w:rPr>
          <w:szCs w:val="22"/>
          <w:lang w:val="zh-CN" w:eastAsia="zh-CN"/>
        </w:rPr>
        <w:t>4</w:t>
      </w:r>
      <w:r>
        <w:rPr>
          <w:szCs w:val="22"/>
          <w:lang w:val="zh-CN" w:eastAsia="zh-CN"/>
        </w:rPr>
        <w:tab/>
      </w:r>
      <w:r>
        <w:rPr>
          <w:szCs w:val="22"/>
          <w:lang w:val="zh-CN" w:eastAsia="zh-CN"/>
        </w:rPr>
        <w:t>国际电联成员国、部门成员、部门准成员和学术机构以及来自国际电联成员国并希望为此工作做出贡献的任何</w:t>
      </w:r>
      <w:proofErr w:type="gramStart"/>
      <w:r>
        <w:rPr>
          <w:szCs w:val="22"/>
          <w:lang w:val="zh-CN" w:eastAsia="zh-CN"/>
        </w:rPr>
        <w:t>个</w:t>
      </w:r>
      <w:proofErr w:type="gramEnd"/>
      <w:r>
        <w:rPr>
          <w:szCs w:val="22"/>
          <w:lang w:val="zh-CN" w:eastAsia="zh-CN"/>
        </w:rPr>
        <w:t>人均可参加论坛和焦点组会议。这里所指的</w:t>
      </w:r>
      <w:r>
        <w:rPr>
          <w:rFonts w:hint="eastAsia"/>
          <w:szCs w:val="22"/>
          <w:lang w:val="zh-CN" w:eastAsia="zh-CN"/>
        </w:rPr>
        <w:t>“</w:t>
      </w:r>
      <w:r>
        <w:rPr>
          <w:szCs w:val="22"/>
          <w:lang w:val="zh-CN" w:eastAsia="zh-CN"/>
        </w:rPr>
        <w:t>个人</w:t>
      </w:r>
      <w:r>
        <w:rPr>
          <w:rFonts w:hint="eastAsia"/>
          <w:szCs w:val="22"/>
          <w:lang w:val="zh-CN" w:eastAsia="zh-CN"/>
        </w:rPr>
        <w:t>”</w:t>
      </w:r>
      <w:r>
        <w:rPr>
          <w:szCs w:val="22"/>
          <w:lang w:val="zh-CN" w:eastAsia="zh-CN"/>
        </w:rPr>
        <w:t>亦包括作为国际、区域和国家组织成员的个人。</w:t>
      </w:r>
    </w:p>
    <w:p w14:paraId="211B8561" w14:textId="7CB2736B" w:rsidR="008A2782" w:rsidRPr="00331336" w:rsidRDefault="008A2782" w:rsidP="008A2782">
      <w:pPr>
        <w:rPr>
          <w:rFonts w:cs="Calibri"/>
          <w:b/>
          <w:bCs/>
          <w:szCs w:val="22"/>
          <w:lang w:eastAsia="zh-CN"/>
        </w:rPr>
      </w:pPr>
      <w:r>
        <w:rPr>
          <w:szCs w:val="22"/>
          <w:lang w:val="zh-CN" w:eastAsia="zh-CN"/>
        </w:rPr>
        <w:t>5</w:t>
      </w:r>
      <w:r>
        <w:rPr>
          <w:szCs w:val="22"/>
          <w:lang w:val="zh-CN" w:eastAsia="zh-CN"/>
        </w:rPr>
        <w:tab/>
      </w:r>
      <w:r>
        <w:rPr>
          <w:szCs w:val="22"/>
          <w:lang w:val="zh-CN" w:eastAsia="zh-CN"/>
        </w:rPr>
        <w:t>包括议程草案、发言人、注册链接和远程参会详情在内的论坛相关信息将在</w:t>
      </w:r>
      <w:hyperlink r:id="rId14" w:history="1">
        <w:r w:rsidRPr="008A2782">
          <w:rPr>
            <w:rStyle w:val="Hyperlink"/>
            <w:szCs w:val="22"/>
            <w:lang w:val="zh-CN" w:eastAsia="zh-CN"/>
          </w:rPr>
          <w:t>FG-AI4SSC</w:t>
        </w:r>
        <w:r w:rsidRPr="008A2782">
          <w:rPr>
            <w:rStyle w:val="Hyperlink"/>
            <w:szCs w:val="22"/>
            <w:lang w:val="zh-CN" w:eastAsia="zh-CN"/>
          </w:rPr>
          <w:t>主页</w:t>
        </w:r>
      </w:hyperlink>
      <w:r>
        <w:rPr>
          <w:szCs w:val="22"/>
          <w:lang w:val="zh-CN" w:eastAsia="zh-CN"/>
        </w:rPr>
        <w:t>提供。随着更多信息的出现，活动网页将定期更新。鼓励与会者定期查看网页更新。</w:t>
      </w:r>
      <w:hyperlink r:id="rId15" w:history="1"/>
    </w:p>
    <w:p w14:paraId="37D8985B" w14:textId="5D1234C5" w:rsidR="008A2782" w:rsidRPr="00331336" w:rsidRDefault="008A2782" w:rsidP="008A2782">
      <w:pPr>
        <w:keepNext/>
        <w:keepLines/>
        <w:rPr>
          <w:rFonts w:cs="Calibri"/>
          <w:szCs w:val="22"/>
          <w:lang w:eastAsia="zh-CN"/>
        </w:rPr>
      </w:pPr>
      <w:r>
        <w:rPr>
          <w:szCs w:val="22"/>
          <w:lang w:val="zh-CN" w:eastAsia="zh-CN"/>
        </w:rPr>
        <w:lastRenderedPageBreak/>
        <w:t>6</w:t>
      </w:r>
      <w:r>
        <w:rPr>
          <w:szCs w:val="22"/>
          <w:lang w:val="zh-CN" w:eastAsia="zh-CN"/>
        </w:rPr>
        <w:tab/>
      </w:r>
      <w:r>
        <w:rPr>
          <w:szCs w:val="22"/>
          <w:lang w:val="zh-CN" w:eastAsia="zh-CN"/>
        </w:rPr>
        <w:t>为使主办方能够做出必要的后勤安排，请与会者尽快通过</w:t>
      </w:r>
      <w:hyperlink r:id="rId16" w:history="1">
        <w:r w:rsidRPr="008A2782">
          <w:rPr>
            <w:rStyle w:val="Hyperlink"/>
            <w:szCs w:val="22"/>
            <w:lang w:val="zh-CN" w:eastAsia="zh-CN"/>
          </w:rPr>
          <w:t>FG-AI4SSC</w:t>
        </w:r>
        <w:r w:rsidRPr="008A2782">
          <w:rPr>
            <w:rStyle w:val="Hyperlink"/>
            <w:szCs w:val="22"/>
            <w:lang w:val="zh-CN" w:eastAsia="zh-CN"/>
          </w:rPr>
          <w:t>主页</w:t>
        </w:r>
      </w:hyperlink>
      <w:r>
        <w:rPr>
          <w:szCs w:val="22"/>
          <w:lang w:val="zh-CN" w:eastAsia="zh-CN"/>
        </w:rPr>
        <w:t>的在线表格进行注册。所有与会者均需注册。</w:t>
      </w:r>
      <w:r>
        <w:rPr>
          <w:b/>
          <w:bCs/>
          <w:szCs w:val="22"/>
          <w:lang w:val="zh-CN" w:eastAsia="zh-CN"/>
        </w:rPr>
        <w:t>请注意，论坛与会者必须进行预注册，且仅以在线方式进行。</w:t>
      </w:r>
      <w:r>
        <w:rPr>
          <w:rFonts w:hint="eastAsia"/>
          <w:b/>
          <w:bCs/>
          <w:szCs w:val="22"/>
          <w:lang w:val="zh-CN" w:eastAsia="zh-CN"/>
        </w:rPr>
        <w:t>本</w:t>
      </w:r>
      <w:r w:rsidRPr="00154A43">
        <w:rPr>
          <w:b/>
          <w:bCs/>
          <w:szCs w:val="22"/>
          <w:lang w:val="zh-CN" w:eastAsia="zh-CN"/>
        </w:rPr>
        <w:t>论坛不收取任何费用</w:t>
      </w:r>
      <w:r>
        <w:rPr>
          <w:szCs w:val="22"/>
          <w:lang w:val="zh-CN" w:eastAsia="zh-CN"/>
        </w:rPr>
        <w:t>。</w:t>
      </w:r>
      <w:hyperlink r:id="rId17" w:history="1"/>
    </w:p>
    <w:p w14:paraId="0B59A4CB" w14:textId="1D8CDD47" w:rsidR="008A2782" w:rsidRPr="00331336" w:rsidRDefault="008A2782" w:rsidP="008A2782">
      <w:pPr>
        <w:keepNext/>
        <w:keepLines/>
        <w:rPr>
          <w:rFonts w:cs="Calibri"/>
          <w:szCs w:val="22"/>
          <w:lang w:eastAsia="zh-CN"/>
        </w:rPr>
      </w:pPr>
      <w:r>
        <w:rPr>
          <w:szCs w:val="22"/>
          <w:lang w:val="zh-CN" w:eastAsia="zh-CN"/>
        </w:rPr>
        <w:t>7</w:t>
      </w:r>
      <w:r>
        <w:rPr>
          <w:szCs w:val="22"/>
          <w:lang w:val="zh-CN" w:eastAsia="zh-CN"/>
        </w:rPr>
        <w:tab/>
      </w:r>
      <w:r>
        <w:rPr>
          <w:szCs w:val="22"/>
          <w:lang w:val="zh-CN" w:eastAsia="zh-CN"/>
        </w:rPr>
        <w:t>谨在此提醒您，一些国家的公民需要获得签证才能入境芬兰并逗留。如有需要，必须在到达前向驻贵国的芬兰代表机构（使馆或领事馆）申请签证。如果贵国没有此类机构，则请向驻</w:t>
      </w:r>
      <w:proofErr w:type="gramStart"/>
      <w:r>
        <w:rPr>
          <w:szCs w:val="22"/>
          <w:lang w:val="zh-CN" w:eastAsia="zh-CN"/>
        </w:rPr>
        <w:t>出发国</w:t>
      </w:r>
      <w:proofErr w:type="gramEnd"/>
      <w:r>
        <w:rPr>
          <w:szCs w:val="22"/>
          <w:lang w:val="zh-CN" w:eastAsia="zh-CN"/>
        </w:rPr>
        <w:t>最近的此类机构申请。</w:t>
      </w:r>
      <w:r>
        <w:rPr>
          <w:rFonts w:hint="eastAsia"/>
          <w:szCs w:val="22"/>
          <w:lang w:val="zh-CN" w:eastAsia="zh-CN"/>
        </w:rPr>
        <w:t>鉴于</w:t>
      </w:r>
      <w:r>
        <w:rPr>
          <w:szCs w:val="22"/>
          <w:lang w:val="zh-CN" w:eastAsia="zh-CN"/>
        </w:rPr>
        <w:t>截止日期各不相同，因此建议</w:t>
      </w:r>
      <w:r>
        <w:rPr>
          <w:rFonts w:hint="eastAsia"/>
          <w:szCs w:val="22"/>
          <w:lang w:val="zh-CN" w:eastAsia="zh-CN"/>
        </w:rPr>
        <w:t>您</w:t>
      </w:r>
      <w:r>
        <w:rPr>
          <w:szCs w:val="22"/>
          <w:lang w:val="zh-CN" w:eastAsia="zh-CN"/>
        </w:rPr>
        <w:t>直接与适当的代表机构联系并尽早申请。</w:t>
      </w:r>
    </w:p>
    <w:p w14:paraId="0913A909" w14:textId="77777777" w:rsidR="008A2782" w:rsidRPr="00331336" w:rsidRDefault="008A2782" w:rsidP="008A2782">
      <w:pPr>
        <w:ind w:firstLineChars="200" w:firstLine="440"/>
        <w:rPr>
          <w:rFonts w:cs="Calibri"/>
          <w:szCs w:val="22"/>
          <w:lang w:eastAsia="zh-CN"/>
        </w:rPr>
      </w:pPr>
      <w:r>
        <w:rPr>
          <w:szCs w:val="22"/>
          <w:lang w:val="zh-CN" w:eastAsia="zh-CN"/>
        </w:rPr>
        <w:t>办理签证所需的其他详细信息和文件（如有）将在</w:t>
      </w:r>
      <w:r>
        <w:rPr>
          <w:szCs w:val="22"/>
          <w:lang w:val="zh-CN" w:eastAsia="zh-CN"/>
        </w:rPr>
        <w:t>FG-AI4SSC</w:t>
      </w:r>
      <w:r>
        <w:rPr>
          <w:szCs w:val="22"/>
          <w:lang w:val="zh-CN" w:eastAsia="zh-CN"/>
        </w:rPr>
        <w:t>主页发布的会</w:t>
      </w:r>
      <w:r>
        <w:rPr>
          <w:rFonts w:hint="eastAsia"/>
          <w:szCs w:val="22"/>
          <w:lang w:val="zh-CN" w:eastAsia="zh-CN"/>
        </w:rPr>
        <w:t>务</w:t>
      </w:r>
      <w:r>
        <w:rPr>
          <w:szCs w:val="22"/>
          <w:lang w:val="zh-CN" w:eastAsia="zh-CN"/>
        </w:rPr>
        <w:t>文件中提供。</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77777777"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50384F6" w14:textId="6B8B15E6" w:rsidR="00CC327E" w:rsidRPr="00BD2921" w:rsidRDefault="00BD2921" w:rsidP="008A2782">
      <w:pPr>
        <w:spacing w:before="360"/>
        <w:jc w:val="center"/>
        <w:rPr>
          <w:lang w:eastAsia="zh-CN"/>
        </w:rPr>
      </w:pPr>
      <w:r w:rsidRPr="00AA23C1">
        <w:rPr>
          <w:lang w:eastAsia="zh-CN"/>
        </w:rPr>
        <w:t>_______________</w:t>
      </w:r>
    </w:p>
    <w:sectPr w:rsidR="00CC327E" w:rsidRPr="00BD2921" w:rsidSect="00922C8C">
      <w:headerReference w:type="default" r:id="rId19"/>
      <w:footerReference w:type="default" r:id="rId20"/>
      <w:footerReference w:type="first" r:id="rId21"/>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1BE0" w14:textId="77777777" w:rsidR="00BB5104" w:rsidRDefault="00BB5104">
      <w:r>
        <w:separator/>
      </w:r>
    </w:p>
  </w:endnote>
  <w:endnote w:type="continuationSeparator" w:id="0">
    <w:p w14:paraId="6E69F347" w14:textId="77777777" w:rsidR="00BB5104" w:rsidRDefault="00BB5104">
      <w:r>
        <w:continuationSeparator/>
      </w:r>
    </w:p>
  </w:endnote>
  <w:endnote w:type="continuationNotice" w:id="1">
    <w:p w14:paraId="29E2DDC9" w14:textId="77777777" w:rsidR="00BB5104" w:rsidRDefault="00BB51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B8D5" w14:textId="77777777" w:rsidR="00BB5104" w:rsidRDefault="00BB5104">
      <w:r>
        <w:t>____________________</w:t>
      </w:r>
    </w:p>
  </w:footnote>
  <w:footnote w:type="continuationSeparator" w:id="0">
    <w:p w14:paraId="64A173E4" w14:textId="77777777" w:rsidR="00BB5104" w:rsidRDefault="00BB5104">
      <w:r>
        <w:continuationSeparator/>
      </w:r>
    </w:p>
  </w:footnote>
  <w:footnote w:type="continuationNotice" w:id="1">
    <w:p w14:paraId="7BCCFF21" w14:textId="77777777" w:rsidR="00BB5104" w:rsidRDefault="00BB510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BB5104"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38FA2C1D"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8A2782">
      <w:rPr>
        <w:rFonts w:eastAsiaTheme="minorEastAsia" w:cstheme="minorHAnsi"/>
        <w:szCs w:val="18"/>
        <w:lang w:val="en-US" w:eastAsia="zh-CN"/>
      </w:rPr>
      <w:t>1</w:t>
    </w:r>
    <w:r w:rsidRPr="00BD2921">
      <w:rPr>
        <w:rFonts w:eastAsiaTheme="minorEastAsia" w:cstheme="minorHAnsi"/>
        <w:szCs w:val="18"/>
        <w:lang w:val="zh-CN" w:eastAsia="zh-CN"/>
      </w:rPr>
      <w:t>4</w:t>
    </w:r>
    <w:r w:rsidR="008A2782">
      <w:rPr>
        <w:rFonts w:eastAsiaTheme="minorEastAsia" w:cstheme="minorHAnsi"/>
        <w:szCs w:val="18"/>
        <w:lang w:val="en-US" w:eastAsia="zh-CN"/>
      </w:rPr>
      <w:t>6</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FE1C07"/>
    <w:multiLevelType w:val="hybridMultilevel"/>
    <w:tmpl w:val="CFC2F406"/>
    <w:lvl w:ilvl="0" w:tplc="89C4AE3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5"/>
  </w:num>
  <w:num w:numId="16" w16cid:durableId="1886523395">
    <w:abstractNumId w:val="16"/>
  </w:num>
  <w:num w:numId="17" w16cid:durableId="516313783">
    <w:abstractNumId w:val="20"/>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2"/>
  </w:num>
  <w:num w:numId="22" w16cid:durableId="1193416285">
    <w:abstractNumId w:val="14"/>
  </w:num>
  <w:num w:numId="23" w16cid:durableId="431515667">
    <w:abstractNumId w:val="21"/>
  </w:num>
  <w:num w:numId="24" w16cid:durableId="1622833731">
    <w:abstractNumId w:val="18"/>
  </w:num>
  <w:num w:numId="25" w16cid:durableId="604076110">
    <w:abstractNumId w:val="10"/>
  </w:num>
  <w:num w:numId="26" w16cid:durableId="364453697">
    <w:abstractNumId w:val="24"/>
  </w:num>
  <w:num w:numId="27" w16cid:durableId="529102272">
    <w:abstractNumId w:val="13"/>
    <w:lvlOverride w:ilvl="0">
      <w:lvl w:ilvl="0" w:tplc="89C4AE32">
        <w:start w:val="1"/>
        <w:numFmt w:val="bullet"/>
        <w:lvlRestart w:val="0"/>
        <w:lvlText w:val="–"/>
        <w:lvlJc w:val="left"/>
        <w:pPr>
          <w:ind w:left="720" w:hanging="36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813"/>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249"/>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2782"/>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104"/>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35C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46C8B"/>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paragraph" w:customStyle="1" w:styleId="CircularNo">
    <w:name w:val="CircularNo"/>
    <w:basedOn w:val="Tabletext"/>
    <w:qFormat/>
    <w:rsid w:val="008A2782"/>
    <w:pPr>
      <w:spacing w:line="280" w:lineRule="exact"/>
      <w:jc w:val="both"/>
    </w:pPr>
    <w:rPr>
      <w:rFonts w:ascii="Calibri" w:hAnsi="Calibri" w:cs="Calibri"/>
      <w:b/>
      <w:sz w:val="21"/>
      <w:szCs w:val="22"/>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int/go/ai4ssc"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sbfgai4ssc@itu.int" TargetMode="External"/><Relationship Id="rId17" Type="http://schemas.openxmlformats.org/officeDocument/2006/relationships/hyperlink" Target="https://www.itu.int/go/fgai4ssc" TargetMode="External"/><Relationship Id="rId2" Type="http://schemas.openxmlformats.org/officeDocument/2006/relationships/customXml" Target="../customXml/item2.xml"/><Relationship Id="rId16" Type="http://schemas.openxmlformats.org/officeDocument/2006/relationships/hyperlink" Target="https://www.itu.int/go/fgai4ss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go/fgai4ss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ai4ss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1679</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2026-07-16T08:51:00Z</dcterms:created>
  <dcterms:modified xsi:type="dcterms:W3CDTF">2026-07-16T08:51:00Z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