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17"/>
        <w:gridCol w:w="3467"/>
        <w:gridCol w:w="5329"/>
      </w:tblGrid>
      <w:tr w:rsidR="007B6316" w14:paraId="36EAC14E" w14:textId="77777777" w:rsidTr="007B6316">
        <w:trPr>
          <w:cantSplit/>
          <w:trHeight w:val="340"/>
        </w:trPr>
        <w:tc>
          <w:tcPr>
            <w:tcW w:w="1410" w:type="dxa"/>
            <w:gridSpan w:val="2"/>
          </w:tcPr>
          <w:p w14:paraId="4FBE35A4" w14:textId="77777777" w:rsidR="007B6316" w:rsidRDefault="007B6316" w:rsidP="00303D62">
            <w:pPr>
              <w:tabs>
                <w:tab w:val="left" w:pos="4111"/>
              </w:tabs>
              <w:spacing w:before="10"/>
              <w:ind w:left="57"/>
            </w:pPr>
            <w:bookmarkStart w:id="0" w:name="StartTyping_S"/>
            <w:bookmarkStart w:id="1" w:name="suitetext"/>
            <w:bookmarkStart w:id="2" w:name="text"/>
            <w:bookmarkEnd w:id="0"/>
            <w:bookmarkEnd w:id="1"/>
            <w:bookmarkEnd w:id="2"/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55568795" wp14:editId="739C4DB8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2"/>
            <w:vAlign w:val="center"/>
          </w:tcPr>
          <w:p w14:paraId="4F1CC4BF" w14:textId="77777777" w:rsidR="007B6316" w:rsidRPr="00081FE5" w:rsidRDefault="007B6316" w:rsidP="007B6316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1DB4AA02" w14:textId="77777777" w:rsidR="007B6316" w:rsidRDefault="007B6316" w:rsidP="007B6316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14:paraId="5B15AEB9" w14:textId="77777777" w:rsidTr="00303D62">
        <w:trPr>
          <w:cantSplit/>
          <w:trHeight w:val="340"/>
        </w:trPr>
        <w:tc>
          <w:tcPr>
            <w:tcW w:w="993" w:type="dxa"/>
          </w:tcPr>
          <w:p w14:paraId="6706981D" w14:textId="77777777" w:rsidR="007B6316" w:rsidRPr="00500947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Cs w:val="22"/>
              </w:rPr>
            </w:pPr>
          </w:p>
        </w:tc>
        <w:tc>
          <w:tcPr>
            <w:tcW w:w="3884" w:type="dxa"/>
            <w:gridSpan w:val="2"/>
          </w:tcPr>
          <w:p w14:paraId="03067505" w14:textId="77777777" w:rsidR="007B6316" w:rsidRPr="00500947" w:rsidRDefault="007B6316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Cs w:val="22"/>
              </w:rPr>
            </w:pPr>
          </w:p>
        </w:tc>
        <w:tc>
          <w:tcPr>
            <w:tcW w:w="5329" w:type="dxa"/>
          </w:tcPr>
          <w:p w14:paraId="29C3E42F" w14:textId="7FDBBE86" w:rsidR="007B6316" w:rsidRPr="00500947" w:rsidRDefault="007B6316" w:rsidP="007B631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Cs w:val="22"/>
              </w:rPr>
            </w:pPr>
            <w:r w:rsidRPr="00500947">
              <w:rPr>
                <w:szCs w:val="22"/>
              </w:rPr>
              <w:t>Ginebra,</w:t>
            </w:r>
            <w:r w:rsidR="00500947" w:rsidRPr="00500947">
              <w:rPr>
                <w:szCs w:val="22"/>
              </w:rPr>
              <w:t xml:space="preserve"> 18 de junio de 2026</w:t>
            </w:r>
          </w:p>
        </w:tc>
      </w:tr>
      <w:tr w:rsidR="001350B9" w14:paraId="12DF46A2" w14:textId="77777777" w:rsidTr="00303D62">
        <w:trPr>
          <w:cantSplit/>
          <w:trHeight w:val="340"/>
        </w:trPr>
        <w:tc>
          <w:tcPr>
            <w:tcW w:w="993" w:type="dxa"/>
          </w:tcPr>
          <w:p w14:paraId="69DCE345" w14:textId="77777777" w:rsidR="001350B9" w:rsidRPr="00500947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Cs w:val="22"/>
              </w:rPr>
            </w:pPr>
            <w:r w:rsidRPr="00500947">
              <w:rPr>
                <w:szCs w:val="22"/>
              </w:rPr>
              <w:t>Ref.:</w:t>
            </w:r>
          </w:p>
          <w:p w14:paraId="5A07B5C4" w14:textId="77777777" w:rsidR="001350B9" w:rsidRPr="00500947" w:rsidRDefault="001350B9" w:rsidP="007B6316">
            <w:pPr>
              <w:tabs>
                <w:tab w:val="left" w:pos="4111"/>
              </w:tabs>
              <w:spacing w:before="10"/>
              <w:ind w:left="57"/>
              <w:rPr>
                <w:szCs w:val="22"/>
              </w:rPr>
            </w:pPr>
          </w:p>
        </w:tc>
        <w:tc>
          <w:tcPr>
            <w:tcW w:w="3884" w:type="dxa"/>
            <w:gridSpan w:val="2"/>
          </w:tcPr>
          <w:p w14:paraId="74D50906" w14:textId="32D7C681" w:rsidR="001350B9" w:rsidRPr="00500947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b/>
                <w:szCs w:val="22"/>
              </w:rPr>
            </w:pPr>
            <w:r w:rsidRPr="00500947">
              <w:rPr>
                <w:b/>
                <w:szCs w:val="22"/>
              </w:rPr>
              <w:t xml:space="preserve">Circular TSB </w:t>
            </w:r>
            <w:r w:rsidR="00500947" w:rsidRPr="00500947">
              <w:rPr>
                <w:b/>
                <w:szCs w:val="22"/>
              </w:rPr>
              <w:t>142</w:t>
            </w:r>
          </w:p>
          <w:p w14:paraId="39DEB8CB" w14:textId="4B10B7F3" w:rsidR="001350B9" w:rsidRPr="00500947" w:rsidRDefault="00500947" w:rsidP="00500947">
            <w:pPr>
              <w:tabs>
                <w:tab w:val="left" w:pos="4111"/>
              </w:tabs>
              <w:spacing w:before="0" w:after="120"/>
              <w:ind w:left="57"/>
              <w:rPr>
                <w:b/>
                <w:szCs w:val="22"/>
              </w:rPr>
            </w:pPr>
            <w:r w:rsidRPr="00500947">
              <w:rPr>
                <w:szCs w:val="22"/>
              </w:rPr>
              <w:t>SG17</w:t>
            </w:r>
            <w:r w:rsidR="001350B9" w:rsidRPr="00500947">
              <w:rPr>
                <w:szCs w:val="22"/>
              </w:rPr>
              <w:t>/</w:t>
            </w:r>
            <w:r w:rsidRPr="00500947">
              <w:rPr>
                <w:szCs w:val="22"/>
              </w:rPr>
              <w:t>XY</w:t>
            </w:r>
          </w:p>
        </w:tc>
        <w:tc>
          <w:tcPr>
            <w:tcW w:w="5329" w:type="dxa"/>
            <w:vMerge w:val="restart"/>
          </w:tcPr>
          <w:p w14:paraId="7BAC0039" w14:textId="77777777" w:rsidR="00500947" w:rsidRPr="00500947" w:rsidRDefault="00500947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b/>
                <w:bCs/>
                <w:szCs w:val="22"/>
              </w:rPr>
            </w:pPr>
            <w:bookmarkStart w:id="3" w:name="Addressee_S"/>
            <w:bookmarkEnd w:id="3"/>
            <w:r w:rsidRPr="00500947">
              <w:rPr>
                <w:b/>
                <w:bCs/>
                <w:szCs w:val="22"/>
              </w:rPr>
              <w:t>A:</w:t>
            </w:r>
          </w:p>
          <w:p w14:paraId="00E3712C" w14:textId="2F85D6D2" w:rsidR="00500947" w:rsidRPr="00500947" w:rsidRDefault="00500947" w:rsidP="0050094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354" w:hanging="283"/>
              <w:rPr>
                <w:rFonts w:cs="Calibri"/>
                <w:szCs w:val="22"/>
                <w:lang w:val="es-ES"/>
              </w:rPr>
            </w:pPr>
            <w:r w:rsidRPr="00500947">
              <w:rPr>
                <w:szCs w:val="22"/>
              </w:rPr>
              <w:t>–</w:t>
            </w:r>
            <w:r w:rsidR="001350B9" w:rsidRPr="00500947">
              <w:rPr>
                <w:szCs w:val="22"/>
              </w:rPr>
              <w:tab/>
            </w:r>
            <w:r w:rsidRPr="00500947">
              <w:rPr>
                <w:szCs w:val="22"/>
              </w:rPr>
              <w:t>Administraciones de los Estados Miembros de la Unión;</w:t>
            </w:r>
          </w:p>
          <w:p w14:paraId="30641E1C" w14:textId="26FCFE13" w:rsidR="001350B9" w:rsidRPr="00500947" w:rsidRDefault="00500947" w:rsidP="0050094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354" w:hanging="283"/>
              <w:rPr>
                <w:rFonts w:cs="Calibri"/>
                <w:szCs w:val="22"/>
                <w:lang w:val="es-ES"/>
              </w:rPr>
            </w:pPr>
            <w:r w:rsidRPr="00500947">
              <w:rPr>
                <w:rFonts w:cs="Calibri"/>
                <w:szCs w:val="22"/>
                <w:lang w:val="es-ES"/>
              </w:rPr>
              <w:t>–</w:t>
            </w:r>
            <w:r w:rsidRPr="00500947">
              <w:rPr>
                <w:rFonts w:cs="Calibri"/>
                <w:szCs w:val="22"/>
                <w:lang w:val="es-ES"/>
              </w:rPr>
              <w:tab/>
            </w:r>
            <w:r w:rsidRPr="00500947">
              <w:rPr>
                <w:szCs w:val="22"/>
              </w:rPr>
              <w:t>Estado de Palestina (Res. 99 (Rev. Dubái, 2018))</w:t>
            </w:r>
          </w:p>
          <w:p w14:paraId="0BE3F443" w14:textId="497F957F" w:rsidR="001350B9" w:rsidRPr="00500947" w:rsidRDefault="00500947" w:rsidP="0050094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b/>
                <w:bCs/>
                <w:szCs w:val="22"/>
              </w:rPr>
            </w:pPr>
            <w:r w:rsidRPr="00500947">
              <w:rPr>
                <w:b/>
                <w:bCs/>
                <w:szCs w:val="22"/>
              </w:rPr>
              <w:t>Copia a:</w:t>
            </w:r>
          </w:p>
          <w:p w14:paraId="1269AE2D" w14:textId="42E1BAE6" w:rsidR="00500947" w:rsidRPr="00500947" w:rsidRDefault="00500947" w:rsidP="0050094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szCs w:val="22"/>
              </w:rPr>
            </w:pPr>
            <w:r w:rsidRPr="00500947">
              <w:rPr>
                <w:szCs w:val="22"/>
              </w:rPr>
              <w:t>–</w:t>
            </w:r>
            <w:r w:rsidRPr="00500947">
              <w:rPr>
                <w:szCs w:val="22"/>
              </w:rPr>
              <w:tab/>
              <w:t>Miembros de Sector del UIT-T;</w:t>
            </w:r>
          </w:p>
          <w:p w14:paraId="7B4BB11C" w14:textId="402C281E" w:rsidR="00500947" w:rsidRPr="00500947" w:rsidRDefault="00500947" w:rsidP="0050094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szCs w:val="22"/>
              </w:rPr>
            </w:pPr>
            <w:r w:rsidRPr="00500947">
              <w:rPr>
                <w:szCs w:val="22"/>
              </w:rPr>
              <w:t>–</w:t>
            </w:r>
            <w:r w:rsidRPr="00500947">
              <w:rPr>
                <w:szCs w:val="22"/>
              </w:rPr>
              <w:tab/>
              <w:t>Asociados de la Comisión de Estudio 17 del UIT-T;</w:t>
            </w:r>
          </w:p>
          <w:p w14:paraId="21D68B4A" w14:textId="59A7EE16" w:rsidR="00500947" w:rsidRPr="00500947" w:rsidRDefault="00500947" w:rsidP="0050094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szCs w:val="22"/>
              </w:rPr>
            </w:pPr>
            <w:r w:rsidRPr="00500947">
              <w:rPr>
                <w:szCs w:val="22"/>
              </w:rPr>
              <w:t>–</w:t>
            </w:r>
            <w:r w:rsidRPr="00500947">
              <w:rPr>
                <w:szCs w:val="22"/>
              </w:rPr>
              <w:tab/>
              <w:t>Instituciones Académicas de la UIT;</w:t>
            </w:r>
          </w:p>
          <w:p w14:paraId="3EAA6322" w14:textId="2F518831" w:rsidR="00500947" w:rsidRPr="00500947" w:rsidRDefault="00500947" w:rsidP="0050094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szCs w:val="22"/>
              </w:rPr>
            </w:pPr>
            <w:r w:rsidRPr="00500947">
              <w:rPr>
                <w:szCs w:val="22"/>
              </w:rPr>
              <w:t>–</w:t>
            </w:r>
            <w:r w:rsidRPr="00500947">
              <w:rPr>
                <w:szCs w:val="22"/>
              </w:rPr>
              <w:tab/>
              <w:t>Presidente y Vicepresidentes de la Comisión de Estudio 17 del UIT-T;</w:t>
            </w:r>
          </w:p>
          <w:p w14:paraId="29A9F39B" w14:textId="0962A902" w:rsidR="00500947" w:rsidRPr="00500947" w:rsidRDefault="00500947" w:rsidP="0050094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szCs w:val="22"/>
              </w:rPr>
            </w:pPr>
            <w:r w:rsidRPr="00500947">
              <w:rPr>
                <w:szCs w:val="22"/>
              </w:rPr>
              <w:t>–</w:t>
            </w:r>
            <w:r w:rsidRPr="00500947">
              <w:rPr>
                <w:szCs w:val="22"/>
              </w:rPr>
              <w:tab/>
              <w:t>Director de la Oficina de Desarrollo de las Telecomunicaciones;</w:t>
            </w:r>
          </w:p>
          <w:p w14:paraId="34D8FD15" w14:textId="77777777" w:rsidR="001350B9" w:rsidRDefault="00500947" w:rsidP="0050094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szCs w:val="22"/>
              </w:rPr>
            </w:pPr>
            <w:r w:rsidRPr="00500947">
              <w:rPr>
                <w:szCs w:val="22"/>
              </w:rPr>
              <w:t>–</w:t>
            </w:r>
            <w:r w:rsidRPr="00500947">
              <w:rPr>
                <w:szCs w:val="22"/>
              </w:rPr>
              <w:tab/>
            </w:r>
            <w:proofErr w:type="gramStart"/>
            <w:r w:rsidRPr="00500947">
              <w:rPr>
                <w:szCs w:val="22"/>
              </w:rPr>
              <w:t>Director</w:t>
            </w:r>
            <w:proofErr w:type="gramEnd"/>
            <w:r w:rsidRPr="00500947">
              <w:rPr>
                <w:szCs w:val="22"/>
              </w:rPr>
              <w:t xml:space="preserve"> de la Oficina de Radiocomunicaciones</w:t>
            </w:r>
          </w:p>
          <w:p w14:paraId="176EDB49" w14:textId="5C3D2893" w:rsidR="002D2B40" w:rsidRPr="00500947" w:rsidRDefault="002D2B40" w:rsidP="00500947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szCs w:val="22"/>
              </w:rPr>
            </w:pPr>
          </w:p>
        </w:tc>
      </w:tr>
      <w:tr w:rsidR="001350B9" w14:paraId="5A9222CE" w14:textId="77777777" w:rsidTr="00303D62">
        <w:trPr>
          <w:cantSplit/>
        </w:trPr>
        <w:tc>
          <w:tcPr>
            <w:tcW w:w="993" w:type="dxa"/>
          </w:tcPr>
          <w:p w14:paraId="1AA5676E" w14:textId="77777777" w:rsidR="001350B9" w:rsidRPr="00500947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Cs w:val="22"/>
              </w:rPr>
            </w:pPr>
            <w:r w:rsidRPr="00500947">
              <w:rPr>
                <w:szCs w:val="22"/>
              </w:rPr>
              <w:t>Tel.:</w:t>
            </w:r>
          </w:p>
        </w:tc>
        <w:tc>
          <w:tcPr>
            <w:tcW w:w="3884" w:type="dxa"/>
            <w:gridSpan w:val="2"/>
          </w:tcPr>
          <w:p w14:paraId="567DB1BD" w14:textId="6E55EE70" w:rsidR="001350B9" w:rsidRPr="00500947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Cs w:val="22"/>
              </w:rPr>
            </w:pPr>
            <w:r w:rsidRPr="00500947">
              <w:rPr>
                <w:szCs w:val="22"/>
              </w:rPr>
              <w:t>+</w:t>
            </w:r>
            <w:r w:rsidR="00500947" w:rsidRPr="00500947">
              <w:rPr>
                <w:rFonts w:cstheme="minorHAnsi"/>
                <w:szCs w:val="22"/>
              </w:rPr>
              <w:t>41 22 730 6206</w:t>
            </w:r>
          </w:p>
        </w:tc>
        <w:tc>
          <w:tcPr>
            <w:tcW w:w="5329" w:type="dxa"/>
            <w:vMerge/>
          </w:tcPr>
          <w:p w14:paraId="2F188424" w14:textId="77777777" w:rsidR="001350B9" w:rsidRPr="00500947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 w:val="24"/>
                <w:szCs w:val="24"/>
              </w:rPr>
            </w:pPr>
          </w:p>
        </w:tc>
      </w:tr>
      <w:tr w:rsidR="001350B9" w14:paraId="2DF78D38" w14:textId="77777777" w:rsidTr="00303D62">
        <w:trPr>
          <w:cantSplit/>
        </w:trPr>
        <w:tc>
          <w:tcPr>
            <w:tcW w:w="993" w:type="dxa"/>
          </w:tcPr>
          <w:p w14:paraId="334E2ED9" w14:textId="77777777" w:rsidR="001350B9" w:rsidRPr="00500947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Cs w:val="22"/>
              </w:rPr>
            </w:pPr>
            <w:r w:rsidRPr="00500947">
              <w:rPr>
                <w:szCs w:val="22"/>
              </w:rPr>
              <w:t>Fax:</w:t>
            </w:r>
          </w:p>
        </w:tc>
        <w:tc>
          <w:tcPr>
            <w:tcW w:w="3884" w:type="dxa"/>
            <w:gridSpan w:val="2"/>
          </w:tcPr>
          <w:p w14:paraId="596817E4" w14:textId="77777777" w:rsidR="001350B9" w:rsidRPr="00500947" w:rsidRDefault="001350B9" w:rsidP="00303D62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Cs w:val="22"/>
              </w:rPr>
            </w:pPr>
            <w:r w:rsidRPr="00500947">
              <w:rPr>
                <w:szCs w:val="22"/>
              </w:rPr>
              <w:t>+41 22 730 5853</w:t>
            </w:r>
          </w:p>
        </w:tc>
        <w:tc>
          <w:tcPr>
            <w:tcW w:w="5329" w:type="dxa"/>
            <w:vMerge/>
          </w:tcPr>
          <w:p w14:paraId="09697699" w14:textId="77777777" w:rsidR="001350B9" w:rsidRPr="00500947" w:rsidRDefault="001350B9" w:rsidP="00303D62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 w:val="24"/>
                <w:szCs w:val="24"/>
              </w:rPr>
            </w:pPr>
          </w:p>
        </w:tc>
      </w:tr>
      <w:tr w:rsidR="001350B9" w14:paraId="71A113AE" w14:textId="77777777" w:rsidTr="00303D62">
        <w:trPr>
          <w:cantSplit/>
        </w:trPr>
        <w:tc>
          <w:tcPr>
            <w:tcW w:w="993" w:type="dxa"/>
          </w:tcPr>
          <w:p w14:paraId="0CF17BAF" w14:textId="77777777" w:rsidR="001350B9" w:rsidRPr="00500947" w:rsidRDefault="001350B9" w:rsidP="00303D62">
            <w:pPr>
              <w:tabs>
                <w:tab w:val="left" w:pos="4111"/>
              </w:tabs>
              <w:spacing w:before="10"/>
              <w:ind w:left="57"/>
              <w:rPr>
                <w:szCs w:val="22"/>
              </w:rPr>
            </w:pPr>
            <w:r w:rsidRPr="00500947">
              <w:rPr>
                <w:szCs w:val="22"/>
              </w:rPr>
              <w:t>Correo-e:</w:t>
            </w:r>
          </w:p>
        </w:tc>
        <w:tc>
          <w:tcPr>
            <w:tcW w:w="3884" w:type="dxa"/>
            <w:gridSpan w:val="2"/>
          </w:tcPr>
          <w:p w14:paraId="27228FFD" w14:textId="60B6050A" w:rsidR="001350B9" w:rsidRPr="00500947" w:rsidRDefault="00500947" w:rsidP="00303D62">
            <w:pPr>
              <w:tabs>
                <w:tab w:val="left" w:pos="4111"/>
              </w:tabs>
              <w:spacing w:before="0"/>
              <w:ind w:left="57"/>
              <w:rPr>
                <w:szCs w:val="22"/>
              </w:rPr>
            </w:pPr>
            <w:hyperlink r:id="rId9" w:history="1">
              <w:r w:rsidRPr="00500947">
                <w:rPr>
                  <w:rStyle w:val="Hyperlink"/>
                  <w:szCs w:val="22"/>
                </w:rPr>
                <w:t>tsbsg17@itu.int</w:t>
              </w:r>
            </w:hyperlink>
            <w:r w:rsidR="001350B9" w:rsidRPr="00500947">
              <w:rPr>
                <w:szCs w:val="22"/>
              </w:rPr>
              <w:t xml:space="preserve"> </w:t>
            </w:r>
          </w:p>
        </w:tc>
        <w:tc>
          <w:tcPr>
            <w:tcW w:w="5329" w:type="dxa"/>
            <w:vMerge/>
          </w:tcPr>
          <w:p w14:paraId="73FAA537" w14:textId="77777777" w:rsidR="001350B9" w:rsidRPr="00500947" w:rsidRDefault="001350B9" w:rsidP="00303D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sz w:val="24"/>
                <w:szCs w:val="24"/>
              </w:rPr>
            </w:pPr>
          </w:p>
        </w:tc>
      </w:tr>
      <w:tr w:rsidR="007B6316" w14:paraId="46333285" w14:textId="77777777" w:rsidTr="00DA30ED">
        <w:trPr>
          <w:cantSplit/>
        </w:trPr>
        <w:tc>
          <w:tcPr>
            <w:tcW w:w="993" w:type="dxa"/>
          </w:tcPr>
          <w:p w14:paraId="11F9668B" w14:textId="77777777" w:rsidR="007B6316" w:rsidRPr="00500947" w:rsidRDefault="007B6316" w:rsidP="00303D62">
            <w:pPr>
              <w:tabs>
                <w:tab w:val="left" w:pos="4111"/>
              </w:tabs>
              <w:spacing w:before="10"/>
              <w:ind w:left="57"/>
              <w:rPr>
                <w:szCs w:val="22"/>
              </w:rPr>
            </w:pPr>
            <w:r w:rsidRPr="00500947">
              <w:rPr>
                <w:szCs w:val="22"/>
              </w:rPr>
              <w:t>Asunto:</w:t>
            </w:r>
          </w:p>
        </w:tc>
        <w:tc>
          <w:tcPr>
            <w:tcW w:w="9213" w:type="dxa"/>
            <w:gridSpan w:val="3"/>
          </w:tcPr>
          <w:p w14:paraId="27DF8D0F" w14:textId="02B0C52E" w:rsidR="007B6316" w:rsidRPr="00500947" w:rsidRDefault="00500947" w:rsidP="00303D62">
            <w:pPr>
              <w:tabs>
                <w:tab w:val="left" w:pos="4111"/>
              </w:tabs>
              <w:spacing w:before="0"/>
              <w:rPr>
                <w:b/>
                <w:szCs w:val="22"/>
              </w:rPr>
            </w:pPr>
            <w:r w:rsidRPr="00500947">
              <w:rPr>
                <w:rFonts w:cstheme="minorHAnsi"/>
                <w:b/>
                <w:szCs w:val="22"/>
                <w:lang w:val="es-ES"/>
              </w:rPr>
              <w:t>Situación de las Recomendaciones UIT</w:t>
            </w:r>
            <w:r w:rsidRPr="00500947">
              <w:rPr>
                <w:rFonts w:cstheme="minorHAnsi"/>
                <w:b/>
                <w:bCs/>
                <w:szCs w:val="22"/>
                <w:lang w:val="es-ES"/>
              </w:rPr>
              <w:t>-T X.1821 (ex X.5Gsec-asra), X.2105 (ex X.st-ssc), X.1350 (ex X.sr-iiot), X.1910 (ex X.tc-ifd), X.1607 (ex X.asm-cc), X.1651 (ex X.soar-cc), X.1286 (ex X.accsadlt), X.1417 (ex X.sr-dpts), X.1418 (ex X.sg-dcs), X.2210 (</w:t>
            </w:r>
            <w:hyperlink r:id="rId10" w:history="1">
              <w:r w:rsidRPr="00500947">
                <w:rPr>
                  <w:rStyle w:val="Hyperlink"/>
                  <w:rFonts w:cstheme="minorHAnsi"/>
                  <w:b/>
                  <w:bCs/>
                  <w:szCs w:val="22"/>
                  <w:lang w:val="es-ES"/>
                </w:rPr>
                <w:t>ex X.ig-dw</w:t>
              </w:r>
            </w:hyperlink>
            <w:r w:rsidRPr="00500947">
              <w:rPr>
                <w:rFonts w:cstheme="minorHAnsi"/>
                <w:b/>
                <w:bCs/>
                <w:szCs w:val="22"/>
                <w:lang w:val="es-ES"/>
              </w:rPr>
              <w:t>) y la Recomendación UIT-T X.1280 revisada tras la reunión de la Comisión de Estudio 17 del UIT-T</w:t>
            </w:r>
            <w:r w:rsidRPr="00500947">
              <w:rPr>
                <w:rFonts w:cstheme="minorHAnsi"/>
                <w:b/>
                <w:szCs w:val="22"/>
                <w:lang w:val="es-ES"/>
              </w:rPr>
              <w:t xml:space="preserve"> (Ginebra, 1-10 de junio de 2026)</w:t>
            </w:r>
          </w:p>
        </w:tc>
      </w:tr>
    </w:tbl>
    <w:p w14:paraId="3525E964" w14:textId="77777777" w:rsidR="00C34772" w:rsidRPr="00500947" w:rsidRDefault="00C34772" w:rsidP="00500947">
      <w:pPr>
        <w:spacing w:before="320" w:after="120"/>
        <w:rPr>
          <w:szCs w:val="18"/>
        </w:rPr>
      </w:pPr>
      <w:r w:rsidRPr="00500947">
        <w:rPr>
          <w:szCs w:val="18"/>
        </w:rPr>
        <w:t>Muy Señora mía/Muy Señor mío:</w:t>
      </w:r>
    </w:p>
    <w:p w14:paraId="277CB3BB" w14:textId="0F546270" w:rsidR="00500947" w:rsidRPr="0033025D" w:rsidRDefault="00500947" w:rsidP="00500947">
      <w:pPr>
        <w:spacing w:after="120"/>
        <w:rPr>
          <w:lang w:val="es-ES"/>
        </w:rPr>
      </w:pPr>
      <w:r w:rsidRPr="0033025D">
        <w:rPr>
          <w:lang w:val="es-ES"/>
        </w:rPr>
        <w:t>1</w:t>
      </w:r>
      <w:r w:rsidRPr="0033025D">
        <w:rPr>
          <w:lang w:val="es-ES"/>
        </w:rPr>
        <w:tab/>
        <w:t xml:space="preserve">En relación con la </w:t>
      </w:r>
      <w:hyperlink r:id="rId11" w:history="1">
        <w:r w:rsidRPr="0033025D">
          <w:rPr>
            <w:rStyle w:val="Hyperlink"/>
            <w:rFonts w:cstheme="minorHAnsi"/>
            <w:spacing w:val="-2"/>
            <w:szCs w:val="22"/>
            <w:lang w:val="es-ES"/>
          </w:rPr>
          <w:t>Circular TSB 104</w:t>
        </w:r>
      </w:hyperlink>
      <w:r w:rsidRPr="0033025D">
        <w:rPr>
          <w:lang w:val="es-ES"/>
        </w:rPr>
        <w:t xml:space="preserve"> de 13 de febrero de 2026 y con arreglo a lo dispuesto en la cláusula 9.5 de la Re</w:t>
      </w:r>
      <w:r>
        <w:rPr>
          <w:lang w:val="es-ES"/>
        </w:rPr>
        <w:t>solución</w:t>
      </w:r>
      <w:r w:rsidRPr="0033025D">
        <w:rPr>
          <w:lang w:val="es-ES"/>
        </w:rPr>
        <w:t xml:space="preserve"> 1 (Rev. G</w:t>
      </w:r>
      <w:r>
        <w:rPr>
          <w:lang w:val="es-ES"/>
        </w:rPr>
        <w:t>inebra</w:t>
      </w:r>
      <w:r w:rsidRPr="0033025D">
        <w:rPr>
          <w:lang w:val="es-ES"/>
        </w:rPr>
        <w:t xml:space="preserve">, 2022), </w:t>
      </w:r>
      <w:r>
        <w:rPr>
          <w:lang w:val="es-ES"/>
        </w:rPr>
        <w:t xml:space="preserve">por la </w:t>
      </w:r>
      <w:r w:rsidRPr="00500947">
        <w:rPr>
          <w:lang w:val="es-ES"/>
        </w:rPr>
        <w:t>presente</w:t>
      </w:r>
      <w:r>
        <w:rPr>
          <w:lang w:val="es-ES"/>
        </w:rPr>
        <w:t xml:space="preserve"> </w:t>
      </w:r>
      <w:r w:rsidRPr="00500947">
        <w:rPr>
          <w:lang w:val="es-ES"/>
        </w:rPr>
        <w:t>le</w:t>
      </w:r>
      <w:r>
        <w:rPr>
          <w:lang w:val="es-ES"/>
        </w:rPr>
        <w:t xml:space="preserve"> informo de que la Comisión de Estudio 17 del UIT-T adoptó las siguientes decisiones durante su Sesión Plenaria celebrada el </w:t>
      </w:r>
      <w:r w:rsidRPr="0033025D">
        <w:rPr>
          <w:bCs/>
          <w:lang w:val="es-ES"/>
        </w:rPr>
        <w:t xml:space="preserve">10 </w:t>
      </w:r>
      <w:r>
        <w:rPr>
          <w:bCs/>
          <w:lang w:val="es-ES"/>
        </w:rPr>
        <w:t>de junio de </w:t>
      </w:r>
      <w:r w:rsidRPr="0033025D">
        <w:rPr>
          <w:bCs/>
          <w:lang w:val="es-ES"/>
        </w:rPr>
        <w:t>2026</w:t>
      </w:r>
      <w:r>
        <w:rPr>
          <w:bCs/>
          <w:lang w:val="es-ES"/>
        </w:rPr>
        <w:t xml:space="preserve"> respecto de los siguientes proyectos de texto del UIT-T</w:t>
      </w:r>
      <w:r w:rsidRPr="0033025D">
        <w:rPr>
          <w:lang w:val="es-ES"/>
        </w:rPr>
        <w:t>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521"/>
        <w:gridCol w:w="1275"/>
      </w:tblGrid>
      <w:tr w:rsidR="00500947" w:rsidRPr="00BD13C7" w14:paraId="245FE32F" w14:textId="77777777" w:rsidTr="00E75458">
        <w:trPr>
          <w:cantSplit/>
          <w:tblHeader/>
          <w:jc w:val="center"/>
        </w:trPr>
        <w:tc>
          <w:tcPr>
            <w:tcW w:w="1838" w:type="dxa"/>
          </w:tcPr>
          <w:p w14:paraId="7607DD1B" w14:textId="77777777" w:rsidR="00500947" w:rsidRPr="00BD13C7" w:rsidRDefault="00500947" w:rsidP="006A178A">
            <w:pPr>
              <w:pStyle w:val="Tablehead0"/>
            </w:pPr>
            <w:r w:rsidRPr="00BD13C7">
              <w:t>N</w:t>
            </w:r>
            <w:r>
              <w:t>úmero</w:t>
            </w:r>
          </w:p>
        </w:tc>
        <w:tc>
          <w:tcPr>
            <w:tcW w:w="6521" w:type="dxa"/>
          </w:tcPr>
          <w:p w14:paraId="26BA3C49" w14:textId="77777777" w:rsidR="00500947" w:rsidRPr="00BD13C7" w:rsidRDefault="00500947" w:rsidP="006A178A">
            <w:pPr>
              <w:pStyle w:val="Tablehead0"/>
            </w:pPr>
            <w:r>
              <w:t>Título</w:t>
            </w:r>
          </w:p>
        </w:tc>
        <w:tc>
          <w:tcPr>
            <w:tcW w:w="1275" w:type="dxa"/>
          </w:tcPr>
          <w:p w14:paraId="51A79083" w14:textId="77777777" w:rsidR="00500947" w:rsidRPr="00BD13C7" w:rsidRDefault="00500947" w:rsidP="006A178A">
            <w:pPr>
              <w:pStyle w:val="Tablehead0"/>
            </w:pPr>
            <w:r>
              <w:t>Decisión</w:t>
            </w:r>
          </w:p>
        </w:tc>
      </w:tr>
      <w:tr w:rsidR="00500947" w:rsidRPr="00BD13C7" w14:paraId="074D557A" w14:textId="77777777" w:rsidTr="00E75458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43A4" w14:textId="77777777" w:rsidR="00500947" w:rsidRPr="0033025D" w:rsidRDefault="00500947" w:rsidP="006A178A">
            <w:pPr>
              <w:pStyle w:val="Tabletext0"/>
              <w:jc w:val="center"/>
              <w:rPr>
                <w:lang w:val="es-ES"/>
              </w:rPr>
            </w:pPr>
            <w:r w:rsidRPr="0033025D">
              <w:rPr>
                <w:lang w:val="es-ES"/>
              </w:rPr>
              <w:t>X.1821</w:t>
            </w:r>
            <w:r w:rsidRPr="0033025D">
              <w:rPr>
                <w:lang w:val="es-ES"/>
              </w:rPr>
              <w:br/>
              <w:t xml:space="preserve">(ex </w:t>
            </w:r>
            <w:hyperlink r:id="rId12" w:anchor="/t-wp/item?isn=21691" w:history="1">
              <w:r w:rsidRPr="0033025D">
                <w:rPr>
                  <w:rStyle w:val="Hyperlink"/>
                  <w:lang w:val="es-ES"/>
                </w:rPr>
                <w:t>X.5Gsec-asra</w:t>
              </w:r>
            </w:hyperlink>
            <w:r w:rsidRPr="0033025D">
              <w:rPr>
                <w:lang w:val="es-ES"/>
              </w:rPr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9B95" w14:textId="77777777" w:rsidR="00500947" w:rsidRPr="0033025D" w:rsidRDefault="00500947" w:rsidP="006A178A">
            <w:pPr>
              <w:pStyle w:val="Tabletext0"/>
              <w:rPr>
                <w:lang w:val="es-ES"/>
              </w:rPr>
            </w:pPr>
            <w:r w:rsidRPr="00246BB6">
              <w:rPr>
                <w:lang w:val="es-ES"/>
              </w:rPr>
              <w:t>Directrices y requisitos técnicos para el análisis de riesgos de seguridad en activos de red IMT</w:t>
            </w:r>
            <w:r>
              <w:rPr>
                <w:lang w:val="es-ES"/>
              </w:rPr>
              <w:noBreakHyphen/>
            </w:r>
            <w:r w:rsidRPr="00246BB6">
              <w:rPr>
                <w:lang w:val="es-ES"/>
              </w:rPr>
              <w:t>2020/5G</w:t>
            </w:r>
            <w:r w:rsidRPr="0033025D">
              <w:rPr>
                <w:lang w:val="es-E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7506" w14:textId="77777777" w:rsidR="00500947" w:rsidRPr="00BD13C7" w:rsidRDefault="00500947" w:rsidP="00E75458">
            <w:pPr>
              <w:pStyle w:val="Tabletext0"/>
              <w:jc w:val="center"/>
            </w:pPr>
            <w:r>
              <w:t>Aprobada</w:t>
            </w:r>
          </w:p>
        </w:tc>
      </w:tr>
      <w:tr w:rsidR="00500947" w:rsidRPr="00BD13C7" w14:paraId="58351284" w14:textId="77777777" w:rsidTr="00E75458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EB2F" w14:textId="77777777" w:rsidR="00500947" w:rsidRPr="00BD13C7" w:rsidRDefault="00500947" w:rsidP="006A178A">
            <w:pPr>
              <w:pStyle w:val="Tabletext0"/>
              <w:jc w:val="center"/>
            </w:pPr>
            <w:r w:rsidRPr="00BD13C7">
              <w:t>X.2105</w:t>
            </w:r>
            <w:r w:rsidRPr="00BD13C7">
              <w:br/>
              <w:t xml:space="preserve">(ex </w:t>
            </w:r>
            <w:hyperlink r:id="rId13" w:anchor="/t-wp/item?isn=21709" w:history="1">
              <w:r w:rsidRPr="00BD13C7">
                <w:rPr>
                  <w:rStyle w:val="Hyperlink"/>
                </w:rPr>
                <w:t>X.st-ssc</w:t>
              </w:r>
            </w:hyperlink>
            <w:r w:rsidRPr="00BD13C7"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36F3" w14:textId="77777777" w:rsidR="00500947" w:rsidRPr="0033025D" w:rsidRDefault="00500947" w:rsidP="006A178A">
            <w:pPr>
              <w:pStyle w:val="Tabletext0"/>
              <w:rPr>
                <w:lang w:val="es-ES"/>
              </w:rPr>
            </w:pPr>
            <w:r w:rsidRPr="004620C8">
              <w:rPr>
                <w:lang w:val="es-ES"/>
              </w:rPr>
              <w:t xml:space="preserve">Amenazas de seguridad a la cadena de suministro de </w:t>
            </w:r>
            <w:r w:rsidRPr="004620C8">
              <w:rPr>
                <w:i/>
                <w:iCs/>
                <w:lang w:val="es-ES"/>
              </w:rPr>
              <w:t>software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F00E" w14:textId="77777777" w:rsidR="00500947" w:rsidRPr="00BD13C7" w:rsidRDefault="00500947" w:rsidP="00E75458">
            <w:pPr>
              <w:pStyle w:val="Tabletext0"/>
              <w:jc w:val="center"/>
            </w:pPr>
            <w:r>
              <w:t>Aprobada</w:t>
            </w:r>
          </w:p>
        </w:tc>
      </w:tr>
      <w:tr w:rsidR="00500947" w:rsidRPr="00BD13C7" w14:paraId="654AEF60" w14:textId="77777777" w:rsidTr="00E75458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2C18" w14:textId="77777777" w:rsidR="00500947" w:rsidRPr="000E1F4B" w:rsidRDefault="00500947" w:rsidP="006A178A">
            <w:pPr>
              <w:pStyle w:val="Tabletext0"/>
              <w:jc w:val="center"/>
              <w:rPr>
                <w:lang w:val="pt-BR"/>
              </w:rPr>
            </w:pPr>
            <w:r w:rsidRPr="000E1F4B">
              <w:rPr>
                <w:lang w:val="pt-BR"/>
              </w:rPr>
              <w:t>X.1350</w:t>
            </w:r>
            <w:r w:rsidRPr="000E1F4B">
              <w:rPr>
                <w:lang w:val="pt-BR"/>
              </w:rPr>
              <w:br/>
              <w:t xml:space="preserve">(ex </w:t>
            </w:r>
            <w:hyperlink r:id="rId14" w:anchor="/t-wp/item?isn=21718" w:history="1">
              <w:r w:rsidRPr="000E1F4B">
                <w:rPr>
                  <w:rStyle w:val="Hyperlink"/>
                  <w:lang w:val="pt-BR"/>
                </w:rPr>
                <w:t>X.sr-iiot</w:t>
              </w:r>
            </w:hyperlink>
            <w:r w:rsidRPr="000E1F4B">
              <w:rPr>
                <w:lang w:val="pt-BR"/>
              </w:rPr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5BE7" w14:textId="77777777" w:rsidR="00500947" w:rsidRPr="0033025D" w:rsidRDefault="00500947" w:rsidP="006A178A">
            <w:pPr>
              <w:pStyle w:val="Tabletext0"/>
              <w:rPr>
                <w:lang w:val="es-ES"/>
              </w:rPr>
            </w:pPr>
            <w:r w:rsidRPr="004620C8">
              <w:rPr>
                <w:lang w:val="es-ES"/>
              </w:rPr>
              <w:t>Requisitos de seguridad para la Internet Industrial de las cosas en la fabricación inteligente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75D3" w14:textId="77777777" w:rsidR="00500947" w:rsidRPr="00BD13C7" w:rsidRDefault="00500947" w:rsidP="00E75458">
            <w:pPr>
              <w:pStyle w:val="Tabletext0"/>
              <w:jc w:val="center"/>
            </w:pPr>
            <w:r>
              <w:t>Aprobada</w:t>
            </w:r>
          </w:p>
        </w:tc>
      </w:tr>
      <w:tr w:rsidR="00500947" w:rsidRPr="00BD13C7" w14:paraId="3CDA1DC0" w14:textId="77777777" w:rsidTr="00E75458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19E8" w14:textId="77777777" w:rsidR="00500947" w:rsidRPr="00BD13C7" w:rsidRDefault="00500947" w:rsidP="006A178A">
            <w:pPr>
              <w:pStyle w:val="Tabletext0"/>
              <w:jc w:val="center"/>
            </w:pPr>
            <w:r w:rsidRPr="00BD13C7">
              <w:t>X.1910</w:t>
            </w:r>
            <w:r w:rsidRPr="00BD13C7">
              <w:br/>
              <w:t xml:space="preserve">(ex </w:t>
            </w:r>
            <w:hyperlink r:id="rId15" w:history="1">
              <w:r w:rsidRPr="00BD13C7">
                <w:rPr>
                  <w:rStyle w:val="Hyperlink"/>
                </w:rPr>
                <w:t>X.tc-ifd</w:t>
              </w:r>
            </w:hyperlink>
            <w:r w:rsidRPr="00BD13C7"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F91" w14:textId="77777777" w:rsidR="00500947" w:rsidRPr="0033025D" w:rsidRDefault="00500947" w:rsidP="006A178A">
            <w:pPr>
              <w:pStyle w:val="Tabletext0"/>
              <w:rPr>
                <w:lang w:val="es-ES"/>
              </w:rPr>
            </w:pPr>
            <w:r w:rsidRPr="00E47C30">
              <w:rPr>
                <w:lang w:val="es-ES"/>
              </w:rPr>
              <w:t>Capacidades técnicas de detección interactiva de ries</w:t>
            </w:r>
            <w:r>
              <w:rPr>
                <w:lang w:val="es-ES"/>
              </w:rPr>
              <w:t>gos de engaño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3FB0" w14:textId="77777777" w:rsidR="00500947" w:rsidRPr="00BD13C7" w:rsidRDefault="00500947" w:rsidP="00E75458">
            <w:pPr>
              <w:pStyle w:val="Tabletext0"/>
              <w:jc w:val="center"/>
            </w:pPr>
            <w:r>
              <w:t>Aprobada</w:t>
            </w:r>
          </w:p>
        </w:tc>
      </w:tr>
      <w:tr w:rsidR="00500947" w:rsidRPr="00BD13C7" w14:paraId="0A84CDF7" w14:textId="77777777" w:rsidTr="00E75458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2E49" w14:textId="77777777" w:rsidR="00500947" w:rsidRPr="00BD13C7" w:rsidRDefault="00500947" w:rsidP="006A178A">
            <w:pPr>
              <w:pStyle w:val="Tabletext0"/>
              <w:jc w:val="center"/>
            </w:pPr>
            <w:r w:rsidRPr="00BD13C7">
              <w:t>X.1607</w:t>
            </w:r>
            <w:r w:rsidRPr="00BD13C7">
              <w:br/>
              <w:t xml:space="preserve">(ex </w:t>
            </w:r>
            <w:hyperlink r:id="rId16" w:anchor="/t-wp/item?isn=21746" w:history="1">
              <w:r w:rsidRPr="00BD13C7">
                <w:rPr>
                  <w:rStyle w:val="Hyperlink"/>
                </w:rPr>
                <w:t>X.asm-cc</w:t>
              </w:r>
            </w:hyperlink>
            <w:r w:rsidRPr="00BD13C7"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70B4" w14:textId="77777777" w:rsidR="00500947" w:rsidRPr="00E22056" w:rsidRDefault="00500947" w:rsidP="006A178A">
            <w:pPr>
              <w:pStyle w:val="Tabletext0"/>
              <w:rPr>
                <w:lang w:val="es-ES"/>
              </w:rPr>
            </w:pPr>
            <w:r w:rsidRPr="00E47C30">
              <w:rPr>
                <w:lang w:val="es-ES"/>
              </w:rPr>
              <w:t>Requisitos de gestión de la superficie de ataque pa</w:t>
            </w:r>
            <w:r>
              <w:rPr>
                <w:lang w:val="es-ES"/>
              </w:rPr>
              <w:t>ra la computación en la nube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5620" w14:textId="77777777" w:rsidR="00500947" w:rsidRPr="00BD13C7" w:rsidRDefault="00500947" w:rsidP="00E75458">
            <w:pPr>
              <w:pStyle w:val="Tabletext0"/>
              <w:jc w:val="center"/>
            </w:pPr>
            <w:r>
              <w:t>Aprobada</w:t>
            </w:r>
          </w:p>
        </w:tc>
      </w:tr>
      <w:tr w:rsidR="00500947" w:rsidRPr="00BD13C7" w14:paraId="126570F4" w14:textId="77777777" w:rsidTr="00E75458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2305" w14:textId="77777777" w:rsidR="00500947" w:rsidRPr="000E1F4B" w:rsidRDefault="00500947" w:rsidP="006A178A">
            <w:pPr>
              <w:pStyle w:val="Tabletext0"/>
              <w:jc w:val="center"/>
              <w:rPr>
                <w:lang w:val="pt-BR"/>
              </w:rPr>
            </w:pPr>
            <w:r w:rsidRPr="000E1F4B">
              <w:rPr>
                <w:lang w:val="pt-BR"/>
              </w:rPr>
              <w:t>X.1651</w:t>
            </w:r>
            <w:r w:rsidRPr="000E1F4B">
              <w:rPr>
                <w:lang w:val="pt-BR"/>
              </w:rPr>
              <w:br/>
              <w:t xml:space="preserve">(ex </w:t>
            </w:r>
            <w:hyperlink r:id="rId17" w:anchor="/t-wp/item?isn=21744" w:history="1">
              <w:r w:rsidRPr="000E1F4B">
                <w:rPr>
                  <w:rStyle w:val="Hyperlink"/>
                  <w:lang w:val="pt-BR"/>
                </w:rPr>
                <w:t>X.soar-cc</w:t>
              </w:r>
            </w:hyperlink>
            <w:r w:rsidRPr="000E1F4B">
              <w:rPr>
                <w:lang w:val="pt-BR"/>
              </w:rPr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49B1" w14:textId="77777777" w:rsidR="00500947" w:rsidRPr="00E22056" w:rsidRDefault="00500947" w:rsidP="006A178A">
            <w:pPr>
              <w:pStyle w:val="Tabletext0"/>
              <w:rPr>
                <w:lang w:val="es-ES"/>
              </w:rPr>
            </w:pPr>
            <w:r w:rsidRPr="00E47C30">
              <w:rPr>
                <w:lang w:val="es-ES"/>
              </w:rPr>
              <w:t xml:space="preserve">Marco de orquestación, automatización y respuesta en materia de </w:t>
            </w:r>
            <w:r>
              <w:rPr>
                <w:lang w:val="es-ES"/>
              </w:rPr>
              <w:t>seguridad para la computación en la nube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BABB" w14:textId="77777777" w:rsidR="00500947" w:rsidRPr="00BD13C7" w:rsidRDefault="00500947" w:rsidP="00E75458">
            <w:pPr>
              <w:pStyle w:val="Tabletext0"/>
              <w:jc w:val="center"/>
            </w:pPr>
            <w:r>
              <w:t>Aprobada</w:t>
            </w:r>
          </w:p>
        </w:tc>
      </w:tr>
      <w:tr w:rsidR="00500947" w:rsidRPr="00BD13C7" w14:paraId="58C39A49" w14:textId="77777777" w:rsidTr="00E75458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EC06" w14:textId="35EDC4D1" w:rsidR="00500947" w:rsidRPr="00BD13C7" w:rsidRDefault="00500947" w:rsidP="006A178A">
            <w:pPr>
              <w:pStyle w:val="Tabletext0"/>
              <w:jc w:val="center"/>
            </w:pPr>
            <w:hyperlink r:id="rId18" w:anchor="/t-wp/item?isn=22284" w:history="1">
              <w:r w:rsidRPr="00BD13C7">
                <w:rPr>
                  <w:rStyle w:val="Hyperlink"/>
                </w:rPr>
                <w:t>X.1280</w:t>
              </w:r>
            </w:hyperlink>
            <w:r w:rsidR="00E75458">
              <w:br/>
            </w:r>
            <w:r>
              <w:t>(Rev.)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28A" w14:textId="77777777" w:rsidR="00500947" w:rsidRPr="00E22056" w:rsidRDefault="00500947" w:rsidP="006A178A">
            <w:pPr>
              <w:pStyle w:val="Tabletext0"/>
              <w:rPr>
                <w:lang w:val="es-ES"/>
              </w:rPr>
            </w:pPr>
            <w:r w:rsidRPr="00E22056">
              <w:rPr>
                <w:lang w:val="es-ES"/>
              </w:rPr>
              <w:t>Marco para la autentificación m</w:t>
            </w:r>
            <w:r>
              <w:rPr>
                <w:lang w:val="es-ES"/>
              </w:rPr>
              <w:t>utua fuera de banda mediante dispositivos móviles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B23C" w14:textId="77777777" w:rsidR="00500947" w:rsidRPr="00BD13C7" w:rsidRDefault="00500947" w:rsidP="00E75458">
            <w:pPr>
              <w:pStyle w:val="Tabletext0"/>
              <w:jc w:val="center"/>
            </w:pPr>
            <w:r>
              <w:t>Aprobada</w:t>
            </w:r>
          </w:p>
        </w:tc>
      </w:tr>
      <w:tr w:rsidR="00500947" w:rsidRPr="00BD13C7" w14:paraId="13AE8240" w14:textId="77777777" w:rsidTr="00E75458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D156" w14:textId="77777777" w:rsidR="00500947" w:rsidRPr="00BD13C7" w:rsidRDefault="00500947" w:rsidP="006A178A">
            <w:pPr>
              <w:pStyle w:val="Tabletext0"/>
              <w:jc w:val="center"/>
            </w:pPr>
            <w:r w:rsidRPr="00BD13C7">
              <w:t>X.1286</w:t>
            </w:r>
            <w:r w:rsidRPr="00BD13C7">
              <w:br/>
              <w:t xml:space="preserve">(ex </w:t>
            </w:r>
            <w:hyperlink r:id="rId19" w:anchor="/t-wp/item?isn=21764" w:history="1">
              <w:r w:rsidRPr="00BD13C7">
                <w:rPr>
                  <w:rStyle w:val="Hyperlink"/>
                </w:rPr>
                <w:t>X.accsadlt</w:t>
              </w:r>
            </w:hyperlink>
            <w:r w:rsidRPr="00BD13C7"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C2E1" w14:textId="77777777" w:rsidR="00500947" w:rsidRPr="00E22056" w:rsidRDefault="00500947" w:rsidP="006A178A">
            <w:pPr>
              <w:pStyle w:val="Tabletext0"/>
              <w:rPr>
                <w:lang w:val="es-ES"/>
              </w:rPr>
            </w:pPr>
            <w:r w:rsidRPr="00246BB6">
              <w:rPr>
                <w:lang w:val="es-ES"/>
              </w:rPr>
              <w:t>Plataforma de control de acceso mediante un método de autentificación basado en tecnología de libro mayor distribuido (DLT)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2E7F" w14:textId="77777777" w:rsidR="00500947" w:rsidRPr="00BD13C7" w:rsidRDefault="00500947" w:rsidP="00E75458">
            <w:pPr>
              <w:pStyle w:val="Tabletext0"/>
              <w:jc w:val="center"/>
            </w:pPr>
            <w:r>
              <w:t>Aprobada</w:t>
            </w:r>
          </w:p>
        </w:tc>
      </w:tr>
      <w:tr w:rsidR="00500947" w:rsidRPr="00BD13C7" w14:paraId="5B0FFECA" w14:textId="77777777" w:rsidTr="00E75458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8900" w14:textId="77777777" w:rsidR="00500947" w:rsidRPr="000E1F4B" w:rsidRDefault="00500947" w:rsidP="006A178A">
            <w:pPr>
              <w:pStyle w:val="Tabletext0"/>
              <w:jc w:val="center"/>
              <w:rPr>
                <w:lang w:val="pt-BR"/>
              </w:rPr>
            </w:pPr>
            <w:r w:rsidRPr="000E1F4B">
              <w:rPr>
                <w:lang w:val="pt-BR"/>
              </w:rPr>
              <w:lastRenderedPageBreak/>
              <w:t>X.1417</w:t>
            </w:r>
            <w:r w:rsidRPr="000E1F4B">
              <w:rPr>
                <w:lang w:val="pt-BR"/>
              </w:rPr>
              <w:br/>
              <w:t xml:space="preserve">(ex </w:t>
            </w:r>
            <w:hyperlink r:id="rId20" w:anchor="/t-wp/item?isn=21800" w:history="1">
              <w:r w:rsidRPr="000E1F4B">
                <w:rPr>
                  <w:rStyle w:val="Hyperlink"/>
                  <w:lang w:val="pt-BR"/>
                </w:rPr>
                <w:t>X.sr-dpts</w:t>
              </w:r>
            </w:hyperlink>
            <w:r w:rsidRPr="000E1F4B">
              <w:rPr>
                <w:lang w:val="pt-BR"/>
              </w:rPr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7DE0" w14:textId="77777777" w:rsidR="00500947" w:rsidRPr="00E22056" w:rsidRDefault="00500947" w:rsidP="006A178A">
            <w:pPr>
              <w:pStyle w:val="Tabletext0"/>
              <w:rPr>
                <w:lang w:val="es-ES"/>
              </w:rPr>
            </w:pPr>
            <w:r w:rsidRPr="00246BB6">
              <w:rPr>
                <w:lang w:val="es-ES"/>
              </w:rPr>
              <w:t>Requisitos de seguridad de los datos de la tecnología de libro mayor distribuido (DLT) en sistemas de intercambio de potencia distribuidos basados en DLT autorizada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A8AE" w14:textId="77777777" w:rsidR="00500947" w:rsidRPr="00BD13C7" w:rsidRDefault="00500947" w:rsidP="00E75458">
            <w:pPr>
              <w:pStyle w:val="Tabletext0"/>
              <w:jc w:val="center"/>
            </w:pPr>
            <w:r>
              <w:t>Aprobada</w:t>
            </w:r>
          </w:p>
        </w:tc>
      </w:tr>
      <w:tr w:rsidR="00500947" w:rsidRPr="00BD13C7" w14:paraId="21C0F748" w14:textId="77777777" w:rsidTr="00E75458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7496" w14:textId="77777777" w:rsidR="00500947" w:rsidRPr="00BD13C7" w:rsidRDefault="00500947" w:rsidP="006A178A">
            <w:pPr>
              <w:pStyle w:val="Tabletext0"/>
              <w:jc w:val="center"/>
            </w:pPr>
            <w:r w:rsidRPr="00BD13C7">
              <w:t>X.1418</w:t>
            </w:r>
            <w:r w:rsidRPr="00BD13C7">
              <w:br/>
              <w:t xml:space="preserve">(ex </w:t>
            </w:r>
            <w:hyperlink r:id="rId21" w:anchor="/t-wp/item?isn=21799" w:history="1">
              <w:r w:rsidRPr="00BD13C7">
                <w:rPr>
                  <w:rStyle w:val="Hyperlink"/>
                </w:rPr>
                <w:t>X.sg-dcs</w:t>
              </w:r>
            </w:hyperlink>
            <w:r w:rsidRPr="00BD13C7"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52DE" w14:textId="3B6EAEC3" w:rsidR="00500947" w:rsidRPr="00E22056" w:rsidRDefault="00500947" w:rsidP="006A178A">
            <w:pPr>
              <w:pStyle w:val="Tabletext0"/>
              <w:rPr>
                <w:lang w:val="es-ES"/>
              </w:rPr>
            </w:pPr>
            <w:r w:rsidRPr="00246BB6">
              <w:rPr>
                <w:lang w:val="es-ES"/>
              </w:rPr>
              <w:t>Directrices de seguridad para servicios de colección digital basados en</w:t>
            </w:r>
            <w:r w:rsidR="00E75458">
              <w:rPr>
                <w:lang w:val="es-ES"/>
              </w:rPr>
              <w:t> </w:t>
            </w:r>
            <w:r w:rsidRPr="00246BB6">
              <w:rPr>
                <w:lang w:val="es-ES"/>
              </w:rPr>
              <w:t>DLT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E736" w14:textId="77777777" w:rsidR="00500947" w:rsidRPr="00BD13C7" w:rsidRDefault="00500947" w:rsidP="00E75458">
            <w:pPr>
              <w:pStyle w:val="Tabletext0"/>
              <w:jc w:val="center"/>
            </w:pPr>
            <w:r>
              <w:t>Aprobada</w:t>
            </w:r>
          </w:p>
        </w:tc>
      </w:tr>
      <w:tr w:rsidR="00500947" w:rsidRPr="00BD13C7" w14:paraId="4D88A252" w14:textId="77777777" w:rsidTr="00E75458">
        <w:trPr>
          <w:cantSplit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57E2" w14:textId="203344B6" w:rsidR="00500947" w:rsidRPr="00BD13C7" w:rsidRDefault="00500947" w:rsidP="006A178A">
            <w:pPr>
              <w:pStyle w:val="Tabletext0"/>
              <w:jc w:val="center"/>
            </w:pPr>
            <w:r w:rsidRPr="00BD13C7">
              <w:t>X.2210</w:t>
            </w:r>
            <w:r w:rsidRPr="00BD13C7">
              <w:br/>
              <w:t>(</w:t>
            </w:r>
            <w:hyperlink r:id="rId22" w:history="1">
              <w:r w:rsidRPr="00BD13C7">
                <w:rPr>
                  <w:rStyle w:val="Hyperlink"/>
                </w:rPr>
                <w:t>ex X.ig-dw</w:t>
              </w:r>
            </w:hyperlink>
            <w:r w:rsidRPr="00BD13C7"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1A98" w14:textId="77777777" w:rsidR="00500947" w:rsidRPr="00E22056" w:rsidRDefault="00500947" w:rsidP="006A178A">
            <w:pPr>
              <w:pStyle w:val="Tabletext0"/>
              <w:rPr>
                <w:lang w:val="es-ES"/>
              </w:rPr>
            </w:pPr>
            <w:r w:rsidRPr="00E47C30">
              <w:rPr>
                <w:lang w:val="es-ES"/>
              </w:rPr>
              <w:t>Directrices de implementación de filigranas digi</w:t>
            </w:r>
            <w:r>
              <w:rPr>
                <w:lang w:val="es-ES"/>
              </w:rPr>
              <w:t>tales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1A7A" w14:textId="77777777" w:rsidR="00500947" w:rsidRPr="00BD13C7" w:rsidRDefault="00500947" w:rsidP="00E75458">
            <w:pPr>
              <w:pStyle w:val="Tabletext0"/>
              <w:jc w:val="center"/>
            </w:pPr>
            <w:r>
              <w:t>No aprobada</w:t>
            </w:r>
          </w:p>
        </w:tc>
      </w:tr>
    </w:tbl>
    <w:p w14:paraId="0DC80221" w14:textId="77777777" w:rsidR="00500947" w:rsidRPr="00E22056" w:rsidRDefault="00500947" w:rsidP="00E75458">
      <w:pPr>
        <w:rPr>
          <w:lang w:val="es-ES"/>
        </w:rPr>
      </w:pPr>
      <w:r w:rsidRPr="00E22056">
        <w:rPr>
          <w:lang w:val="es-ES"/>
        </w:rPr>
        <w:t>2</w:t>
      </w:r>
      <w:r w:rsidRPr="00E22056">
        <w:rPr>
          <w:lang w:val="es-ES"/>
        </w:rPr>
        <w:tab/>
        <w:t xml:space="preserve">Puede consultar la información disponible sobre patentes en línea en </w:t>
      </w:r>
      <w:r>
        <w:rPr>
          <w:lang w:val="es-ES"/>
        </w:rPr>
        <w:t>el</w:t>
      </w:r>
      <w:r w:rsidRPr="00E22056">
        <w:rPr>
          <w:lang w:val="es-ES"/>
        </w:rPr>
        <w:t xml:space="preserve"> </w:t>
      </w:r>
      <w:hyperlink r:id="rId23" w:history="1">
        <w:r>
          <w:rPr>
            <w:rStyle w:val="Hyperlink"/>
            <w:rFonts w:cstheme="minorHAnsi"/>
            <w:szCs w:val="22"/>
            <w:lang w:val="es-ES"/>
          </w:rPr>
          <w:t>sitio web del UIT-T</w:t>
        </w:r>
      </w:hyperlink>
      <w:r w:rsidRPr="00E22056">
        <w:rPr>
          <w:lang w:val="es-ES"/>
        </w:rPr>
        <w:t>.</w:t>
      </w:r>
    </w:p>
    <w:p w14:paraId="06BA5EBA" w14:textId="542F22D6" w:rsidR="00500947" w:rsidRDefault="00500947" w:rsidP="00E75458">
      <w:pPr>
        <w:rPr>
          <w:rFonts w:cstheme="minorHAnsi"/>
          <w:szCs w:val="22"/>
          <w:lang w:val="es-ES"/>
        </w:rPr>
      </w:pPr>
      <w:r w:rsidRPr="00E22056">
        <w:rPr>
          <w:rFonts w:cstheme="minorHAnsi"/>
          <w:szCs w:val="22"/>
          <w:lang w:val="es-ES"/>
        </w:rPr>
        <w:t>3</w:t>
      </w:r>
      <w:r w:rsidRPr="00E22056">
        <w:rPr>
          <w:rFonts w:cstheme="minorHAnsi"/>
          <w:szCs w:val="22"/>
          <w:lang w:val="es-ES"/>
        </w:rPr>
        <w:tab/>
        <w:t xml:space="preserve">La UIT publicará lo antes posible el texto de la Recomendación aprobada. El texto de las </w:t>
      </w:r>
      <w:r w:rsidRPr="00E75458">
        <w:rPr>
          <w:lang w:val="es-ES"/>
        </w:rPr>
        <w:t>Recomendaciones</w:t>
      </w:r>
      <w:r w:rsidRPr="00E22056">
        <w:rPr>
          <w:rFonts w:cstheme="minorHAnsi"/>
          <w:szCs w:val="22"/>
          <w:lang w:val="es-ES"/>
        </w:rPr>
        <w:t xml:space="preserve"> prepublicadas puede consultarse a través de</w:t>
      </w:r>
      <w:r>
        <w:rPr>
          <w:rFonts w:cstheme="minorHAnsi"/>
          <w:szCs w:val="22"/>
          <w:lang w:val="es-ES"/>
        </w:rPr>
        <w:t xml:space="preserve">l sitio web del UIT-T en </w:t>
      </w:r>
      <w:hyperlink r:id="rId24" w:history="1">
        <w:r>
          <w:rPr>
            <w:rStyle w:val="Hyperlink"/>
            <w:rFonts w:cstheme="minorHAnsi"/>
            <w:szCs w:val="22"/>
            <w:lang w:val="es-ES"/>
          </w:rPr>
          <w:t>esta página</w:t>
        </w:r>
      </w:hyperlink>
      <w:r w:rsidRPr="00E22056">
        <w:rPr>
          <w:rFonts w:cstheme="minorHAnsi"/>
          <w:szCs w:val="22"/>
          <w:lang w:val="es-ES"/>
        </w:rPr>
        <w:t xml:space="preserve">. </w:t>
      </w:r>
    </w:p>
    <w:p w14:paraId="26DDB0BD" w14:textId="32E733BE" w:rsidR="00E75458" w:rsidRPr="00E22056" w:rsidRDefault="00E75458" w:rsidP="00E75458">
      <w:pPr>
        <w:rPr>
          <w:rFonts w:cstheme="minorHAnsi"/>
          <w:szCs w:val="22"/>
          <w:lang w:val="es-ES"/>
        </w:rPr>
      </w:pPr>
      <w:r>
        <w:rPr>
          <w:rFonts w:cstheme="minorHAnsi"/>
          <w:szCs w:val="22"/>
          <w:lang w:val="es-ES"/>
        </w:rPr>
        <w:t>Atentamente,</w:t>
      </w:r>
    </w:p>
    <w:p w14:paraId="36D0C3E9" w14:textId="77777777" w:rsidR="00500947" w:rsidRPr="000D4D38" w:rsidRDefault="00500947" w:rsidP="00500947">
      <w:pPr>
        <w:spacing w:before="240" w:after="240"/>
        <w:rPr>
          <w:rFonts w:cstheme="minorHAnsi"/>
          <w:i/>
          <w:iCs/>
          <w:szCs w:val="22"/>
          <w:lang w:val="es-ES"/>
        </w:rPr>
      </w:pPr>
      <w:r w:rsidRPr="000D4D38">
        <w:rPr>
          <w:rFonts w:cstheme="minorHAnsi"/>
          <w:i/>
          <w:iCs/>
          <w:szCs w:val="22"/>
          <w:lang w:val="es-ES"/>
        </w:rPr>
        <w:t>(firmado)</w:t>
      </w:r>
    </w:p>
    <w:p w14:paraId="1F9A1BD3" w14:textId="5B3F3573" w:rsidR="00401C20" w:rsidRPr="00500947" w:rsidRDefault="00500947" w:rsidP="00E75458">
      <w:pPr>
        <w:rPr>
          <w:rFonts w:cstheme="minorHAnsi"/>
          <w:szCs w:val="22"/>
          <w:lang w:val="es-ES"/>
        </w:rPr>
      </w:pPr>
      <w:r w:rsidRPr="00E75458">
        <w:rPr>
          <w:lang w:val="es-ES"/>
        </w:rPr>
        <w:t>Seizo Onoe</w:t>
      </w:r>
      <w:r w:rsidRPr="00E75458">
        <w:rPr>
          <w:lang w:val="es-ES"/>
        </w:rPr>
        <w:br/>
        <w:t xml:space="preserve">Director de la Oficina de </w:t>
      </w:r>
      <w:r w:rsidRPr="00E75458">
        <w:rPr>
          <w:lang w:val="es-ES"/>
        </w:rPr>
        <w:br/>
        <w:t>Normalización de las Telecomunicaciones</w:t>
      </w:r>
    </w:p>
    <w:sectPr w:rsidR="00401C20" w:rsidRPr="00500947" w:rsidSect="00B87E9E">
      <w:headerReference w:type="default" r:id="rId25"/>
      <w:footerReference w:type="first" r:id="rId26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39482" w14:textId="77777777" w:rsidR="00854557" w:rsidRDefault="00854557">
      <w:r>
        <w:separator/>
      </w:r>
    </w:p>
  </w:endnote>
  <w:endnote w:type="continuationSeparator" w:id="0">
    <w:p w14:paraId="7C3F0C78" w14:textId="77777777" w:rsidR="00854557" w:rsidRDefault="0085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3DC7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>Unión Internacional de Telecomunicaciones • Place des Nations,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D7C4A" w14:textId="77777777" w:rsidR="00854557" w:rsidRDefault="00854557">
      <w:r>
        <w:t>____________________</w:t>
      </w:r>
    </w:p>
  </w:footnote>
  <w:footnote w:type="continuationSeparator" w:id="0">
    <w:p w14:paraId="024AAD3D" w14:textId="77777777" w:rsidR="00854557" w:rsidRDefault="00854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78837" w14:textId="76AE2C6C"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  <w:r w:rsidR="00F35078">
      <w:rPr>
        <w:rStyle w:val="PageNumber"/>
        <w:sz w:val="18"/>
        <w:szCs w:val="18"/>
      </w:rPr>
      <w:br/>
      <w:t>TSB Circular 142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0"/>
  </w:num>
  <w:num w:numId="2" w16cid:durableId="1345282128">
    <w:abstractNumId w:val="3"/>
  </w:num>
  <w:num w:numId="3" w16cid:durableId="1069613404">
    <w:abstractNumId w:val="2"/>
  </w:num>
  <w:num w:numId="4" w16cid:durableId="37493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9C"/>
    <w:rsid w:val="00002529"/>
    <w:rsid w:val="00085662"/>
    <w:rsid w:val="000C382F"/>
    <w:rsid w:val="000D4D38"/>
    <w:rsid w:val="00111D1A"/>
    <w:rsid w:val="001173CC"/>
    <w:rsid w:val="001350B9"/>
    <w:rsid w:val="0014464D"/>
    <w:rsid w:val="001A54CC"/>
    <w:rsid w:val="00257FB4"/>
    <w:rsid w:val="002D2B40"/>
    <w:rsid w:val="002E496E"/>
    <w:rsid w:val="00303D62"/>
    <w:rsid w:val="00335367"/>
    <w:rsid w:val="00370C2D"/>
    <w:rsid w:val="003D1E8D"/>
    <w:rsid w:val="003D673B"/>
    <w:rsid w:val="003F2855"/>
    <w:rsid w:val="00401C20"/>
    <w:rsid w:val="00475F3B"/>
    <w:rsid w:val="004A7957"/>
    <w:rsid w:val="004C4144"/>
    <w:rsid w:val="00500947"/>
    <w:rsid w:val="0055719E"/>
    <w:rsid w:val="005C57EB"/>
    <w:rsid w:val="006969B4"/>
    <w:rsid w:val="006A3A26"/>
    <w:rsid w:val="006E4F7B"/>
    <w:rsid w:val="00781E2A"/>
    <w:rsid w:val="007933A2"/>
    <w:rsid w:val="007B6316"/>
    <w:rsid w:val="00814503"/>
    <w:rsid w:val="008258C2"/>
    <w:rsid w:val="008505BD"/>
    <w:rsid w:val="00850C78"/>
    <w:rsid w:val="00854557"/>
    <w:rsid w:val="00876165"/>
    <w:rsid w:val="00884D12"/>
    <w:rsid w:val="008C17AD"/>
    <w:rsid w:val="008D02CD"/>
    <w:rsid w:val="0091370C"/>
    <w:rsid w:val="00932AB4"/>
    <w:rsid w:val="0095172A"/>
    <w:rsid w:val="009A0BA0"/>
    <w:rsid w:val="00A54E47"/>
    <w:rsid w:val="00AB6E3A"/>
    <w:rsid w:val="00AE7093"/>
    <w:rsid w:val="00B41E13"/>
    <w:rsid w:val="00B422BC"/>
    <w:rsid w:val="00B43F77"/>
    <w:rsid w:val="00B55A3E"/>
    <w:rsid w:val="00B87E9E"/>
    <w:rsid w:val="00B95F0A"/>
    <w:rsid w:val="00B96180"/>
    <w:rsid w:val="00C116FE"/>
    <w:rsid w:val="00C17AC0"/>
    <w:rsid w:val="00C34772"/>
    <w:rsid w:val="00C5465A"/>
    <w:rsid w:val="00D54642"/>
    <w:rsid w:val="00D834E7"/>
    <w:rsid w:val="00DA5A9C"/>
    <w:rsid w:val="00DD77C9"/>
    <w:rsid w:val="00DF3538"/>
    <w:rsid w:val="00E75458"/>
    <w:rsid w:val="00E839B0"/>
    <w:rsid w:val="00E92C09"/>
    <w:rsid w:val="00EC786C"/>
    <w:rsid w:val="00F14380"/>
    <w:rsid w:val="00F35078"/>
    <w:rsid w:val="00F6461F"/>
    <w:rsid w:val="00FC3652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629174"/>
  <w15:docId w15:val="{53A3F6C5-A04D-4FDB-9182-1C1E7D87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9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????,ÇÏÀÌÆÛ¸µÅ©2,ÇÏÀÌÆÛ¸µÅ©21,õ±??级链Ú,õ±??级链,õ±?级链Ú,¡¯¢¥?级链,¡¯¢¥????,¡¯¢¥??级链Ú,¡¯¢¥??,¡¯¢¥??级,õ±?"/>
    <w:basedOn w:val="DefaultParagraphFont"/>
    <w:uiPriority w:val="99"/>
    <w:qFormat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0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yworkspace/" TargetMode="External"/><Relationship Id="rId18" Type="http://schemas.openxmlformats.org/officeDocument/2006/relationships/hyperlink" Target="https://www.itu.int/myworkspace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itu.int/myworkspac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myworkspace/" TargetMode="External"/><Relationship Id="rId17" Type="http://schemas.openxmlformats.org/officeDocument/2006/relationships/hyperlink" Target="https://www.itu.int/myworkspace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tu.int/myworkspace/" TargetMode="External"/><Relationship Id="rId20" Type="http://schemas.openxmlformats.org/officeDocument/2006/relationships/hyperlink" Target="https://www.itu.int/myworkspac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5-TSB-CIR-0104/es" TargetMode="External"/><Relationship Id="rId24" Type="http://schemas.openxmlformats.org/officeDocument/2006/relationships/hyperlink" Target="https://www.itu.int/itu-t/recommendati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ITU-T/workprog/wp_item.aspx?isn=21727" TargetMode="External"/><Relationship Id="rId23" Type="http://schemas.openxmlformats.org/officeDocument/2006/relationships/hyperlink" Target="http://www.itu.int/net4/ipr/search.aspx?sector=ITU&amp;class=P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tu.int/myworkspace/t-wp/item?isn=21686" TargetMode="External"/><Relationship Id="rId19" Type="http://schemas.openxmlformats.org/officeDocument/2006/relationships/hyperlink" Target="https://www.itu.int/myworkspac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hyperlink" Target="https://www.itu.int/myworkspace/" TargetMode="External"/><Relationship Id="rId22" Type="http://schemas.openxmlformats.org/officeDocument/2006/relationships/hyperlink" Target="https://www.itu.int/myworkspace/t-wp/item?isn=21686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laescusa\Desktop\ACTUALES%202026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1</TotalTime>
  <Pages>2</Pages>
  <Words>656</Words>
  <Characters>3683</Characters>
  <Application>Microsoft Office Word</Application>
  <DocSecurity>0</DocSecurity>
  <Lines>131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4276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Maguire, Mairéad</cp:lastModifiedBy>
  <cp:revision>4</cp:revision>
  <cp:lastPrinted>2011-04-15T08:24:00Z</cp:lastPrinted>
  <dcterms:created xsi:type="dcterms:W3CDTF">2026-06-19T06:55:00Z</dcterms:created>
  <dcterms:modified xsi:type="dcterms:W3CDTF">2026-07-03T13:09:00Z</dcterms:modified>
</cp:coreProperties>
</file>